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B6ADC8" w14:textId="77777777" w:rsidR="00C57B09" w:rsidRPr="002D3DCC" w:rsidRDefault="00C57B09" w:rsidP="00C57B09">
      <w:pPr>
        <w:spacing w:before="120" w:after="120" w:line="240" w:lineRule="auto"/>
        <w:jc w:val="center"/>
        <w:rPr>
          <w:rFonts w:eastAsia="Aptos" w:cs="Arial"/>
          <w:color w:val="000000"/>
        </w:rPr>
      </w:pPr>
      <w:r w:rsidRPr="002D3DCC">
        <w:rPr>
          <w:rFonts w:eastAsia="Aptos" w:cs="Arial"/>
          <w:noProof/>
          <w:color w:val="000000"/>
        </w:rPr>
        <w:drawing>
          <wp:inline distT="0" distB="0" distL="0" distR="0" wp14:anchorId="3B225CF3" wp14:editId="305499DD">
            <wp:extent cx="3383280" cy="1356360"/>
            <wp:effectExtent l="0" t="0" r="7620" b="0"/>
            <wp:docPr id="3"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A close-up of a sign&#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3280" cy="1356360"/>
                    </a:xfrm>
                    <a:prstGeom prst="rect">
                      <a:avLst/>
                    </a:prstGeom>
                    <a:noFill/>
                    <a:ln>
                      <a:noFill/>
                    </a:ln>
                  </pic:spPr>
                </pic:pic>
              </a:graphicData>
            </a:graphic>
          </wp:inline>
        </w:drawing>
      </w:r>
    </w:p>
    <w:p w14:paraId="7E35CDCF" w14:textId="77777777" w:rsidR="00C57B09" w:rsidRPr="002D3DCC" w:rsidRDefault="00C57B09" w:rsidP="00C57B09">
      <w:pPr>
        <w:spacing w:before="120" w:after="120" w:line="240" w:lineRule="auto"/>
        <w:rPr>
          <w:rFonts w:eastAsia="Aptos" w:cs="Arial"/>
          <w:color w:val="000000"/>
        </w:rPr>
      </w:pPr>
    </w:p>
    <w:p w14:paraId="71257D93" w14:textId="77777777" w:rsidR="00C57B09" w:rsidRPr="002D3DCC" w:rsidRDefault="00C57B09" w:rsidP="00C57B09">
      <w:pPr>
        <w:spacing w:before="120" w:after="120" w:line="240" w:lineRule="auto"/>
        <w:rPr>
          <w:rFonts w:eastAsia="Aptos" w:cs="Arial"/>
          <w:color w:val="000000"/>
        </w:rPr>
      </w:pPr>
    </w:p>
    <w:p w14:paraId="464F6883" w14:textId="5BE656B7" w:rsidR="00C57B09" w:rsidRPr="002D3DCC" w:rsidRDefault="00C57B09" w:rsidP="00C57B09">
      <w:pPr>
        <w:spacing w:before="120" w:after="120" w:line="240" w:lineRule="auto"/>
        <w:jc w:val="center"/>
        <w:rPr>
          <w:rFonts w:eastAsia="Aptos" w:cs="Arial"/>
          <w:b/>
          <w:bCs/>
          <w:color w:val="000000"/>
        </w:rPr>
      </w:pPr>
      <w:r w:rsidRPr="002D3DCC">
        <w:rPr>
          <w:rFonts w:eastAsia="Aptos" w:cs="Arial"/>
          <w:b/>
          <w:bCs/>
          <w:color w:val="000000"/>
        </w:rPr>
        <w:t xml:space="preserve">Student Name: </w:t>
      </w:r>
      <w:r w:rsidR="00D51C81" w:rsidRPr="002D3DCC">
        <w:rPr>
          <w:rFonts w:eastAsia="Aptos" w:cs="Arial"/>
          <w:b/>
          <w:bCs/>
          <w:color w:val="000000"/>
        </w:rPr>
        <w:t>Fenil</w:t>
      </w:r>
      <w:r w:rsidR="00697D55">
        <w:rPr>
          <w:rFonts w:eastAsia="Aptos" w:cs="Arial"/>
          <w:b/>
          <w:bCs/>
          <w:color w:val="000000"/>
        </w:rPr>
        <w:t xml:space="preserve"> Bharatbhai Sutariya </w:t>
      </w:r>
    </w:p>
    <w:p w14:paraId="6F694A05" w14:textId="77777777" w:rsidR="00C57B09" w:rsidRPr="002D3DCC" w:rsidRDefault="00C57B09" w:rsidP="00C57B09">
      <w:pPr>
        <w:spacing w:before="120" w:after="120" w:line="240" w:lineRule="auto"/>
        <w:jc w:val="center"/>
        <w:rPr>
          <w:rFonts w:eastAsia="Aptos" w:cs="Arial"/>
          <w:b/>
          <w:bCs/>
          <w:color w:val="000000"/>
        </w:rPr>
      </w:pPr>
    </w:p>
    <w:p w14:paraId="35499941" w14:textId="13984DEE" w:rsidR="00C57B09" w:rsidRPr="002D3DCC" w:rsidRDefault="00C57B09" w:rsidP="00C57B09">
      <w:pPr>
        <w:spacing w:before="120" w:after="120" w:line="240" w:lineRule="auto"/>
        <w:jc w:val="center"/>
        <w:rPr>
          <w:rFonts w:eastAsia="Aptos" w:cs="Arial"/>
          <w:b/>
          <w:bCs/>
          <w:color w:val="000000"/>
        </w:rPr>
      </w:pPr>
      <w:r w:rsidRPr="002D3DCC">
        <w:rPr>
          <w:rFonts w:eastAsia="Aptos" w:cs="Arial"/>
          <w:b/>
          <w:bCs/>
          <w:color w:val="000000"/>
        </w:rPr>
        <w:t>Student ID:</w:t>
      </w:r>
      <w:r w:rsidR="00697D55">
        <w:rPr>
          <w:rFonts w:eastAsia="Aptos" w:cs="Arial"/>
          <w:b/>
          <w:bCs/>
          <w:color w:val="000000"/>
        </w:rPr>
        <w:t xml:space="preserve"> 2433115</w:t>
      </w:r>
    </w:p>
    <w:p w14:paraId="63891AC4" w14:textId="77777777" w:rsidR="00C57B09" w:rsidRPr="002D3DCC" w:rsidRDefault="00C57B09" w:rsidP="00C57B09">
      <w:pPr>
        <w:spacing w:before="120" w:after="120" w:line="240" w:lineRule="auto"/>
        <w:jc w:val="center"/>
        <w:rPr>
          <w:rFonts w:eastAsia="Aptos" w:cs="Arial"/>
          <w:color w:val="000000"/>
        </w:rPr>
      </w:pPr>
    </w:p>
    <w:p w14:paraId="1DD4CE56" w14:textId="77777777" w:rsidR="00C57B09" w:rsidRPr="002D3DCC" w:rsidRDefault="00C57B09" w:rsidP="00C57B09">
      <w:pPr>
        <w:spacing w:before="120" w:after="120" w:line="240" w:lineRule="auto"/>
        <w:jc w:val="center"/>
        <w:rPr>
          <w:rFonts w:eastAsia="Aptos" w:cs="Arial"/>
          <w:color w:val="000000"/>
        </w:rPr>
      </w:pPr>
    </w:p>
    <w:p w14:paraId="07FC79C2" w14:textId="77777777" w:rsidR="00C57B09" w:rsidRPr="002D3DCC" w:rsidRDefault="00C57B09" w:rsidP="00C57B09">
      <w:pPr>
        <w:spacing w:before="120" w:after="120" w:line="240" w:lineRule="auto"/>
        <w:jc w:val="center"/>
        <w:rPr>
          <w:rFonts w:eastAsia="Aptos" w:cs="Arial"/>
          <w:b/>
          <w:bCs/>
          <w:color w:val="000000"/>
        </w:rPr>
      </w:pPr>
      <w:r w:rsidRPr="002D3DCC">
        <w:rPr>
          <w:rFonts w:eastAsia="Aptos" w:cs="Arial"/>
          <w:b/>
          <w:bCs/>
          <w:color w:val="000000"/>
        </w:rPr>
        <w:t>Module Name:</w:t>
      </w:r>
      <w:r w:rsidRPr="002D3DCC">
        <w:t xml:space="preserve"> </w:t>
      </w:r>
      <w:r w:rsidRPr="002D3DCC">
        <w:rPr>
          <w:rFonts w:eastAsia="Aptos" w:cs="Arial"/>
          <w:b/>
          <w:bCs/>
          <w:color w:val="000000"/>
        </w:rPr>
        <w:t xml:space="preserve"> Dissertation</w:t>
      </w:r>
    </w:p>
    <w:p w14:paraId="7BD7CA02" w14:textId="77777777" w:rsidR="00C57B09" w:rsidRPr="002D3DCC" w:rsidRDefault="00C57B09" w:rsidP="00C57B09">
      <w:pPr>
        <w:spacing w:before="120" w:after="120" w:line="240" w:lineRule="auto"/>
        <w:jc w:val="center"/>
        <w:rPr>
          <w:rFonts w:eastAsia="Aptos" w:cs="Arial"/>
          <w:b/>
          <w:bCs/>
          <w:color w:val="000000"/>
        </w:rPr>
      </w:pPr>
    </w:p>
    <w:p w14:paraId="206DBA52" w14:textId="77777777" w:rsidR="00C57B09" w:rsidRPr="002D3DCC" w:rsidRDefault="00C57B09" w:rsidP="00C57B09">
      <w:pPr>
        <w:spacing w:before="120" w:after="120" w:line="240" w:lineRule="auto"/>
        <w:jc w:val="center"/>
        <w:rPr>
          <w:rFonts w:eastAsia="Aptos" w:cs="Arial"/>
          <w:b/>
          <w:bCs/>
          <w:color w:val="000000"/>
        </w:rPr>
      </w:pPr>
      <w:r w:rsidRPr="002D3DCC">
        <w:rPr>
          <w:rFonts w:eastAsia="Aptos" w:cs="Arial"/>
          <w:b/>
          <w:bCs/>
          <w:color w:val="000000"/>
        </w:rPr>
        <w:t>Module Code: LCMB7035</w:t>
      </w:r>
    </w:p>
    <w:p w14:paraId="2C919E8D" w14:textId="77777777" w:rsidR="00C57B09" w:rsidRPr="002D3DCC" w:rsidRDefault="00C57B09" w:rsidP="00C57B09">
      <w:pPr>
        <w:spacing w:before="120" w:after="120" w:line="240" w:lineRule="auto"/>
        <w:jc w:val="center"/>
        <w:rPr>
          <w:rFonts w:eastAsia="Aptos" w:cs="Arial"/>
          <w:b/>
          <w:bCs/>
          <w:color w:val="000000"/>
        </w:rPr>
      </w:pPr>
    </w:p>
    <w:p w14:paraId="697C5AFE" w14:textId="77777777" w:rsidR="00C57B09" w:rsidRPr="002D3DCC" w:rsidRDefault="00C57B09" w:rsidP="00C57B09">
      <w:pPr>
        <w:spacing w:before="120" w:after="120" w:line="240" w:lineRule="auto"/>
        <w:rPr>
          <w:rFonts w:eastAsia="Aptos" w:cs="Arial"/>
          <w:b/>
          <w:bCs/>
          <w:color w:val="000000"/>
        </w:rPr>
      </w:pPr>
    </w:p>
    <w:p w14:paraId="62BB9EF5" w14:textId="77777777" w:rsidR="00C57B09" w:rsidRPr="002D3DCC" w:rsidRDefault="00C57B09" w:rsidP="00C57B09">
      <w:pPr>
        <w:spacing w:before="120" w:after="120" w:line="240" w:lineRule="auto"/>
        <w:jc w:val="center"/>
        <w:rPr>
          <w:rFonts w:eastAsia="Aptos" w:cs="Arial"/>
          <w:b/>
          <w:bCs/>
          <w:color w:val="000000"/>
        </w:rPr>
      </w:pPr>
    </w:p>
    <w:p w14:paraId="52CE114B" w14:textId="52677923" w:rsidR="00C57B09" w:rsidRPr="002D3DCC" w:rsidRDefault="00C57B09" w:rsidP="00C57B09">
      <w:pPr>
        <w:spacing w:before="120" w:after="120" w:line="240" w:lineRule="auto"/>
        <w:jc w:val="center"/>
        <w:rPr>
          <w:b/>
          <w:bCs/>
        </w:rPr>
      </w:pPr>
      <w:r w:rsidRPr="002D3DCC">
        <w:rPr>
          <w:rFonts w:eastAsia="Aptos" w:cs="Arial"/>
          <w:b/>
          <w:bCs/>
          <w:color w:val="000000"/>
        </w:rPr>
        <w:t>Lecturer’s Name:</w:t>
      </w:r>
      <w:r w:rsidR="00697D55">
        <w:rPr>
          <w:rFonts w:eastAsia="Aptos" w:cs="Arial"/>
          <w:b/>
          <w:bCs/>
          <w:color w:val="000000"/>
        </w:rPr>
        <w:t xml:space="preserve"> Andry Rakotovololona</w:t>
      </w:r>
      <w:r w:rsidRPr="002D3DCC">
        <w:rPr>
          <w:b/>
          <w:bCs/>
        </w:rPr>
        <w:t xml:space="preserve"> </w:t>
      </w:r>
    </w:p>
    <w:p w14:paraId="467A407D" w14:textId="77777777" w:rsidR="00C57B09" w:rsidRPr="002D3DCC" w:rsidRDefault="00C57B09" w:rsidP="00C57B09">
      <w:pPr>
        <w:spacing w:before="120" w:after="120" w:line="240" w:lineRule="auto"/>
        <w:jc w:val="center"/>
        <w:rPr>
          <w:rFonts w:eastAsia="Aptos" w:cs="Arial"/>
          <w:b/>
          <w:bCs/>
          <w:color w:val="000000"/>
        </w:rPr>
      </w:pPr>
      <w:r w:rsidRPr="002D3DCC">
        <w:rPr>
          <w:rFonts w:eastAsia="Aptos" w:cs="Arial"/>
          <w:b/>
          <w:bCs/>
          <w:color w:val="000000"/>
        </w:rPr>
        <w:t xml:space="preserve"> </w:t>
      </w:r>
    </w:p>
    <w:p w14:paraId="5B08D7DF" w14:textId="77777777" w:rsidR="00C57B09" w:rsidRPr="002D3DCC" w:rsidRDefault="00C57B09" w:rsidP="00C57B09">
      <w:pPr>
        <w:spacing w:before="120" w:after="120" w:line="240" w:lineRule="auto"/>
        <w:jc w:val="center"/>
        <w:rPr>
          <w:rFonts w:eastAsia="Aptos" w:cs="Arial"/>
          <w:b/>
          <w:bCs/>
          <w:color w:val="000000"/>
        </w:rPr>
      </w:pPr>
    </w:p>
    <w:p w14:paraId="7D4E6564" w14:textId="77777777" w:rsidR="00C57B09" w:rsidRPr="002D3DCC" w:rsidRDefault="00C57B09" w:rsidP="00C57B09">
      <w:pPr>
        <w:spacing w:before="120" w:after="120" w:line="240" w:lineRule="auto"/>
        <w:rPr>
          <w:rFonts w:eastAsia="Aptos" w:cs="Arial"/>
          <w:b/>
          <w:bCs/>
          <w:color w:val="000000"/>
        </w:rPr>
      </w:pPr>
    </w:p>
    <w:p w14:paraId="4394B64C" w14:textId="7A6BA37D" w:rsidR="00C57B09" w:rsidRPr="002D3DCC" w:rsidRDefault="00C57B09" w:rsidP="00C57B09">
      <w:pPr>
        <w:spacing w:before="120" w:after="120" w:line="240" w:lineRule="auto"/>
        <w:jc w:val="center"/>
        <w:rPr>
          <w:rFonts w:eastAsia="Aptos" w:cs="Arial"/>
          <w:b/>
          <w:bCs/>
          <w:color w:val="000000"/>
        </w:rPr>
      </w:pPr>
      <w:r w:rsidRPr="002D3DCC">
        <w:rPr>
          <w:rFonts w:eastAsia="Aptos" w:cs="Arial"/>
          <w:b/>
          <w:bCs/>
          <w:color w:val="000000"/>
        </w:rPr>
        <w:t xml:space="preserve">Work Count: </w:t>
      </w:r>
      <w:r w:rsidR="000D125F" w:rsidRPr="002D3DCC">
        <w:rPr>
          <w:rFonts w:eastAsia="Aptos" w:cs="Arial"/>
          <w:b/>
          <w:bCs/>
          <w:color w:val="000000"/>
        </w:rPr>
        <w:t>2</w:t>
      </w:r>
      <w:r w:rsidR="000A5F95">
        <w:rPr>
          <w:rFonts w:eastAsia="Aptos" w:cs="Arial"/>
          <w:b/>
          <w:bCs/>
          <w:color w:val="000000"/>
        </w:rPr>
        <w:t>555</w:t>
      </w:r>
    </w:p>
    <w:p w14:paraId="0D672ED6" w14:textId="2DD71793" w:rsidR="003507DE" w:rsidRPr="002D3DCC" w:rsidRDefault="003507DE" w:rsidP="003507DE"/>
    <w:p w14:paraId="2FB030C7" w14:textId="77777777" w:rsidR="003507DE" w:rsidRPr="002D3DCC" w:rsidRDefault="003507DE">
      <w:pPr>
        <w:spacing w:line="278" w:lineRule="auto"/>
        <w:jc w:val="left"/>
      </w:pPr>
      <w:r w:rsidRPr="002D3DCC">
        <w:br w:type="page"/>
      </w:r>
    </w:p>
    <w:p w14:paraId="3DDEF7D9" w14:textId="77777777" w:rsidR="00B84528" w:rsidRPr="002D3DCC" w:rsidRDefault="00B84528" w:rsidP="003507DE"/>
    <w:p w14:paraId="22C119D7" w14:textId="77777777" w:rsidR="00B84528" w:rsidRPr="002D3DCC" w:rsidRDefault="00B84528" w:rsidP="00BF27C5">
      <w:pPr>
        <w:jc w:val="center"/>
        <w:rPr>
          <w:b/>
          <w:bCs/>
          <w:sz w:val="28"/>
          <w:szCs w:val="28"/>
        </w:rPr>
      </w:pPr>
    </w:p>
    <w:p w14:paraId="5A7D7580" w14:textId="5BFA058A" w:rsidR="00BF27C5" w:rsidRPr="002D3DCC" w:rsidRDefault="00337154" w:rsidP="00BF27C5">
      <w:pPr>
        <w:jc w:val="center"/>
        <w:rPr>
          <w:b/>
          <w:bCs/>
          <w:sz w:val="28"/>
          <w:szCs w:val="28"/>
        </w:rPr>
      </w:pPr>
      <w:r w:rsidRPr="002D3DCC">
        <w:rPr>
          <w:b/>
          <w:bCs/>
          <w:sz w:val="28"/>
          <w:szCs w:val="28"/>
        </w:rPr>
        <w:t xml:space="preserve"> </w:t>
      </w:r>
      <w:r w:rsidR="0024520E" w:rsidRPr="002D3DCC">
        <w:rPr>
          <w:b/>
          <w:bCs/>
          <w:sz w:val="28"/>
          <w:szCs w:val="28"/>
        </w:rPr>
        <w:t>The Importance of Personal Financial Management: The Role of Budgeting, Savings, and Financial Planning in Achieving Financial Stability</w:t>
      </w:r>
    </w:p>
    <w:p w14:paraId="028F6CA7" w14:textId="77777777" w:rsidR="00BF27C5" w:rsidRPr="002D3DCC" w:rsidRDefault="00BF27C5" w:rsidP="00BF27C5"/>
    <w:p w14:paraId="5E76FAB7" w14:textId="686F60D7" w:rsidR="00B84528" w:rsidRPr="002D3DCC" w:rsidRDefault="00B84528" w:rsidP="00B84528"/>
    <w:p w14:paraId="13E2F6E5" w14:textId="77777777" w:rsidR="00B84528" w:rsidRPr="002D3DCC" w:rsidRDefault="00B84528">
      <w:pPr>
        <w:spacing w:line="278" w:lineRule="auto"/>
        <w:jc w:val="left"/>
      </w:pPr>
      <w:r w:rsidRPr="002D3DCC">
        <w:br w:type="page"/>
      </w:r>
    </w:p>
    <w:p w14:paraId="6AB84C14" w14:textId="77777777" w:rsidR="00165CFE" w:rsidRPr="002D3DCC" w:rsidRDefault="00165CFE" w:rsidP="00A612A7">
      <w:pPr>
        <w:pStyle w:val="Heading1"/>
      </w:pPr>
      <w:bookmarkStart w:id="0" w:name="_Toc224865838"/>
      <w:r w:rsidRPr="002D3DCC">
        <w:lastRenderedPageBreak/>
        <w:t xml:space="preserve">1. </w:t>
      </w:r>
      <w:r w:rsidRPr="00A612A7">
        <w:t>Introduction</w:t>
      </w:r>
      <w:bookmarkEnd w:id="0"/>
    </w:p>
    <w:p w14:paraId="514ABB7F" w14:textId="77777777" w:rsidR="00345423" w:rsidRPr="00345423" w:rsidRDefault="00345423" w:rsidP="00A612A7">
      <w:pPr>
        <w:pStyle w:val="Heading2"/>
      </w:pPr>
      <w:bookmarkStart w:id="1" w:name="_Toc224865839"/>
      <w:r w:rsidRPr="00345423">
        <w:t>1.1 Background of the Study</w:t>
      </w:r>
      <w:bookmarkEnd w:id="1"/>
    </w:p>
    <w:p w14:paraId="0BB3F2B4" w14:textId="2E32482B" w:rsidR="002D3DCC" w:rsidRDefault="002D3DCC" w:rsidP="002D3DCC">
      <w:r w:rsidRPr="002D3DCC">
        <w:t>Personal financial management is defined as the act of planning, organizing, controlling and watching over the financial resources in a systematic way to achieve financial goals as well as long-term economic stability. In modern day societies people face rising financial obligations, such as housing expenses, education costs, healthcare costs and retirement planning (Shi et al., 2025).</w:t>
      </w:r>
    </w:p>
    <w:p w14:paraId="5F8A6188" w14:textId="58E5CAF9" w:rsidR="00C40879" w:rsidRDefault="00C40879" w:rsidP="00C40879">
      <w:pPr>
        <w:jc w:val="center"/>
      </w:pPr>
      <w:r>
        <w:rPr>
          <w:noProof/>
        </w:rPr>
        <w:drawing>
          <wp:inline distT="0" distB="0" distL="0" distR="0" wp14:anchorId="02A89391" wp14:editId="2C29BEE7">
            <wp:extent cx="4746625" cy="4190840"/>
            <wp:effectExtent l="0" t="0" r="0" b="635"/>
            <wp:docPr id="1" name="Picture 1" descr="Personal Finance - Defined, Guide, Example, Templ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rsonal Finance - Defined, Guide, Example, Templat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750187" cy="4193985"/>
                    </a:xfrm>
                    <a:prstGeom prst="rect">
                      <a:avLst/>
                    </a:prstGeom>
                    <a:noFill/>
                    <a:ln>
                      <a:noFill/>
                    </a:ln>
                  </pic:spPr>
                </pic:pic>
              </a:graphicData>
            </a:graphic>
          </wp:inline>
        </w:drawing>
      </w:r>
    </w:p>
    <w:p w14:paraId="53E2DF5B" w14:textId="6B1ED628" w:rsidR="00C40879" w:rsidRDefault="00C40879" w:rsidP="00C40879">
      <w:pPr>
        <w:pStyle w:val="Caption"/>
        <w:rPr>
          <w:lang w:val="en-US"/>
        </w:rPr>
      </w:pPr>
      <w:r>
        <w:t xml:space="preserve">Figure </w:t>
      </w:r>
      <w:r>
        <w:fldChar w:fldCharType="begin"/>
      </w:r>
      <w:r>
        <w:instrText xml:space="preserve"> SEQ Figure \* ARABIC </w:instrText>
      </w:r>
      <w:r>
        <w:fldChar w:fldCharType="separate"/>
      </w:r>
      <w:r>
        <w:rPr>
          <w:noProof/>
        </w:rPr>
        <w:t>1</w:t>
      </w:r>
      <w:r>
        <w:fldChar w:fldCharType="end"/>
      </w:r>
      <w:r>
        <w:rPr>
          <w:lang w:val="en-US"/>
        </w:rPr>
        <w:t>:</w:t>
      </w:r>
      <w:r w:rsidRPr="0099417A">
        <w:rPr>
          <w:lang w:val="en-US"/>
        </w:rPr>
        <w:t>Personal financ</w:t>
      </w:r>
      <w:r>
        <w:rPr>
          <w:lang w:val="en-US"/>
        </w:rPr>
        <w:t>e</w:t>
      </w:r>
    </w:p>
    <w:p w14:paraId="5EAAA27E" w14:textId="53FBEF74" w:rsidR="00D7091A" w:rsidRPr="00D7091A" w:rsidRDefault="00D7091A" w:rsidP="00D7091A">
      <w:pPr>
        <w:rPr>
          <w:lang w:val="en-US"/>
        </w:rPr>
      </w:pPr>
      <w:r>
        <w:rPr>
          <w:lang w:val="en-US"/>
        </w:rPr>
        <w:t>(Source: Student)</w:t>
      </w:r>
    </w:p>
    <w:p w14:paraId="42753834" w14:textId="6BDF6793" w:rsidR="002D3DCC" w:rsidRPr="002D3DCC" w:rsidRDefault="002D3DCC" w:rsidP="002D3DCC">
      <w:r w:rsidRPr="002D3DCC">
        <w:t>Financial literacy and financial behaviour have a strong interrelationship with personal financial management practices. Those who hold a strong financial knowledge can be predisposed to take informed decisions based on evidence regarding budgeting, saving, and financial planning (Katnic et al., 2024)</w:t>
      </w:r>
    </w:p>
    <w:p w14:paraId="5EA68201" w14:textId="6123D96B" w:rsidR="002D3DCC" w:rsidRPr="002D3DCC" w:rsidRDefault="002D3DCC" w:rsidP="002D3DCC">
      <w:r w:rsidRPr="002D3DCC">
        <w:t xml:space="preserve">Budgeting represents an essential part of personal financial management that allows tracking the inflows and outflows in a system and distributes the available resources in the most efficient way (Lulaj, 2024). The strictly drawn budget does not only help people to avoid unnecessary spending but also helps to lead a well-organised financial behaviour.  </w:t>
      </w:r>
    </w:p>
    <w:p w14:paraId="7FE34050" w14:textId="1CC5490F" w:rsidR="002D3DCC" w:rsidRPr="002D3DCC" w:rsidRDefault="002D3DCC" w:rsidP="002D3DCC">
      <w:r w:rsidRPr="002D3DCC">
        <w:t>The aspect of financial planning is a complementary concern that ensures that there is financial stability in the long term. It involves developing certain financial goals and coming up with measures to achieve the said goals with the use of investment, savings and allocation of resources. Proper implementation of financial planning can make them reduce the financial risk and optimise their future economic conditions (Paul et al., 2025).</w:t>
      </w:r>
    </w:p>
    <w:p w14:paraId="246E7ABF" w14:textId="77777777" w:rsidR="00345423" w:rsidRPr="00345423" w:rsidRDefault="00345423" w:rsidP="00345423"/>
    <w:p w14:paraId="0DCB6026" w14:textId="77777777" w:rsidR="00345423" w:rsidRPr="00345423" w:rsidRDefault="00345423" w:rsidP="00A612A7">
      <w:pPr>
        <w:pStyle w:val="Heading2"/>
      </w:pPr>
      <w:bookmarkStart w:id="2" w:name="_Toc224865840"/>
      <w:r w:rsidRPr="00345423">
        <w:t>1.2 Problem Statement / Research Gap</w:t>
      </w:r>
      <w:bookmarkEnd w:id="2"/>
    </w:p>
    <w:p w14:paraId="593C15BD" w14:textId="34AF4EF7" w:rsidR="00D74F67" w:rsidRDefault="00D74F67" w:rsidP="00D74F67">
      <w:r>
        <w:t>In recent years, the importance of personal financial management has grown due to rising living costs, economic fluctuations and the added financial responsibility that fall upon individuals (Katnic et al., 2024). Nevertheless, a significant percentage of people still experience an issue with the effective management of their personal finances. Erroneous financial decisions, poor budgeting, lack of saving and an unwillingness to create any systematic financial plans are often the cause of financial stress and years of financial instability. The monetary stress has an adverse effect on overall well-being, mental health and life satisfaction (Mamani-Benito et al., 2026).</w:t>
      </w:r>
    </w:p>
    <w:p w14:paraId="6B418CE8" w14:textId="06947600" w:rsidR="00D74F67" w:rsidRDefault="00300506" w:rsidP="00300506">
      <w:r>
        <w:t>Past studies have done a considerable analysis of financial literacy and its influence on financial health. The financial literacy helps to understand the financial concepts better and develop the ability of people to make informed choices related to their finances in a better way (Prakash et al., 2024). Nevertheless, financial knowledge does not always guarantee reducing to successful financial management practices. Financial literate people might also not act in realistic financial manners, such as budgeting, saving, and financial planning, in their daily financial practices (Prakash et al., 2024).</w:t>
      </w:r>
    </w:p>
    <w:p w14:paraId="2CC333BE" w14:textId="0A38DB11" w:rsidR="00D74F67" w:rsidRDefault="00300506" w:rsidP="00364F0C">
      <w:r w:rsidRPr="00300506">
        <w:t>Furthermore, current literature mostly addresses financial literacy and financial well-being on a macro-based, high-level, but little is investigated how individual specific patterns of financial management can bring about financial stability at an individual level (Katnic et al., 2024). Therefore, there is a research gap on how all these financial management practises contribute to personal financial stability.</w:t>
      </w:r>
    </w:p>
    <w:p w14:paraId="1CA28148" w14:textId="77777777" w:rsidR="00345423" w:rsidRPr="00345423" w:rsidRDefault="00345423" w:rsidP="00345423"/>
    <w:p w14:paraId="0DC4EB22" w14:textId="77777777" w:rsidR="00345423" w:rsidRPr="00345423" w:rsidRDefault="00345423" w:rsidP="00A612A7">
      <w:pPr>
        <w:pStyle w:val="Heading2"/>
      </w:pPr>
      <w:bookmarkStart w:id="3" w:name="_Toc224865841"/>
      <w:r w:rsidRPr="00345423">
        <w:t>1.3 Research Aim</w:t>
      </w:r>
      <w:bookmarkEnd w:id="3"/>
    </w:p>
    <w:p w14:paraId="02BF3B0C" w14:textId="30D34833" w:rsidR="00165CFE" w:rsidRPr="002D3DCC" w:rsidRDefault="00345423" w:rsidP="00345423">
      <w:r w:rsidRPr="00345423">
        <w:t xml:space="preserve">The aim of this study is to examine the importance of personal financial management by </w:t>
      </w:r>
      <w:r w:rsidR="00F15D20" w:rsidRPr="00345423">
        <w:t>analysing</w:t>
      </w:r>
      <w:r w:rsidRPr="00345423">
        <w:t xml:space="preserve"> the role of budgeting, savings, and financial planning in achieving financial stability.</w:t>
      </w:r>
    </w:p>
    <w:p w14:paraId="7D48EBC2" w14:textId="3EC913A7" w:rsidR="00165CFE" w:rsidRPr="002D3DCC" w:rsidRDefault="00165CFE" w:rsidP="00165CFE"/>
    <w:p w14:paraId="71897EB7" w14:textId="77777777" w:rsidR="00165CFE" w:rsidRPr="002D3DCC" w:rsidRDefault="00165CFE" w:rsidP="00A612A7">
      <w:pPr>
        <w:pStyle w:val="Heading2"/>
      </w:pPr>
      <w:bookmarkStart w:id="4" w:name="_Toc224865842"/>
      <w:r w:rsidRPr="002D3DCC">
        <w:t>1.4 Research Objectives</w:t>
      </w:r>
      <w:bookmarkEnd w:id="4"/>
    </w:p>
    <w:p w14:paraId="029867B0" w14:textId="77777777" w:rsidR="000F1521" w:rsidRPr="002D3DCC" w:rsidRDefault="000F1521" w:rsidP="000F1521">
      <w:r w:rsidRPr="002D3DCC">
        <w:t>1.</w:t>
      </w:r>
      <w:r w:rsidRPr="002D3DCC">
        <w:tab/>
        <w:t>To examine the importance of budgeting in managing personal finances.</w:t>
      </w:r>
    </w:p>
    <w:p w14:paraId="2BCE811D" w14:textId="3F7B9713" w:rsidR="000F1521" w:rsidRPr="002D3DCC" w:rsidRDefault="000F1521" w:rsidP="000F1521">
      <w:r w:rsidRPr="002D3DCC">
        <w:t>2.</w:t>
      </w:r>
      <w:r w:rsidRPr="002D3DCC">
        <w:tab/>
        <w:t xml:space="preserve">To </w:t>
      </w:r>
      <w:r w:rsidR="00A612A7" w:rsidRPr="002D3DCC">
        <w:t>analyse</w:t>
      </w:r>
      <w:r w:rsidRPr="002D3DCC">
        <w:t xml:space="preserve"> the role of savings in ensuring financial security.</w:t>
      </w:r>
    </w:p>
    <w:p w14:paraId="5F241A19" w14:textId="2C3BF587" w:rsidR="00165CFE" w:rsidRPr="002D3DCC" w:rsidRDefault="000F1521" w:rsidP="000F1521">
      <w:r w:rsidRPr="002D3DCC">
        <w:t>3.</w:t>
      </w:r>
      <w:r w:rsidRPr="002D3DCC">
        <w:tab/>
        <w:t>To identify the consequences of poor financial planning.</w:t>
      </w:r>
    </w:p>
    <w:p w14:paraId="13C41EF2" w14:textId="77777777" w:rsidR="000F1521" w:rsidRPr="002D3DCC" w:rsidRDefault="000F1521" w:rsidP="000F1521"/>
    <w:p w14:paraId="070A0B4D" w14:textId="3B16BA68" w:rsidR="00165CFE" w:rsidRPr="002D3DCC" w:rsidRDefault="00165CFE" w:rsidP="00A612A7">
      <w:pPr>
        <w:pStyle w:val="Heading2"/>
      </w:pPr>
      <w:bookmarkStart w:id="5" w:name="_Toc224865843"/>
      <w:r w:rsidRPr="002D3DCC">
        <w:t xml:space="preserve">1.5 Research </w:t>
      </w:r>
      <w:r w:rsidRPr="00A612A7">
        <w:t>Questions</w:t>
      </w:r>
      <w:bookmarkEnd w:id="5"/>
      <w:r w:rsidRPr="002D3DCC">
        <w:t xml:space="preserve"> </w:t>
      </w:r>
    </w:p>
    <w:p w14:paraId="61534D93" w14:textId="77777777" w:rsidR="000F1521" w:rsidRPr="002D3DCC" w:rsidRDefault="000F1521" w:rsidP="00770EBB">
      <w:pPr>
        <w:pStyle w:val="ListParagraph"/>
        <w:numPr>
          <w:ilvl w:val="0"/>
          <w:numId w:val="26"/>
        </w:numPr>
      </w:pPr>
      <w:r w:rsidRPr="002D3DCC">
        <w:t>Why is personal financial management important for individuals?</w:t>
      </w:r>
    </w:p>
    <w:p w14:paraId="53D3EC99" w14:textId="77777777" w:rsidR="000F1521" w:rsidRPr="002D3DCC" w:rsidRDefault="000F1521" w:rsidP="00770EBB">
      <w:pPr>
        <w:pStyle w:val="ListParagraph"/>
        <w:numPr>
          <w:ilvl w:val="0"/>
          <w:numId w:val="26"/>
        </w:numPr>
      </w:pPr>
      <w:r w:rsidRPr="002D3DCC">
        <w:t>What are the key components of personal financial management?</w:t>
      </w:r>
    </w:p>
    <w:p w14:paraId="0414B006" w14:textId="04288E84" w:rsidR="00165CFE" w:rsidRPr="002D3DCC" w:rsidRDefault="000F1521" w:rsidP="00770EBB">
      <w:pPr>
        <w:pStyle w:val="ListParagraph"/>
        <w:numPr>
          <w:ilvl w:val="0"/>
          <w:numId w:val="26"/>
        </w:numPr>
      </w:pPr>
      <w:r w:rsidRPr="002D3DCC">
        <w:t>How does budgeting contribute to effective personal financial management?</w:t>
      </w:r>
    </w:p>
    <w:p w14:paraId="6CF3B07D" w14:textId="77777777" w:rsidR="000F1521" w:rsidRPr="002D3DCC" w:rsidRDefault="000F1521" w:rsidP="000F1521"/>
    <w:p w14:paraId="28B19A24" w14:textId="77777777" w:rsidR="00165CFE" w:rsidRPr="002D3DCC" w:rsidRDefault="00165CFE" w:rsidP="00A612A7">
      <w:pPr>
        <w:pStyle w:val="Heading2"/>
      </w:pPr>
      <w:bookmarkStart w:id="6" w:name="_Toc224865844"/>
      <w:r w:rsidRPr="002D3DCC">
        <w:t xml:space="preserve">1.6 </w:t>
      </w:r>
      <w:r w:rsidRPr="00A612A7">
        <w:t>Significance</w:t>
      </w:r>
      <w:r w:rsidRPr="002D3DCC">
        <w:t xml:space="preserve"> of the Study</w:t>
      </w:r>
      <w:bookmarkEnd w:id="6"/>
    </w:p>
    <w:p w14:paraId="146E26F7" w14:textId="28783B76" w:rsidR="00F15D20" w:rsidRDefault="00F15D20" w:rsidP="00F15D20">
      <w:r>
        <w:t>Th</w:t>
      </w:r>
      <w:r w:rsidR="00B05AAE">
        <w:t xml:space="preserve">is research </w:t>
      </w:r>
      <w:r>
        <w:t>is important as it advances the understanding of fiscal administration practices like securing monetary dependability to individuals. By detailing the functions of budgeting, saving, and financial planning, the research provides empirical information about practice financial behaviours to strengthen financial well-being. Financial literacy, on its own, is not enough; people need to take accrued knowledge in integrated and experienced real-life financial decision-making processes (Lone et al., 2024).</w:t>
      </w:r>
    </w:p>
    <w:p w14:paraId="7AF3D19B" w14:textId="60D9879A" w:rsidR="00190E60" w:rsidRDefault="00F15D20" w:rsidP="00F15D20">
      <w:r>
        <w:t>The resultant findings may prove to be useful for guiding policies and financial educators and financial institutions, which are concerned with promoting responsible financial behaviour. Moreover, the study provides a better personal knowledge of the importance of good financial management practices to achieve long-term financial security (Tang, 2026).</w:t>
      </w:r>
    </w:p>
    <w:p w14:paraId="2C4E80FD" w14:textId="77777777" w:rsidR="00F15D20" w:rsidRPr="002D3DCC" w:rsidRDefault="00F15D20" w:rsidP="00F15D20"/>
    <w:p w14:paraId="5AE144F4" w14:textId="77777777" w:rsidR="00165CFE" w:rsidRPr="002D3DCC" w:rsidRDefault="00165CFE" w:rsidP="00221B96">
      <w:pPr>
        <w:pStyle w:val="Heading1"/>
      </w:pPr>
      <w:bookmarkStart w:id="7" w:name="_Toc224865845"/>
      <w:r w:rsidRPr="002D3DCC">
        <w:t>2. Literature Review</w:t>
      </w:r>
      <w:bookmarkEnd w:id="7"/>
    </w:p>
    <w:p w14:paraId="593DC7C5" w14:textId="77777777" w:rsidR="00BA446D" w:rsidRPr="00BA446D" w:rsidRDefault="00BA446D" w:rsidP="00A612A7">
      <w:pPr>
        <w:pStyle w:val="Heading2"/>
      </w:pPr>
      <w:bookmarkStart w:id="8" w:name="_Toc224865846"/>
      <w:r w:rsidRPr="00BA446D">
        <w:t>2.1 Personal Financial Management</w:t>
      </w:r>
      <w:bookmarkEnd w:id="8"/>
    </w:p>
    <w:p w14:paraId="294F1FFD" w14:textId="6B5D6A62" w:rsidR="00B05AAE" w:rsidRDefault="00B05AAE" w:rsidP="00B05AAE">
      <w:r>
        <w:t>Personal financial management refers to a methodical budgeting and tracking of financial funds with an aim of achieving personal financial goals. This process involves the management of income, expenditure, savings, investments as well as financial risks. Effective financial management helps in promoting financial stability and the reduction of financial stress (Shi et al., 2025).</w:t>
      </w:r>
    </w:p>
    <w:p w14:paraId="4BC93724" w14:textId="140784E9" w:rsidR="00BA446D" w:rsidRDefault="00B05AAE" w:rsidP="00B05AAE">
      <w:r>
        <w:t>Much evidence has been gathered, and it is not known that financial literacy is highly regarded as one of the key determinants of personal finances. People with a higher level of financial literacy have always been characterized by a better tendency to show good financial behaviour to others like saving well, spending reasonably, and making wise investments (Choowan et al., 2025). Additionally, there is empirical evidence that financial literacy positively influences financial self-efficacy and, thus, has a beneficial effect on the general state of finances (Lone et al., 2024).</w:t>
      </w:r>
    </w:p>
    <w:p w14:paraId="3FC41D4B" w14:textId="77777777" w:rsidR="00B05AAE" w:rsidRPr="00BA446D" w:rsidRDefault="00B05AAE" w:rsidP="00B05AAE"/>
    <w:p w14:paraId="66E2BCFE" w14:textId="77777777" w:rsidR="00BA446D" w:rsidRPr="00BA446D" w:rsidRDefault="00BA446D" w:rsidP="00A612A7">
      <w:pPr>
        <w:pStyle w:val="Heading2"/>
      </w:pPr>
      <w:bookmarkStart w:id="9" w:name="_Toc224865847"/>
      <w:r w:rsidRPr="00BA446D">
        <w:t>2.2 The Role of Budgeting in Achieving Financial Stability</w:t>
      </w:r>
      <w:bookmarkEnd w:id="9"/>
    </w:p>
    <w:p w14:paraId="00DDB182" w14:textId="5A4F07D2" w:rsidR="00BA446D" w:rsidRPr="00BA446D" w:rsidRDefault="004A5B00" w:rsidP="00BA446D">
      <w:r>
        <w:t xml:space="preserve">Budgeting is one of the basic financial management practices that helps individuals to exercise effective control over their financial resources. A budget provides a structured planning plan that defines the sources of income and expenditure patterns, hence helping people to maintain financial discipline and prevent unnecessary spending (Lulaj, 2024). Through budgeting individuals can allocate financial resources efficiently to important expenditures, such as housing, education, healthcare, etc. and at the same time allocate money towards savings and investments </w:t>
      </w:r>
      <w:r w:rsidR="00BA446D" w:rsidRPr="00BA446D">
        <w:t xml:space="preserve">(Prakash </w:t>
      </w:r>
      <w:r w:rsidR="00BA446D" w:rsidRPr="002D3DCC">
        <w:t>et al.</w:t>
      </w:r>
      <w:r w:rsidR="00BA446D" w:rsidRPr="00BA446D">
        <w:t>, 2024).</w:t>
      </w:r>
    </w:p>
    <w:p w14:paraId="275532AD" w14:textId="77777777" w:rsidR="00BA446D" w:rsidRPr="00BA446D" w:rsidRDefault="00BA446D" w:rsidP="00BA446D"/>
    <w:p w14:paraId="22D177F1" w14:textId="77777777" w:rsidR="00BA446D" w:rsidRPr="00BA446D" w:rsidRDefault="00BA446D" w:rsidP="00A612A7">
      <w:pPr>
        <w:pStyle w:val="Heading2"/>
      </w:pPr>
      <w:bookmarkStart w:id="10" w:name="_Toc224865848"/>
      <w:r w:rsidRPr="00BA446D">
        <w:lastRenderedPageBreak/>
        <w:t>2.3 Personal Savings in Achieving Financial Stability</w:t>
      </w:r>
      <w:bookmarkEnd w:id="10"/>
    </w:p>
    <w:p w14:paraId="73117AC9" w14:textId="0A9181DF" w:rsidR="00BA446D" w:rsidRDefault="0055413B" w:rsidP="0055413B">
      <w:r>
        <w:t>Savings are a key aspect of individual level financial planning, which provides one with financial backup during unplanned financial risks in the economy. Those people who consistently practice saving will tend to be well equipped to face any financial crisis like loss of jobs, health spending or economic slowdowns (Rupa et al., 2025). According to the empirical evidence, the savings behaviour is shown to be highly affected by the presence of financial literacy and the use of financial information. Individuals who possess all the necessary financial literacy and have access to relevant and timely financial information are better equipped to participate in systematic savings habits (Kuutol et al., 2024).</w:t>
      </w:r>
    </w:p>
    <w:p w14:paraId="4EBE3795" w14:textId="77777777" w:rsidR="0055413B" w:rsidRPr="00BA446D" w:rsidRDefault="0055413B" w:rsidP="0055413B"/>
    <w:p w14:paraId="5D973A5B" w14:textId="77777777" w:rsidR="00BA446D" w:rsidRPr="00BA446D" w:rsidRDefault="00BA446D" w:rsidP="00A612A7">
      <w:pPr>
        <w:pStyle w:val="Heading2"/>
      </w:pPr>
      <w:bookmarkStart w:id="11" w:name="_Toc224865849"/>
      <w:r w:rsidRPr="00BA446D">
        <w:t>2.4 Financial Planning in Achieving Financial Stability</w:t>
      </w:r>
      <w:bookmarkEnd w:id="11"/>
    </w:p>
    <w:p w14:paraId="303BBD89" w14:textId="77777777" w:rsidR="002E2450" w:rsidRDefault="002E2450" w:rsidP="002E2450">
      <w:r>
        <w:t>Financial planning involves planning systematic monetary goals and coherent strategies to achieve those monetary goals by the proper allocation of resources. This discipline involves investment planning, retirement planning, debt management, and risk management (Paul et al., 2025).</w:t>
      </w:r>
    </w:p>
    <w:p w14:paraId="6357DFAB" w14:textId="19FF93C3" w:rsidR="002E2450" w:rsidRDefault="002E2450" w:rsidP="002E2450">
      <w:r>
        <w:t>Effective financial planning helps individuals to plan for future monetary needs and helps their long-term financial security. Those who actively participate in such planning are more likely to develop beneficial financial practices and to have better financial well-being levels overall (Zhuang et al 2025).</w:t>
      </w:r>
    </w:p>
    <w:p w14:paraId="6A636525" w14:textId="1D80D859" w:rsidR="00BA446D" w:rsidRDefault="002E2450" w:rsidP="002E2450">
      <w:r>
        <w:t>Moreover, financial planning coordinates the individual financial decisions with the consideration of long-term aims. The explicit financial goals articulation fosters the notion of disciplined financial behaviour and acts as a catalyst that drives individuals towards attaining continued saving and budgeting practices (Ouyang et al., 2025).</w:t>
      </w:r>
    </w:p>
    <w:p w14:paraId="28DA1A0C" w14:textId="77777777" w:rsidR="002E2450" w:rsidRPr="00BA446D" w:rsidRDefault="002E2450" w:rsidP="002E2450"/>
    <w:p w14:paraId="0EE64A5B" w14:textId="77777777" w:rsidR="00BA446D" w:rsidRPr="00BA446D" w:rsidRDefault="00BA446D" w:rsidP="00A612A7">
      <w:pPr>
        <w:pStyle w:val="Heading2"/>
      </w:pPr>
      <w:bookmarkStart w:id="12" w:name="_Toc224865850"/>
      <w:r w:rsidRPr="00BA446D">
        <w:t>2.5 Research Gap</w:t>
      </w:r>
      <w:bookmarkEnd w:id="12"/>
    </w:p>
    <w:p w14:paraId="2D4450FD" w14:textId="653A109F" w:rsidR="0052632A" w:rsidRDefault="002E2450" w:rsidP="00BA446D">
      <w:r w:rsidRPr="002E2450">
        <w:t xml:space="preserve">Despite carrying out antecedent studies that have explored the concept of financial literacy and financial well-being, there are few empirical studies that question explicitly </w:t>
      </w:r>
      <w:r w:rsidRPr="002E2450">
        <w:lastRenderedPageBreak/>
        <w:t>and explicitly investigate the synergies between budgeting, savings, and financial planning and individual financial stability. There has been a substantial amount of research that predicts financial literacy; however, most of it fails to critically examine doable financial behaviours that form the basis of successful personal financial management (Prakash et al., 2024).</w:t>
      </w:r>
    </w:p>
    <w:p w14:paraId="368A7511" w14:textId="77777777" w:rsidR="002E2450" w:rsidRPr="002D3DCC" w:rsidRDefault="002E2450" w:rsidP="00BA446D"/>
    <w:p w14:paraId="03D73A32" w14:textId="5D479AA4" w:rsidR="00B01B7E" w:rsidRPr="002D3DCC" w:rsidRDefault="00B01B7E" w:rsidP="00A612A7">
      <w:pPr>
        <w:pStyle w:val="Heading2"/>
      </w:pPr>
      <w:bookmarkStart w:id="13" w:name="_Toc224865851"/>
      <w:r w:rsidRPr="002D3DCC">
        <w:t>2.</w:t>
      </w:r>
      <w:r w:rsidR="005B1279" w:rsidRPr="002D3DCC">
        <w:t>6</w:t>
      </w:r>
      <w:r w:rsidRPr="002D3DCC">
        <w:t xml:space="preserve"> Conceptual </w:t>
      </w:r>
      <w:r w:rsidRPr="00A612A7">
        <w:t>Framework</w:t>
      </w:r>
      <w:bookmarkEnd w:id="13"/>
    </w:p>
    <w:p w14:paraId="50B9597F" w14:textId="77777777" w:rsidR="007F145A" w:rsidRPr="007F145A" w:rsidRDefault="007F145A" w:rsidP="007F145A">
      <w:r w:rsidRPr="007F145A">
        <w:rPr>
          <w:noProof/>
        </w:rPr>
        <mc:AlternateContent>
          <mc:Choice Requires="wps">
            <w:drawing>
              <wp:anchor distT="0" distB="0" distL="114300" distR="114300" simplePos="0" relativeHeight="251660288" behindDoc="0" locked="0" layoutInCell="1" allowOverlap="1" wp14:anchorId="68200A3A" wp14:editId="30353AC6">
                <wp:simplePos x="0" y="0"/>
                <wp:positionH relativeFrom="margin">
                  <wp:posOffset>3825240</wp:posOffset>
                </wp:positionH>
                <wp:positionV relativeFrom="paragraph">
                  <wp:posOffset>41910</wp:posOffset>
                </wp:positionV>
                <wp:extent cx="2415540" cy="693420"/>
                <wp:effectExtent l="0" t="0" r="22860" b="11430"/>
                <wp:wrapNone/>
                <wp:docPr id="200402398" name="Rectangle 14"/>
                <wp:cNvGraphicFramePr/>
                <a:graphic xmlns:a="http://schemas.openxmlformats.org/drawingml/2006/main">
                  <a:graphicData uri="http://schemas.microsoft.com/office/word/2010/wordprocessingShape">
                    <wps:wsp>
                      <wps:cNvSpPr/>
                      <wps:spPr>
                        <a:xfrm>
                          <a:off x="0" y="0"/>
                          <a:ext cx="2415540" cy="69342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7ADF4760" w14:textId="77777777" w:rsidR="007F145A" w:rsidRPr="002D3DCC" w:rsidRDefault="007F145A" w:rsidP="007F145A">
                            <w:pPr>
                              <w:jc w:val="center"/>
                            </w:pPr>
                            <w:r w:rsidRPr="002D3DCC">
                              <w:t>Dependent variable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8200A3A" id="Rectangle 14" o:spid="_x0000_s1026" style="position:absolute;left:0;text-align:left;margin-left:301.2pt;margin-top:3.3pt;width:190.2pt;height:54.6pt;z-index:25166028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" fillcolor="window" strokecolor="windowText" strokeweight="1pt">
                <v:textbox>
                  <w:txbxContent>
                    <w:p w14:paraId="7ADF4760" w14:textId="77777777" w:rsidR="007F145A" w:rsidRPr="002D3DCC" w:rsidRDefault="007F145A" w:rsidP="007F145A">
                      <w:pPr>
                        <w:jc w:val="center"/>
                      </w:pPr>
                      <w:r w:rsidRPr="002D3DCC">
                        <w:t>Dependent variable</w:t>
                      </w:r>
                    </w:p>
                  </w:txbxContent>
                </v:textbox>
                <w10:wrap anchorx="margin"/>
              </v:rect>
            </w:pict>
          </mc:Fallback>
        </mc:AlternateContent>
      </w:r>
      <w:r w:rsidRPr="007F145A">
        <w:rPr>
          <w:noProof/>
        </w:rPr>
        <mc:AlternateContent>
          <mc:Choice Requires="wps">
            <w:drawing>
              <wp:anchor distT="0" distB="0" distL="114300" distR="114300" simplePos="0" relativeHeight="251659264" behindDoc="0" locked="0" layoutInCell="1" allowOverlap="1" wp14:anchorId="051C8065" wp14:editId="31765A97">
                <wp:simplePos x="0" y="0"/>
                <wp:positionH relativeFrom="column">
                  <wp:posOffset>22860</wp:posOffset>
                </wp:positionH>
                <wp:positionV relativeFrom="paragraph">
                  <wp:posOffset>64770</wp:posOffset>
                </wp:positionV>
                <wp:extent cx="2468880" cy="693420"/>
                <wp:effectExtent l="0" t="0" r="26670" b="11430"/>
                <wp:wrapNone/>
                <wp:docPr id="1142245511" name="Rectangle 14"/>
                <wp:cNvGraphicFramePr/>
                <a:graphic xmlns:a="http://schemas.openxmlformats.org/drawingml/2006/main">
                  <a:graphicData uri="http://schemas.microsoft.com/office/word/2010/wordprocessingShape">
                    <wps:wsp>
                      <wps:cNvSpPr/>
                      <wps:spPr>
                        <a:xfrm>
                          <a:off x="0" y="0"/>
                          <a:ext cx="2468880" cy="69342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4FC1B7C0" w14:textId="46FFE02D" w:rsidR="007F145A" w:rsidRPr="002D3DCC" w:rsidRDefault="007F145A" w:rsidP="007F145A">
                            <w:pPr>
                              <w:jc w:val="center"/>
                            </w:pPr>
                            <w:r w:rsidRPr="002D3DCC">
                              <w:t>Independent variables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51C8065" id="_x0000_s1027" style="position:absolute;left:0;text-align:left;margin-left:1.8pt;margin-top:5.1pt;width:194.4pt;height:54.6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" fillcolor="window" strokecolor="windowText" strokeweight="1pt">
                <v:textbox>
                  <w:txbxContent>
                    <w:p w14:paraId="4FC1B7C0" w14:textId="46FFE02D" w:rsidR="007F145A" w:rsidRPr="002D3DCC" w:rsidRDefault="007F145A" w:rsidP="007F145A">
                      <w:pPr>
                        <w:jc w:val="center"/>
                      </w:pPr>
                      <w:r w:rsidRPr="002D3DCC">
                        <w:t>Independent variable</w:t>
                      </w:r>
                      <w:r w:rsidRPr="002D3DCC">
                        <w:t>s</w:t>
                      </w:r>
                    </w:p>
                  </w:txbxContent>
                </v:textbox>
              </v:rect>
            </w:pict>
          </mc:Fallback>
        </mc:AlternateContent>
      </w:r>
    </w:p>
    <w:p w14:paraId="71AB3DF1" w14:textId="77777777" w:rsidR="007F145A" w:rsidRPr="007F145A" w:rsidRDefault="007F145A" w:rsidP="007F145A"/>
    <w:p w14:paraId="51743A77" w14:textId="77777777" w:rsidR="007F145A" w:rsidRPr="007F145A" w:rsidRDefault="007F145A" w:rsidP="007F145A">
      <w:r w:rsidRPr="007F145A">
        <w:rPr>
          <w:noProof/>
        </w:rPr>
        <mc:AlternateContent>
          <mc:Choice Requires="wps">
            <w:drawing>
              <wp:anchor distT="0" distB="0" distL="114300" distR="114300" simplePos="0" relativeHeight="251661312" behindDoc="0" locked="0" layoutInCell="1" allowOverlap="1" wp14:anchorId="247E19AA" wp14:editId="14AB5B30">
                <wp:simplePos x="0" y="0"/>
                <wp:positionH relativeFrom="margin">
                  <wp:posOffset>198120</wp:posOffset>
                </wp:positionH>
                <wp:positionV relativeFrom="paragraph">
                  <wp:posOffset>204470</wp:posOffset>
                </wp:positionV>
                <wp:extent cx="2110740" cy="693420"/>
                <wp:effectExtent l="0" t="0" r="22860" b="11430"/>
                <wp:wrapNone/>
                <wp:docPr id="1620467633" name="Rectangle 14"/>
                <wp:cNvGraphicFramePr/>
                <a:graphic xmlns:a="http://schemas.openxmlformats.org/drawingml/2006/main">
                  <a:graphicData uri="http://schemas.microsoft.com/office/word/2010/wordprocessingShape">
                    <wps:wsp>
                      <wps:cNvSpPr/>
                      <wps:spPr>
                        <a:xfrm>
                          <a:off x="0" y="0"/>
                          <a:ext cx="2110740" cy="69342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55E723CF" w14:textId="23716C1C" w:rsidR="007F145A" w:rsidRPr="002D3DCC" w:rsidRDefault="007F145A" w:rsidP="007F145A">
                            <w:pPr>
                              <w:jc w:val="center"/>
                            </w:pPr>
                            <w:r w:rsidRPr="002D3DCC">
                              <w:t>Budgeting in Achieving Financial Stability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47E19AA" id="_x0000_s1028" style="position:absolute;left:0;text-align:left;margin-left:15.6pt;margin-top:16.1pt;width:166.2pt;height:54.6pt;z-index:25166131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" fillcolor="window" strokecolor="windowText" strokeweight="1pt">
                <v:textbox>
                  <w:txbxContent>
                    <w:p w14:paraId="55E723CF" w14:textId="23716C1C" w:rsidR="007F145A" w:rsidRPr="002D3DCC" w:rsidRDefault="007F145A" w:rsidP="007F145A">
                      <w:pPr>
                        <w:jc w:val="center"/>
                      </w:pPr>
                      <w:r w:rsidRPr="002D3DCC">
                        <w:t>Budgeting in Achieving Financial Stability</w:t>
                      </w:r>
                    </w:p>
                  </w:txbxContent>
                </v:textbox>
                <w10:wrap anchorx="margin"/>
              </v:rect>
            </w:pict>
          </mc:Fallback>
        </mc:AlternateContent>
      </w:r>
    </w:p>
    <w:p w14:paraId="72F3C111" w14:textId="77777777" w:rsidR="007F145A" w:rsidRPr="007F145A" w:rsidRDefault="007F145A" w:rsidP="007F145A">
      <w:r w:rsidRPr="007F145A">
        <w:rPr>
          <w:noProof/>
        </w:rPr>
        <mc:AlternateContent>
          <mc:Choice Requires="wps">
            <w:drawing>
              <wp:anchor distT="0" distB="0" distL="114300" distR="114300" simplePos="0" relativeHeight="251666432" behindDoc="0" locked="0" layoutInCell="1" allowOverlap="1" wp14:anchorId="0CD5FE68" wp14:editId="19BAB4C7">
                <wp:simplePos x="0" y="0"/>
                <wp:positionH relativeFrom="column">
                  <wp:posOffset>2278380</wp:posOffset>
                </wp:positionH>
                <wp:positionV relativeFrom="paragraph">
                  <wp:posOffset>74930</wp:posOffset>
                </wp:positionV>
                <wp:extent cx="1950720" cy="731520"/>
                <wp:effectExtent l="0" t="0" r="68580" b="68580"/>
                <wp:wrapNone/>
                <wp:docPr id="1774416558" name="Straight Arrow Connector 15"/>
                <wp:cNvGraphicFramePr/>
                <a:graphic xmlns:a="http://schemas.openxmlformats.org/drawingml/2006/main">
                  <a:graphicData uri="http://schemas.microsoft.com/office/word/2010/wordprocessingShape">
                    <wps:wsp>
                      <wps:cNvCnPr/>
                      <wps:spPr>
                        <a:xfrm>
                          <a:off x="0" y="0"/>
                          <a:ext cx="1950720" cy="731520"/>
                        </a:xfrm>
                        <a:prstGeom prst="straightConnector1">
                          <a:avLst/>
                        </a:prstGeom>
                        <a:noFill/>
                        <a:ln w="190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5DEA579F" id="_x0000_t32" coordsize="21600,21600" o:spt="32" o:oned="t" path="m,l21600,21600e" filled="f">
                <v:path arrowok="t" fillok="f" o:connecttype="none"/>
                <o:lock v:ext="edit" shapetype="t"/>
              </v:shapetype>
              <v:shape id="Straight Arrow Connector 15" o:spid="_x0000_s1026" type="#_x0000_t32" style="position:absolute;margin-left:179.4pt;margin-top:5.9pt;width:153.6pt;height:57.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" strokecolor="windowText" strokeweight="1.5pt">
                <v:stroke endarrow="block" joinstyle="miter"/>
              </v:shape>
            </w:pict>
          </mc:Fallback>
        </mc:AlternateContent>
      </w:r>
    </w:p>
    <w:p w14:paraId="0C42A137" w14:textId="62E0A708" w:rsidR="007F145A" w:rsidRPr="007F145A" w:rsidRDefault="007F145A" w:rsidP="007F145A">
      <w:r w:rsidRPr="007F145A">
        <w:rPr>
          <w:noProof/>
        </w:rPr>
        <mc:AlternateContent>
          <mc:Choice Requires="wps">
            <w:drawing>
              <wp:anchor distT="0" distB="0" distL="114300" distR="114300" simplePos="0" relativeHeight="251665408" behindDoc="0" locked="0" layoutInCell="1" allowOverlap="1" wp14:anchorId="42D10FB9" wp14:editId="1F729D42">
                <wp:simplePos x="0" y="0"/>
                <wp:positionH relativeFrom="margin">
                  <wp:posOffset>4251960</wp:posOffset>
                </wp:positionH>
                <wp:positionV relativeFrom="paragraph">
                  <wp:posOffset>146050</wp:posOffset>
                </wp:positionV>
                <wp:extent cx="1783080" cy="1211580"/>
                <wp:effectExtent l="0" t="0" r="26670" b="26670"/>
                <wp:wrapNone/>
                <wp:docPr id="1190950160" name="Rectangle 14"/>
                <wp:cNvGraphicFramePr/>
                <a:graphic xmlns:a="http://schemas.openxmlformats.org/drawingml/2006/main">
                  <a:graphicData uri="http://schemas.microsoft.com/office/word/2010/wordprocessingShape">
                    <wps:wsp>
                      <wps:cNvSpPr/>
                      <wps:spPr>
                        <a:xfrm>
                          <a:off x="0" y="0"/>
                          <a:ext cx="1783080" cy="121158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32649621" w14:textId="341DCEE0" w:rsidR="007F145A" w:rsidRPr="002D3DCC" w:rsidRDefault="007F145A" w:rsidP="007F145A">
                            <w:pPr>
                              <w:jc w:val="center"/>
                            </w:pPr>
                            <w:r w:rsidRPr="002D3DCC">
                              <w:t>Personal Financial Management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D10FB9" id="_x0000_s1029" style="position:absolute;left:0;text-align:left;margin-left:334.8pt;margin-top:11.5pt;width:140.4pt;height:95.4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" fillcolor="window" strokecolor="windowText" strokeweight="1pt">
                <v:textbox>
                  <w:txbxContent>
                    <w:p w14:paraId="32649621" w14:textId="341DCEE0" w:rsidR="007F145A" w:rsidRPr="002D3DCC" w:rsidRDefault="007F145A" w:rsidP="007F145A">
                      <w:pPr>
                        <w:jc w:val="center"/>
                      </w:pPr>
                      <w:r w:rsidRPr="002D3DCC">
                        <w:t>Personal Financial Management</w:t>
                      </w:r>
                    </w:p>
                  </w:txbxContent>
                </v:textbox>
                <w10:wrap anchorx="margin"/>
              </v:rect>
            </w:pict>
          </mc:Fallback>
        </mc:AlternateContent>
      </w:r>
    </w:p>
    <w:p w14:paraId="732F6E27" w14:textId="01E5AB13" w:rsidR="007F145A" w:rsidRPr="007F145A" w:rsidRDefault="007F145A" w:rsidP="007F145A">
      <w:r w:rsidRPr="007F145A">
        <w:rPr>
          <w:noProof/>
        </w:rPr>
        <mc:AlternateContent>
          <mc:Choice Requires="wps">
            <w:drawing>
              <wp:anchor distT="0" distB="0" distL="114300" distR="114300" simplePos="0" relativeHeight="251668480" behindDoc="0" locked="0" layoutInCell="1" allowOverlap="1" wp14:anchorId="3AFCBA4B" wp14:editId="7D0CB611">
                <wp:simplePos x="0" y="0"/>
                <wp:positionH relativeFrom="column">
                  <wp:posOffset>2301240</wp:posOffset>
                </wp:positionH>
                <wp:positionV relativeFrom="paragraph">
                  <wp:posOffset>267970</wp:posOffset>
                </wp:positionV>
                <wp:extent cx="1882140" cy="53340"/>
                <wp:effectExtent l="0" t="19050" r="99060" b="99060"/>
                <wp:wrapNone/>
                <wp:docPr id="1912888487" name="Straight Arrow Connector 17"/>
                <wp:cNvGraphicFramePr/>
                <a:graphic xmlns:a="http://schemas.openxmlformats.org/drawingml/2006/main">
                  <a:graphicData uri="http://schemas.microsoft.com/office/word/2010/wordprocessingShape">
                    <wps:wsp>
                      <wps:cNvCnPr/>
                      <wps:spPr>
                        <a:xfrm>
                          <a:off x="0" y="0"/>
                          <a:ext cx="1882140" cy="53340"/>
                        </a:xfrm>
                        <a:prstGeom prst="straightConnector1">
                          <a:avLst/>
                        </a:prstGeom>
                        <a:noFill/>
                        <a:ln w="190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F9C22DE" id="Straight Arrow Connector 17" o:spid="_x0000_s1026" type="#_x0000_t32" style="position:absolute;margin-left:181.2pt;margin-top:21.1pt;width:148.2pt;height:4.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" strokecolor="windowText" strokeweight="1.5pt">
                <v:stroke endarrow="block" joinstyle="miter"/>
              </v:shape>
            </w:pict>
          </mc:Fallback>
        </mc:AlternateContent>
      </w:r>
      <w:r w:rsidRPr="007F145A">
        <w:rPr>
          <w:noProof/>
        </w:rPr>
        <mc:AlternateContent>
          <mc:Choice Requires="wps">
            <w:drawing>
              <wp:anchor distT="0" distB="0" distL="114300" distR="114300" simplePos="0" relativeHeight="251662336" behindDoc="0" locked="0" layoutInCell="1" allowOverlap="1" wp14:anchorId="32595E66" wp14:editId="2DFF182B">
                <wp:simplePos x="0" y="0"/>
                <wp:positionH relativeFrom="margin">
                  <wp:posOffset>205740</wp:posOffset>
                </wp:positionH>
                <wp:positionV relativeFrom="paragraph">
                  <wp:posOffset>13335</wp:posOffset>
                </wp:positionV>
                <wp:extent cx="2110740" cy="693420"/>
                <wp:effectExtent l="0" t="0" r="22860" b="11430"/>
                <wp:wrapNone/>
                <wp:docPr id="1697499753" name="Rectangle 14"/>
                <wp:cNvGraphicFramePr/>
                <a:graphic xmlns:a="http://schemas.openxmlformats.org/drawingml/2006/main">
                  <a:graphicData uri="http://schemas.microsoft.com/office/word/2010/wordprocessingShape">
                    <wps:wsp>
                      <wps:cNvSpPr/>
                      <wps:spPr>
                        <a:xfrm>
                          <a:off x="0" y="0"/>
                          <a:ext cx="2110740" cy="69342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3052FBDA" w14:textId="1BDA0D80" w:rsidR="007F145A" w:rsidRPr="002D3DCC" w:rsidRDefault="007F145A" w:rsidP="007F145A">
                            <w:pPr>
                              <w:jc w:val="center"/>
                            </w:pPr>
                            <w:r w:rsidRPr="002D3DCC">
                              <w:t>Personal Savings in Achieving Financial Stability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2595E66" id="_x0000_s1030" style="position:absolute;left:0;text-align:left;margin-left:16.2pt;margin-top:1.05pt;width:166.2pt;height:54.6pt;z-index:25166233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" fillcolor="window" strokecolor="windowText" strokeweight="1pt">
                <v:textbox>
                  <w:txbxContent>
                    <w:p w14:paraId="3052FBDA" w14:textId="1BDA0D80" w:rsidR="007F145A" w:rsidRPr="002D3DCC" w:rsidRDefault="007F145A" w:rsidP="007F145A">
                      <w:pPr>
                        <w:jc w:val="center"/>
                      </w:pPr>
                      <w:r w:rsidRPr="002D3DCC">
                        <w:t>Personal Savings in Achieving Financial Stability</w:t>
                      </w:r>
                    </w:p>
                  </w:txbxContent>
                </v:textbox>
                <w10:wrap anchorx="margin"/>
              </v:rect>
            </w:pict>
          </mc:Fallback>
        </mc:AlternateContent>
      </w:r>
    </w:p>
    <w:p w14:paraId="7DA1D0B1" w14:textId="2C4633D4" w:rsidR="007F145A" w:rsidRPr="007F145A" w:rsidRDefault="0062713C" w:rsidP="007F145A">
      <w:r w:rsidRPr="007F145A">
        <w:rPr>
          <w:noProof/>
        </w:rPr>
        <mc:AlternateContent>
          <mc:Choice Requires="wps">
            <w:drawing>
              <wp:anchor distT="0" distB="0" distL="114300" distR="114300" simplePos="0" relativeHeight="251669504" behindDoc="0" locked="0" layoutInCell="1" allowOverlap="1" wp14:anchorId="7B8E4648" wp14:editId="4A23CFD6">
                <wp:simplePos x="0" y="0"/>
                <wp:positionH relativeFrom="column">
                  <wp:posOffset>2354580</wp:posOffset>
                </wp:positionH>
                <wp:positionV relativeFrom="paragraph">
                  <wp:posOffset>246380</wp:posOffset>
                </wp:positionV>
                <wp:extent cx="1905000" cy="651510"/>
                <wp:effectExtent l="0" t="38100" r="57150" b="34290"/>
                <wp:wrapNone/>
                <wp:docPr id="1443942436" name="Straight Arrow Connector 18"/>
                <wp:cNvGraphicFramePr/>
                <a:graphic xmlns:a="http://schemas.openxmlformats.org/drawingml/2006/main">
                  <a:graphicData uri="http://schemas.microsoft.com/office/word/2010/wordprocessingShape">
                    <wps:wsp>
                      <wps:cNvCnPr/>
                      <wps:spPr>
                        <a:xfrm flipV="1">
                          <a:off x="0" y="0"/>
                          <a:ext cx="1905000" cy="651510"/>
                        </a:xfrm>
                        <a:prstGeom prst="straightConnector1">
                          <a:avLst/>
                        </a:prstGeom>
                        <a:noFill/>
                        <a:ln w="190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6C2F68B" id="Straight Arrow Connector 18" o:spid="_x0000_s1026" type="#_x0000_t32" style="position:absolute;margin-left:185.4pt;margin-top:19.4pt;width:150pt;height:51.3pt;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" strokecolor="windowText" strokeweight="1.5pt">
                <v:stroke endarrow="block" joinstyle="miter"/>
              </v:shape>
            </w:pict>
          </mc:Fallback>
        </mc:AlternateContent>
      </w:r>
    </w:p>
    <w:p w14:paraId="43D00053" w14:textId="18987827" w:rsidR="007F145A" w:rsidRPr="007F145A" w:rsidRDefault="007F145A" w:rsidP="007F145A">
      <w:r w:rsidRPr="007F145A">
        <w:rPr>
          <w:noProof/>
        </w:rPr>
        <mc:AlternateContent>
          <mc:Choice Requires="wps">
            <w:drawing>
              <wp:anchor distT="0" distB="0" distL="114300" distR="114300" simplePos="0" relativeHeight="251663360" behindDoc="0" locked="0" layoutInCell="1" allowOverlap="1" wp14:anchorId="6D2123E3" wp14:editId="1DDF9DEB">
                <wp:simplePos x="0" y="0"/>
                <wp:positionH relativeFrom="margin">
                  <wp:posOffset>213360</wp:posOffset>
                </wp:positionH>
                <wp:positionV relativeFrom="paragraph">
                  <wp:posOffset>165735</wp:posOffset>
                </wp:positionV>
                <wp:extent cx="2110740" cy="693420"/>
                <wp:effectExtent l="0" t="0" r="22860" b="11430"/>
                <wp:wrapNone/>
                <wp:docPr id="584217423" name="Rectangle 14"/>
                <wp:cNvGraphicFramePr/>
                <a:graphic xmlns:a="http://schemas.openxmlformats.org/drawingml/2006/main">
                  <a:graphicData uri="http://schemas.microsoft.com/office/word/2010/wordprocessingShape">
                    <wps:wsp>
                      <wps:cNvSpPr/>
                      <wps:spPr>
                        <a:xfrm>
                          <a:off x="0" y="0"/>
                          <a:ext cx="2110740" cy="69342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4FD6BA35" w14:textId="7A50AE05" w:rsidR="007F145A" w:rsidRPr="002D3DCC" w:rsidRDefault="007F145A" w:rsidP="007F145A">
                            <w:pPr>
                              <w:jc w:val="center"/>
                            </w:pPr>
                            <w:r w:rsidRPr="002D3DCC">
                              <w:t>Financial Planning in Achieving Financial Stability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D2123E3" id="_x0000_s1031" style="position:absolute;left:0;text-align:left;margin-left:16.8pt;margin-top:13.05pt;width:166.2pt;height:54.6pt;z-index:25166336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" fillcolor="window" strokecolor="windowText" strokeweight="1pt">
                <v:textbox>
                  <w:txbxContent>
                    <w:p w14:paraId="4FD6BA35" w14:textId="7A50AE05" w:rsidR="007F145A" w:rsidRPr="002D3DCC" w:rsidRDefault="007F145A" w:rsidP="007F145A">
                      <w:pPr>
                        <w:jc w:val="center"/>
                      </w:pPr>
                      <w:r w:rsidRPr="002D3DCC">
                        <w:t>Financial Planning in Achieving Financial Stability</w:t>
                      </w:r>
                    </w:p>
                  </w:txbxContent>
                </v:textbox>
                <w10:wrap anchorx="margin"/>
              </v:rect>
            </w:pict>
          </mc:Fallback>
        </mc:AlternateContent>
      </w:r>
    </w:p>
    <w:p w14:paraId="1DA94AE5" w14:textId="77777777" w:rsidR="007F145A" w:rsidRPr="007F145A" w:rsidRDefault="007F145A" w:rsidP="007F145A"/>
    <w:p w14:paraId="02AAE566" w14:textId="7BC9BE3D" w:rsidR="007F145A" w:rsidRPr="007F145A" w:rsidRDefault="007F145A" w:rsidP="007F145A"/>
    <w:p w14:paraId="664984E7" w14:textId="77777777" w:rsidR="007F145A" w:rsidRPr="002D3DCC" w:rsidRDefault="007F145A" w:rsidP="007F145A">
      <w:pPr>
        <w:spacing w:after="200" w:line="240" w:lineRule="auto"/>
      </w:pPr>
    </w:p>
    <w:p w14:paraId="3C54909E" w14:textId="1840A30F" w:rsidR="00165CFE" w:rsidRPr="002D3DCC" w:rsidRDefault="00165CFE" w:rsidP="00165CFE">
      <w:pPr>
        <w:pStyle w:val="Caption"/>
      </w:pPr>
      <w:r w:rsidRPr="002D3DCC">
        <w:t xml:space="preserve">Figure </w:t>
      </w:r>
      <w:r w:rsidRPr="002D3DCC">
        <w:fldChar w:fldCharType="begin"/>
      </w:r>
      <w:r w:rsidRPr="002D3DCC">
        <w:instrText xml:space="preserve"> SEQ Figure \* ARABIC </w:instrText>
      </w:r>
      <w:r w:rsidRPr="002D3DCC">
        <w:fldChar w:fldCharType="separate"/>
      </w:r>
      <w:r w:rsidR="00C40879">
        <w:rPr>
          <w:noProof/>
        </w:rPr>
        <w:t>2</w:t>
      </w:r>
      <w:r w:rsidRPr="002D3DCC">
        <w:fldChar w:fldCharType="end"/>
      </w:r>
      <w:r w:rsidRPr="002D3DCC">
        <w:t>: Conceptual Framework</w:t>
      </w:r>
    </w:p>
    <w:p w14:paraId="43E0FA4A" w14:textId="3E8C5001" w:rsidR="008B76B5" w:rsidRPr="002D3DCC" w:rsidRDefault="00A278B2" w:rsidP="00A278B2">
      <w:r w:rsidRPr="002D3DCC">
        <w:t>(Source: Author, 2026)</w:t>
      </w:r>
    </w:p>
    <w:p w14:paraId="451BD6B6" w14:textId="77777777" w:rsidR="00F70C6D" w:rsidRPr="002D3DCC" w:rsidRDefault="00F70C6D" w:rsidP="00F70C6D"/>
    <w:p w14:paraId="57DCA0A4" w14:textId="77777777" w:rsidR="007641A6" w:rsidRPr="002D3DCC" w:rsidRDefault="007641A6" w:rsidP="006118A1">
      <w:pPr>
        <w:pStyle w:val="Heading1"/>
      </w:pPr>
      <w:bookmarkStart w:id="14" w:name="_Toc224865852"/>
      <w:r w:rsidRPr="002D3DCC">
        <w:lastRenderedPageBreak/>
        <w:t>3. Methodology</w:t>
      </w:r>
      <w:bookmarkEnd w:id="14"/>
    </w:p>
    <w:p w14:paraId="168146F0" w14:textId="77777777" w:rsidR="00F53342" w:rsidRPr="00F53342" w:rsidRDefault="00F53342" w:rsidP="00A612A7">
      <w:pPr>
        <w:pStyle w:val="Heading2"/>
      </w:pPr>
      <w:bookmarkStart w:id="15" w:name="_Toc224865853"/>
      <w:r w:rsidRPr="00F53342">
        <w:t>3.1 Research Philosophy</w:t>
      </w:r>
      <w:bookmarkEnd w:id="15"/>
    </w:p>
    <w:p w14:paraId="5BB9C477" w14:textId="77777777" w:rsidR="002C0574" w:rsidRDefault="002C0574" w:rsidP="002C0574">
      <w:r>
        <w:t>This study uses a positivist research paradigm focusing on objective observation and the use of quantifiable data to understand the relationship between variables. Positivism argues that social phenomena could be studied using scientific methods similar to those used by natural sciences. Within the sphere of financial research, positivism allows researchers to examine the financial behaviour and results through numerical data and statistical methods (Shi et al., 2025).</w:t>
      </w:r>
    </w:p>
    <w:p w14:paraId="62316246" w14:textId="5A85D7EF" w:rsidR="00F53342" w:rsidRDefault="002C0574" w:rsidP="002C0574">
      <w:r>
        <w:t>The application of a positivist philosophical stance is considered appropriate to conduct the enquiry, owing to the research attempts to analyse the interconnection of budgeting, savings, financial planning, and financial stability (Prakash et al., 2024).</w:t>
      </w:r>
    </w:p>
    <w:p w14:paraId="15E7ADD6" w14:textId="77777777" w:rsidR="002C0574" w:rsidRPr="00F53342" w:rsidRDefault="002C0574" w:rsidP="002C0574"/>
    <w:p w14:paraId="31EFAB32" w14:textId="77777777" w:rsidR="00F53342" w:rsidRPr="00F53342" w:rsidRDefault="00F53342" w:rsidP="00A612A7">
      <w:pPr>
        <w:pStyle w:val="Heading2"/>
      </w:pPr>
      <w:bookmarkStart w:id="16" w:name="_Toc224865854"/>
      <w:r w:rsidRPr="00F53342">
        <w:t>3.2 Research Approach</w:t>
      </w:r>
      <w:bookmarkEnd w:id="16"/>
    </w:p>
    <w:p w14:paraId="42568383" w14:textId="2B4A0C76" w:rsidR="00F53342" w:rsidRDefault="00A11873" w:rsidP="00F53342">
      <w:r w:rsidRPr="00A11873">
        <w:t>The study will use deductive research method and begin by using available theoretical frameworks and devising hypotheses that can be tested empirically. The deductive approach is a broadening of the theoretical assumptions to specific empirical findings. In this paradigm, the researcher methodically reviews the literature that exists, formulates theoretical assumptions and then tests the theoretical assumptions by exploring the empirical data collected (Choowan et al., 2025).</w:t>
      </w:r>
    </w:p>
    <w:p w14:paraId="1535F60E" w14:textId="77777777" w:rsidR="00A11873" w:rsidRPr="00F53342" w:rsidRDefault="00A11873" w:rsidP="00F53342"/>
    <w:p w14:paraId="2F67D6D2" w14:textId="77777777" w:rsidR="00F53342" w:rsidRPr="00F53342" w:rsidRDefault="00F53342" w:rsidP="00A612A7">
      <w:pPr>
        <w:pStyle w:val="Heading2"/>
      </w:pPr>
      <w:bookmarkStart w:id="17" w:name="_Toc224865855"/>
      <w:r w:rsidRPr="00F53342">
        <w:t>3.3 Research Strategy</w:t>
      </w:r>
      <w:bookmarkEnd w:id="17"/>
    </w:p>
    <w:p w14:paraId="26038FEA" w14:textId="31ACD8B2" w:rsidR="00F53342" w:rsidRDefault="000D6797" w:rsidP="00F53342">
      <w:r w:rsidRPr="000D6797">
        <w:t>A survey research design will be utilized in the study to gather primary data of the respondents. One of the strictly used research strategies in both social and financial sciences is the survey methodology, which allows the researcher to obtain information about a great number of participants within a comparatively short amount of time. The survey is also beneficial in the case whereby researchers seek to understand attitudes, behaviours, and perceptions of certain issues (Tang, 2026).</w:t>
      </w:r>
    </w:p>
    <w:p w14:paraId="1637DE75" w14:textId="77777777" w:rsidR="000D6797" w:rsidRPr="00F53342" w:rsidRDefault="000D6797" w:rsidP="00F53342"/>
    <w:p w14:paraId="49FF6098" w14:textId="77777777" w:rsidR="00F53342" w:rsidRPr="00F53342" w:rsidRDefault="00F53342" w:rsidP="00A612A7">
      <w:pPr>
        <w:pStyle w:val="Heading2"/>
      </w:pPr>
      <w:bookmarkStart w:id="18" w:name="_Toc224865856"/>
      <w:r w:rsidRPr="00F53342">
        <w:t>3.4 Research Design</w:t>
      </w:r>
      <w:bookmarkEnd w:id="18"/>
    </w:p>
    <w:p w14:paraId="272D1C89" w14:textId="6BB6F986" w:rsidR="00352512" w:rsidRDefault="00352512" w:rsidP="00352512">
      <w:r>
        <w:t>The quantitative research design will be used in this study. Quantitative research is characterized by the systematic gathering of numerical data and the subsequent analysis of it by means of statistical methods. Such a design is commonly used when the investigator is interested in studying the relationships between variables and testing hypotheses empirically through statistical inference. By virtue of the reliance on objective and quantitative measures and robust sampling procedures, quantitative research generates findings that can be generalized to larger populations (Prakash, 2024).</w:t>
      </w:r>
    </w:p>
    <w:p w14:paraId="22422D00" w14:textId="08AC7F87" w:rsidR="00F53342" w:rsidRDefault="00352512" w:rsidP="00352512">
      <w:r>
        <w:t>In this investigation, the quantitative framework will ensure the measurement of the effect of budgeting, saving and financial planning in the case of financial stability. The data assembles will undergo statistical analysis using specific software including the identification of patterns and relationships between variables.</w:t>
      </w:r>
    </w:p>
    <w:p w14:paraId="418A24EA" w14:textId="77777777" w:rsidR="00352512" w:rsidRPr="00F53342" w:rsidRDefault="00352512" w:rsidP="00352512"/>
    <w:p w14:paraId="00929FAD" w14:textId="77777777" w:rsidR="00F53342" w:rsidRPr="00F53342" w:rsidRDefault="00F53342" w:rsidP="00A612A7">
      <w:pPr>
        <w:pStyle w:val="Heading2"/>
      </w:pPr>
      <w:bookmarkStart w:id="19" w:name="_Toc224865857"/>
      <w:r w:rsidRPr="00F53342">
        <w:t>3.5 Data Collection Method</w:t>
      </w:r>
      <w:bookmarkEnd w:id="19"/>
    </w:p>
    <w:p w14:paraId="4A20E1F2" w14:textId="588DC3C1" w:rsidR="00F53342" w:rsidRDefault="00352512" w:rsidP="00F53342">
      <w:r w:rsidRPr="00352512">
        <w:t>Primary data will be used in this research, and it will be collected using a structured questionnaire. The tool will be composed of several questions to evaluate the budgeting behaviours, saving behaviour, financial planning behaviours and apprehensions towards financial stability among the respondents. The questions will be predominantly Likert scales whereby the respondent will be able to give their level of agreement with some of the statements indicating financial management practices</w:t>
      </w:r>
      <w:r w:rsidR="008F59CE">
        <w:t xml:space="preserve"> </w:t>
      </w:r>
      <w:r w:rsidR="008F59CE" w:rsidRPr="008F59CE">
        <w:t>(Katnic et al., 2024).</w:t>
      </w:r>
    </w:p>
    <w:p w14:paraId="4639B9CB" w14:textId="77777777" w:rsidR="00352512" w:rsidRPr="00F53342" w:rsidRDefault="00352512" w:rsidP="00F53342"/>
    <w:p w14:paraId="0796F680" w14:textId="77777777" w:rsidR="00F53342" w:rsidRPr="00F53342" w:rsidRDefault="00F53342" w:rsidP="00A612A7">
      <w:pPr>
        <w:pStyle w:val="Heading2"/>
      </w:pPr>
      <w:bookmarkStart w:id="20" w:name="_Toc224865858"/>
      <w:r w:rsidRPr="00F53342">
        <w:t>3.6 Target Population</w:t>
      </w:r>
      <w:bookmarkEnd w:id="20"/>
    </w:p>
    <w:p w14:paraId="5D371956" w14:textId="1EA06927" w:rsidR="00F53342" w:rsidRDefault="00352512" w:rsidP="00F53342">
      <w:r w:rsidRPr="00352512">
        <w:t xml:space="preserve">The population for this research will be people who undertake personal financial management in the United Kingdom. This cohort could include employees, university students, and individuals that are self-employed, in that they are each charged with the burden of quotidian financial decision-making. Examining this population is likely to </w:t>
      </w:r>
      <w:r w:rsidRPr="00352512">
        <w:lastRenderedPageBreak/>
        <w:t>provide information about the effect of personal financial management practises on individual financial stability</w:t>
      </w:r>
      <w:r w:rsidR="008F59CE">
        <w:t xml:space="preserve"> </w:t>
      </w:r>
      <w:r w:rsidR="008F59CE" w:rsidRPr="008F59CE">
        <w:t>(Tang, 2026).</w:t>
      </w:r>
    </w:p>
    <w:p w14:paraId="60AA112C" w14:textId="77777777" w:rsidR="00352512" w:rsidRPr="00F53342" w:rsidRDefault="00352512" w:rsidP="00F53342"/>
    <w:p w14:paraId="265BE405" w14:textId="77777777" w:rsidR="00F53342" w:rsidRPr="00F53342" w:rsidRDefault="00F53342" w:rsidP="00A612A7">
      <w:pPr>
        <w:pStyle w:val="Heading2"/>
      </w:pPr>
      <w:bookmarkStart w:id="21" w:name="_Toc224865859"/>
      <w:r w:rsidRPr="00F53342">
        <w:t>3.7 Sampling Method</w:t>
      </w:r>
      <w:bookmarkEnd w:id="21"/>
    </w:p>
    <w:p w14:paraId="1F620F0E" w14:textId="4CCFEE1D" w:rsidR="00F53342" w:rsidRDefault="00352512" w:rsidP="00F53342">
      <w:r w:rsidRPr="00352512">
        <w:t>To obtain representative sample, a simple random sampling technique will be used to select the participants from the target population. This procedure ensures each individual in the population has a chance of selection in the population. The use of the simple random sampling reduces the risk of sampling bias and improves the reliability of the empirical results</w:t>
      </w:r>
      <w:r w:rsidR="008F59CE">
        <w:t xml:space="preserve"> </w:t>
      </w:r>
      <w:r w:rsidR="008F59CE" w:rsidRPr="008F59CE">
        <w:t>(Katnic et al., 2024).</w:t>
      </w:r>
    </w:p>
    <w:p w14:paraId="0A421CA7" w14:textId="77777777" w:rsidR="00352512" w:rsidRPr="00F53342" w:rsidRDefault="00352512" w:rsidP="00F53342"/>
    <w:p w14:paraId="0538385B" w14:textId="77777777" w:rsidR="00F53342" w:rsidRPr="00F53342" w:rsidRDefault="00F53342" w:rsidP="00A612A7">
      <w:pPr>
        <w:pStyle w:val="Heading2"/>
      </w:pPr>
      <w:bookmarkStart w:id="22" w:name="_Toc224865860"/>
      <w:r w:rsidRPr="00F53342">
        <w:t>3.8 Sample Size</w:t>
      </w:r>
      <w:bookmarkEnd w:id="22"/>
    </w:p>
    <w:p w14:paraId="36CA86BE" w14:textId="5A6FB3E2" w:rsidR="00F53342" w:rsidRDefault="00352512" w:rsidP="00F53342">
      <w:r w:rsidRPr="00352512">
        <w:t xml:space="preserve">The research will collect data of 150 respondents. The selected sample size </w:t>
      </w:r>
      <w:r w:rsidR="009B6F1A" w:rsidRPr="00352512">
        <w:t>is</w:t>
      </w:r>
      <w:r w:rsidRPr="00352512">
        <w:t xml:space="preserve"> appropriate to conduct a quantitative research and statistical analysis. This size of a sample helps the researcher conduct effective statistical tests besides makes sure that the results alone are representative of the features of the target population.</w:t>
      </w:r>
    </w:p>
    <w:p w14:paraId="1415FAB0" w14:textId="77777777" w:rsidR="00352512" w:rsidRPr="00F53342" w:rsidRDefault="00352512" w:rsidP="00F53342"/>
    <w:p w14:paraId="3C380EDE" w14:textId="77777777" w:rsidR="00F53342" w:rsidRPr="00F53342" w:rsidRDefault="00F53342" w:rsidP="00A612A7">
      <w:pPr>
        <w:pStyle w:val="Heading2"/>
      </w:pPr>
      <w:bookmarkStart w:id="23" w:name="_Toc224865861"/>
      <w:r w:rsidRPr="00F53342">
        <w:t>3.9 Data Analysis Techniques</w:t>
      </w:r>
      <w:bookmarkEnd w:id="23"/>
    </w:p>
    <w:p w14:paraId="782746BF" w14:textId="6807F97A" w:rsidR="00F53342" w:rsidRDefault="00352512" w:rsidP="00F53342">
      <w:r w:rsidRPr="00352512">
        <w:t>The collected data will be exposed to analysis using the software of statistic namely "Statistical Package for the Social Sciences" (SPSS). The analytical procedure will involve the use of several statistical techniques. First, descriptive statistics will be calculated to summarize the demographic characteristics of respondents and give an overall summary of data set. Second, the correlation analysis will be used to investigate the relation between financial management practices and financial stability. Finally, regression analysis will be performed to determine the effect of budgeting, savings and financial planning on financial stability.</w:t>
      </w:r>
    </w:p>
    <w:p w14:paraId="38478995" w14:textId="77777777" w:rsidR="00352512" w:rsidRPr="00F53342" w:rsidRDefault="00352512" w:rsidP="00F53342"/>
    <w:p w14:paraId="70348B00" w14:textId="77777777" w:rsidR="00F53342" w:rsidRPr="00F53342" w:rsidRDefault="00F53342" w:rsidP="00A612A7">
      <w:pPr>
        <w:pStyle w:val="Heading2"/>
      </w:pPr>
      <w:bookmarkStart w:id="24" w:name="_Toc224865862"/>
      <w:r w:rsidRPr="00F53342">
        <w:lastRenderedPageBreak/>
        <w:t>3.10 Reliability and Validity</w:t>
      </w:r>
      <w:bookmarkEnd w:id="24"/>
    </w:p>
    <w:p w14:paraId="47DE738D" w14:textId="7066B30C" w:rsidR="00F53342" w:rsidRDefault="00B80F29" w:rsidP="00F53342">
      <w:r w:rsidRPr="00D31ABA">
        <w:t>To</w:t>
      </w:r>
      <w:r w:rsidR="00D31ABA" w:rsidRPr="00D31ABA">
        <w:t xml:space="preserve"> assure the quality of the research findings, the study will test reliability and validity of the collected information. Reliability relates to the consistency of the measuring instrument while validity relates to the accuracy of the measuring instrument to measure the concepts it is intended to measure. The questionnaire will be tried out through pilot testing before the actual data collection process. In addition, the internal consistency of the survey items will be measured with the help of Cronbach's Alpha.</w:t>
      </w:r>
    </w:p>
    <w:p w14:paraId="4283D3EB" w14:textId="77777777" w:rsidR="00D31ABA" w:rsidRPr="00F53342" w:rsidRDefault="00D31ABA" w:rsidP="00F53342"/>
    <w:p w14:paraId="7554A392" w14:textId="77777777" w:rsidR="00F53342" w:rsidRPr="00F53342" w:rsidRDefault="00F53342" w:rsidP="00A612A7">
      <w:pPr>
        <w:pStyle w:val="Heading2"/>
      </w:pPr>
      <w:bookmarkStart w:id="25" w:name="_Toc224865863"/>
      <w:r w:rsidRPr="00F53342">
        <w:t>3.11 Ethical Considerations</w:t>
      </w:r>
      <w:bookmarkEnd w:id="25"/>
    </w:p>
    <w:p w14:paraId="797E5D91" w14:textId="5E1DBBA1" w:rsidR="00D8740B" w:rsidRPr="002D3DCC" w:rsidRDefault="009B6F1A" w:rsidP="00F53342">
      <w:r w:rsidRPr="009B6F1A">
        <w:t>Ethical considerations will be closely followed through the research process. Before the questionnaire is filled in, the respondents will be properly briefed about the purpose of the study. The involvement will be voluntary, and the respondents have the undisputed possibility to quit the investigation at any point in time. Confidentiality and anonymity of respondents will be strongly ensured. Besides, all the process of accumulating data will be restricted solely into academic usage and disclosure to other parties will not be provided unless a clear agreement is reached. Ethical standards, however, will ensure that the research activity has strong credibility and integrity.</w:t>
      </w:r>
    </w:p>
    <w:p w14:paraId="0101201A" w14:textId="77777777" w:rsidR="007641A6" w:rsidRDefault="007641A6" w:rsidP="00A612A7">
      <w:pPr>
        <w:pStyle w:val="Heading1"/>
      </w:pPr>
      <w:bookmarkStart w:id="26" w:name="_Toc224865864"/>
      <w:r w:rsidRPr="002D3DCC">
        <w:t xml:space="preserve">4. Expected </w:t>
      </w:r>
      <w:r w:rsidRPr="00A612A7">
        <w:t>Findings</w:t>
      </w:r>
      <w:bookmarkEnd w:id="26"/>
    </w:p>
    <w:p w14:paraId="083F12D9" w14:textId="696734CF" w:rsidR="009B6F1A" w:rsidRPr="009B6F1A" w:rsidRDefault="00BF00BB" w:rsidP="00BF00BB">
      <w:r>
        <w:t>Anticipated findings indicate that single practices of individual financial management exercise a significant control over financial firmness. Specifically, budgeting is presumed to increase financial stability, as it helps to successfully allocate income and handle outflows. Similarly, savings are hypothesised to provide a buffer of financial security thus mitigating vulnerability in the face of crises. Finally, financial planning is anticipated to enhance sustainable long-term well-being as financial planning can help individuals to set and achieve objective financial goals.</w:t>
      </w:r>
    </w:p>
    <w:p w14:paraId="5EC853A7" w14:textId="77777777" w:rsidR="007641A6" w:rsidRPr="002D3DCC" w:rsidRDefault="007641A6" w:rsidP="006118A1">
      <w:pPr>
        <w:pStyle w:val="Heading1"/>
      </w:pPr>
      <w:bookmarkStart w:id="27" w:name="_Toc224865865"/>
      <w:r w:rsidRPr="002D3DCC">
        <w:lastRenderedPageBreak/>
        <w:t>5. Limitations</w:t>
      </w:r>
      <w:bookmarkEnd w:id="27"/>
    </w:p>
    <w:p w14:paraId="218AED2F" w14:textId="48C262E1" w:rsidR="007B72ED" w:rsidRPr="002D3DCC" w:rsidRDefault="007B72ED" w:rsidP="00A26E92">
      <w:r w:rsidRPr="007B72ED">
        <w:t>This research could have several constraints. To begin with, the study is going to be based on self-reported Survey responses thus it can be subject to response bias. Second, a small sample of 150 respondents will be considered in the study, and this can limit the applicability of the study results. Third, economic conditions and matters like differences in culture may also affect financial behaviour and are not all entirely reflected within the boundaries of the study.</w:t>
      </w:r>
    </w:p>
    <w:p w14:paraId="7980C57F" w14:textId="77777777" w:rsidR="007641A6" w:rsidRPr="002D3DCC" w:rsidRDefault="007641A6" w:rsidP="006118A1">
      <w:pPr>
        <w:pStyle w:val="Heading1"/>
      </w:pPr>
      <w:bookmarkStart w:id="28" w:name="_Toc224865866"/>
      <w:r w:rsidRPr="002D3DCC">
        <w:t>6. Timeframe</w:t>
      </w:r>
      <w:bookmarkEnd w:id="28"/>
    </w:p>
    <w:p w14:paraId="26BB0FE9" w14:textId="6B974E21" w:rsidR="007641A6" w:rsidRPr="002D3DCC" w:rsidRDefault="003A145B" w:rsidP="007641A6">
      <w:r w:rsidRPr="002D3DCC">
        <w:rPr>
          <w:noProof/>
        </w:rPr>
        <w:drawing>
          <wp:inline distT="0" distB="0" distL="0" distR="0" wp14:anchorId="354DCFC7" wp14:editId="0C392217">
            <wp:extent cx="6446520" cy="3771900"/>
            <wp:effectExtent l="0" t="0" r="0" b="0"/>
            <wp:docPr id="18781241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46520" cy="3771900"/>
                    </a:xfrm>
                    <a:prstGeom prst="rect">
                      <a:avLst/>
                    </a:prstGeom>
                    <a:noFill/>
                    <a:ln>
                      <a:noFill/>
                    </a:ln>
                  </pic:spPr>
                </pic:pic>
              </a:graphicData>
            </a:graphic>
          </wp:inline>
        </w:drawing>
      </w:r>
    </w:p>
    <w:p w14:paraId="2D375C56" w14:textId="240203D4" w:rsidR="00884778" w:rsidRDefault="007A68EB" w:rsidP="007A68EB">
      <w:pPr>
        <w:pStyle w:val="Caption"/>
        <w:rPr>
          <w:lang w:val="en-US"/>
        </w:rPr>
      </w:pPr>
      <w:r>
        <w:t xml:space="preserve">Table </w:t>
      </w:r>
      <w:r>
        <w:fldChar w:fldCharType="begin"/>
      </w:r>
      <w:r>
        <w:instrText xml:space="preserve"> SEQ Table \* ARABIC </w:instrText>
      </w:r>
      <w:r>
        <w:fldChar w:fldCharType="separate"/>
      </w:r>
      <w:r>
        <w:rPr>
          <w:noProof/>
        </w:rPr>
        <w:t>1</w:t>
      </w:r>
      <w:r>
        <w:fldChar w:fldCharType="end"/>
      </w:r>
      <w:r>
        <w:rPr>
          <w:lang w:val="en-US"/>
        </w:rPr>
        <w:t>: Gantt chart</w:t>
      </w:r>
    </w:p>
    <w:p w14:paraId="164C7F22" w14:textId="79BFA139" w:rsidR="007A68EB" w:rsidRPr="007A68EB" w:rsidRDefault="007A68EB" w:rsidP="007A68EB">
      <w:pPr>
        <w:rPr>
          <w:lang w:val="en-US"/>
        </w:rPr>
      </w:pPr>
      <w:r>
        <w:rPr>
          <w:lang w:val="en-US"/>
        </w:rPr>
        <w:t>(Source: student)</w:t>
      </w:r>
    </w:p>
    <w:p w14:paraId="715E1FBB" w14:textId="77777777" w:rsidR="007641A6" w:rsidRPr="002D3DCC" w:rsidRDefault="007641A6" w:rsidP="006118A1">
      <w:pPr>
        <w:pStyle w:val="Heading1"/>
      </w:pPr>
      <w:bookmarkStart w:id="29" w:name="_Toc224865867"/>
      <w:r w:rsidRPr="002D3DCC">
        <w:t>7. Conclusion</w:t>
      </w:r>
      <w:bookmarkEnd w:id="29"/>
    </w:p>
    <w:p w14:paraId="0B6F48CE" w14:textId="4A713422" w:rsidR="004B4664" w:rsidRDefault="004B4664" w:rsidP="004B4664">
      <w:r>
        <w:t xml:space="preserve">Personal financial planning forms a crucial factor in the achievement of financial balance and promotion of financial health. Introduction of budgeting, saving and financial planning </w:t>
      </w:r>
      <w:r>
        <w:lastRenderedPageBreak/>
        <w:t xml:space="preserve">are fundamental management concepts that lead to the ability of the individuals to utilise the available resources in the most effective way possible and to cushion against the potential fiscal uncertainties. Budgeting allows the regulation of the spending patterns, savings will act as mechanism of protection in time of need, and financial planning will support the achievement of long-term fiscal goals.  </w:t>
      </w:r>
    </w:p>
    <w:p w14:paraId="726DFE82" w14:textId="4748AF13" w:rsidR="005F0A83" w:rsidRPr="002D3DCC" w:rsidRDefault="004B4664" w:rsidP="004B4664">
      <w:r>
        <w:t>This study aims at explaining the value of these practises in enhancing financial stability. The paper examines how budget is related to savings, financial planning, and fiscal stability by interrelating the conceptions and provides a subtle understanding of personal financial management. The learned knowledge can be used by the individuals, policymakers and financial educators to develop interventions that can enhance responsible financial behaviour as well as strengthening general financial health.</w:t>
      </w:r>
    </w:p>
    <w:p w14:paraId="62D06E32" w14:textId="77777777" w:rsidR="009B073B" w:rsidRPr="002D3DCC" w:rsidRDefault="009B073B" w:rsidP="009B073B"/>
    <w:p w14:paraId="03625FBE" w14:textId="77777777" w:rsidR="009B073B" w:rsidRPr="002D3DCC" w:rsidRDefault="009B073B">
      <w:pPr>
        <w:spacing w:line="278" w:lineRule="auto"/>
        <w:jc w:val="left"/>
      </w:pPr>
      <w:r w:rsidRPr="002D3DCC">
        <w:br w:type="page"/>
      </w:r>
    </w:p>
    <w:p w14:paraId="70FEAE4A" w14:textId="6D7D0DA8" w:rsidR="00554D0C" w:rsidRPr="002D3DCC" w:rsidRDefault="00F70C6D" w:rsidP="005456DD">
      <w:pPr>
        <w:pStyle w:val="Heading1"/>
      </w:pPr>
      <w:bookmarkStart w:id="30" w:name="_Toc224865868"/>
      <w:r w:rsidRPr="002D3DCC">
        <w:lastRenderedPageBreak/>
        <w:t>8. References</w:t>
      </w:r>
      <w:bookmarkEnd w:id="30"/>
    </w:p>
    <w:p w14:paraId="41ADDADC" w14:textId="77777777" w:rsidR="000148A1" w:rsidRPr="000148A1" w:rsidRDefault="000148A1" w:rsidP="000148A1">
      <w:r w:rsidRPr="000148A1">
        <w:t xml:space="preserve">Alqam, M.A. and Hamshari, Y.M. (2024) ‘The impact of financial literacy on financial inclusion for financial well-being of youth: evidence from Jordan’, </w:t>
      </w:r>
      <w:r w:rsidRPr="000148A1">
        <w:rPr>
          <w:i/>
          <w:iCs/>
        </w:rPr>
        <w:t>Discover Sustainability</w:t>
      </w:r>
      <w:r w:rsidRPr="000148A1">
        <w:t xml:space="preserve">, 5(1), p. 528. Available at: </w:t>
      </w:r>
      <w:hyperlink r:id="rId11" w:tgtFrame="_new" w:history="1">
        <w:r w:rsidRPr="000148A1">
          <w:rPr>
            <w:rStyle w:val="Hyperlink"/>
          </w:rPr>
          <w:t>https://libkey.io/libraries/1422/openurl?sid=google&amp;auinit=MA&amp;aulast=Alqam&amp;atitle=The+impact+of+financial+literacy+on+financial+inclusion+for+financial+well-being+of+youth:+evidence+from+Jordan&amp;id=doi:10.1007/s43621-024-00704-6</w:t>
        </w:r>
      </w:hyperlink>
    </w:p>
    <w:p w14:paraId="45B20842" w14:textId="77777777" w:rsidR="000148A1" w:rsidRPr="000148A1" w:rsidRDefault="000148A1" w:rsidP="000148A1">
      <w:r w:rsidRPr="000148A1">
        <w:t xml:space="preserve">Choowan, P., Daovisan, H. and Suwanwong, C. (2025) ‘Effects of financial literacy and financial behavior on financial well-being: Meta-analytical review of experimental studies’, </w:t>
      </w:r>
      <w:r w:rsidRPr="000148A1">
        <w:rPr>
          <w:i/>
          <w:iCs/>
        </w:rPr>
        <w:t>International Journal of Financial Studies</w:t>
      </w:r>
      <w:r w:rsidRPr="000148A1">
        <w:t xml:space="preserve">, 13(1), p. 1. Available at: </w:t>
      </w:r>
      <w:hyperlink r:id="rId12" w:tgtFrame="_new" w:history="1">
        <w:r w:rsidRPr="000148A1">
          <w:rPr>
            <w:rStyle w:val="Hyperlink"/>
          </w:rPr>
          <w:t>https://libkey.io/libraries/1422/openurl?sid=google&amp;auinit=P&amp;aulast=Choowan&amp;atitle=Effects+of+financial+literacy+and+financial+behavior+on+financial+well-being:+Meta-analytical+review+of+experimental+studies&amp;id=doi:10.3390/ijfs13010001</w:t>
        </w:r>
      </w:hyperlink>
    </w:p>
    <w:p w14:paraId="59F399C0" w14:textId="77777777" w:rsidR="000148A1" w:rsidRPr="005456DD" w:rsidRDefault="000148A1" w:rsidP="005456DD">
      <w:r w:rsidRPr="005456DD">
        <w:t xml:space="preserve">Das, V. (2025) ‘Financial literacy and financial well-being amid varying economic conditions: Evidence from the survey of household economics and decisionmaking 2017–2022’, </w:t>
      </w:r>
      <w:r w:rsidRPr="005456DD">
        <w:rPr>
          <w:i/>
          <w:iCs/>
        </w:rPr>
        <w:t>International Journal of Financial Studies</w:t>
      </w:r>
      <w:r w:rsidRPr="005456DD">
        <w:t xml:space="preserve">, 13(2), p. 79. Available at: </w:t>
      </w:r>
      <w:hyperlink r:id="rId13" w:tgtFrame="_new" w:history="1">
        <w:r w:rsidRPr="005456DD">
          <w:rPr>
            <w:rStyle w:val="Hyperlink"/>
          </w:rPr>
          <w:t>https://libkey.io/libraries/1422/openurl?sid=google&amp;auinit=V&amp;aulast=Das&amp;atitle=Financial+Literacy+and+Financial+Well-Being+Amid+Varying+Economic+Conditions:+Evidence+from+the+Survey+of+Household+Economics+and+Decisionmaking+2017%E2%80%932022&amp;id=doi:10.3390/ijfs13020079</w:t>
        </w:r>
      </w:hyperlink>
    </w:p>
    <w:p w14:paraId="715E496B" w14:textId="77777777" w:rsidR="000148A1" w:rsidRPr="005456DD" w:rsidRDefault="000148A1" w:rsidP="005456DD">
      <w:r w:rsidRPr="005456DD">
        <w:t xml:space="preserve">Emara, N. (2025) ‘Threshold effects of financial depth on domestic savings: Evidence from the EMEA region’, </w:t>
      </w:r>
      <w:r w:rsidRPr="005456DD">
        <w:rPr>
          <w:i/>
          <w:iCs/>
        </w:rPr>
        <w:t>Economic Analysis and Policy</w:t>
      </w:r>
      <w:r w:rsidRPr="005456DD">
        <w:t xml:space="preserve">, 86, pp. 1987–2000. Available at: </w:t>
      </w:r>
      <w:hyperlink r:id="rId14" w:tgtFrame="_new" w:history="1">
        <w:r w:rsidRPr="005456DD">
          <w:rPr>
            <w:rStyle w:val="Hyperlink"/>
          </w:rPr>
          <w:t>https://libkey.io/libraries/1422/openurl?sid=google&amp;auinit=N&amp;aulast=Emara&amp;atitle=Threshold+effects+of+financial+depth+on+domestic+savings:+Evidence+from+the+EMEA+region&amp;id=doi:10.1016/j.eap.2025.05.038</w:t>
        </w:r>
      </w:hyperlink>
    </w:p>
    <w:p w14:paraId="49337293" w14:textId="77777777" w:rsidR="000148A1" w:rsidRPr="005456DD" w:rsidRDefault="000148A1" w:rsidP="005456DD">
      <w:r w:rsidRPr="005456DD">
        <w:t xml:space="preserve">Katnic, I., Katnic, M., Orlandic, M., Radunovic, M. and Mugosa, I. (2024) ‘Understanding the role of financial literacy in enhancing economic stability and resilience in Montenegro: A data-driven approach’, </w:t>
      </w:r>
      <w:r w:rsidRPr="005456DD">
        <w:rPr>
          <w:i/>
          <w:iCs/>
        </w:rPr>
        <w:t>Sustainability</w:t>
      </w:r>
      <w:r w:rsidRPr="005456DD">
        <w:t xml:space="preserve">, 16(24), p. 11065. Available at: </w:t>
      </w:r>
      <w:hyperlink r:id="rId15" w:tgtFrame="_new" w:history="1">
        <w:r w:rsidRPr="005456DD">
          <w:rPr>
            <w:rStyle w:val="Hyperlink"/>
          </w:rPr>
          <w:t>https://libkey.io/libraries/1422/openurl?sid=google&amp;auinit=I&amp;aulast=Katnic&amp;atitle=Understanding+the+role+of+financial+literacy+in+enhancing+economic+stability+and+resilience+in+Montenegro:+A+data-driven+approach&amp;id=doi:10.3390/su162411065</w:t>
        </w:r>
      </w:hyperlink>
    </w:p>
    <w:p w14:paraId="55BF5009" w14:textId="77777777" w:rsidR="000148A1" w:rsidRPr="000148A1" w:rsidRDefault="000148A1" w:rsidP="000148A1">
      <w:r w:rsidRPr="000148A1">
        <w:t xml:space="preserve">Kuutol, P.K., Mbonigaba, J. and Garidzirai, R. (2024) ‘Financial literacy and financial well-being in rural households in Ghana: The role of financial information consumption’, </w:t>
      </w:r>
      <w:r w:rsidRPr="000148A1">
        <w:rPr>
          <w:i/>
          <w:iCs/>
        </w:rPr>
        <w:t>Sustainability</w:t>
      </w:r>
      <w:r w:rsidRPr="000148A1">
        <w:t xml:space="preserve">, 16(19), p. 8380. Available at: </w:t>
      </w:r>
      <w:hyperlink r:id="rId16" w:tgtFrame="_new" w:history="1">
        <w:r w:rsidRPr="000148A1">
          <w:rPr>
            <w:rStyle w:val="Hyperlink"/>
          </w:rPr>
          <w:t>https://libkey.io/libraries/1422/openurl?sid=google&amp;auinit=PK&amp;aulast=Kuutol&amp;atitle=Financial+literacy+and+financial+well-being+in+rural+households+in+Ghana:+The+role+of+financial+information+consumption&amp;id=doi:10.3390/su16198380</w:t>
        </w:r>
      </w:hyperlink>
    </w:p>
    <w:p w14:paraId="276E52EC" w14:textId="77777777" w:rsidR="000148A1" w:rsidRPr="005456DD" w:rsidRDefault="000148A1" w:rsidP="005456DD">
      <w:r w:rsidRPr="005456DD">
        <w:t xml:space="preserve">Lone, U.M. and Bhat, S.A. (2024) ‘Impact of financial literacy on financial well-being: a mediational role of financial self-efficacy’, </w:t>
      </w:r>
      <w:r w:rsidRPr="005456DD">
        <w:rPr>
          <w:i/>
          <w:iCs/>
        </w:rPr>
        <w:t>Journal of Financial Services Marketing</w:t>
      </w:r>
      <w:r w:rsidRPr="005456DD">
        <w:t xml:space="preserve">, 29(1), pp. 122–137. Available at: </w:t>
      </w:r>
      <w:hyperlink r:id="rId17" w:tgtFrame="_new" w:history="1">
        <w:r w:rsidRPr="005456DD">
          <w:rPr>
            <w:rStyle w:val="Hyperlink"/>
          </w:rPr>
          <w:t>https://libkey.io/libraries/1422/openurl?sid=google&amp;auinit=UM&amp;aulast=Lone&amp;atitle=Impact+of+financial+literacy+on+financial+well-being:+a+mediational+role+of+financial+self-efficacy&amp;id=doi:10.1057/s41264-022-00183-8</w:t>
        </w:r>
      </w:hyperlink>
    </w:p>
    <w:p w14:paraId="4E6FDF8E" w14:textId="77777777" w:rsidR="000148A1" w:rsidRPr="005456DD" w:rsidRDefault="000148A1" w:rsidP="005456DD">
      <w:r w:rsidRPr="005456DD">
        <w:t xml:space="preserve">Lone, U.M., Bhat, S.A., Irfan, P.S.U. and Darzi, M.A. (2025) ‘Impact of digital financial literacy on financial well-being: moderating role of gender and religiosity’, </w:t>
      </w:r>
      <w:r w:rsidRPr="005456DD">
        <w:rPr>
          <w:i/>
          <w:iCs/>
        </w:rPr>
        <w:t>Journal of Financial Services Marketing</w:t>
      </w:r>
      <w:r w:rsidRPr="005456DD">
        <w:t xml:space="preserve">, 30(2), p. 16. Available at: </w:t>
      </w:r>
      <w:hyperlink r:id="rId18" w:tgtFrame="_new" w:history="1">
        <w:r w:rsidRPr="005456DD">
          <w:rPr>
            <w:rStyle w:val="Hyperlink"/>
          </w:rPr>
          <w:t>https://libkey.io/libraries/1422/openurl?sid=google&amp;auinit=UM&amp;aulast=Lone&amp;atitle=Impact+of+digital+financial+literacy+on+financial+well-being:+moderating+role+of+gender+and+religiosity&amp;id=doi:10.1057/s41264-025-00309-8</w:t>
        </w:r>
      </w:hyperlink>
    </w:p>
    <w:p w14:paraId="34E030CA" w14:textId="77777777" w:rsidR="000148A1" w:rsidRPr="000148A1" w:rsidRDefault="000148A1" w:rsidP="000148A1">
      <w:r w:rsidRPr="000148A1">
        <w:t xml:space="preserve">Lulaj, E. (2024) ‘Cracking the wealth puzzle: Investigating the interplay of personal finance, expenditure behavior, and financial management’, </w:t>
      </w:r>
      <w:r w:rsidRPr="000148A1">
        <w:rPr>
          <w:i/>
          <w:iCs/>
        </w:rPr>
        <w:t>Ekonomika</w:t>
      </w:r>
      <w:r w:rsidRPr="000148A1">
        <w:t xml:space="preserve">, 103(3), pp. 122–142. Available at: </w:t>
      </w:r>
      <w:hyperlink r:id="rId19" w:tgtFrame="_new" w:history="1">
        <w:r w:rsidRPr="000148A1">
          <w:rPr>
            <w:rStyle w:val="Hyperlink"/>
          </w:rPr>
          <w:t>https://libkey.io/libraries/1422/openurl?sid=google&amp;auinit=E&amp;aulast=Lulaj&amp;atitle=Cracking+the+wealth+puzzle:+Investigating+the+interplay+of+personal+finance,+expenditure+behavior,+and+financial+management&amp;id=doi:10.15388/Ekon.2024.103.3.8</w:t>
        </w:r>
      </w:hyperlink>
    </w:p>
    <w:p w14:paraId="17BC85EF" w14:textId="77777777" w:rsidR="000148A1" w:rsidRPr="000148A1" w:rsidRDefault="000148A1" w:rsidP="000148A1">
      <w:r w:rsidRPr="000148A1">
        <w:lastRenderedPageBreak/>
        <w:t xml:space="preserve">Mamani-Benito, O., Cruz Ordinola, M.C., Olazabal Boggio, R.D., Huayta-Meza, M., Apaza-Tarqui, E.E., Pacheco Vizcarra, M.Y. and Morales-García, W.C. (2026) ‘Financial well-being and financial stress as predictors of overall well-being and life satisfaction among Peruvian workers’, </w:t>
      </w:r>
      <w:r w:rsidRPr="000148A1">
        <w:rPr>
          <w:i/>
          <w:iCs/>
        </w:rPr>
        <w:t>Frontiers in Psychology</w:t>
      </w:r>
      <w:r w:rsidRPr="000148A1">
        <w:t xml:space="preserve">, 16, p. 1553006. Available at: </w:t>
      </w:r>
      <w:hyperlink r:id="rId20" w:tgtFrame="_new" w:history="1">
        <w:r w:rsidRPr="000148A1">
          <w:rPr>
            <w:rStyle w:val="Hyperlink"/>
          </w:rPr>
          <w:t>https://libkey.io/libraries/1422/openurl?sid=google&amp;auinit=O&amp;aulast=Mamani-Benito&amp;atitle=Financial+well-being+and+financial+stress+as+predictors+of+overall+well-being+and+life+satisfaction+among+Peruvian+workers&amp;id=doi:10.3389/fpsyg.2025.1553006</w:t>
        </w:r>
      </w:hyperlink>
    </w:p>
    <w:p w14:paraId="366ADF6B" w14:textId="77777777" w:rsidR="000148A1" w:rsidRPr="000148A1" w:rsidRDefault="000148A1" w:rsidP="000148A1">
      <w:r w:rsidRPr="000148A1">
        <w:t xml:space="preserve">Mutya, T. and Ilankadhir, M. (2024) ‘Does digital financial literacy matter for current and future saving behavior among rural SME entrepreneurs? Government regulations awareness as a moderator’, </w:t>
      </w:r>
      <w:r w:rsidRPr="000148A1">
        <w:rPr>
          <w:i/>
          <w:iCs/>
        </w:rPr>
        <w:t>Theoretical and Practical Research in Economic Fields</w:t>
      </w:r>
      <w:r w:rsidRPr="000148A1">
        <w:t xml:space="preserve">, 15(4), p. 939. Available at: </w:t>
      </w:r>
      <w:hyperlink r:id="rId21" w:tgtFrame="_new" w:history="1">
        <w:r w:rsidRPr="000148A1">
          <w:rPr>
            <w:rStyle w:val="Hyperlink"/>
          </w:rPr>
          <w:t>https://libkey.io/libraries/1422/openurl?sid=google&amp;auinit=T&amp;aulast=Mutya&amp;atitle=Does+digital+financial+literacy+matter+for+current+and+future+saving+behavior+among+rural+SME+entrepreneurs%3F+Government+regulations+awareness+as+a+moderator&amp;id=doi:10.14505/tpref.v15.4(32).12</w:t>
        </w:r>
      </w:hyperlink>
    </w:p>
    <w:p w14:paraId="3D09CB30" w14:textId="77777777" w:rsidR="000148A1" w:rsidRPr="005456DD" w:rsidRDefault="000148A1" w:rsidP="005456DD">
      <w:r w:rsidRPr="005456DD">
        <w:t xml:space="preserve">Ouyang, C., Joseph, M., Zhang, Y. and Naveed, K. (2025) ‘The interplay of financial safety nets, long-term goals, and saving habits: A moderated mediation study’, </w:t>
      </w:r>
      <w:r w:rsidRPr="005456DD">
        <w:rPr>
          <w:i/>
          <w:iCs/>
        </w:rPr>
        <w:t>International Journal of Financial Studies</w:t>
      </w:r>
      <w:r w:rsidRPr="005456DD">
        <w:t xml:space="preserve">, 13(1), p. 47. Available at: </w:t>
      </w:r>
      <w:hyperlink r:id="rId22" w:tgtFrame="_new" w:history="1">
        <w:r w:rsidRPr="005456DD">
          <w:rPr>
            <w:rStyle w:val="Hyperlink"/>
          </w:rPr>
          <w:t>https://libkey.io/libraries/1422/openurl?sid=google&amp;auinit=C&amp;aulast=Ouyang&amp;atitle=The+interplay+of+financial+safety+nets,+long-term+goals,+and+saving+habits:+A+moderated+mediation+study&amp;id=doi:10.3390/ijfs13010047</w:t>
        </w:r>
      </w:hyperlink>
    </w:p>
    <w:p w14:paraId="3BC4B692" w14:textId="77777777" w:rsidR="000148A1" w:rsidRPr="000148A1" w:rsidRDefault="000148A1" w:rsidP="000148A1">
      <w:r w:rsidRPr="000148A1">
        <w:t xml:space="preserve">Paul, J., Bansal, A., Bhate, N., Reyes-Menendez, A. and Toro, T.M. (2025) ‘Personal financial planning services: A review and future research agenda’, </w:t>
      </w:r>
      <w:r w:rsidRPr="000148A1">
        <w:rPr>
          <w:i/>
          <w:iCs/>
        </w:rPr>
        <w:t>International Journal of Consumer Studies</w:t>
      </w:r>
      <w:r w:rsidRPr="000148A1">
        <w:t xml:space="preserve">, 49(5). Available at: </w:t>
      </w:r>
      <w:hyperlink r:id="rId23" w:tgtFrame="_new" w:history="1">
        <w:r w:rsidRPr="000148A1">
          <w:rPr>
            <w:rStyle w:val="Hyperlink"/>
          </w:rPr>
          <w:t>https://libkey.io/libraries/1422/openurl?sid=google&amp;auinit=J&amp;aulast=Paul&amp;atitle=Personal+Financial+Planning+Services:+A+Review+and+Future+Research+Agenda&amp;id=doi:10.1111/ijcs.70116</w:t>
        </w:r>
      </w:hyperlink>
    </w:p>
    <w:p w14:paraId="049CD97B" w14:textId="77777777" w:rsidR="000148A1" w:rsidRPr="000148A1" w:rsidRDefault="000148A1" w:rsidP="000148A1">
      <w:r w:rsidRPr="000148A1">
        <w:lastRenderedPageBreak/>
        <w:t xml:space="preserve">Prakash, N. and Hawaldar, A. (2024) ‘Investigating the determinants of financial well-being: A SEM approach’, </w:t>
      </w:r>
      <w:r w:rsidRPr="000148A1">
        <w:rPr>
          <w:i/>
          <w:iCs/>
        </w:rPr>
        <w:t>Business Perspectives and Research</w:t>
      </w:r>
      <w:r w:rsidRPr="000148A1">
        <w:t xml:space="preserve">, 12(1), pp. 11–25. Available at: </w:t>
      </w:r>
      <w:hyperlink r:id="rId24" w:tgtFrame="_new" w:history="1">
        <w:r w:rsidRPr="000148A1">
          <w:rPr>
            <w:rStyle w:val="Hyperlink"/>
          </w:rPr>
          <w:t>https://libkey.io/libraries/1422/openurl?sid=google&amp;auinit=N&amp;aulast=Prakash&amp;atitle=Investigating+the+determinants+of+financial+well-being:+A+SEM+approach&amp;id=doi:10.1177/22785337221148253</w:t>
        </w:r>
      </w:hyperlink>
    </w:p>
    <w:p w14:paraId="10500061" w14:textId="77777777" w:rsidR="000148A1" w:rsidRPr="005456DD" w:rsidRDefault="000148A1" w:rsidP="005456DD">
      <w:r w:rsidRPr="005456DD">
        <w:t xml:space="preserve">Rupa, T.R. and Parimalarani, G. (2025) ‘From savings to security: The impact of self-help group micro savings on financial stability and development—A literature analysis’, </w:t>
      </w:r>
      <w:r w:rsidRPr="005456DD">
        <w:rPr>
          <w:i/>
          <w:iCs/>
        </w:rPr>
        <w:t>Economic Notes</w:t>
      </w:r>
      <w:r w:rsidRPr="005456DD">
        <w:t xml:space="preserve">, 54(3), p. e70016. Available at: </w:t>
      </w:r>
      <w:hyperlink r:id="rId25" w:tgtFrame="_new" w:history="1">
        <w:r w:rsidRPr="005456DD">
          <w:rPr>
            <w:rStyle w:val="Hyperlink"/>
          </w:rPr>
          <w:t>https://libkey.io/libraries/1422/openurl?sid=google&amp;auinit=TR&amp;aulast=Rupa&amp;atitle=From+Savings+to+Security:+The+Impact+of+Self%E2%80%90Help+Group+Micro+Savings+on+Financial+Stability+and+Development%E2%80%94A+Literature+Analysis&amp;id=doi:10.1111/ecno.70016</w:t>
        </w:r>
      </w:hyperlink>
    </w:p>
    <w:p w14:paraId="682B41A8" w14:textId="77777777" w:rsidR="000148A1" w:rsidRPr="005456DD" w:rsidRDefault="000148A1" w:rsidP="005456DD">
      <w:r w:rsidRPr="005456DD">
        <w:t xml:space="preserve">Shi, W., Ali, M. and Leong, C.M. (2025) ‘Dynamics of personal financial management: a bibliometric and systematic review on financial literacy, financial capability and financial behavior’, </w:t>
      </w:r>
      <w:r w:rsidRPr="005456DD">
        <w:rPr>
          <w:i/>
          <w:iCs/>
        </w:rPr>
        <w:t>International Journal of Bank Marketing</w:t>
      </w:r>
      <w:r w:rsidRPr="005456DD">
        <w:t xml:space="preserve">, 43(1), pp. 125–165. Available at: </w:t>
      </w:r>
      <w:hyperlink r:id="rId26" w:tgtFrame="_new" w:history="1">
        <w:r w:rsidRPr="005456DD">
          <w:rPr>
            <w:rStyle w:val="Hyperlink"/>
          </w:rPr>
          <w:t>https://libkey.io/libraries/1422/openurl?sid=google&amp;auinit=W&amp;aulast=Shi&amp;atitle=Dynamics+of+personal+financial+management:+a+bibliometric+and+systematic+review+on+financial+literacy,+financial+capability+and+financial+behavior&amp;id=doi:10.1108/IJBM-06-2023-0359</w:t>
        </w:r>
      </w:hyperlink>
    </w:p>
    <w:p w14:paraId="5E82C19E" w14:textId="77777777" w:rsidR="000148A1" w:rsidRPr="005456DD" w:rsidRDefault="000148A1" w:rsidP="005456DD">
      <w:r w:rsidRPr="005456DD">
        <w:t xml:space="preserve">Tang, M.S. (2026) ‘Determinants of financial well-being: the roles of family financial socialization, financial literacy, financial inclusion, and propensity to plan’, </w:t>
      </w:r>
      <w:r w:rsidRPr="005456DD">
        <w:rPr>
          <w:i/>
          <w:iCs/>
        </w:rPr>
        <w:t>Journal of Financial Services Marketing</w:t>
      </w:r>
      <w:r w:rsidRPr="005456DD">
        <w:t xml:space="preserve">, 31(1), p. 16. Available at: </w:t>
      </w:r>
      <w:hyperlink r:id="rId27" w:tgtFrame="_new" w:history="1">
        <w:r w:rsidRPr="005456DD">
          <w:rPr>
            <w:rStyle w:val="Hyperlink"/>
          </w:rPr>
          <w:t>https://libkey.io/libraries/1422/openurl?sid=google&amp;auinit=T&amp;aulast=My+Sang&amp;atitle=Determinants+of+financial+well-being:+the+roles+of+family+financial+socialization,+financial+literacy,+financial+inclusion,+and+propensity+to+plan&amp;id=doi:10.1057/s41264-026-00349-8</w:t>
        </w:r>
      </w:hyperlink>
    </w:p>
    <w:p w14:paraId="594AA057" w14:textId="77777777" w:rsidR="000148A1" w:rsidRPr="005456DD" w:rsidRDefault="000148A1" w:rsidP="005456DD">
      <w:r w:rsidRPr="005456DD">
        <w:t xml:space="preserve">Zhuang, J. and Yang, S. (2025) ‘Financial literacy, risk attitude, and consumer retirement planning’, </w:t>
      </w:r>
      <w:r w:rsidRPr="005456DD">
        <w:rPr>
          <w:i/>
          <w:iCs/>
        </w:rPr>
        <w:t>Finance Research Letters</w:t>
      </w:r>
      <w:r w:rsidRPr="005456DD">
        <w:t xml:space="preserve">, 84, p. 107830. Available at: </w:t>
      </w:r>
      <w:hyperlink r:id="rId28" w:tgtFrame="_new" w:history="1">
        <w:r w:rsidRPr="005456DD">
          <w:rPr>
            <w:rStyle w:val="Hyperlink"/>
          </w:rPr>
          <w:t>https://libkey.io/libraries/1422/openurl?sid=google&amp;auinit=J&amp;aulast=Zhuang&amp;atitle=Fina</w:t>
        </w:r>
        <w:r w:rsidRPr="005456DD">
          <w:rPr>
            <w:rStyle w:val="Hyperlink"/>
          </w:rPr>
          <w:lastRenderedPageBreak/>
          <w:t>ncial+literacy,+risk+attitude,+and+consumer+retirement+planning&amp;id=doi:10.1016/j.frl.2025.107830</w:t>
        </w:r>
      </w:hyperlink>
    </w:p>
    <w:p w14:paraId="51C69A8F" w14:textId="6A833E6E" w:rsidR="00800F43" w:rsidRDefault="00800F43" w:rsidP="005456DD"/>
    <w:sectPr w:rsidR="00800F43" w:rsidSect="00EE3CD1">
      <w:footerReference w:type="default" r:id="rId2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C0FB07" w14:textId="77777777" w:rsidR="00927748" w:rsidRPr="002D3DCC" w:rsidRDefault="00927748" w:rsidP="00EE3CD1">
      <w:pPr>
        <w:spacing w:after="0" w:line="240" w:lineRule="auto"/>
      </w:pPr>
      <w:r w:rsidRPr="002D3DCC">
        <w:separator/>
      </w:r>
    </w:p>
  </w:endnote>
  <w:endnote w:type="continuationSeparator" w:id="0">
    <w:p w14:paraId="23FCF5DD" w14:textId="77777777" w:rsidR="00927748" w:rsidRPr="002D3DCC" w:rsidRDefault="00927748" w:rsidP="00EE3CD1">
      <w:pPr>
        <w:spacing w:after="0" w:line="240" w:lineRule="auto"/>
      </w:pPr>
      <w:r w:rsidRPr="002D3DC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Iskoola Pota">
    <w:charset w:val="00"/>
    <w:family w:val="swiss"/>
    <w:pitch w:val="variable"/>
    <w:sig w:usb0="00000003" w:usb1="00000000" w:usb2="000002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79046924"/>
      <w:docPartObj>
        <w:docPartGallery w:val="Page Numbers (Bottom of Page)"/>
        <w:docPartUnique/>
      </w:docPartObj>
    </w:sdtPr>
    <w:sdtContent>
      <w:p w14:paraId="2ADEA6E0" w14:textId="7EC626C2" w:rsidR="00EE3CD1" w:rsidRPr="002D3DCC" w:rsidRDefault="00EE3CD1">
        <w:pPr>
          <w:pStyle w:val="Footer"/>
          <w:jc w:val="center"/>
        </w:pPr>
        <w:r w:rsidRPr="002D3DCC">
          <w:fldChar w:fldCharType="begin"/>
        </w:r>
        <w:r w:rsidRPr="002D3DCC">
          <w:instrText xml:space="preserve"> PAGE   \* MERGEFORMAT </w:instrText>
        </w:r>
        <w:r w:rsidRPr="002D3DCC">
          <w:fldChar w:fldCharType="separate"/>
        </w:r>
        <w:r w:rsidRPr="002D3DCC">
          <w:t>2</w:t>
        </w:r>
        <w:r w:rsidRPr="002D3DCC">
          <w:fldChar w:fldCharType="end"/>
        </w:r>
      </w:p>
    </w:sdtContent>
  </w:sdt>
  <w:p w14:paraId="6DB37096" w14:textId="77777777" w:rsidR="00EE3CD1" w:rsidRPr="002D3DCC" w:rsidRDefault="00EE3C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DB7D76" w14:textId="77777777" w:rsidR="00927748" w:rsidRPr="002D3DCC" w:rsidRDefault="00927748" w:rsidP="00EE3CD1">
      <w:pPr>
        <w:spacing w:after="0" w:line="240" w:lineRule="auto"/>
      </w:pPr>
      <w:r w:rsidRPr="002D3DCC">
        <w:separator/>
      </w:r>
    </w:p>
  </w:footnote>
  <w:footnote w:type="continuationSeparator" w:id="0">
    <w:p w14:paraId="254EC1E7" w14:textId="77777777" w:rsidR="00927748" w:rsidRPr="002D3DCC" w:rsidRDefault="00927748" w:rsidP="00EE3CD1">
      <w:pPr>
        <w:spacing w:after="0" w:line="240" w:lineRule="auto"/>
      </w:pPr>
      <w:r w:rsidRPr="002D3DCC">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D4024"/>
    <w:multiLevelType w:val="multilevel"/>
    <w:tmpl w:val="BDDE7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694D04"/>
    <w:multiLevelType w:val="multilevel"/>
    <w:tmpl w:val="C8120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9C3DCC"/>
    <w:multiLevelType w:val="multilevel"/>
    <w:tmpl w:val="FF1C9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5A4D77"/>
    <w:multiLevelType w:val="multilevel"/>
    <w:tmpl w:val="40127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BA0267"/>
    <w:multiLevelType w:val="hybridMultilevel"/>
    <w:tmpl w:val="C2E6A4C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604443C"/>
    <w:multiLevelType w:val="multilevel"/>
    <w:tmpl w:val="E43C72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6C40774"/>
    <w:multiLevelType w:val="hybridMultilevel"/>
    <w:tmpl w:val="5C0210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B0B08F0"/>
    <w:multiLevelType w:val="multilevel"/>
    <w:tmpl w:val="45461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7543EC"/>
    <w:multiLevelType w:val="multilevel"/>
    <w:tmpl w:val="02944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E62452"/>
    <w:multiLevelType w:val="multilevel"/>
    <w:tmpl w:val="424A8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5425358"/>
    <w:multiLevelType w:val="multilevel"/>
    <w:tmpl w:val="1BC0E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39604B"/>
    <w:multiLevelType w:val="multilevel"/>
    <w:tmpl w:val="E7FC46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DA94D2C"/>
    <w:multiLevelType w:val="multilevel"/>
    <w:tmpl w:val="931C3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0CF7A5F"/>
    <w:multiLevelType w:val="multilevel"/>
    <w:tmpl w:val="E356F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E874F24"/>
    <w:multiLevelType w:val="multilevel"/>
    <w:tmpl w:val="A02C5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0DF344B"/>
    <w:multiLevelType w:val="multilevel"/>
    <w:tmpl w:val="E1A64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5A43EA7"/>
    <w:multiLevelType w:val="hybridMultilevel"/>
    <w:tmpl w:val="B5782E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6D86F95"/>
    <w:multiLevelType w:val="multilevel"/>
    <w:tmpl w:val="0E902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1F40CA7"/>
    <w:multiLevelType w:val="multilevel"/>
    <w:tmpl w:val="3348A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5635459"/>
    <w:multiLevelType w:val="multilevel"/>
    <w:tmpl w:val="5F1C4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74E5E93"/>
    <w:multiLevelType w:val="multilevel"/>
    <w:tmpl w:val="ECC02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79E65DE"/>
    <w:multiLevelType w:val="multilevel"/>
    <w:tmpl w:val="76144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BA74542"/>
    <w:multiLevelType w:val="hybridMultilevel"/>
    <w:tmpl w:val="799AAE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CCC2B89"/>
    <w:multiLevelType w:val="multilevel"/>
    <w:tmpl w:val="CAEAE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D692EFB"/>
    <w:multiLevelType w:val="multilevel"/>
    <w:tmpl w:val="178E0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4ED6840"/>
    <w:multiLevelType w:val="multilevel"/>
    <w:tmpl w:val="77267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53473624">
    <w:abstractNumId w:val="1"/>
  </w:num>
  <w:num w:numId="2" w16cid:durableId="539054974">
    <w:abstractNumId w:val="25"/>
  </w:num>
  <w:num w:numId="3" w16cid:durableId="2127774511">
    <w:abstractNumId w:val="10"/>
  </w:num>
  <w:num w:numId="4" w16cid:durableId="1361586964">
    <w:abstractNumId w:val="2"/>
  </w:num>
  <w:num w:numId="5" w16cid:durableId="437918614">
    <w:abstractNumId w:val="9"/>
  </w:num>
  <w:num w:numId="6" w16cid:durableId="2005162893">
    <w:abstractNumId w:val="12"/>
  </w:num>
  <w:num w:numId="7" w16cid:durableId="229199686">
    <w:abstractNumId w:val="15"/>
  </w:num>
  <w:num w:numId="8" w16cid:durableId="1244030086">
    <w:abstractNumId w:val="21"/>
  </w:num>
  <w:num w:numId="9" w16cid:durableId="759836305">
    <w:abstractNumId w:val="0"/>
  </w:num>
  <w:num w:numId="10" w16cid:durableId="347565001">
    <w:abstractNumId w:val="13"/>
  </w:num>
  <w:num w:numId="11" w16cid:durableId="1125852112">
    <w:abstractNumId w:val="17"/>
  </w:num>
  <w:num w:numId="12" w16cid:durableId="1508789414">
    <w:abstractNumId w:val="24"/>
  </w:num>
  <w:num w:numId="13" w16cid:durableId="725488112">
    <w:abstractNumId w:val="19"/>
  </w:num>
  <w:num w:numId="14" w16cid:durableId="1373309100">
    <w:abstractNumId w:val="7"/>
  </w:num>
  <w:num w:numId="15" w16cid:durableId="1747606655">
    <w:abstractNumId w:val="20"/>
  </w:num>
  <w:num w:numId="16" w16cid:durableId="1280407062">
    <w:abstractNumId w:val="14"/>
  </w:num>
  <w:num w:numId="17" w16cid:durableId="1184437089">
    <w:abstractNumId w:val="18"/>
  </w:num>
  <w:num w:numId="18" w16cid:durableId="962804861">
    <w:abstractNumId w:val="8"/>
  </w:num>
  <w:num w:numId="19" w16cid:durableId="1908877473">
    <w:abstractNumId w:val="23"/>
  </w:num>
  <w:num w:numId="20" w16cid:durableId="1766075526">
    <w:abstractNumId w:val="3"/>
  </w:num>
  <w:num w:numId="21" w16cid:durableId="312372904">
    <w:abstractNumId w:val="5"/>
  </w:num>
  <w:num w:numId="22" w16cid:durableId="304818621">
    <w:abstractNumId w:val="11"/>
  </w:num>
  <w:num w:numId="23" w16cid:durableId="1527210737">
    <w:abstractNumId w:val="4"/>
  </w:num>
  <w:num w:numId="24" w16cid:durableId="678892727">
    <w:abstractNumId w:val="16"/>
  </w:num>
  <w:num w:numId="25" w16cid:durableId="1089153801">
    <w:abstractNumId w:val="22"/>
  </w:num>
  <w:num w:numId="26" w16cid:durableId="60477225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27C5"/>
    <w:rsid w:val="00007DEF"/>
    <w:rsid w:val="000148A1"/>
    <w:rsid w:val="00017AFD"/>
    <w:rsid w:val="00021C97"/>
    <w:rsid w:val="0002639B"/>
    <w:rsid w:val="00042254"/>
    <w:rsid w:val="00056837"/>
    <w:rsid w:val="00062DD6"/>
    <w:rsid w:val="00067D56"/>
    <w:rsid w:val="00071F14"/>
    <w:rsid w:val="000A5F95"/>
    <w:rsid w:val="000A6BF5"/>
    <w:rsid w:val="000B05E4"/>
    <w:rsid w:val="000C3B79"/>
    <w:rsid w:val="000C6B7C"/>
    <w:rsid w:val="000D125F"/>
    <w:rsid w:val="000D29AB"/>
    <w:rsid w:val="000D576F"/>
    <w:rsid w:val="000D6797"/>
    <w:rsid w:val="000D6BC2"/>
    <w:rsid w:val="000E0A79"/>
    <w:rsid w:val="000F0ABE"/>
    <w:rsid w:val="000F1521"/>
    <w:rsid w:val="000F3A1F"/>
    <w:rsid w:val="00110DE8"/>
    <w:rsid w:val="00147678"/>
    <w:rsid w:val="00152507"/>
    <w:rsid w:val="00165CFE"/>
    <w:rsid w:val="00167C1B"/>
    <w:rsid w:val="001803FE"/>
    <w:rsid w:val="00190E60"/>
    <w:rsid w:val="001D3719"/>
    <w:rsid w:val="001E73A9"/>
    <w:rsid w:val="00200442"/>
    <w:rsid w:val="00205DCF"/>
    <w:rsid w:val="00220766"/>
    <w:rsid w:val="00221B96"/>
    <w:rsid w:val="00222DFD"/>
    <w:rsid w:val="0024520E"/>
    <w:rsid w:val="00261597"/>
    <w:rsid w:val="002627E5"/>
    <w:rsid w:val="00280D95"/>
    <w:rsid w:val="002B38D5"/>
    <w:rsid w:val="002C0574"/>
    <w:rsid w:val="002C63D0"/>
    <w:rsid w:val="002D3DCC"/>
    <w:rsid w:val="002E2450"/>
    <w:rsid w:val="002F16D0"/>
    <w:rsid w:val="002F369F"/>
    <w:rsid w:val="00300506"/>
    <w:rsid w:val="003248F2"/>
    <w:rsid w:val="003267B0"/>
    <w:rsid w:val="003315B7"/>
    <w:rsid w:val="00337154"/>
    <w:rsid w:val="00345423"/>
    <w:rsid w:val="0034606C"/>
    <w:rsid w:val="003507DE"/>
    <w:rsid w:val="00352512"/>
    <w:rsid w:val="00354DE5"/>
    <w:rsid w:val="00364F0C"/>
    <w:rsid w:val="003A145B"/>
    <w:rsid w:val="003B4A68"/>
    <w:rsid w:val="003B4AF2"/>
    <w:rsid w:val="003B6851"/>
    <w:rsid w:val="0044795A"/>
    <w:rsid w:val="00455EBC"/>
    <w:rsid w:val="00471EE5"/>
    <w:rsid w:val="00481301"/>
    <w:rsid w:val="00483991"/>
    <w:rsid w:val="004960C1"/>
    <w:rsid w:val="004A5B00"/>
    <w:rsid w:val="004A5CC3"/>
    <w:rsid w:val="004A5D53"/>
    <w:rsid w:val="004B4664"/>
    <w:rsid w:val="004C082B"/>
    <w:rsid w:val="004C3D74"/>
    <w:rsid w:val="004D1424"/>
    <w:rsid w:val="004D7A0B"/>
    <w:rsid w:val="004E5755"/>
    <w:rsid w:val="004E72E4"/>
    <w:rsid w:val="0051573E"/>
    <w:rsid w:val="0052632A"/>
    <w:rsid w:val="00535B9F"/>
    <w:rsid w:val="00536DAE"/>
    <w:rsid w:val="005456DD"/>
    <w:rsid w:val="0055413B"/>
    <w:rsid w:val="00554D0C"/>
    <w:rsid w:val="00575996"/>
    <w:rsid w:val="005841D3"/>
    <w:rsid w:val="005915B7"/>
    <w:rsid w:val="005B1279"/>
    <w:rsid w:val="005B6336"/>
    <w:rsid w:val="005C5155"/>
    <w:rsid w:val="005C711A"/>
    <w:rsid w:val="005D5FBC"/>
    <w:rsid w:val="005F0A83"/>
    <w:rsid w:val="00611570"/>
    <w:rsid w:val="006118A1"/>
    <w:rsid w:val="006211C1"/>
    <w:rsid w:val="0062713C"/>
    <w:rsid w:val="00637FCC"/>
    <w:rsid w:val="00643B7B"/>
    <w:rsid w:val="00664D8D"/>
    <w:rsid w:val="00666921"/>
    <w:rsid w:val="00677C15"/>
    <w:rsid w:val="00697D55"/>
    <w:rsid w:val="006A1F2E"/>
    <w:rsid w:val="006A4313"/>
    <w:rsid w:val="006A4CBB"/>
    <w:rsid w:val="006B118F"/>
    <w:rsid w:val="006B4FDB"/>
    <w:rsid w:val="006C26EC"/>
    <w:rsid w:val="006D1CE9"/>
    <w:rsid w:val="006D3A7E"/>
    <w:rsid w:val="006D72C7"/>
    <w:rsid w:val="006E264C"/>
    <w:rsid w:val="006F331C"/>
    <w:rsid w:val="00704F2B"/>
    <w:rsid w:val="00715DA7"/>
    <w:rsid w:val="00745CDA"/>
    <w:rsid w:val="00751A73"/>
    <w:rsid w:val="00754B9F"/>
    <w:rsid w:val="007641A6"/>
    <w:rsid w:val="00770EBB"/>
    <w:rsid w:val="00773561"/>
    <w:rsid w:val="00783218"/>
    <w:rsid w:val="00793C77"/>
    <w:rsid w:val="007A68EB"/>
    <w:rsid w:val="007B527F"/>
    <w:rsid w:val="007B5756"/>
    <w:rsid w:val="007B72ED"/>
    <w:rsid w:val="007C3223"/>
    <w:rsid w:val="007D15DA"/>
    <w:rsid w:val="007D2884"/>
    <w:rsid w:val="007F1037"/>
    <w:rsid w:val="007F145A"/>
    <w:rsid w:val="00800F43"/>
    <w:rsid w:val="00813031"/>
    <w:rsid w:val="00830220"/>
    <w:rsid w:val="00843F50"/>
    <w:rsid w:val="00860F1D"/>
    <w:rsid w:val="00876BAD"/>
    <w:rsid w:val="00881334"/>
    <w:rsid w:val="00884778"/>
    <w:rsid w:val="008B1843"/>
    <w:rsid w:val="008B76B5"/>
    <w:rsid w:val="008D7408"/>
    <w:rsid w:val="008F3010"/>
    <w:rsid w:val="008F59CE"/>
    <w:rsid w:val="00927748"/>
    <w:rsid w:val="009937AA"/>
    <w:rsid w:val="009A2A90"/>
    <w:rsid w:val="009B073B"/>
    <w:rsid w:val="009B2422"/>
    <w:rsid w:val="009B6F1A"/>
    <w:rsid w:val="009F338C"/>
    <w:rsid w:val="00A11873"/>
    <w:rsid w:val="00A22F9B"/>
    <w:rsid w:val="00A26E92"/>
    <w:rsid w:val="00A278B2"/>
    <w:rsid w:val="00A4055A"/>
    <w:rsid w:val="00A4224D"/>
    <w:rsid w:val="00A60F0C"/>
    <w:rsid w:val="00A612A7"/>
    <w:rsid w:val="00A63E34"/>
    <w:rsid w:val="00A661E7"/>
    <w:rsid w:val="00AA00CB"/>
    <w:rsid w:val="00AB1201"/>
    <w:rsid w:val="00AC224E"/>
    <w:rsid w:val="00AD4176"/>
    <w:rsid w:val="00AD679A"/>
    <w:rsid w:val="00AE4491"/>
    <w:rsid w:val="00AF4A6C"/>
    <w:rsid w:val="00B01B7E"/>
    <w:rsid w:val="00B05AAE"/>
    <w:rsid w:val="00B06EE4"/>
    <w:rsid w:val="00B2028E"/>
    <w:rsid w:val="00B24E37"/>
    <w:rsid w:val="00B26228"/>
    <w:rsid w:val="00B26240"/>
    <w:rsid w:val="00B42FBD"/>
    <w:rsid w:val="00B4349F"/>
    <w:rsid w:val="00B722D1"/>
    <w:rsid w:val="00B80F29"/>
    <w:rsid w:val="00B8225F"/>
    <w:rsid w:val="00B84528"/>
    <w:rsid w:val="00B8752E"/>
    <w:rsid w:val="00BA446D"/>
    <w:rsid w:val="00BE1A07"/>
    <w:rsid w:val="00BF00BB"/>
    <w:rsid w:val="00BF27C5"/>
    <w:rsid w:val="00C10E90"/>
    <w:rsid w:val="00C12173"/>
    <w:rsid w:val="00C1270A"/>
    <w:rsid w:val="00C21CB6"/>
    <w:rsid w:val="00C25E8C"/>
    <w:rsid w:val="00C40879"/>
    <w:rsid w:val="00C471C9"/>
    <w:rsid w:val="00C5176E"/>
    <w:rsid w:val="00C52A21"/>
    <w:rsid w:val="00C56BD1"/>
    <w:rsid w:val="00C57B09"/>
    <w:rsid w:val="00C660A6"/>
    <w:rsid w:val="00C70741"/>
    <w:rsid w:val="00C73CFD"/>
    <w:rsid w:val="00C82861"/>
    <w:rsid w:val="00CC2830"/>
    <w:rsid w:val="00CD36AE"/>
    <w:rsid w:val="00CD5F3A"/>
    <w:rsid w:val="00CE1796"/>
    <w:rsid w:val="00CE7EAB"/>
    <w:rsid w:val="00CF5B3F"/>
    <w:rsid w:val="00CF7451"/>
    <w:rsid w:val="00D13744"/>
    <w:rsid w:val="00D31ABA"/>
    <w:rsid w:val="00D5194D"/>
    <w:rsid w:val="00D51C81"/>
    <w:rsid w:val="00D54B30"/>
    <w:rsid w:val="00D70613"/>
    <w:rsid w:val="00D7091A"/>
    <w:rsid w:val="00D74F67"/>
    <w:rsid w:val="00D80C2F"/>
    <w:rsid w:val="00D819AC"/>
    <w:rsid w:val="00D85120"/>
    <w:rsid w:val="00D8740B"/>
    <w:rsid w:val="00DA616D"/>
    <w:rsid w:val="00DA734E"/>
    <w:rsid w:val="00DB14E3"/>
    <w:rsid w:val="00DC32E1"/>
    <w:rsid w:val="00DC4FC0"/>
    <w:rsid w:val="00DC5846"/>
    <w:rsid w:val="00DD7960"/>
    <w:rsid w:val="00DF263F"/>
    <w:rsid w:val="00E04A72"/>
    <w:rsid w:val="00E3582C"/>
    <w:rsid w:val="00E51617"/>
    <w:rsid w:val="00E517F1"/>
    <w:rsid w:val="00E56A86"/>
    <w:rsid w:val="00E6377F"/>
    <w:rsid w:val="00E66613"/>
    <w:rsid w:val="00EA0D95"/>
    <w:rsid w:val="00EC3051"/>
    <w:rsid w:val="00ED1D77"/>
    <w:rsid w:val="00EE07CD"/>
    <w:rsid w:val="00EE3CD1"/>
    <w:rsid w:val="00F04949"/>
    <w:rsid w:val="00F15D20"/>
    <w:rsid w:val="00F15F8C"/>
    <w:rsid w:val="00F25634"/>
    <w:rsid w:val="00F53342"/>
    <w:rsid w:val="00F55E37"/>
    <w:rsid w:val="00F5654B"/>
    <w:rsid w:val="00F64538"/>
    <w:rsid w:val="00F65AC0"/>
    <w:rsid w:val="00F67986"/>
    <w:rsid w:val="00F70C6D"/>
    <w:rsid w:val="00F7208D"/>
    <w:rsid w:val="00F80072"/>
    <w:rsid w:val="00FB12B2"/>
    <w:rsid w:val="00FB2198"/>
    <w:rsid w:val="00FB7C7E"/>
    <w:rsid w:val="00FC380B"/>
    <w:rsid w:val="00FC48B8"/>
    <w:rsid w:val="00FE7D53"/>
    <w:rsid w:val="00FE7D6F"/>
    <w:rsid w:val="00FF1A7B"/>
  </w:rsids>
  <m:mathPr>
    <m:mathFont m:val="Cambria Math"/>
    <m:brkBin m:val="before"/>
    <m:brkBinSub m:val="--"/>
    <m:smallFrac m:val="0"/>
    <m:dispDef/>
    <m:lMargin m:val="0"/>
    <m:rMargin m:val="0"/>
    <m:defJc m:val="centerGroup"/>
    <m:wrapIndent m:val="1440"/>
    <m:intLim m:val="subSup"/>
    <m:naryLim m:val="undOvr"/>
  </m:mathPr>
  <w:themeFontLang w:val="en-US" w:bidi="si-L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0F38C5"/>
  <w15:chartTrackingRefBased/>
  <w15:docId w15:val="{11AD2A1C-9B68-4436-8839-06648FE550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27C5"/>
    <w:pPr>
      <w:spacing w:line="360" w:lineRule="auto"/>
      <w:jc w:val="both"/>
    </w:pPr>
    <w:rPr>
      <w:rFonts w:ascii="Arial" w:hAnsi="Arial"/>
      <w:lang w:val="en-GB"/>
    </w:rPr>
  </w:style>
  <w:style w:type="paragraph" w:styleId="Heading1">
    <w:name w:val="heading 1"/>
    <w:basedOn w:val="Normal"/>
    <w:next w:val="Normal"/>
    <w:link w:val="Heading1Char"/>
    <w:uiPriority w:val="9"/>
    <w:qFormat/>
    <w:rsid w:val="004A5D53"/>
    <w:pPr>
      <w:keepNext/>
      <w:keepLines/>
      <w:spacing w:before="360" w:after="80"/>
      <w:outlineLvl w:val="0"/>
    </w:pPr>
    <w:rPr>
      <w:rFonts w:eastAsiaTheme="majorEastAsia" w:cstheme="majorBidi"/>
      <w:b/>
      <w:color w:val="000000" w:themeColor="text1"/>
      <w:sz w:val="28"/>
      <w:szCs w:val="40"/>
    </w:rPr>
  </w:style>
  <w:style w:type="paragraph" w:styleId="Heading2">
    <w:name w:val="heading 2"/>
    <w:basedOn w:val="Normal"/>
    <w:next w:val="Normal"/>
    <w:link w:val="Heading2Char"/>
    <w:uiPriority w:val="9"/>
    <w:unhideWhenUsed/>
    <w:qFormat/>
    <w:rsid w:val="00221B96"/>
    <w:pPr>
      <w:keepNext/>
      <w:keepLines/>
      <w:spacing w:before="160" w:after="80"/>
      <w:outlineLvl w:val="1"/>
    </w:pPr>
    <w:rPr>
      <w:rFonts w:eastAsiaTheme="majorEastAsia" w:cstheme="majorBidi"/>
      <w:b/>
      <w:color w:val="000000" w:themeColor="text1"/>
      <w:sz w:val="26"/>
      <w:szCs w:val="32"/>
    </w:rPr>
  </w:style>
  <w:style w:type="paragraph" w:styleId="Heading3">
    <w:name w:val="heading 3"/>
    <w:basedOn w:val="Normal"/>
    <w:next w:val="Normal"/>
    <w:link w:val="Heading3Char"/>
    <w:uiPriority w:val="9"/>
    <w:semiHidden/>
    <w:unhideWhenUsed/>
    <w:qFormat/>
    <w:rsid w:val="00BF27C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F27C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F27C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F27C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F27C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F27C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F27C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5D53"/>
    <w:rPr>
      <w:rFonts w:ascii="Arial" w:eastAsiaTheme="majorEastAsia" w:hAnsi="Arial" w:cstheme="majorBidi"/>
      <w:b/>
      <w:color w:val="000000" w:themeColor="text1"/>
      <w:sz w:val="28"/>
      <w:szCs w:val="40"/>
      <w:lang w:val="en-GB"/>
    </w:rPr>
  </w:style>
  <w:style w:type="character" w:customStyle="1" w:styleId="Heading2Char">
    <w:name w:val="Heading 2 Char"/>
    <w:basedOn w:val="DefaultParagraphFont"/>
    <w:link w:val="Heading2"/>
    <w:uiPriority w:val="9"/>
    <w:rsid w:val="00221B96"/>
    <w:rPr>
      <w:rFonts w:ascii="Arial" w:eastAsiaTheme="majorEastAsia" w:hAnsi="Arial" w:cstheme="majorBidi"/>
      <w:b/>
      <w:color w:val="000000" w:themeColor="text1"/>
      <w:sz w:val="26"/>
      <w:szCs w:val="32"/>
      <w:lang w:val="en-GB"/>
    </w:rPr>
  </w:style>
  <w:style w:type="character" w:customStyle="1" w:styleId="Heading3Char">
    <w:name w:val="Heading 3 Char"/>
    <w:basedOn w:val="DefaultParagraphFont"/>
    <w:link w:val="Heading3"/>
    <w:uiPriority w:val="9"/>
    <w:semiHidden/>
    <w:rsid w:val="00BF27C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F27C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F27C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F27C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F27C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F27C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F27C5"/>
    <w:rPr>
      <w:rFonts w:eastAsiaTheme="majorEastAsia" w:cstheme="majorBidi"/>
      <w:color w:val="272727" w:themeColor="text1" w:themeTint="D8"/>
    </w:rPr>
  </w:style>
  <w:style w:type="paragraph" w:styleId="Title">
    <w:name w:val="Title"/>
    <w:basedOn w:val="Normal"/>
    <w:next w:val="Normal"/>
    <w:link w:val="TitleChar"/>
    <w:uiPriority w:val="10"/>
    <w:qFormat/>
    <w:rsid w:val="00BF27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27C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F27C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F27C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F27C5"/>
    <w:pPr>
      <w:spacing w:before="160"/>
      <w:jc w:val="center"/>
    </w:pPr>
    <w:rPr>
      <w:i/>
      <w:iCs/>
      <w:color w:val="404040" w:themeColor="text1" w:themeTint="BF"/>
    </w:rPr>
  </w:style>
  <w:style w:type="character" w:customStyle="1" w:styleId="QuoteChar">
    <w:name w:val="Quote Char"/>
    <w:basedOn w:val="DefaultParagraphFont"/>
    <w:link w:val="Quote"/>
    <w:uiPriority w:val="29"/>
    <w:rsid w:val="00BF27C5"/>
    <w:rPr>
      <w:i/>
      <w:iCs/>
      <w:color w:val="404040" w:themeColor="text1" w:themeTint="BF"/>
    </w:rPr>
  </w:style>
  <w:style w:type="paragraph" w:styleId="ListParagraph">
    <w:name w:val="List Paragraph"/>
    <w:basedOn w:val="Normal"/>
    <w:uiPriority w:val="34"/>
    <w:qFormat/>
    <w:rsid w:val="00BF27C5"/>
    <w:pPr>
      <w:ind w:left="720"/>
      <w:contextualSpacing/>
    </w:pPr>
  </w:style>
  <w:style w:type="character" w:styleId="IntenseEmphasis">
    <w:name w:val="Intense Emphasis"/>
    <w:basedOn w:val="DefaultParagraphFont"/>
    <w:uiPriority w:val="21"/>
    <w:qFormat/>
    <w:rsid w:val="00BF27C5"/>
    <w:rPr>
      <w:i/>
      <w:iCs/>
      <w:color w:val="2F5496" w:themeColor="accent1" w:themeShade="BF"/>
    </w:rPr>
  </w:style>
  <w:style w:type="paragraph" w:styleId="IntenseQuote">
    <w:name w:val="Intense Quote"/>
    <w:basedOn w:val="Normal"/>
    <w:next w:val="Normal"/>
    <w:link w:val="IntenseQuoteChar"/>
    <w:uiPriority w:val="30"/>
    <w:qFormat/>
    <w:rsid w:val="00BF27C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F27C5"/>
    <w:rPr>
      <w:i/>
      <w:iCs/>
      <w:color w:val="2F5496" w:themeColor="accent1" w:themeShade="BF"/>
    </w:rPr>
  </w:style>
  <w:style w:type="character" w:styleId="IntenseReference">
    <w:name w:val="Intense Reference"/>
    <w:basedOn w:val="DefaultParagraphFont"/>
    <w:uiPriority w:val="32"/>
    <w:qFormat/>
    <w:rsid w:val="00BF27C5"/>
    <w:rPr>
      <w:b/>
      <w:bCs/>
      <w:smallCaps/>
      <w:color w:val="2F5496" w:themeColor="accent1" w:themeShade="BF"/>
      <w:spacing w:val="5"/>
    </w:rPr>
  </w:style>
  <w:style w:type="paragraph" w:styleId="Header">
    <w:name w:val="header"/>
    <w:basedOn w:val="Normal"/>
    <w:link w:val="HeaderChar"/>
    <w:uiPriority w:val="99"/>
    <w:unhideWhenUsed/>
    <w:rsid w:val="00EE3CD1"/>
    <w:pPr>
      <w:tabs>
        <w:tab w:val="center" w:pos="4680"/>
        <w:tab w:val="right" w:pos="9360"/>
      </w:tabs>
      <w:spacing w:after="0" w:line="240" w:lineRule="auto"/>
    </w:pPr>
  </w:style>
  <w:style w:type="character" w:customStyle="1" w:styleId="HeaderChar">
    <w:name w:val="Header Char"/>
    <w:basedOn w:val="DefaultParagraphFont"/>
    <w:link w:val="Header"/>
    <w:uiPriority w:val="99"/>
    <w:rsid w:val="00EE3CD1"/>
    <w:rPr>
      <w:rFonts w:ascii="Arial" w:hAnsi="Arial"/>
      <w:lang w:val="en-GB"/>
    </w:rPr>
  </w:style>
  <w:style w:type="paragraph" w:styleId="Footer">
    <w:name w:val="footer"/>
    <w:basedOn w:val="Normal"/>
    <w:link w:val="FooterChar"/>
    <w:uiPriority w:val="99"/>
    <w:unhideWhenUsed/>
    <w:rsid w:val="00EE3CD1"/>
    <w:pPr>
      <w:tabs>
        <w:tab w:val="center" w:pos="4680"/>
        <w:tab w:val="right" w:pos="9360"/>
      </w:tabs>
      <w:spacing w:after="0" w:line="240" w:lineRule="auto"/>
    </w:pPr>
  </w:style>
  <w:style w:type="character" w:customStyle="1" w:styleId="FooterChar">
    <w:name w:val="Footer Char"/>
    <w:basedOn w:val="DefaultParagraphFont"/>
    <w:link w:val="Footer"/>
    <w:uiPriority w:val="99"/>
    <w:rsid w:val="00EE3CD1"/>
    <w:rPr>
      <w:rFonts w:ascii="Arial" w:hAnsi="Arial"/>
      <w:lang w:val="en-GB"/>
    </w:rPr>
  </w:style>
  <w:style w:type="paragraph" w:styleId="Caption">
    <w:name w:val="caption"/>
    <w:basedOn w:val="Normal"/>
    <w:next w:val="Normal"/>
    <w:uiPriority w:val="35"/>
    <w:unhideWhenUsed/>
    <w:qFormat/>
    <w:rsid w:val="00165CFE"/>
    <w:pPr>
      <w:spacing w:after="200" w:line="240" w:lineRule="auto"/>
    </w:pPr>
    <w:rPr>
      <w:iCs/>
      <w:color w:val="000000" w:themeColor="text1"/>
      <w:szCs w:val="18"/>
    </w:rPr>
  </w:style>
  <w:style w:type="character" w:styleId="Hyperlink">
    <w:name w:val="Hyperlink"/>
    <w:basedOn w:val="DefaultParagraphFont"/>
    <w:uiPriority w:val="99"/>
    <w:unhideWhenUsed/>
    <w:rsid w:val="00A661E7"/>
    <w:rPr>
      <w:color w:val="0563C1" w:themeColor="hyperlink"/>
      <w:u w:val="single"/>
    </w:rPr>
  </w:style>
  <w:style w:type="character" w:styleId="UnresolvedMention">
    <w:name w:val="Unresolved Mention"/>
    <w:basedOn w:val="DefaultParagraphFont"/>
    <w:uiPriority w:val="99"/>
    <w:semiHidden/>
    <w:unhideWhenUsed/>
    <w:rsid w:val="00A661E7"/>
    <w:rPr>
      <w:color w:val="605E5C"/>
      <w:shd w:val="clear" w:color="auto" w:fill="E1DFDD"/>
    </w:rPr>
  </w:style>
  <w:style w:type="paragraph" w:styleId="TOC1">
    <w:name w:val="toc 1"/>
    <w:basedOn w:val="Normal"/>
    <w:next w:val="Normal"/>
    <w:autoRedefine/>
    <w:uiPriority w:val="39"/>
    <w:unhideWhenUsed/>
    <w:rsid w:val="00E3582C"/>
    <w:pPr>
      <w:spacing w:after="100"/>
    </w:pPr>
  </w:style>
  <w:style w:type="paragraph" w:styleId="TOC2">
    <w:name w:val="toc 2"/>
    <w:basedOn w:val="Normal"/>
    <w:next w:val="Normal"/>
    <w:autoRedefine/>
    <w:uiPriority w:val="39"/>
    <w:unhideWhenUsed/>
    <w:rsid w:val="00E3582C"/>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libkey.io/libraries/1422/openurl?sid=google&amp;auinit=V&amp;aulast=Das&amp;atitle=Financial+Literacy+and+Financial+Well-Being+Amid+Varying+Economic+Conditions:+Evidence+from+the+Survey+of+Household+Economics+and+Decisionmaking+2017%E2%80%932022&amp;id=doi:10.3390/ijfs13020079" TargetMode="External"/><Relationship Id="rId18" Type="http://schemas.openxmlformats.org/officeDocument/2006/relationships/hyperlink" Target="https://libkey.io/libraries/1422/openurl?sid=google&amp;auinit=UM&amp;aulast=Lone&amp;atitle=Impact+of+digital+financial+literacy+on+financial+well-being:+moderating+role+of+gender+and+religiosity&amp;id=doi:10.1057/s41264-025-00309-8" TargetMode="External"/><Relationship Id="rId26" Type="http://schemas.openxmlformats.org/officeDocument/2006/relationships/hyperlink" Target="https://libkey.io/libraries/1422/openurl?sid=google&amp;auinit=W&amp;aulast=Shi&amp;atitle=Dynamics+of+personal+financial+management:+a+bibliometric+and+systematic+review+on+financial+literacy,+financial+capability+and+financial+behavior&amp;id=doi:10.1108/IJBM-06-2023-0359" TargetMode="External"/><Relationship Id="rId3" Type="http://schemas.openxmlformats.org/officeDocument/2006/relationships/styles" Target="styles.xml"/><Relationship Id="rId21" Type="http://schemas.openxmlformats.org/officeDocument/2006/relationships/hyperlink" Target="https://libkey.io/libraries/1422/openurl?sid=google&amp;auinit=T&amp;aulast=Mutya&amp;atitle=Does+digital+financial+literacy+matter+for+current+and+future+saving+behavior+among+rural+SME+entrepreneurs%3F+Government+regulations+awareness+as+a+moderator&amp;id=doi:10.14505/tpref.v15.4(32).12" TargetMode="External"/><Relationship Id="rId7" Type="http://schemas.openxmlformats.org/officeDocument/2006/relationships/endnotes" Target="endnotes.xml"/><Relationship Id="rId12" Type="http://schemas.openxmlformats.org/officeDocument/2006/relationships/hyperlink" Target="https://libkey.io/libraries/1422/openurl?sid=google&amp;auinit=P&amp;aulast=Choowan&amp;atitle=Effects+of+financial+literacy+and+financial+behavior+on+financial+well-being:+Meta-analytical+review+of+experimental+studies&amp;id=doi:10.3390/ijfs13010001" TargetMode="External"/><Relationship Id="rId17" Type="http://schemas.openxmlformats.org/officeDocument/2006/relationships/hyperlink" Target="https://libkey.io/libraries/1422/openurl?sid=google&amp;auinit=UM&amp;aulast=Lone&amp;atitle=Impact+of+financial+literacy+on+financial+well-being:+a+mediational+role+of+financial+self-efficacy&amp;id=doi:10.1057/s41264-022-00183-8" TargetMode="External"/><Relationship Id="rId25" Type="http://schemas.openxmlformats.org/officeDocument/2006/relationships/hyperlink" Target="https://libkey.io/libraries/1422/openurl?sid=google&amp;auinit=TR&amp;aulast=Rupa&amp;atitle=From+Savings+to+Security:+The+Impact+of+Self%E2%80%90Help+Group+Micro+Savings+on+Financial+Stability+and+Development%E2%80%94A+Literature+Analysis&amp;id=doi:10.1111/ecno.70016" TargetMode="External"/><Relationship Id="rId2" Type="http://schemas.openxmlformats.org/officeDocument/2006/relationships/numbering" Target="numbering.xml"/><Relationship Id="rId16" Type="http://schemas.openxmlformats.org/officeDocument/2006/relationships/hyperlink" Target="https://libkey.io/libraries/1422/openurl?sid=google&amp;auinit=PK&amp;aulast=Kuutol&amp;atitle=Financial+literacy+and+financial+well-being+in+rural+households+in+Ghana:+The+role+of+financial+information+consumption&amp;id=doi:10.3390/su16198380" TargetMode="External"/><Relationship Id="rId20" Type="http://schemas.openxmlformats.org/officeDocument/2006/relationships/hyperlink" Target="https://libkey.io/libraries/1422/openurl?sid=google&amp;auinit=O&amp;aulast=Mamani-Benito&amp;atitle=Financial+well-being+and+financial+stress+as+predictors+of+overall+well-being+and+life+satisfaction+among+Peruvian+workers&amp;id=doi:10.3389/fpsyg.2025.1553006"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bkey.io/libraries/1422/openurl?sid=google&amp;auinit=MA&amp;aulast=Alqam&amp;atitle=The+impact+of+financial+literacy+on+financial+inclusion+for+financial+well-being+of+youth:+evidence+from+Jordan&amp;id=doi:10.1007/s43621-024-00704-6" TargetMode="External"/><Relationship Id="rId24" Type="http://schemas.openxmlformats.org/officeDocument/2006/relationships/hyperlink" Target="https://libkey.io/libraries/1422/openurl?sid=google&amp;auinit=N&amp;aulast=Prakash&amp;atitle=Investigating+the+determinants+of+financial+well-being:+A+SEM+approach&amp;id=doi:10.1177/22785337221148253" TargetMode="External"/><Relationship Id="rId5" Type="http://schemas.openxmlformats.org/officeDocument/2006/relationships/webSettings" Target="webSettings.xml"/><Relationship Id="rId15" Type="http://schemas.openxmlformats.org/officeDocument/2006/relationships/hyperlink" Target="https://libkey.io/libraries/1422/openurl?sid=google&amp;auinit=I&amp;aulast=Katnic&amp;atitle=Understanding+the+role+of+financial+literacy+in+enhancing+economic+stability+and+resilience+in+Montenegro:+A+data-driven+approach&amp;id=doi:10.3390/su162411065" TargetMode="External"/><Relationship Id="rId23" Type="http://schemas.openxmlformats.org/officeDocument/2006/relationships/hyperlink" Target="https://libkey.io/libraries/1422/openurl?sid=google&amp;auinit=J&amp;aulast=Paul&amp;atitle=Personal+Financial+Planning+Services:+A+Review+and+Future+Research+Agenda&amp;id=doi:10.1111/ijcs.70116" TargetMode="External"/><Relationship Id="rId28" Type="http://schemas.openxmlformats.org/officeDocument/2006/relationships/hyperlink" Target="https://libkey.io/libraries/1422/openurl?sid=google&amp;auinit=J&amp;aulast=Zhuang&amp;atitle=Financial+literacy,+risk+attitude,+and+consumer+retirement+planning&amp;id=doi:10.1016/j.frl.2025.107830" TargetMode="External"/><Relationship Id="rId10" Type="http://schemas.openxmlformats.org/officeDocument/2006/relationships/image" Target="media/image3.emf"/><Relationship Id="rId19" Type="http://schemas.openxmlformats.org/officeDocument/2006/relationships/hyperlink" Target="https://libkey.io/libraries/1422/openurl?sid=google&amp;auinit=E&amp;aulast=Lulaj&amp;atitle=Cracking+the+wealth+puzzle:+Investigating+the+interplay+of+personal+finance,+expenditure+behavior,+and+financial+management&amp;id=doi:10.15388/Ekon.2024.103.3.8"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libkey.io/libraries/1422/openurl?sid=google&amp;auinit=N&amp;aulast=Emara&amp;atitle=Threshold+effects+of+financial+depth+on+domestic+savings:+Evidence+from+the+EMEA+region&amp;id=doi:10.1016/j.eap.2025.05.038" TargetMode="External"/><Relationship Id="rId22" Type="http://schemas.openxmlformats.org/officeDocument/2006/relationships/hyperlink" Target="https://libkey.io/libraries/1422/openurl?sid=google&amp;auinit=C&amp;aulast=Ouyang&amp;atitle=The+interplay+of+financial+safety+nets,+long-term+goals,+and+saving+habits:+A+moderated+mediation+study&amp;id=doi:10.3390/ijfs13010047" TargetMode="External"/><Relationship Id="rId27" Type="http://schemas.openxmlformats.org/officeDocument/2006/relationships/hyperlink" Target="https://libkey.io/libraries/1422/openurl?sid=google&amp;auinit=T&amp;aulast=My+Sang&amp;atitle=Determinants+of+financial+well-being:+the+roles+of+family+financial+socialization,+financial+literacy,+financial+inclusion,+and+propensity+to+plan&amp;id=doi:10.1057/s41264-026-00349-8"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C9A319-6809-4E5A-A5AB-89CA1886A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16</Pages>
  <Words>4622</Words>
  <Characters>26350</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 1</dc:creator>
  <cp:keywords/>
  <dc:description/>
  <cp:lastModifiedBy>sutariya fenil</cp:lastModifiedBy>
  <cp:revision>320</cp:revision>
  <dcterms:created xsi:type="dcterms:W3CDTF">2026-03-18T08:33:00Z</dcterms:created>
  <dcterms:modified xsi:type="dcterms:W3CDTF">2026-03-20T09:27:00Z</dcterms:modified>
</cp:coreProperties>
</file>