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22C097" w14:textId="48C43FC9" w:rsidR="008D3670" w:rsidRPr="00863EE4" w:rsidRDefault="00EA247D" w:rsidP="008439C5">
      <w:pPr>
        <w:jc w:val="center"/>
      </w:pPr>
      <w:r w:rsidRPr="00863EE4">
        <w:t>University of Wales Trinity Saint David</w:t>
      </w:r>
      <w:r w:rsidR="00685A5A" w:rsidRPr="00863EE4">
        <w:t xml:space="preserve"> BIRMINGHAM</w:t>
      </w:r>
    </w:p>
    <w:p w14:paraId="7B7D427D" w14:textId="0D985252" w:rsidR="00854403" w:rsidRPr="00A631F9" w:rsidRDefault="00D16483" w:rsidP="00856AC6">
      <w:pPr>
        <w:jc w:val="center"/>
      </w:pPr>
      <w:r>
        <w:rPr>
          <w:noProof/>
        </w:rPr>
        <w:drawing>
          <wp:inline distT="0" distB="0" distL="0" distR="0" wp14:anchorId="6D012514" wp14:editId="10EDDFFA">
            <wp:extent cx="5326380" cy="1333500"/>
            <wp:effectExtent l="0" t="0" r="7620" b="0"/>
            <wp:docPr id="384167001" name="Picture 1" descr="A logo of 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167001" name="Picture 1" descr="A logo of a university"/>
                    <pic:cNvPicPr/>
                  </pic:nvPicPr>
                  <pic:blipFill>
                    <a:blip r:embed="rId8"/>
                    <a:stretch>
                      <a:fillRect/>
                    </a:stretch>
                  </pic:blipFill>
                  <pic:spPr>
                    <a:xfrm>
                      <a:off x="0" y="0"/>
                      <a:ext cx="5326380" cy="1333500"/>
                    </a:xfrm>
                    <a:prstGeom prst="rect">
                      <a:avLst/>
                    </a:prstGeom>
                  </pic:spPr>
                </pic:pic>
              </a:graphicData>
            </a:graphic>
          </wp:inline>
        </w:drawing>
      </w:r>
      <w:r w:rsidR="00854403">
        <w:t>M</w:t>
      </w:r>
      <w:r w:rsidR="00854403" w:rsidRPr="00A631F9">
        <w:t>aster of Business Administration</w:t>
      </w:r>
    </w:p>
    <w:p w14:paraId="0F6CA1C3" w14:textId="77777777" w:rsidR="00854403" w:rsidRPr="00A631F9" w:rsidRDefault="00854403" w:rsidP="00856AC6">
      <w:pPr>
        <w:jc w:val="center"/>
      </w:pPr>
      <w:r w:rsidRPr="00A631F9">
        <w:t>Module: International Marketing: Principles and Practices</w:t>
      </w:r>
    </w:p>
    <w:p w14:paraId="55865C21" w14:textId="77777777" w:rsidR="00854403" w:rsidRPr="00A631F9" w:rsidRDefault="00854403" w:rsidP="00856AC6">
      <w:pPr>
        <w:jc w:val="center"/>
      </w:pPr>
      <w:r w:rsidRPr="00A631F9">
        <w:t>Module Code: LCMB7026</w:t>
      </w:r>
    </w:p>
    <w:p w14:paraId="14432C16" w14:textId="1E8930DD" w:rsidR="008D3670" w:rsidRDefault="008D3670">
      <w:pPr>
        <w:jc w:val="center"/>
      </w:pPr>
    </w:p>
    <w:p w14:paraId="224933AC" w14:textId="030E1BD4" w:rsidR="00EA247D" w:rsidRDefault="008C1962">
      <w:pPr>
        <w:jc w:val="center"/>
      </w:pPr>
      <w:r>
        <w:rPr>
          <w:noProof/>
        </w:rPr>
        <w:drawing>
          <wp:inline distT="0" distB="0" distL="0" distR="0" wp14:anchorId="4F4E562D" wp14:editId="2BDCCF87">
            <wp:extent cx="2887980" cy="2385060"/>
            <wp:effectExtent l="0" t="0" r="7620" b="0"/>
            <wp:docPr id="21225862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586200" name="Graphic 2122586200"/>
                    <pic:cNvPicPr/>
                  </pic:nvPicPr>
                  <pic:blipFill>
                    <a:blip r:embed="rId9">
                      <a:extLst>
                        <a:ext uri="{96DAC541-7B7A-43D3-8B79-37D633B846F1}">
                          <asvg:svgBlip xmlns:asvg="http://schemas.microsoft.com/office/drawing/2016/SVG/main" r:embed="rId10"/>
                        </a:ext>
                      </a:extLst>
                    </a:blip>
                    <a:stretch>
                      <a:fillRect/>
                    </a:stretch>
                  </pic:blipFill>
                  <pic:spPr>
                    <a:xfrm>
                      <a:off x="0" y="0"/>
                      <a:ext cx="2887980" cy="2385060"/>
                    </a:xfrm>
                    <a:prstGeom prst="rect">
                      <a:avLst/>
                    </a:prstGeom>
                  </pic:spPr>
                </pic:pic>
              </a:graphicData>
            </a:graphic>
          </wp:inline>
        </w:drawing>
      </w:r>
    </w:p>
    <w:p w14:paraId="625E65A8" w14:textId="77777777" w:rsidR="008D3670" w:rsidRPr="00A631F9" w:rsidRDefault="00EA247D" w:rsidP="008439C5">
      <w:r w:rsidRPr="00A631F9">
        <w:t>Assignment Title:</w:t>
      </w:r>
    </w:p>
    <w:p w14:paraId="5A6EB685" w14:textId="77777777" w:rsidR="008D3670" w:rsidRPr="00A631F9" w:rsidRDefault="00EA247D" w:rsidP="008439C5">
      <w:r w:rsidRPr="00A631F9">
        <w:t>Comparative Analysis of BMW’s International Marketing Strategies in the United Kingdom and Germany</w:t>
      </w:r>
    </w:p>
    <w:p w14:paraId="5DF01BEE" w14:textId="77777777" w:rsidR="008D3670" w:rsidRPr="00A631F9" w:rsidRDefault="00EA247D" w:rsidP="008439C5">
      <w:r w:rsidRPr="00A631F9">
        <w:t>Lecturer: Taonga Kaonga Sobere-Snithers</w:t>
      </w:r>
    </w:p>
    <w:p w14:paraId="5F6C674E" w14:textId="77777777" w:rsidR="008D3670" w:rsidRPr="00A631F9" w:rsidRDefault="00EA247D" w:rsidP="008439C5">
      <w:r w:rsidRPr="00A631F9">
        <w:t>Student Name: Radoslav Nikolov</w:t>
      </w:r>
    </w:p>
    <w:p w14:paraId="5CC4001D" w14:textId="77777777" w:rsidR="008D3670" w:rsidRPr="00A631F9" w:rsidRDefault="00EA247D" w:rsidP="008439C5">
      <w:r w:rsidRPr="00A631F9">
        <w:t>Student ID: 2118366</w:t>
      </w:r>
    </w:p>
    <w:p w14:paraId="096DAA3F" w14:textId="752D7A7A" w:rsidR="008D3670" w:rsidRPr="00A631F9" w:rsidRDefault="00EA247D" w:rsidP="008439C5">
      <w:r w:rsidRPr="00A631F9">
        <w:t xml:space="preserve">Word Count: </w:t>
      </w:r>
      <w:r w:rsidR="00144DB9">
        <w:t>5463</w:t>
      </w:r>
    </w:p>
    <w:p w14:paraId="4F28EB15" w14:textId="1E66FD17" w:rsidR="00DB5B49" w:rsidRPr="00A631F9" w:rsidRDefault="00EA247D" w:rsidP="008439C5">
      <w:r w:rsidRPr="00A631F9">
        <w:t>Submission Date: 14th November 2025</w:t>
      </w:r>
    </w:p>
    <w:sdt>
      <w:sdtPr>
        <w:rPr>
          <w:rFonts w:eastAsiaTheme="minorEastAsia" w:cstheme="minorBidi"/>
          <w:color w:val="auto"/>
          <w:sz w:val="24"/>
          <w:szCs w:val="21"/>
        </w:rPr>
        <w:id w:val="1370483275"/>
        <w:docPartObj>
          <w:docPartGallery w:val="Table of Contents"/>
          <w:docPartUnique/>
        </w:docPartObj>
      </w:sdtPr>
      <w:sdtEndPr>
        <w:rPr>
          <w:b/>
          <w:bCs/>
          <w:noProof/>
        </w:rPr>
      </w:sdtEndPr>
      <w:sdtContent>
        <w:p w14:paraId="3DE76DB2" w14:textId="02AC58CF" w:rsidR="00FC7270" w:rsidRDefault="00FC7270">
          <w:pPr>
            <w:pStyle w:val="TOCHeading"/>
          </w:pPr>
          <w:r>
            <w:t>Table of Contents</w:t>
          </w:r>
        </w:p>
        <w:p w14:paraId="6ED9BC3D" w14:textId="07BED2A4" w:rsidR="00614075" w:rsidRDefault="00FC7270">
          <w:pPr>
            <w:pStyle w:val="TOC1"/>
            <w:tabs>
              <w:tab w:val="left" w:pos="480"/>
              <w:tab w:val="right" w:leader="dot" w:pos="8630"/>
            </w:tabs>
            <w:rPr>
              <w:rFonts w:asciiTheme="minorHAnsi"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13673864" w:history="1">
            <w:r w:rsidR="00614075" w:rsidRPr="00DF735F">
              <w:rPr>
                <w:rStyle w:val="Hyperlink"/>
                <w:noProof/>
              </w:rPr>
              <w:t>1.</w:t>
            </w:r>
            <w:r w:rsidR="00614075">
              <w:rPr>
                <w:rFonts w:asciiTheme="minorHAnsi" w:hAnsiTheme="minorHAnsi"/>
                <w:noProof/>
                <w:kern w:val="2"/>
                <w:szCs w:val="24"/>
                <w:lang w:val="en-GB" w:eastAsia="en-GB"/>
                <w14:ligatures w14:val="standardContextual"/>
              </w:rPr>
              <w:tab/>
            </w:r>
            <w:r w:rsidR="00614075" w:rsidRPr="00DF735F">
              <w:rPr>
                <w:rStyle w:val="Hyperlink"/>
                <w:noProof/>
              </w:rPr>
              <w:t>Introduction</w:t>
            </w:r>
            <w:r w:rsidR="00614075">
              <w:rPr>
                <w:noProof/>
                <w:webHidden/>
              </w:rPr>
              <w:tab/>
            </w:r>
            <w:r w:rsidR="00614075">
              <w:rPr>
                <w:noProof/>
                <w:webHidden/>
              </w:rPr>
              <w:fldChar w:fldCharType="begin"/>
            </w:r>
            <w:r w:rsidR="00614075">
              <w:rPr>
                <w:noProof/>
                <w:webHidden/>
              </w:rPr>
              <w:instrText xml:space="preserve"> PAGEREF _Toc213673864 \h </w:instrText>
            </w:r>
            <w:r w:rsidR="00614075">
              <w:rPr>
                <w:noProof/>
                <w:webHidden/>
              </w:rPr>
            </w:r>
            <w:r w:rsidR="00614075">
              <w:rPr>
                <w:noProof/>
                <w:webHidden/>
              </w:rPr>
              <w:fldChar w:fldCharType="separate"/>
            </w:r>
            <w:r w:rsidR="00614075">
              <w:rPr>
                <w:noProof/>
                <w:webHidden/>
              </w:rPr>
              <w:t>4</w:t>
            </w:r>
            <w:r w:rsidR="00614075">
              <w:rPr>
                <w:noProof/>
                <w:webHidden/>
              </w:rPr>
              <w:fldChar w:fldCharType="end"/>
            </w:r>
          </w:hyperlink>
        </w:p>
        <w:p w14:paraId="321774B6" w14:textId="22CD0599" w:rsidR="00614075" w:rsidRDefault="00614075">
          <w:pPr>
            <w:pStyle w:val="TOC1"/>
            <w:tabs>
              <w:tab w:val="right" w:leader="dot" w:pos="8630"/>
            </w:tabs>
            <w:rPr>
              <w:rFonts w:asciiTheme="minorHAnsi" w:hAnsiTheme="minorHAnsi"/>
              <w:noProof/>
              <w:kern w:val="2"/>
              <w:szCs w:val="24"/>
              <w:lang w:val="en-GB" w:eastAsia="en-GB"/>
              <w14:ligatures w14:val="standardContextual"/>
            </w:rPr>
          </w:pPr>
          <w:hyperlink w:anchor="_Toc213673865" w:history="1">
            <w:r w:rsidRPr="00DF735F">
              <w:rPr>
                <w:rStyle w:val="Hyperlink"/>
                <w:noProof/>
              </w:rPr>
              <w:t>2. Brand Overview</w:t>
            </w:r>
            <w:r>
              <w:rPr>
                <w:noProof/>
                <w:webHidden/>
              </w:rPr>
              <w:tab/>
            </w:r>
            <w:r>
              <w:rPr>
                <w:noProof/>
                <w:webHidden/>
              </w:rPr>
              <w:fldChar w:fldCharType="begin"/>
            </w:r>
            <w:r>
              <w:rPr>
                <w:noProof/>
                <w:webHidden/>
              </w:rPr>
              <w:instrText xml:space="preserve"> PAGEREF _Toc213673865 \h </w:instrText>
            </w:r>
            <w:r>
              <w:rPr>
                <w:noProof/>
                <w:webHidden/>
              </w:rPr>
            </w:r>
            <w:r>
              <w:rPr>
                <w:noProof/>
                <w:webHidden/>
              </w:rPr>
              <w:fldChar w:fldCharType="separate"/>
            </w:r>
            <w:r>
              <w:rPr>
                <w:noProof/>
                <w:webHidden/>
              </w:rPr>
              <w:t>6</w:t>
            </w:r>
            <w:r>
              <w:rPr>
                <w:noProof/>
                <w:webHidden/>
              </w:rPr>
              <w:fldChar w:fldCharType="end"/>
            </w:r>
          </w:hyperlink>
        </w:p>
        <w:p w14:paraId="48E52A08" w14:textId="2E567B2E" w:rsidR="00614075" w:rsidRDefault="00614075">
          <w:pPr>
            <w:pStyle w:val="TOC1"/>
            <w:tabs>
              <w:tab w:val="right" w:leader="dot" w:pos="8630"/>
            </w:tabs>
            <w:rPr>
              <w:rFonts w:asciiTheme="minorHAnsi" w:hAnsiTheme="minorHAnsi"/>
              <w:noProof/>
              <w:kern w:val="2"/>
              <w:szCs w:val="24"/>
              <w:lang w:val="en-GB" w:eastAsia="en-GB"/>
              <w14:ligatures w14:val="standardContextual"/>
            </w:rPr>
          </w:pPr>
          <w:hyperlink w:anchor="_Toc213673866" w:history="1">
            <w:r w:rsidRPr="00DF735F">
              <w:rPr>
                <w:rStyle w:val="Hyperlink"/>
                <w:noProof/>
                <w:lang w:val="en-GB"/>
              </w:rPr>
              <w:t>3. Comparison of Socio-Cultural Context (UK vs. Germany)</w:t>
            </w:r>
            <w:r>
              <w:rPr>
                <w:noProof/>
                <w:webHidden/>
              </w:rPr>
              <w:tab/>
            </w:r>
            <w:r>
              <w:rPr>
                <w:noProof/>
                <w:webHidden/>
              </w:rPr>
              <w:fldChar w:fldCharType="begin"/>
            </w:r>
            <w:r>
              <w:rPr>
                <w:noProof/>
                <w:webHidden/>
              </w:rPr>
              <w:instrText xml:space="preserve"> PAGEREF _Toc213673866 \h </w:instrText>
            </w:r>
            <w:r>
              <w:rPr>
                <w:noProof/>
                <w:webHidden/>
              </w:rPr>
            </w:r>
            <w:r>
              <w:rPr>
                <w:noProof/>
                <w:webHidden/>
              </w:rPr>
              <w:fldChar w:fldCharType="separate"/>
            </w:r>
            <w:r>
              <w:rPr>
                <w:noProof/>
                <w:webHidden/>
              </w:rPr>
              <w:t>8</w:t>
            </w:r>
            <w:r>
              <w:rPr>
                <w:noProof/>
                <w:webHidden/>
              </w:rPr>
              <w:fldChar w:fldCharType="end"/>
            </w:r>
          </w:hyperlink>
        </w:p>
        <w:p w14:paraId="1A8A4C6D" w14:textId="5C158FFA"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67" w:history="1">
            <w:r w:rsidRPr="00DF735F">
              <w:rPr>
                <w:rStyle w:val="Hyperlink"/>
                <w:noProof/>
              </w:rPr>
              <w:t>Political Factors</w:t>
            </w:r>
            <w:r>
              <w:rPr>
                <w:noProof/>
                <w:webHidden/>
              </w:rPr>
              <w:tab/>
            </w:r>
            <w:r>
              <w:rPr>
                <w:noProof/>
                <w:webHidden/>
              </w:rPr>
              <w:fldChar w:fldCharType="begin"/>
            </w:r>
            <w:r>
              <w:rPr>
                <w:noProof/>
                <w:webHidden/>
              </w:rPr>
              <w:instrText xml:space="preserve"> PAGEREF _Toc213673867 \h </w:instrText>
            </w:r>
            <w:r>
              <w:rPr>
                <w:noProof/>
                <w:webHidden/>
              </w:rPr>
            </w:r>
            <w:r>
              <w:rPr>
                <w:noProof/>
                <w:webHidden/>
              </w:rPr>
              <w:fldChar w:fldCharType="separate"/>
            </w:r>
            <w:r>
              <w:rPr>
                <w:noProof/>
                <w:webHidden/>
              </w:rPr>
              <w:t>8</w:t>
            </w:r>
            <w:r>
              <w:rPr>
                <w:noProof/>
                <w:webHidden/>
              </w:rPr>
              <w:fldChar w:fldCharType="end"/>
            </w:r>
          </w:hyperlink>
        </w:p>
        <w:p w14:paraId="46A2AB11" w14:textId="5C911EC8"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68" w:history="1">
            <w:r w:rsidRPr="00DF735F">
              <w:rPr>
                <w:rStyle w:val="Hyperlink"/>
                <w:noProof/>
              </w:rPr>
              <w:t>Economic Factors</w:t>
            </w:r>
            <w:r>
              <w:rPr>
                <w:noProof/>
                <w:webHidden/>
              </w:rPr>
              <w:tab/>
            </w:r>
            <w:r>
              <w:rPr>
                <w:noProof/>
                <w:webHidden/>
              </w:rPr>
              <w:fldChar w:fldCharType="begin"/>
            </w:r>
            <w:r>
              <w:rPr>
                <w:noProof/>
                <w:webHidden/>
              </w:rPr>
              <w:instrText xml:space="preserve"> PAGEREF _Toc213673868 \h </w:instrText>
            </w:r>
            <w:r>
              <w:rPr>
                <w:noProof/>
                <w:webHidden/>
              </w:rPr>
            </w:r>
            <w:r>
              <w:rPr>
                <w:noProof/>
                <w:webHidden/>
              </w:rPr>
              <w:fldChar w:fldCharType="separate"/>
            </w:r>
            <w:r>
              <w:rPr>
                <w:noProof/>
                <w:webHidden/>
              </w:rPr>
              <w:t>8</w:t>
            </w:r>
            <w:r>
              <w:rPr>
                <w:noProof/>
                <w:webHidden/>
              </w:rPr>
              <w:fldChar w:fldCharType="end"/>
            </w:r>
          </w:hyperlink>
        </w:p>
        <w:p w14:paraId="6989913A" w14:textId="095801A6"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69" w:history="1">
            <w:r w:rsidRPr="00DF735F">
              <w:rPr>
                <w:rStyle w:val="Hyperlink"/>
                <w:noProof/>
              </w:rPr>
              <w:t>Social Factors</w:t>
            </w:r>
            <w:r>
              <w:rPr>
                <w:noProof/>
                <w:webHidden/>
              </w:rPr>
              <w:tab/>
            </w:r>
            <w:r>
              <w:rPr>
                <w:noProof/>
                <w:webHidden/>
              </w:rPr>
              <w:fldChar w:fldCharType="begin"/>
            </w:r>
            <w:r>
              <w:rPr>
                <w:noProof/>
                <w:webHidden/>
              </w:rPr>
              <w:instrText xml:space="preserve"> PAGEREF _Toc213673869 \h </w:instrText>
            </w:r>
            <w:r>
              <w:rPr>
                <w:noProof/>
                <w:webHidden/>
              </w:rPr>
            </w:r>
            <w:r>
              <w:rPr>
                <w:noProof/>
                <w:webHidden/>
              </w:rPr>
              <w:fldChar w:fldCharType="separate"/>
            </w:r>
            <w:r>
              <w:rPr>
                <w:noProof/>
                <w:webHidden/>
              </w:rPr>
              <w:t>9</w:t>
            </w:r>
            <w:r>
              <w:rPr>
                <w:noProof/>
                <w:webHidden/>
              </w:rPr>
              <w:fldChar w:fldCharType="end"/>
            </w:r>
          </w:hyperlink>
        </w:p>
        <w:p w14:paraId="5D95470B" w14:textId="16F2376E"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70" w:history="1">
            <w:r w:rsidRPr="00DF735F">
              <w:rPr>
                <w:rStyle w:val="Hyperlink"/>
                <w:noProof/>
              </w:rPr>
              <w:t>Technological Factors</w:t>
            </w:r>
            <w:r>
              <w:rPr>
                <w:noProof/>
                <w:webHidden/>
              </w:rPr>
              <w:tab/>
            </w:r>
            <w:r>
              <w:rPr>
                <w:noProof/>
                <w:webHidden/>
              </w:rPr>
              <w:fldChar w:fldCharType="begin"/>
            </w:r>
            <w:r>
              <w:rPr>
                <w:noProof/>
                <w:webHidden/>
              </w:rPr>
              <w:instrText xml:space="preserve"> PAGEREF _Toc213673870 \h </w:instrText>
            </w:r>
            <w:r>
              <w:rPr>
                <w:noProof/>
                <w:webHidden/>
              </w:rPr>
            </w:r>
            <w:r>
              <w:rPr>
                <w:noProof/>
                <w:webHidden/>
              </w:rPr>
              <w:fldChar w:fldCharType="separate"/>
            </w:r>
            <w:r>
              <w:rPr>
                <w:noProof/>
                <w:webHidden/>
              </w:rPr>
              <w:t>9</w:t>
            </w:r>
            <w:r>
              <w:rPr>
                <w:noProof/>
                <w:webHidden/>
              </w:rPr>
              <w:fldChar w:fldCharType="end"/>
            </w:r>
          </w:hyperlink>
        </w:p>
        <w:p w14:paraId="42D35D31" w14:textId="2A62B1E3"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71" w:history="1">
            <w:r w:rsidRPr="00DF735F">
              <w:rPr>
                <w:rStyle w:val="Hyperlink"/>
                <w:noProof/>
              </w:rPr>
              <w:t>Legal Factors</w:t>
            </w:r>
            <w:r>
              <w:rPr>
                <w:noProof/>
                <w:webHidden/>
              </w:rPr>
              <w:tab/>
            </w:r>
            <w:r>
              <w:rPr>
                <w:noProof/>
                <w:webHidden/>
              </w:rPr>
              <w:fldChar w:fldCharType="begin"/>
            </w:r>
            <w:r>
              <w:rPr>
                <w:noProof/>
                <w:webHidden/>
              </w:rPr>
              <w:instrText xml:space="preserve"> PAGEREF _Toc213673871 \h </w:instrText>
            </w:r>
            <w:r>
              <w:rPr>
                <w:noProof/>
                <w:webHidden/>
              </w:rPr>
            </w:r>
            <w:r>
              <w:rPr>
                <w:noProof/>
                <w:webHidden/>
              </w:rPr>
              <w:fldChar w:fldCharType="separate"/>
            </w:r>
            <w:r>
              <w:rPr>
                <w:noProof/>
                <w:webHidden/>
              </w:rPr>
              <w:t>10</w:t>
            </w:r>
            <w:r>
              <w:rPr>
                <w:noProof/>
                <w:webHidden/>
              </w:rPr>
              <w:fldChar w:fldCharType="end"/>
            </w:r>
          </w:hyperlink>
        </w:p>
        <w:p w14:paraId="41AB05BB" w14:textId="1F23F037"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72" w:history="1">
            <w:r w:rsidRPr="00DF735F">
              <w:rPr>
                <w:rStyle w:val="Hyperlink"/>
                <w:noProof/>
              </w:rPr>
              <w:t>Environmental Factors</w:t>
            </w:r>
            <w:r>
              <w:rPr>
                <w:noProof/>
                <w:webHidden/>
              </w:rPr>
              <w:tab/>
            </w:r>
            <w:r>
              <w:rPr>
                <w:noProof/>
                <w:webHidden/>
              </w:rPr>
              <w:fldChar w:fldCharType="begin"/>
            </w:r>
            <w:r>
              <w:rPr>
                <w:noProof/>
                <w:webHidden/>
              </w:rPr>
              <w:instrText xml:space="preserve"> PAGEREF _Toc213673872 \h </w:instrText>
            </w:r>
            <w:r>
              <w:rPr>
                <w:noProof/>
                <w:webHidden/>
              </w:rPr>
            </w:r>
            <w:r>
              <w:rPr>
                <w:noProof/>
                <w:webHidden/>
              </w:rPr>
              <w:fldChar w:fldCharType="separate"/>
            </w:r>
            <w:r>
              <w:rPr>
                <w:noProof/>
                <w:webHidden/>
              </w:rPr>
              <w:t>10</w:t>
            </w:r>
            <w:r>
              <w:rPr>
                <w:noProof/>
                <w:webHidden/>
              </w:rPr>
              <w:fldChar w:fldCharType="end"/>
            </w:r>
          </w:hyperlink>
        </w:p>
        <w:p w14:paraId="5907A41C" w14:textId="1A09AA1E"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73" w:history="1">
            <w:r w:rsidRPr="00DF735F">
              <w:rPr>
                <w:rStyle w:val="Hyperlink"/>
                <w:noProof/>
              </w:rPr>
              <w:t>Comparative Insights</w:t>
            </w:r>
            <w:r>
              <w:rPr>
                <w:noProof/>
                <w:webHidden/>
              </w:rPr>
              <w:tab/>
            </w:r>
            <w:r>
              <w:rPr>
                <w:noProof/>
                <w:webHidden/>
              </w:rPr>
              <w:fldChar w:fldCharType="begin"/>
            </w:r>
            <w:r>
              <w:rPr>
                <w:noProof/>
                <w:webHidden/>
              </w:rPr>
              <w:instrText xml:space="preserve"> PAGEREF _Toc213673873 \h </w:instrText>
            </w:r>
            <w:r>
              <w:rPr>
                <w:noProof/>
                <w:webHidden/>
              </w:rPr>
            </w:r>
            <w:r>
              <w:rPr>
                <w:noProof/>
                <w:webHidden/>
              </w:rPr>
              <w:fldChar w:fldCharType="separate"/>
            </w:r>
            <w:r>
              <w:rPr>
                <w:noProof/>
                <w:webHidden/>
              </w:rPr>
              <w:t>11</w:t>
            </w:r>
            <w:r>
              <w:rPr>
                <w:noProof/>
                <w:webHidden/>
              </w:rPr>
              <w:fldChar w:fldCharType="end"/>
            </w:r>
          </w:hyperlink>
        </w:p>
        <w:p w14:paraId="152FA376" w14:textId="68AAEF5D" w:rsidR="00614075" w:rsidRDefault="00614075">
          <w:pPr>
            <w:pStyle w:val="TOC1"/>
            <w:tabs>
              <w:tab w:val="right" w:leader="dot" w:pos="8630"/>
            </w:tabs>
            <w:rPr>
              <w:rFonts w:asciiTheme="minorHAnsi" w:hAnsiTheme="minorHAnsi"/>
              <w:noProof/>
              <w:kern w:val="2"/>
              <w:szCs w:val="24"/>
              <w:lang w:val="en-GB" w:eastAsia="en-GB"/>
              <w14:ligatures w14:val="standardContextual"/>
            </w:rPr>
          </w:pPr>
          <w:hyperlink w:anchor="_Toc213673874" w:history="1">
            <w:r w:rsidRPr="00DF735F">
              <w:rPr>
                <w:rStyle w:val="Hyperlink"/>
                <w:noProof/>
              </w:rPr>
              <w:t>4. Comparison of STP Strategies (Segmentation, Targeting, Positioning)</w:t>
            </w:r>
            <w:r>
              <w:rPr>
                <w:noProof/>
                <w:webHidden/>
              </w:rPr>
              <w:tab/>
            </w:r>
            <w:r>
              <w:rPr>
                <w:noProof/>
                <w:webHidden/>
              </w:rPr>
              <w:fldChar w:fldCharType="begin"/>
            </w:r>
            <w:r>
              <w:rPr>
                <w:noProof/>
                <w:webHidden/>
              </w:rPr>
              <w:instrText xml:space="preserve"> PAGEREF _Toc213673874 \h </w:instrText>
            </w:r>
            <w:r>
              <w:rPr>
                <w:noProof/>
                <w:webHidden/>
              </w:rPr>
            </w:r>
            <w:r>
              <w:rPr>
                <w:noProof/>
                <w:webHidden/>
              </w:rPr>
              <w:fldChar w:fldCharType="separate"/>
            </w:r>
            <w:r>
              <w:rPr>
                <w:noProof/>
                <w:webHidden/>
              </w:rPr>
              <w:t>12</w:t>
            </w:r>
            <w:r>
              <w:rPr>
                <w:noProof/>
                <w:webHidden/>
              </w:rPr>
              <w:fldChar w:fldCharType="end"/>
            </w:r>
          </w:hyperlink>
        </w:p>
        <w:p w14:paraId="5F9E9ED0" w14:textId="21751FBF"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75" w:history="1">
            <w:r w:rsidRPr="00DF735F">
              <w:rPr>
                <w:rStyle w:val="Hyperlink"/>
                <w:noProof/>
              </w:rPr>
              <w:t>Segmentation</w:t>
            </w:r>
            <w:r>
              <w:rPr>
                <w:noProof/>
                <w:webHidden/>
              </w:rPr>
              <w:tab/>
            </w:r>
            <w:r>
              <w:rPr>
                <w:noProof/>
                <w:webHidden/>
              </w:rPr>
              <w:fldChar w:fldCharType="begin"/>
            </w:r>
            <w:r>
              <w:rPr>
                <w:noProof/>
                <w:webHidden/>
              </w:rPr>
              <w:instrText xml:space="preserve"> PAGEREF _Toc213673875 \h </w:instrText>
            </w:r>
            <w:r>
              <w:rPr>
                <w:noProof/>
                <w:webHidden/>
              </w:rPr>
            </w:r>
            <w:r>
              <w:rPr>
                <w:noProof/>
                <w:webHidden/>
              </w:rPr>
              <w:fldChar w:fldCharType="separate"/>
            </w:r>
            <w:r>
              <w:rPr>
                <w:noProof/>
                <w:webHidden/>
              </w:rPr>
              <w:t>12</w:t>
            </w:r>
            <w:r>
              <w:rPr>
                <w:noProof/>
                <w:webHidden/>
              </w:rPr>
              <w:fldChar w:fldCharType="end"/>
            </w:r>
          </w:hyperlink>
        </w:p>
        <w:p w14:paraId="633F6D33" w14:textId="79409BF0"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76" w:history="1">
            <w:r w:rsidRPr="00DF735F">
              <w:rPr>
                <w:rStyle w:val="Hyperlink"/>
                <w:noProof/>
              </w:rPr>
              <w:t>Targeting</w:t>
            </w:r>
            <w:r>
              <w:rPr>
                <w:noProof/>
                <w:webHidden/>
              </w:rPr>
              <w:tab/>
            </w:r>
            <w:r>
              <w:rPr>
                <w:noProof/>
                <w:webHidden/>
              </w:rPr>
              <w:fldChar w:fldCharType="begin"/>
            </w:r>
            <w:r>
              <w:rPr>
                <w:noProof/>
                <w:webHidden/>
              </w:rPr>
              <w:instrText xml:space="preserve"> PAGEREF _Toc213673876 \h </w:instrText>
            </w:r>
            <w:r>
              <w:rPr>
                <w:noProof/>
                <w:webHidden/>
              </w:rPr>
            </w:r>
            <w:r>
              <w:rPr>
                <w:noProof/>
                <w:webHidden/>
              </w:rPr>
              <w:fldChar w:fldCharType="separate"/>
            </w:r>
            <w:r>
              <w:rPr>
                <w:noProof/>
                <w:webHidden/>
              </w:rPr>
              <w:t>13</w:t>
            </w:r>
            <w:r>
              <w:rPr>
                <w:noProof/>
                <w:webHidden/>
              </w:rPr>
              <w:fldChar w:fldCharType="end"/>
            </w:r>
          </w:hyperlink>
        </w:p>
        <w:p w14:paraId="134D1CFD" w14:textId="4B60900E"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77" w:history="1">
            <w:r w:rsidRPr="00DF735F">
              <w:rPr>
                <w:rStyle w:val="Hyperlink"/>
                <w:noProof/>
              </w:rPr>
              <w:t>Positioning</w:t>
            </w:r>
            <w:r>
              <w:rPr>
                <w:noProof/>
                <w:webHidden/>
              </w:rPr>
              <w:tab/>
            </w:r>
            <w:r>
              <w:rPr>
                <w:noProof/>
                <w:webHidden/>
              </w:rPr>
              <w:fldChar w:fldCharType="begin"/>
            </w:r>
            <w:r>
              <w:rPr>
                <w:noProof/>
                <w:webHidden/>
              </w:rPr>
              <w:instrText xml:space="preserve"> PAGEREF _Toc213673877 \h </w:instrText>
            </w:r>
            <w:r>
              <w:rPr>
                <w:noProof/>
                <w:webHidden/>
              </w:rPr>
            </w:r>
            <w:r>
              <w:rPr>
                <w:noProof/>
                <w:webHidden/>
              </w:rPr>
              <w:fldChar w:fldCharType="separate"/>
            </w:r>
            <w:r>
              <w:rPr>
                <w:noProof/>
                <w:webHidden/>
              </w:rPr>
              <w:t>13</w:t>
            </w:r>
            <w:r>
              <w:rPr>
                <w:noProof/>
                <w:webHidden/>
              </w:rPr>
              <w:fldChar w:fldCharType="end"/>
            </w:r>
          </w:hyperlink>
        </w:p>
        <w:p w14:paraId="105DD920" w14:textId="13C1CC35"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78" w:history="1">
            <w:r w:rsidRPr="00DF735F">
              <w:rPr>
                <w:rStyle w:val="Hyperlink"/>
                <w:noProof/>
              </w:rPr>
              <w:t>Comparative Insights</w:t>
            </w:r>
            <w:r>
              <w:rPr>
                <w:noProof/>
                <w:webHidden/>
              </w:rPr>
              <w:tab/>
            </w:r>
            <w:r>
              <w:rPr>
                <w:noProof/>
                <w:webHidden/>
              </w:rPr>
              <w:fldChar w:fldCharType="begin"/>
            </w:r>
            <w:r>
              <w:rPr>
                <w:noProof/>
                <w:webHidden/>
              </w:rPr>
              <w:instrText xml:space="preserve"> PAGEREF _Toc213673878 \h </w:instrText>
            </w:r>
            <w:r>
              <w:rPr>
                <w:noProof/>
                <w:webHidden/>
              </w:rPr>
            </w:r>
            <w:r>
              <w:rPr>
                <w:noProof/>
                <w:webHidden/>
              </w:rPr>
              <w:fldChar w:fldCharType="separate"/>
            </w:r>
            <w:r>
              <w:rPr>
                <w:noProof/>
                <w:webHidden/>
              </w:rPr>
              <w:t>14</w:t>
            </w:r>
            <w:r>
              <w:rPr>
                <w:noProof/>
                <w:webHidden/>
              </w:rPr>
              <w:fldChar w:fldCharType="end"/>
            </w:r>
          </w:hyperlink>
        </w:p>
        <w:p w14:paraId="7B5F517A" w14:textId="4F57D9FD" w:rsidR="00614075" w:rsidRDefault="00614075">
          <w:pPr>
            <w:pStyle w:val="TOC1"/>
            <w:tabs>
              <w:tab w:val="right" w:leader="dot" w:pos="8630"/>
            </w:tabs>
            <w:rPr>
              <w:rFonts w:asciiTheme="minorHAnsi" w:hAnsiTheme="minorHAnsi"/>
              <w:noProof/>
              <w:kern w:val="2"/>
              <w:szCs w:val="24"/>
              <w:lang w:val="en-GB" w:eastAsia="en-GB"/>
              <w14:ligatures w14:val="standardContextual"/>
            </w:rPr>
          </w:pPr>
          <w:hyperlink w:anchor="_Toc213673879" w:history="1">
            <w:r w:rsidRPr="00DF735F">
              <w:rPr>
                <w:rStyle w:val="Hyperlink"/>
                <w:noProof/>
              </w:rPr>
              <w:t>5. Comparison of Marketing Mix (7Ps)</w:t>
            </w:r>
            <w:r>
              <w:rPr>
                <w:noProof/>
                <w:webHidden/>
              </w:rPr>
              <w:tab/>
            </w:r>
            <w:r>
              <w:rPr>
                <w:noProof/>
                <w:webHidden/>
              </w:rPr>
              <w:fldChar w:fldCharType="begin"/>
            </w:r>
            <w:r>
              <w:rPr>
                <w:noProof/>
                <w:webHidden/>
              </w:rPr>
              <w:instrText xml:space="preserve"> PAGEREF _Toc213673879 \h </w:instrText>
            </w:r>
            <w:r>
              <w:rPr>
                <w:noProof/>
                <w:webHidden/>
              </w:rPr>
            </w:r>
            <w:r>
              <w:rPr>
                <w:noProof/>
                <w:webHidden/>
              </w:rPr>
              <w:fldChar w:fldCharType="separate"/>
            </w:r>
            <w:r>
              <w:rPr>
                <w:noProof/>
                <w:webHidden/>
              </w:rPr>
              <w:t>15</w:t>
            </w:r>
            <w:r>
              <w:rPr>
                <w:noProof/>
                <w:webHidden/>
              </w:rPr>
              <w:fldChar w:fldCharType="end"/>
            </w:r>
          </w:hyperlink>
        </w:p>
        <w:p w14:paraId="12C59FA6" w14:textId="15F6D5B0"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80" w:history="1">
            <w:r w:rsidRPr="00DF735F">
              <w:rPr>
                <w:rStyle w:val="Hyperlink"/>
                <w:noProof/>
              </w:rPr>
              <w:t>Product</w:t>
            </w:r>
            <w:r>
              <w:rPr>
                <w:noProof/>
                <w:webHidden/>
              </w:rPr>
              <w:tab/>
            </w:r>
            <w:r>
              <w:rPr>
                <w:noProof/>
                <w:webHidden/>
              </w:rPr>
              <w:fldChar w:fldCharType="begin"/>
            </w:r>
            <w:r>
              <w:rPr>
                <w:noProof/>
                <w:webHidden/>
              </w:rPr>
              <w:instrText xml:space="preserve"> PAGEREF _Toc213673880 \h </w:instrText>
            </w:r>
            <w:r>
              <w:rPr>
                <w:noProof/>
                <w:webHidden/>
              </w:rPr>
            </w:r>
            <w:r>
              <w:rPr>
                <w:noProof/>
                <w:webHidden/>
              </w:rPr>
              <w:fldChar w:fldCharType="separate"/>
            </w:r>
            <w:r>
              <w:rPr>
                <w:noProof/>
                <w:webHidden/>
              </w:rPr>
              <w:t>15</w:t>
            </w:r>
            <w:r>
              <w:rPr>
                <w:noProof/>
                <w:webHidden/>
              </w:rPr>
              <w:fldChar w:fldCharType="end"/>
            </w:r>
          </w:hyperlink>
        </w:p>
        <w:p w14:paraId="428A4D31" w14:textId="2DB56F93"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81" w:history="1">
            <w:r w:rsidRPr="00DF735F">
              <w:rPr>
                <w:rStyle w:val="Hyperlink"/>
                <w:noProof/>
              </w:rPr>
              <w:t>Price</w:t>
            </w:r>
            <w:r>
              <w:rPr>
                <w:noProof/>
                <w:webHidden/>
              </w:rPr>
              <w:tab/>
            </w:r>
            <w:r>
              <w:rPr>
                <w:noProof/>
                <w:webHidden/>
              </w:rPr>
              <w:fldChar w:fldCharType="begin"/>
            </w:r>
            <w:r>
              <w:rPr>
                <w:noProof/>
                <w:webHidden/>
              </w:rPr>
              <w:instrText xml:space="preserve"> PAGEREF _Toc213673881 \h </w:instrText>
            </w:r>
            <w:r>
              <w:rPr>
                <w:noProof/>
                <w:webHidden/>
              </w:rPr>
            </w:r>
            <w:r>
              <w:rPr>
                <w:noProof/>
                <w:webHidden/>
              </w:rPr>
              <w:fldChar w:fldCharType="separate"/>
            </w:r>
            <w:r>
              <w:rPr>
                <w:noProof/>
                <w:webHidden/>
              </w:rPr>
              <w:t>17</w:t>
            </w:r>
            <w:r>
              <w:rPr>
                <w:noProof/>
                <w:webHidden/>
              </w:rPr>
              <w:fldChar w:fldCharType="end"/>
            </w:r>
          </w:hyperlink>
        </w:p>
        <w:p w14:paraId="4EC018E2" w14:textId="474AB157"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82" w:history="1">
            <w:r w:rsidRPr="00DF735F">
              <w:rPr>
                <w:rStyle w:val="Hyperlink"/>
                <w:noProof/>
              </w:rPr>
              <w:t>Place</w:t>
            </w:r>
            <w:r>
              <w:rPr>
                <w:noProof/>
                <w:webHidden/>
              </w:rPr>
              <w:tab/>
            </w:r>
            <w:r>
              <w:rPr>
                <w:noProof/>
                <w:webHidden/>
              </w:rPr>
              <w:fldChar w:fldCharType="begin"/>
            </w:r>
            <w:r>
              <w:rPr>
                <w:noProof/>
                <w:webHidden/>
              </w:rPr>
              <w:instrText xml:space="preserve"> PAGEREF _Toc213673882 \h </w:instrText>
            </w:r>
            <w:r>
              <w:rPr>
                <w:noProof/>
                <w:webHidden/>
              </w:rPr>
            </w:r>
            <w:r>
              <w:rPr>
                <w:noProof/>
                <w:webHidden/>
              </w:rPr>
              <w:fldChar w:fldCharType="separate"/>
            </w:r>
            <w:r>
              <w:rPr>
                <w:noProof/>
                <w:webHidden/>
              </w:rPr>
              <w:t>18</w:t>
            </w:r>
            <w:r>
              <w:rPr>
                <w:noProof/>
                <w:webHidden/>
              </w:rPr>
              <w:fldChar w:fldCharType="end"/>
            </w:r>
          </w:hyperlink>
        </w:p>
        <w:p w14:paraId="3A8765E7" w14:textId="776FA3C2"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83" w:history="1">
            <w:r w:rsidRPr="00DF735F">
              <w:rPr>
                <w:rStyle w:val="Hyperlink"/>
                <w:noProof/>
              </w:rPr>
              <w:t>Promotion</w:t>
            </w:r>
            <w:r>
              <w:rPr>
                <w:noProof/>
                <w:webHidden/>
              </w:rPr>
              <w:tab/>
            </w:r>
            <w:r>
              <w:rPr>
                <w:noProof/>
                <w:webHidden/>
              </w:rPr>
              <w:fldChar w:fldCharType="begin"/>
            </w:r>
            <w:r>
              <w:rPr>
                <w:noProof/>
                <w:webHidden/>
              </w:rPr>
              <w:instrText xml:space="preserve"> PAGEREF _Toc213673883 \h </w:instrText>
            </w:r>
            <w:r>
              <w:rPr>
                <w:noProof/>
                <w:webHidden/>
              </w:rPr>
            </w:r>
            <w:r>
              <w:rPr>
                <w:noProof/>
                <w:webHidden/>
              </w:rPr>
              <w:fldChar w:fldCharType="separate"/>
            </w:r>
            <w:r>
              <w:rPr>
                <w:noProof/>
                <w:webHidden/>
              </w:rPr>
              <w:t>19</w:t>
            </w:r>
            <w:r>
              <w:rPr>
                <w:noProof/>
                <w:webHidden/>
              </w:rPr>
              <w:fldChar w:fldCharType="end"/>
            </w:r>
          </w:hyperlink>
        </w:p>
        <w:p w14:paraId="775D138D" w14:textId="04508A09"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84" w:history="1">
            <w:r w:rsidRPr="00DF735F">
              <w:rPr>
                <w:rStyle w:val="Hyperlink"/>
                <w:noProof/>
              </w:rPr>
              <w:t>People</w:t>
            </w:r>
            <w:r>
              <w:rPr>
                <w:noProof/>
                <w:webHidden/>
              </w:rPr>
              <w:tab/>
            </w:r>
            <w:r>
              <w:rPr>
                <w:noProof/>
                <w:webHidden/>
              </w:rPr>
              <w:fldChar w:fldCharType="begin"/>
            </w:r>
            <w:r>
              <w:rPr>
                <w:noProof/>
                <w:webHidden/>
              </w:rPr>
              <w:instrText xml:space="preserve"> PAGEREF _Toc213673884 \h </w:instrText>
            </w:r>
            <w:r>
              <w:rPr>
                <w:noProof/>
                <w:webHidden/>
              </w:rPr>
            </w:r>
            <w:r>
              <w:rPr>
                <w:noProof/>
                <w:webHidden/>
              </w:rPr>
              <w:fldChar w:fldCharType="separate"/>
            </w:r>
            <w:r>
              <w:rPr>
                <w:noProof/>
                <w:webHidden/>
              </w:rPr>
              <w:t>21</w:t>
            </w:r>
            <w:r>
              <w:rPr>
                <w:noProof/>
                <w:webHidden/>
              </w:rPr>
              <w:fldChar w:fldCharType="end"/>
            </w:r>
          </w:hyperlink>
        </w:p>
        <w:p w14:paraId="48C3F0BF" w14:textId="5313539A"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85" w:history="1">
            <w:r w:rsidRPr="00DF735F">
              <w:rPr>
                <w:rStyle w:val="Hyperlink"/>
                <w:noProof/>
              </w:rPr>
              <w:t>Process</w:t>
            </w:r>
            <w:r>
              <w:rPr>
                <w:noProof/>
                <w:webHidden/>
              </w:rPr>
              <w:tab/>
            </w:r>
            <w:r>
              <w:rPr>
                <w:noProof/>
                <w:webHidden/>
              </w:rPr>
              <w:fldChar w:fldCharType="begin"/>
            </w:r>
            <w:r>
              <w:rPr>
                <w:noProof/>
                <w:webHidden/>
              </w:rPr>
              <w:instrText xml:space="preserve"> PAGEREF _Toc213673885 \h </w:instrText>
            </w:r>
            <w:r>
              <w:rPr>
                <w:noProof/>
                <w:webHidden/>
              </w:rPr>
            </w:r>
            <w:r>
              <w:rPr>
                <w:noProof/>
                <w:webHidden/>
              </w:rPr>
              <w:fldChar w:fldCharType="separate"/>
            </w:r>
            <w:r>
              <w:rPr>
                <w:noProof/>
                <w:webHidden/>
              </w:rPr>
              <w:t>21</w:t>
            </w:r>
            <w:r>
              <w:rPr>
                <w:noProof/>
                <w:webHidden/>
              </w:rPr>
              <w:fldChar w:fldCharType="end"/>
            </w:r>
          </w:hyperlink>
        </w:p>
        <w:p w14:paraId="1FF7B837" w14:textId="3A31F9AA"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86" w:history="1">
            <w:r w:rsidRPr="00DF735F">
              <w:rPr>
                <w:rStyle w:val="Hyperlink"/>
                <w:noProof/>
              </w:rPr>
              <w:t>Physical Evidence</w:t>
            </w:r>
            <w:r>
              <w:rPr>
                <w:noProof/>
                <w:webHidden/>
              </w:rPr>
              <w:tab/>
            </w:r>
            <w:r>
              <w:rPr>
                <w:noProof/>
                <w:webHidden/>
              </w:rPr>
              <w:fldChar w:fldCharType="begin"/>
            </w:r>
            <w:r>
              <w:rPr>
                <w:noProof/>
                <w:webHidden/>
              </w:rPr>
              <w:instrText xml:space="preserve"> PAGEREF _Toc213673886 \h </w:instrText>
            </w:r>
            <w:r>
              <w:rPr>
                <w:noProof/>
                <w:webHidden/>
              </w:rPr>
            </w:r>
            <w:r>
              <w:rPr>
                <w:noProof/>
                <w:webHidden/>
              </w:rPr>
              <w:fldChar w:fldCharType="separate"/>
            </w:r>
            <w:r>
              <w:rPr>
                <w:noProof/>
                <w:webHidden/>
              </w:rPr>
              <w:t>22</w:t>
            </w:r>
            <w:r>
              <w:rPr>
                <w:noProof/>
                <w:webHidden/>
              </w:rPr>
              <w:fldChar w:fldCharType="end"/>
            </w:r>
          </w:hyperlink>
        </w:p>
        <w:p w14:paraId="7D62CDE0" w14:textId="02CA25E8"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87" w:history="1">
            <w:r w:rsidRPr="00DF735F">
              <w:rPr>
                <w:rStyle w:val="Hyperlink"/>
                <w:noProof/>
              </w:rPr>
              <w:t>Comparative Insights</w:t>
            </w:r>
            <w:r>
              <w:rPr>
                <w:noProof/>
                <w:webHidden/>
              </w:rPr>
              <w:tab/>
            </w:r>
            <w:r>
              <w:rPr>
                <w:noProof/>
                <w:webHidden/>
              </w:rPr>
              <w:fldChar w:fldCharType="begin"/>
            </w:r>
            <w:r>
              <w:rPr>
                <w:noProof/>
                <w:webHidden/>
              </w:rPr>
              <w:instrText xml:space="preserve"> PAGEREF _Toc213673887 \h </w:instrText>
            </w:r>
            <w:r>
              <w:rPr>
                <w:noProof/>
                <w:webHidden/>
              </w:rPr>
            </w:r>
            <w:r>
              <w:rPr>
                <w:noProof/>
                <w:webHidden/>
              </w:rPr>
              <w:fldChar w:fldCharType="separate"/>
            </w:r>
            <w:r>
              <w:rPr>
                <w:noProof/>
                <w:webHidden/>
              </w:rPr>
              <w:t>23</w:t>
            </w:r>
            <w:r>
              <w:rPr>
                <w:noProof/>
                <w:webHidden/>
              </w:rPr>
              <w:fldChar w:fldCharType="end"/>
            </w:r>
          </w:hyperlink>
        </w:p>
        <w:p w14:paraId="5280F78B" w14:textId="12AC6E8A" w:rsidR="00614075" w:rsidRDefault="00614075">
          <w:pPr>
            <w:pStyle w:val="TOC1"/>
            <w:tabs>
              <w:tab w:val="right" w:leader="dot" w:pos="8630"/>
            </w:tabs>
            <w:rPr>
              <w:rFonts w:asciiTheme="minorHAnsi" w:hAnsiTheme="minorHAnsi"/>
              <w:noProof/>
              <w:kern w:val="2"/>
              <w:szCs w:val="24"/>
              <w:lang w:val="en-GB" w:eastAsia="en-GB"/>
              <w14:ligatures w14:val="standardContextual"/>
            </w:rPr>
          </w:pPr>
          <w:hyperlink w:anchor="_Toc213673888" w:history="1">
            <w:r w:rsidRPr="00DF735F">
              <w:rPr>
                <w:rStyle w:val="Hyperlink"/>
                <w:noProof/>
              </w:rPr>
              <w:t>6. Evaluation of Performance of Marketing Strategies</w:t>
            </w:r>
            <w:r>
              <w:rPr>
                <w:noProof/>
                <w:webHidden/>
              </w:rPr>
              <w:tab/>
            </w:r>
            <w:r>
              <w:rPr>
                <w:noProof/>
                <w:webHidden/>
              </w:rPr>
              <w:fldChar w:fldCharType="begin"/>
            </w:r>
            <w:r>
              <w:rPr>
                <w:noProof/>
                <w:webHidden/>
              </w:rPr>
              <w:instrText xml:space="preserve"> PAGEREF _Toc213673888 \h </w:instrText>
            </w:r>
            <w:r>
              <w:rPr>
                <w:noProof/>
                <w:webHidden/>
              </w:rPr>
            </w:r>
            <w:r>
              <w:rPr>
                <w:noProof/>
                <w:webHidden/>
              </w:rPr>
              <w:fldChar w:fldCharType="separate"/>
            </w:r>
            <w:r>
              <w:rPr>
                <w:noProof/>
                <w:webHidden/>
              </w:rPr>
              <w:t>24</w:t>
            </w:r>
            <w:r>
              <w:rPr>
                <w:noProof/>
                <w:webHidden/>
              </w:rPr>
              <w:fldChar w:fldCharType="end"/>
            </w:r>
          </w:hyperlink>
        </w:p>
        <w:p w14:paraId="38A5825D" w14:textId="73318E1E" w:rsidR="00614075" w:rsidRDefault="00614075">
          <w:pPr>
            <w:pStyle w:val="TOC1"/>
            <w:tabs>
              <w:tab w:val="right" w:leader="dot" w:pos="8630"/>
            </w:tabs>
            <w:rPr>
              <w:rFonts w:asciiTheme="minorHAnsi" w:hAnsiTheme="minorHAnsi"/>
              <w:noProof/>
              <w:kern w:val="2"/>
              <w:szCs w:val="24"/>
              <w:lang w:val="en-GB" w:eastAsia="en-GB"/>
              <w14:ligatures w14:val="standardContextual"/>
            </w:rPr>
          </w:pPr>
          <w:hyperlink w:anchor="_Toc213673889" w:history="1">
            <w:r w:rsidRPr="00DF735F">
              <w:rPr>
                <w:rStyle w:val="Hyperlink"/>
                <w:noProof/>
              </w:rPr>
              <w:t>7. Evaluation of Marketing Ethics Practice</w:t>
            </w:r>
            <w:r>
              <w:rPr>
                <w:noProof/>
                <w:webHidden/>
              </w:rPr>
              <w:tab/>
            </w:r>
            <w:r>
              <w:rPr>
                <w:noProof/>
                <w:webHidden/>
              </w:rPr>
              <w:fldChar w:fldCharType="begin"/>
            </w:r>
            <w:r>
              <w:rPr>
                <w:noProof/>
                <w:webHidden/>
              </w:rPr>
              <w:instrText xml:space="preserve"> PAGEREF _Toc213673889 \h </w:instrText>
            </w:r>
            <w:r>
              <w:rPr>
                <w:noProof/>
                <w:webHidden/>
              </w:rPr>
            </w:r>
            <w:r>
              <w:rPr>
                <w:noProof/>
                <w:webHidden/>
              </w:rPr>
              <w:fldChar w:fldCharType="separate"/>
            </w:r>
            <w:r>
              <w:rPr>
                <w:noProof/>
                <w:webHidden/>
              </w:rPr>
              <w:t>29</w:t>
            </w:r>
            <w:r>
              <w:rPr>
                <w:noProof/>
                <w:webHidden/>
              </w:rPr>
              <w:fldChar w:fldCharType="end"/>
            </w:r>
          </w:hyperlink>
        </w:p>
        <w:p w14:paraId="4086EEB8" w14:textId="00E7F082" w:rsidR="00614075" w:rsidRDefault="00614075">
          <w:pPr>
            <w:pStyle w:val="TOC1"/>
            <w:tabs>
              <w:tab w:val="right" w:leader="dot" w:pos="8630"/>
            </w:tabs>
            <w:rPr>
              <w:rFonts w:asciiTheme="minorHAnsi" w:hAnsiTheme="minorHAnsi"/>
              <w:noProof/>
              <w:kern w:val="2"/>
              <w:szCs w:val="24"/>
              <w:lang w:val="en-GB" w:eastAsia="en-GB"/>
              <w14:ligatures w14:val="standardContextual"/>
            </w:rPr>
          </w:pPr>
          <w:hyperlink w:anchor="_Toc213673890" w:history="1">
            <w:r w:rsidRPr="00DF735F">
              <w:rPr>
                <w:rStyle w:val="Hyperlink"/>
                <w:noProof/>
              </w:rPr>
              <w:t>8. Recommendations &amp; Conclusion</w:t>
            </w:r>
            <w:r>
              <w:rPr>
                <w:noProof/>
                <w:webHidden/>
              </w:rPr>
              <w:tab/>
            </w:r>
            <w:r>
              <w:rPr>
                <w:noProof/>
                <w:webHidden/>
              </w:rPr>
              <w:fldChar w:fldCharType="begin"/>
            </w:r>
            <w:r>
              <w:rPr>
                <w:noProof/>
                <w:webHidden/>
              </w:rPr>
              <w:instrText xml:space="preserve"> PAGEREF _Toc213673890 \h </w:instrText>
            </w:r>
            <w:r>
              <w:rPr>
                <w:noProof/>
                <w:webHidden/>
              </w:rPr>
            </w:r>
            <w:r>
              <w:rPr>
                <w:noProof/>
                <w:webHidden/>
              </w:rPr>
              <w:fldChar w:fldCharType="separate"/>
            </w:r>
            <w:r>
              <w:rPr>
                <w:noProof/>
                <w:webHidden/>
              </w:rPr>
              <w:t>31</w:t>
            </w:r>
            <w:r>
              <w:rPr>
                <w:noProof/>
                <w:webHidden/>
              </w:rPr>
              <w:fldChar w:fldCharType="end"/>
            </w:r>
          </w:hyperlink>
        </w:p>
        <w:p w14:paraId="1380E6E2" w14:textId="411178E1"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91" w:history="1">
            <w:r w:rsidRPr="00DF735F">
              <w:rPr>
                <w:rStyle w:val="Hyperlink"/>
                <w:noProof/>
              </w:rPr>
              <w:t>Make EV affordability transparent, not just attractive (UK)</w:t>
            </w:r>
            <w:r>
              <w:rPr>
                <w:noProof/>
                <w:webHidden/>
              </w:rPr>
              <w:tab/>
            </w:r>
            <w:r>
              <w:rPr>
                <w:noProof/>
                <w:webHidden/>
              </w:rPr>
              <w:fldChar w:fldCharType="begin"/>
            </w:r>
            <w:r>
              <w:rPr>
                <w:noProof/>
                <w:webHidden/>
              </w:rPr>
              <w:instrText xml:space="preserve"> PAGEREF _Toc213673891 \h </w:instrText>
            </w:r>
            <w:r>
              <w:rPr>
                <w:noProof/>
                <w:webHidden/>
              </w:rPr>
            </w:r>
            <w:r>
              <w:rPr>
                <w:noProof/>
                <w:webHidden/>
              </w:rPr>
              <w:fldChar w:fldCharType="separate"/>
            </w:r>
            <w:r>
              <w:rPr>
                <w:noProof/>
                <w:webHidden/>
              </w:rPr>
              <w:t>31</w:t>
            </w:r>
            <w:r>
              <w:rPr>
                <w:noProof/>
                <w:webHidden/>
              </w:rPr>
              <w:fldChar w:fldCharType="end"/>
            </w:r>
          </w:hyperlink>
        </w:p>
        <w:p w14:paraId="53261E01" w14:textId="6A08173E"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92" w:history="1">
            <w:r w:rsidRPr="00DF735F">
              <w:rPr>
                <w:rStyle w:val="Hyperlink"/>
                <w:noProof/>
              </w:rPr>
              <w:t>Monetise German trust with tech depth, not discounts (Germany)</w:t>
            </w:r>
            <w:r>
              <w:rPr>
                <w:noProof/>
                <w:webHidden/>
              </w:rPr>
              <w:tab/>
            </w:r>
            <w:r>
              <w:rPr>
                <w:noProof/>
                <w:webHidden/>
              </w:rPr>
              <w:fldChar w:fldCharType="begin"/>
            </w:r>
            <w:r>
              <w:rPr>
                <w:noProof/>
                <w:webHidden/>
              </w:rPr>
              <w:instrText xml:space="preserve"> PAGEREF _Toc213673892 \h </w:instrText>
            </w:r>
            <w:r>
              <w:rPr>
                <w:noProof/>
                <w:webHidden/>
              </w:rPr>
            </w:r>
            <w:r>
              <w:rPr>
                <w:noProof/>
                <w:webHidden/>
              </w:rPr>
              <w:fldChar w:fldCharType="separate"/>
            </w:r>
            <w:r>
              <w:rPr>
                <w:noProof/>
                <w:webHidden/>
              </w:rPr>
              <w:t>31</w:t>
            </w:r>
            <w:r>
              <w:rPr>
                <w:noProof/>
                <w:webHidden/>
              </w:rPr>
              <w:fldChar w:fldCharType="end"/>
            </w:r>
          </w:hyperlink>
        </w:p>
        <w:p w14:paraId="7859E526" w14:textId="23C0A02D"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93" w:history="1">
            <w:r w:rsidRPr="00DF735F">
              <w:rPr>
                <w:rStyle w:val="Hyperlink"/>
                <w:noProof/>
              </w:rPr>
              <w:t>Harmonise sustainability claims across both markets</w:t>
            </w:r>
            <w:r>
              <w:rPr>
                <w:noProof/>
                <w:webHidden/>
              </w:rPr>
              <w:tab/>
            </w:r>
            <w:r>
              <w:rPr>
                <w:noProof/>
                <w:webHidden/>
              </w:rPr>
              <w:fldChar w:fldCharType="begin"/>
            </w:r>
            <w:r>
              <w:rPr>
                <w:noProof/>
                <w:webHidden/>
              </w:rPr>
              <w:instrText xml:space="preserve"> PAGEREF _Toc213673893 \h </w:instrText>
            </w:r>
            <w:r>
              <w:rPr>
                <w:noProof/>
                <w:webHidden/>
              </w:rPr>
            </w:r>
            <w:r>
              <w:rPr>
                <w:noProof/>
                <w:webHidden/>
              </w:rPr>
              <w:fldChar w:fldCharType="separate"/>
            </w:r>
            <w:r>
              <w:rPr>
                <w:noProof/>
                <w:webHidden/>
              </w:rPr>
              <w:t>32</w:t>
            </w:r>
            <w:r>
              <w:rPr>
                <w:noProof/>
                <w:webHidden/>
              </w:rPr>
              <w:fldChar w:fldCharType="end"/>
            </w:r>
          </w:hyperlink>
        </w:p>
        <w:p w14:paraId="2BB8EC60" w14:textId="7DECCB79"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94" w:history="1">
            <w:r w:rsidRPr="00DF735F">
              <w:rPr>
                <w:rStyle w:val="Hyperlink"/>
                <w:noProof/>
              </w:rPr>
              <w:t>Borrow what works—selective cross-pollination</w:t>
            </w:r>
            <w:r>
              <w:rPr>
                <w:noProof/>
                <w:webHidden/>
              </w:rPr>
              <w:tab/>
            </w:r>
            <w:r>
              <w:rPr>
                <w:noProof/>
                <w:webHidden/>
              </w:rPr>
              <w:fldChar w:fldCharType="begin"/>
            </w:r>
            <w:r>
              <w:rPr>
                <w:noProof/>
                <w:webHidden/>
              </w:rPr>
              <w:instrText xml:space="preserve"> PAGEREF _Toc213673894 \h </w:instrText>
            </w:r>
            <w:r>
              <w:rPr>
                <w:noProof/>
                <w:webHidden/>
              </w:rPr>
            </w:r>
            <w:r>
              <w:rPr>
                <w:noProof/>
                <w:webHidden/>
              </w:rPr>
              <w:fldChar w:fldCharType="separate"/>
            </w:r>
            <w:r>
              <w:rPr>
                <w:noProof/>
                <w:webHidden/>
              </w:rPr>
              <w:t>32</w:t>
            </w:r>
            <w:r>
              <w:rPr>
                <w:noProof/>
                <w:webHidden/>
              </w:rPr>
              <w:fldChar w:fldCharType="end"/>
            </w:r>
          </w:hyperlink>
        </w:p>
        <w:p w14:paraId="7050E53B" w14:textId="3B2A28C7"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95" w:history="1">
            <w:r w:rsidRPr="00DF735F">
              <w:rPr>
                <w:rStyle w:val="Hyperlink"/>
                <w:noProof/>
              </w:rPr>
              <w:t>Turn flagship spaces into measurable growth engines</w:t>
            </w:r>
            <w:r>
              <w:rPr>
                <w:noProof/>
                <w:webHidden/>
              </w:rPr>
              <w:tab/>
            </w:r>
            <w:r>
              <w:rPr>
                <w:noProof/>
                <w:webHidden/>
              </w:rPr>
              <w:fldChar w:fldCharType="begin"/>
            </w:r>
            <w:r>
              <w:rPr>
                <w:noProof/>
                <w:webHidden/>
              </w:rPr>
              <w:instrText xml:space="preserve"> PAGEREF _Toc213673895 \h </w:instrText>
            </w:r>
            <w:r>
              <w:rPr>
                <w:noProof/>
                <w:webHidden/>
              </w:rPr>
            </w:r>
            <w:r>
              <w:rPr>
                <w:noProof/>
                <w:webHidden/>
              </w:rPr>
              <w:fldChar w:fldCharType="separate"/>
            </w:r>
            <w:r>
              <w:rPr>
                <w:noProof/>
                <w:webHidden/>
              </w:rPr>
              <w:t>32</w:t>
            </w:r>
            <w:r>
              <w:rPr>
                <w:noProof/>
                <w:webHidden/>
              </w:rPr>
              <w:fldChar w:fldCharType="end"/>
            </w:r>
          </w:hyperlink>
        </w:p>
        <w:p w14:paraId="6A76F7C6" w14:textId="3B9372B6"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96" w:history="1">
            <w:r w:rsidRPr="00DF735F">
              <w:rPr>
                <w:rStyle w:val="Hyperlink"/>
                <w:noProof/>
              </w:rPr>
              <w:t>Execute with rigorous, comparable KPIs</w:t>
            </w:r>
            <w:r>
              <w:rPr>
                <w:noProof/>
                <w:webHidden/>
              </w:rPr>
              <w:tab/>
            </w:r>
            <w:r>
              <w:rPr>
                <w:noProof/>
                <w:webHidden/>
              </w:rPr>
              <w:fldChar w:fldCharType="begin"/>
            </w:r>
            <w:r>
              <w:rPr>
                <w:noProof/>
                <w:webHidden/>
              </w:rPr>
              <w:instrText xml:space="preserve"> PAGEREF _Toc213673896 \h </w:instrText>
            </w:r>
            <w:r>
              <w:rPr>
                <w:noProof/>
                <w:webHidden/>
              </w:rPr>
            </w:r>
            <w:r>
              <w:rPr>
                <w:noProof/>
                <w:webHidden/>
              </w:rPr>
              <w:fldChar w:fldCharType="separate"/>
            </w:r>
            <w:r>
              <w:rPr>
                <w:noProof/>
                <w:webHidden/>
              </w:rPr>
              <w:t>33</w:t>
            </w:r>
            <w:r>
              <w:rPr>
                <w:noProof/>
                <w:webHidden/>
              </w:rPr>
              <w:fldChar w:fldCharType="end"/>
            </w:r>
          </w:hyperlink>
        </w:p>
        <w:p w14:paraId="710C6422" w14:textId="1C30BA7B" w:rsidR="00614075" w:rsidRDefault="00614075">
          <w:pPr>
            <w:pStyle w:val="TOC2"/>
            <w:tabs>
              <w:tab w:val="right" w:leader="dot" w:pos="8630"/>
            </w:tabs>
            <w:rPr>
              <w:rFonts w:asciiTheme="minorHAnsi" w:hAnsiTheme="minorHAnsi"/>
              <w:noProof/>
              <w:kern w:val="2"/>
              <w:szCs w:val="24"/>
              <w:lang w:val="en-GB" w:eastAsia="en-GB"/>
              <w14:ligatures w14:val="standardContextual"/>
            </w:rPr>
          </w:pPr>
          <w:hyperlink w:anchor="_Toc213673897" w:history="1">
            <w:r w:rsidRPr="00DF735F">
              <w:rPr>
                <w:rStyle w:val="Hyperlink"/>
                <w:noProof/>
              </w:rPr>
              <w:t>Conclusion</w:t>
            </w:r>
            <w:r>
              <w:rPr>
                <w:noProof/>
                <w:webHidden/>
              </w:rPr>
              <w:tab/>
            </w:r>
            <w:r>
              <w:rPr>
                <w:noProof/>
                <w:webHidden/>
              </w:rPr>
              <w:fldChar w:fldCharType="begin"/>
            </w:r>
            <w:r>
              <w:rPr>
                <w:noProof/>
                <w:webHidden/>
              </w:rPr>
              <w:instrText xml:space="preserve"> PAGEREF _Toc213673897 \h </w:instrText>
            </w:r>
            <w:r>
              <w:rPr>
                <w:noProof/>
                <w:webHidden/>
              </w:rPr>
            </w:r>
            <w:r>
              <w:rPr>
                <w:noProof/>
                <w:webHidden/>
              </w:rPr>
              <w:fldChar w:fldCharType="separate"/>
            </w:r>
            <w:r>
              <w:rPr>
                <w:noProof/>
                <w:webHidden/>
              </w:rPr>
              <w:t>33</w:t>
            </w:r>
            <w:r>
              <w:rPr>
                <w:noProof/>
                <w:webHidden/>
              </w:rPr>
              <w:fldChar w:fldCharType="end"/>
            </w:r>
          </w:hyperlink>
        </w:p>
        <w:p w14:paraId="036A5A33" w14:textId="7997514F" w:rsidR="00614075" w:rsidRDefault="00614075">
          <w:pPr>
            <w:pStyle w:val="TOC1"/>
            <w:tabs>
              <w:tab w:val="right" w:leader="dot" w:pos="8630"/>
            </w:tabs>
            <w:rPr>
              <w:rFonts w:asciiTheme="minorHAnsi" w:hAnsiTheme="minorHAnsi"/>
              <w:noProof/>
              <w:kern w:val="2"/>
              <w:szCs w:val="24"/>
              <w:lang w:val="en-GB" w:eastAsia="en-GB"/>
              <w14:ligatures w14:val="standardContextual"/>
            </w:rPr>
          </w:pPr>
          <w:hyperlink w:anchor="_Toc213673898" w:history="1">
            <w:r w:rsidRPr="00DF735F">
              <w:rPr>
                <w:rStyle w:val="Hyperlink"/>
                <w:noProof/>
              </w:rPr>
              <w:t>9. Reference</w:t>
            </w:r>
            <w:r>
              <w:rPr>
                <w:noProof/>
                <w:webHidden/>
              </w:rPr>
              <w:tab/>
            </w:r>
            <w:r>
              <w:rPr>
                <w:noProof/>
                <w:webHidden/>
              </w:rPr>
              <w:fldChar w:fldCharType="begin"/>
            </w:r>
            <w:r>
              <w:rPr>
                <w:noProof/>
                <w:webHidden/>
              </w:rPr>
              <w:instrText xml:space="preserve"> PAGEREF _Toc213673898 \h </w:instrText>
            </w:r>
            <w:r>
              <w:rPr>
                <w:noProof/>
                <w:webHidden/>
              </w:rPr>
            </w:r>
            <w:r>
              <w:rPr>
                <w:noProof/>
                <w:webHidden/>
              </w:rPr>
              <w:fldChar w:fldCharType="separate"/>
            </w:r>
            <w:r>
              <w:rPr>
                <w:noProof/>
                <w:webHidden/>
              </w:rPr>
              <w:t>34</w:t>
            </w:r>
            <w:r>
              <w:rPr>
                <w:noProof/>
                <w:webHidden/>
              </w:rPr>
              <w:fldChar w:fldCharType="end"/>
            </w:r>
          </w:hyperlink>
        </w:p>
        <w:p w14:paraId="22131518" w14:textId="3EF9B915" w:rsidR="00614075" w:rsidRDefault="00614075">
          <w:pPr>
            <w:pStyle w:val="TOC1"/>
            <w:tabs>
              <w:tab w:val="right" w:leader="dot" w:pos="8630"/>
            </w:tabs>
            <w:rPr>
              <w:rFonts w:asciiTheme="minorHAnsi" w:hAnsiTheme="minorHAnsi"/>
              <w:noProof/>
              <w:kern w:val="2"/>
              <w:szCs w:val="24"/>
              <w:lang w:val="en-GB" w:eastAsia="en-GB"/>
              <w14:ligatures w14:val="standardContextual"/>
            </w:rPr>
          </w:pPr>
          <w:hyperlink w:anchor="_Toc213673899" w:history="1">
            <w:r w:rsidRPr="00DF735F">
              <w:rPr>
                <w:rStyle w:val="Hyperlink"/>
                <w:noProof/>
              </w:rPr>
              <w:t>10. Appendix</w:t>
            </w:r>
            <w:r>
              <w:rPr>
                <w:noProof/>
                <w:webHidden/>
              </w:rPr>
              <w:tab/>
            </w:r>
            <w:r>
              <w:rPr>
                <w:noProof/>
                <w:webHidden/>
              </w:rPr>
              <w:fldChar w:fldCharType="begin"/>
            </w:r>
            <w:r>
              <w:rPr>
                <w:noProof/>
                <w:webHidden/>
              </w:rPr>
              <w:instrText xml:space="preserve"> PAGEREF _Toc213673899 \h </w:instrText>
            </w:r>
            <w:r>
              <w:rPr>
                <w:noProof/>
                <w:webHidden/>
              </w:rPr>
            </w:r>
            <w:r>
              <w:rPr>
                <w:noProof/>
                <w:webHidden/>
              </w:rPr>
              <w:fldChar w:fldCharType="separate"/>
            </w:r>
            <w:r>
              <w:rPr>
                <w:noProof/>
                <w:webHidden/>
              </w:rPr>
              <w:t>36</w:t>
            </w:r>
            <w:r>
              <w:rPr>
                <w:noProof/>
                <w:webHidden/>
              </w:rPr>
              <w:fldChar w:fldCharType="end"/>
            </w:r>
          </w:hyperlink>
        </w:p>
        <w:p w14:paraId="726816CF" w14:textId="511D06E5" w:rsidR="00FC7270" w:rsidRDefault="00FC7270">
          <w:r>
            <w:rPr>
              <w:b/>
              <w:bCs/>
              <w:noProof/>
            </w:rPr>
            <w:fldChar w:fldCharType="end"/>
          </w:r>
        </w:p>
      </w:sdtContent>
    </w:sdt>
    <w:p w14:paraId="3FDC89DB" w14:textId="77777777" w:rsidR="00FC7270" w:rsidRDefault="00FC7270" w:rsidP="008439C5"/>
    <w:p w14:paraId="6F368127" w14:textId="77777777" w:rsidR="00FC7270" w:rsidRDefault="00FC7270" w:rsidP="008439C5"/>
    <w:p w14:paraId="0B454CAD" w14:textId="77777777" w:rsidR="00FC7270" w:rsidRDefault="00FC7270" w:rsidP="008439C5"/>
    <w:p w14:paraId="6A85AC66" w14:textId="77777777" w:rsidR="00FC7270" w:rsidRDefault="00FC7270" w:rsidP="008439C5"/>
    <w:p w14:paraId="4D099352" w14:textId="77777777" w:rsidR="00FC7270" w:rsidRDefault="00FC7270" w:rsidP="008439C5"/>
    <w:p w14:paraId="1B15FDAD" w14:textId="77777777" w:rsidR="00883890" w:rsidRDefault="00883890" w:rsidP="008439C5"/>
    <w:p w14:paraId="777240DF" w14:textId="77777777" w:rsidR="00883890" w:rsidRDefault="00883890" w:rsidP="008439C5"/>
    <w:p w14:paraId="410D2BA0" w14:textId="77777777" w:rsidR="00883890" w:rsidRDefault="00883890" w:rsidP="008439C5"/>
    <w:p w14:paraId="4DA45A4D" w14:textId="77777777" w:rsidR="00883890" w:rsidRDefault="00883890" w:rsidP="008439C5"/>
    <w:p w14:paraId="061F4841" w14:textId="77777777" w:rsidR="00883890" w:rsidRDefault="00883890" w:rsidP="008439C5"/>
    <w:p w14:paraId="64226B22" w14:textId="77777777" w:rsidR="00883890" w:rsidRDefault="00883890" w:rsidP="008439C5"/>
    <w:p w14:paraId="77B81466" w14:textId="77777777" w:rsidR="00883890" w:rsidRDefault="00883890" w:rsidP="008439C5"/>
    <w:p w14:paraId="7B0B9CE0" w14:textId="77777777" w:rsidR="00883890" w:rsidRDefault="00883890" w:rsidP="008439C5"/>
    <w:p w14:paraId="731D13B4" w14:textId="77777777" w:rsidR="00883890" w:rsidRDefault="00883890" w:rsidP="008439C5"/>
    <w:p w14:paraId="6DC1D5A8" w14:textId="77777777" w:rsidR="00883890" w:rsidRDefault="00883890" w:rsidP="008439C5"/>
    <w:p w14:paraId="511133CA" w14:textId="77777777" w:rsidR="00883890" w:rsidRDefault="00883890" w:rsidP="008439C5"/>
    <w:p w14:paraId="44C9DE2A" w14:textId="77777777" w:rsidR="00883890" w:rsidRDefault="00883890" w:rsidP="008439C5"/>
    <w:p w14:paraId="785813B0" w14:textId="77777777" w:rsidR="00883890" w:rsidRDefault="00883890" w:rsidP="008439C5"/>
    <w:p w14:paraId="645F5C31" w14:textId="7DCFBCE8" w:rsidR="00641B2C" w:rsidRDefault="002653ED" w:rsidP="0058002B">
      <w:pPr>
        <w:pStyle w:val="Heading1"/>
        <w:numPr>
          <w:ilvl w:val="0"/>
          <w:numId w:val="12"/>
        </w:numPr>
      </w:pPr>
      <w:bookmarkStart w:id="0" w:name="_Toc213673864"/>
      <w:r w:rsidRPr="00CA0531">
        <w:lastRenderedPageBreak/>
        <w:t>Introduction</w:t>
      </w:r>
      <w:bookmarkEnd w:id="0"/>
      <w:r w:rsidRPr="00CA0531">
        <w:t xml:space="preserve"> </w:t>
      </w:r>
    </w:p>
    <w:p w14:paraId="12EA2C52" w14:textId="77777777" w:rsidR="00B02A9E" w:rsidRPr="00B02A9E" w:rsidRDefault="00B02A9E" w:rsidP="00B02A9E"/>
    <w:p w14:paraId="1CB5956A" w14:textId="77777777" w:rsidR="006632E4" w:rsidRPr="006632E4" w:rsidRDefault="006632E4" w:rsidP="00B02A9E">
      <w:bookmarkStart w:id="1" w:name="_Toc213673865"/>
      <w:r w:rsidRPr="006632E4">
        <w:t>In today’s increasingly globalised and competitive marketplace, multinational enterprises (MNEs) must carefully tailor their marketing strategies to suit varied regional contexts. International marketing involves the application of marketing principles across more than one country, accounting for differing political, economic, cultural, and technological environments (Doole &amp; Lowe, 2020). As such, the international marketing mix becomes an essential framework through which firms position themselves effectively and competitively.</w:t>
      </w:r>
    </w:p>
    <w:p w14:paraId="7D31B6D5" w14:textId="77777777" w:rsidR="006632E4" w:rsidRPr="006632E4" w:rsidRDefault="006632E4" w:rsidP="00B02A9E">
      <w:r w:rsidRPr="006632E4">
        <w:t>BMW (Bayerische Motoren Werke AG) serves as a compelling case for examining strategic marketing decisions across international markets. As a premium automotive manufacturer operating in over 140 countries, BMW represents a global brand that must maintain consistency while adapting to local conditions. The company’s performance is influenced not only by industry trends but also by shifting consumer expectations, government regulations, and economic volatility.</w:t>
      </w:r>
    </w:p>
    <w:p w14:paraId="773FF379" w14:textId="77777777" w:rsidR="006632E4" w:rsidRPr="006632E4" w:rsidRDefault="006632E4" w:rsidP="00B02A9E">
      <w:r w:rsidRPr="006632E4">
        <w:t>This report focuses on a comparative analysis of BMW’s international marketing practices in two key markets: the United Kingdom and Germany. Germany, being BMW’s domestic and most mature market, offers insights into home-ground marketing strategies where brand loyalty and technological expectations are high. The UK, on the other hand, represents a crucial foreign market, characterised by regulatory divergence post-Brexit, urban mobility challenges, and greater consumer price sensitivity (Statista, 2023).</w:t>
      </w:r>
    </w:p>
    <w:p w14:paraId="6B6C70F3" w14:textId="77777777" w:rsidR="006632E4" w:rsidRPr="006632E4" w:rsidRDefault="006632E4" w:rsidP="00B02A9E">
      <w:r w:rsidRPr="006632E4">
        <w:t>The primary aim of this report is to critically evaluate how BMW navigates different macro-environmental conditions and consumer behaviours in these two markets. Applying frameworks such as PESTLE, STP, and the 7Ps of marketing, the report will explore BMW’s ability to balance global brand integrity with local responsiveness. It will also assess the ethical considerations and strategic recommendations relevant to future expansion and brand positioning.</w:t>
      </w:r>
    </w:p>
    <w:p w14:paraId="7C1CE33B" w14:textId="77777777" w:rsidR="006632E4" w:rsidRDefault="006632E4" w:rsidP="00B02A9E">
      <w:r w:rsidRPr="006632E4">
        <w:t>Through this structured approach, the report will contribute to a deeper understanding of the strategic imperatives involved in international marketing, using BMW as a representative example of a premium global brand operating in contrasting market environments.</w:t>
      </w:r>
      <w:r w:rsidRPr="006632E4">
        <w:t xml:space="preserve"> </w:t>
      </w:r>
    </w:p>
    <w:p w14:paraId="3907DB60" w14:textId="0784B19D" w:rsidR="00641B2C" w:rsidRDefault="00641B2C" w:rsidP="00075C5B">
      <w:pPr>
        <w:pStyle w:val="Heading1"/>
        <w:numPr>
          <w:ilvl w:val="0"/>
          <w:numId w:val="12"/>
        </w:numPr>
      </w:pPr>
      <w:r w:rsidRPr="00CD4B66">
        <w:lastRenderedPageBreak/>
        <w:t>Brand Overview</w:t>
      </w:r>
      <w:bookmarkEnd w:id="1"/>
      <w:r w:rsidRPr="00641B2C">
        <w:t xml:space="preserve"> </w:t>
      </w:r>
    </w:p>
    <w:p w14:paraId="4C9E465B" w14:textId="77777777" w:rsidR="00DE2EEF" w:rsidRDefault="00DE2EEF" w:rsidP="00075C5B"/>
    <w:p w14:paraId="0F765D88" w14:textId="5270CE11" w:rsidR="00075C5B" w:rsidRDefault="00075C5B" w:rsidP="00075C5B">
      <w:r>
        <w:t>BMW (Bayerische Motoren Werke AG) is one of the world’s most iconic and enduring premium automotive brands. Established in Munich in 1916, BMW began as an aircraft engine manufacturer before shifting towards motorcycles and eventually automobiles. Over the last century, the company has built a reputation for combining engineering precision with distinctive design and dynamic performance, encapsulated in its enduring slogan: “Sheer Driving Pleasure” (BMW Group, 2023).</w:t>
      </w:r>
    </w:p>
    <w:p w14:paraId="47DA2340" w14:textId="77777777" w:rsidR="00075C5B" w:rsidRDefault="00075C5B" w:rsidP="00075C5B">
      <w:r>
        <w:t>Operating under the BMW Group umbrella, the brand portfolio includes BMW, MINI, and Rolls-Royce. This multi-brand strategy allows the company to position itself across different segments of the luxury market. BMW’s core brand identity is rooted in performance, innovation, and sustainability—attributes that appeal to both traditional premium customers and emerging environmentally conscious consumers (Kotler and Keller, 2019).</w:t>
      </w:r>
    </w:p>
    <w:p w14:paraId="5850C097" w14:textId="77777777" w:rsidR="00075C5B" w:rsidRDefault="00075C5B" w:rsidP="00075C5B">
      <w:r>
        <w:t>Today, BMW operates in more than 140 countries and maintains production facilities in over 15, making it a truly global organisation. Its strategic focus in recent years has centred on digitalisation, electrification, and circularity, as reflected in its NEXTGen strategy and the expansion of its i Series electric vehicle lineup, including models such as the i4 and iX. These initiatives align with growing global pressure for reduced emissions and carbon-neutral manufacturing (BMW Group, 2023).</w:t>
      </w:r>
    </w:p>
    <w:p w14:paraId="70B22BCF" w14:textId="77777777" w:rsidR="00075C5B" w:rsidRDefault="00075C5B" w:rsidP="00075C5B">
      <w:r>
        <w:t>In terms of competitive positioning, BMW operates in the high-end segment of the global automotive market alongside brands such as Mercedes-Benz, Audi, Lexus, and increasingly, Tesla. While traditional competitors compete on performance and brand heritage, BMW has also had to innovate rapidly in areas such as digital in-car experience and battery technology to remain competitive in the era of electrification.</w:t>
      </w:r>
    </w:p>
    <w:p w14:paraId="190B682D" w14:textId="77777777" w:rsidR="00075C5B" w:rsidRDefault="00075C5B" w:rsidP="00075C5B">
      <w:r>
        <w:t>The UK and Germany represent two of BMW’s most strategically important markets. Germany, as the home market, provides regulatory stability and alignment with EU standards, while the UK offers access to a large and dynamic foreign market shaped by post-Brexit regulatory divergence, evolving urban transport needs, and high demand for compact luxury vehicles.</w:t>
      </w:r>
    </w:p>
    <w:p w14:paraId="65A84A02" w14:textId="77777777" w:rsidR="00075C5B" w:rsidRDefault="00075C5B" w:rsidP="00075C5B"/>
    <w:p w14:paraId="4C9EEA05" w14:textId="042C0965" w:rsidR="00075C5B" w:rsidRPr="00075C5B" w:rsidRDefault="00075C5B" w:rsidP="00075C5B">
      <w:r>
        <w:lastRenderedPageBreak/>
        <w:t>This brand overview provides the necessary context for the following international marketing analysis, which will examine how BMW adapts its strategies to the macro-environmental, behavioural, and operational conditions found in the UK and Germany.</w:t>
      </w:r>
    </w:p>
    <w:p w14:paraId="71AA7358" w14:textId="77777777" w:rsidR="00B00C16" w:rsidRDefault="00B00C16" w:rsidP="00B00C16">
      <w:pPr>
        <w:pStyle w:val="ListParagraph"/>
        <w:ind w:left="0"/>
      </w:pPr>
    </w:p>
    <w:p w14:paraId="05C1170F" w14:textId="77777777" w:rsidR="00DE2EEF" w:rsidRDefault="00DE2EEF" w:rsidP="00B00C16">
      <w:pPr>
        <w:pStyle w:val="ListParagraph"/>
        <w:ind w:left="0"/>
      </w:pPr>
    </w:p>
    <w:p w14:paraId="63D8467E" w14:textId="77777777" w:rsidR="00DE2EEF" w:rsidRDefault="00DE2EEF" w:rsidP="00B00C16">
      <w:pPr>
        <w:pStyle w:val="ListParagraph"/>
        <w:ind w:left="0"/>
      </w:pPr>
    </w:p>
    <w:p w14:paraId="7690F634" w14:textId="77777777" w:rsidR="00DE2EEF" w:rsidRDefault="00DE2EEF" w:rsidP="00B00C16">
      <w:pPr>
        <w:pStyle w:val="ListParagraph"/>
        <w:ind w:left="0"/>
      </w:pPr>
    </w:p>
    <w:p w14:paraId="2DCADF81" w14:textId="77777777" w:rsidR="00DE2EEF" w:rsidRDefault="00DE2EEF" w:rsidP="00B00C16">
      <w:pPr>
        <w:pStyle w:val="ListParagraph"/>
        <w:ind w:left="0"/>
      </w:pPr>
    </w:p>
    <w:p w14:paraId="55AA59D1" w14:textId="77777777" w:rsidR="00DE2EEF" w:rsidRDefault="00DE2EEF" w:rsidP="00B00C16">
      <w:pPr>
        <w:pStyle w:val="ListParagraph"/>
        <w:ind w:left="0"/>
      </w:pPr>
    </w:p>
    <w:p w14:paraId="76320F31" w14:textId="77777777" w:rsidR="00DE2EEF" w:rsidRDefault="00DE2EEF" w:rsidP="00B00C16">
      <w:pPr>
        <w:pStyle w:val="ListParagraph"/>
        <w:ind w:left="0"/>
      </w:pPr>
    </w:p>
    <w:p w14:paraId="67890924" w14:textId="77777777" w:rsidR="00DE2EEF" w:rsidRDefault="00DE2EEF" w:rsidP="00B00C16">
      <w:pPr>
        <w:pStyle w:val="ListParagraph"/>
        <w:ind w:left="0"/>
      </w:pPr>
    </w:p>
    <w:p w14:paraId="557AC66F" w14:textId="77777777" w:rsidR="00DE2EEF" w:rsidRDefault="00DE2EEF" w:rsidP="00B00C16">
      <w:pPr>
        <w:pStyle w:val="ListParagraph"/>
        <w:ind w:left="0"/>
      </w:pPr>
    </w:p>
    <w:p w14:paraId="54E66F56" w14:textId="77777777" w:rsidR="00DE2EEF" w:rsidRDefault="00DE2EEF" w:rsidP="00B00C16">
      <w:pPr>
        <w:pStyle w:val="ListParagraph"/>
        <w:ind w:left="0"/>
      </w:pPr>
    </w:p>
    <w:p w14:paraId="61F86909" w14:textId="77777777" w:rsidR="00DE2EEF" w:rsidRDefault="00DE2EEF" w:rsidP="00B00C16">
      <w:pPr>
        <w:pStyle w:val="ListParagraph"/>
        <w:ind w:left="0"/>
      </w:pPr>
    </w:p>
    <w:p w14:paraId="38404375" w14:textId="77777777" w:rsidR="00DE2EEF" w:rsidRDefault="00DE2EEF" w:rsidP="00B00C16">
      <w:pPr>
        <w:pStyle w:val="ListParagraph"/>
        <w:ind w:left="0"/>
      </w:pPr>
    </w:p>
    <w:p w14:paraId="117B6C8E" w14:textId="77777777" w:rsidR="00DE2EEF" w:rsidRDefault="00DE2EEF" w:rsidP="00B00C16">
      <w:pPr>
        <w:pStyle w:val="ListParagraph"/>
        <w:ind w:left="0"/>
      </w:pPr>
    </w:p>
    <w:p w14:paraId="71CE0A22" w14:textId="77777777" w:rsidR="00DE2EEF" w:rsidRDefault="00DE2EEF" w:rsidP="00B00C16">
      <w:pPr>
        <w:pStyle w:val="ListParagraph"/>
        <w:ind w:left="0"/>
      </w:pPr>
    </w:p>
    <w:p w14:paraId="0B648E41" w14:textId="77777777" w:rsidR="00DE2EEF" w:rsidRDefault="00DE2EEF" w:rsidP="00B00C16">
      <w:pPr>
        <w:pStyle w:val="ListParagraph"/>
        <w:ind w:left="0"/>
      </w:pPr>
    </w:p>
    <w:p w14:paraId="68C6A384" w14:textId="77777777" w:rsidR="00DE2EEF" w:rsidRDefault="00DE2EEF" w:rsidP="00B00C16">
      <w:pPr>
        <w:pStyle w:val="ListParagraph"/>
        <w:ind w:left="0"/>
      </w:pPr>
    </w:p>
    <w:p w14:paraId="57AE3918" w14:textId="77777777" w:rsidR="00DE2EEF" w:rsidRDefault="00DE2EEF" w:rsidP="00B00C16">
      <w:pPr>
        <w:pStyle w:val="ListParagraph"/>
        <w:ind w:left="0"/>
      </w:pPr>
    </w:p>
    <w:p w14:paraId="6290ABF8" w14:textId="77777777" w:rsidR="00DE2EEF" w:rsidRDefault="00DE2EEF" w:rsidP="00B00C16">
      <w:pPr>
        <w:pStyle w:val="ListParagraph"/>
        <w:ind w:left="0"/>
      </w:pPr>
    </w:p>
    <w:p w14:paraId="32ADF973" w14:textId="77777777" w:rsidR="00DE2EEF" w:rsidRDefault="00DE2EEF" w:rsidP="00B00C16">
      <w:pPr>
        <w:pStyle w:val="ListParagraph"/>
        <w:ind w:left="0"/>
      </w:pPr>
    </w:p>
    <w:p w14:paraId="6DE88937" w14:textId="77777777" w:rsidR="00DE2EEF" w:rsidRDefault="00DE2EEF" w:rsidP="00B00C16">
      <w:pPr>
        <w:pStyle w:val="ListParagraph"/>
        <w:ind w:left="0"/>
      </w:pPr>
    </w:p>
    <w:p w14:paraId="4750A410" w14:textId="77777777" w:rsidR="00DE2EEF" w:rsidRDefault="00DE2EEF" w:rsidP="00B00C16">
      <w:pPr>
        <w:pStyle w:val="ListParagraph"/>
        <w:ind w:left="0"/>
      </w:pPr>
    </w:p>
    <w:p w14:paraId="1529ADF5" w14:textId="77777777" w:rsidR="00DE2EEF" w:rsidRDefault="00DE2EEF" w:rsidP="00B00C16">
      <w:pPr>
        <w:pStyle w:val="ListParagraph"/>
        <w:ind w:left="0"/>
      </w:pPr>
    </w:p>
    <w:p w14:paraId="47FE4ED2" w14:textId="77777777" w:rsidR="00DE2EEF" w:rsidRDefault="00DE2EEF" w:rsidP="00B00C16">
      <w:pPr>
        <w:pStyle w:val="ListParagraph"/>
        <w:ind w:left="0"/>
      </w:pPr>
    </w:p>
    <w:p w14:paraId="06035264" w14:textId="77777777" w:rsidR="00DE2EEF" w:rsidRDefault="00DE2EEF" w:rsidP="00B00C16">
      <w:pPr>
        <w:pStyle w:val="ListParagraph"/>
        <w:ind w:left="0"/>
      </w:pPr>
    </w:p>
    <w:p w14:paraId="67E718B1" w14:textId="77777777" w:rsidR="00DE2EEF" w:rsidRDefault="00DE2EEF" w:rsidP="00B00C16">
      <w:pPr>
        <w:pStyle w:val="ListParagraph"/>
        <w:ind w:left="0"/>
      </w:pPr>
    </w:p>
    <w:p w14:paraId="6E395BAA" w14:textId="77777777" w:rsidR="00DE2EEF" w:rsidRDefault="00DE2EEF" w:rsidP="00B00C16">
      <w:pPr>
        <w:pStyle w:val="ListParagraph"/>
        <w:ind w:left="0"/>
      </w:pPr>
    </w:p>
    <w:p w14:paraId="73CC9465" w14:textId="77777777" w:rsidR="00DE2EEF" w:rsidRDefault="00DE2EEF" w:rsidP="00B00C16">
      <w:pPr>
        <w:pStyle w:val="ListParagraph"/>
        <w:ind w:left="0"/>
      </w:pPr>
    </w:p>
    <w:p w14:paraId="7EBCFA86" w14:textId="77777777" w:rsidR="00DE2EEF" w:rsidRDefault="00DE2EEF" w:rsidP="00B00C16">
      <w:pPr>
        <w:pStyle w:val="ListParagraph"/>
        <w:ind w:left="0"/>
      </w:pPr>
    </w:p>
    <w:p w14:paraId="6B28E8EA" w14:textId="77777777" w:rsidR="00DE2EEF" w:rsidRDefault="00DE2EEF" w:rsidP="00B00C16">
      <w:pPr>
        <w:pStyle w:val="ListParagraph"/>
        <w:ind w:left="0"/>
      </w:pPr>
    </w:p>
    <w:p w14:paraId="097D80B7" w14:textId="77777777" w:rsidR="00DE2EEF" w:rsidRPr="00B00C16" w:rsidRDefault="00DE2EEF" w:rsidP="00B00C16">
      <w:pPr>
        <w:pStyle w:val="ListParagraph"/>
        <w:ind w:left="0"/>
      </w:pPr>
    </w:p>
    <w:p w14:paraId="060D2A25" w14:textId="39A93A50" w:rsidR="00A6588A" w:rsidRDefault="00AB60FF" w:rsidP="001F68CF">
      <w:pPr>
        <w:pStyle w:val="Heading1"/>
        <w:numPr>
          <w:ilvl w:val="0"/>
          <w:numId w:val="12"/>
        </w:numPr>
      </w:pPr>
      <w:r w:rsidRPr="00AB60FF">
        <w:lastRenderedPageBreak/>
        <w:t>PESTLE Analysis: Macro-Environmental Comparison – UK vs Germany</w:t>
      </w:r>
    </w:p>
    <w:p w14:paraId="2D6248CC" w14:textId="77777777" w:rsidR="001F68CF" w:rsidRPr="001F68CF" w:rsidRDefault="001F68CF" w:rsidP="001F68CF">
      <w:pPr>
        <w:pStyle w:val="ListParagraph"/>
      </w:pPr>
    </w:p>
    <w:p w14:paraId="5FBF9F45" w14:textId="77777777" w:rsidR="00BD2070" w:rsidRPr="00BD2070" w:rsidRDefault="00BD2070" w:rsidP="00BD2070">
      <w:pPr>
        <w:rPr>
          <w:rFonts w:eastAsiaTheme="majorEastAsia" w:cstheme="majorBidi"/>
          <w:szCs w:val="32"/>
        </w:rPr>
      </w:pPr>
      <w:r w:rsidRPr="00BD2070">
        <w:rPr>
          <w:rFonts w:eastAsiaTheme="majorEastAsia" w:cstheme="majorBidi"/>
          <w:szCs w:val="32"/>
        </w:rPr>
        <w:t>The PESTLE framework enables an in-depth evaluation of the macro-environmental forces influencing a company’s international marketing decisions (Johnson et al., 2020). For BMW, understanding and adapting to the contrasting political, economic, and socio-technological contexts in Germany and the United Kingdom is vital to sustaining competitiveness.</w:t>
      </w:r>
    </w:p>
    <w:p w14:paraId="2E785014" w14:textId="77777777" w:rsidR="00BD2070" w:rsidRPr="00BD2070" w:rsidRDefault="00BD2070" w:rsidP="00BD2070">
      <w:pPr>
        <w:rPr>
          <w:rFonts w:eastAsiaTheme="majorEastAsia" w:cstheme="majorBidi"/>
          <w:szCs w:val="32"/>
        </w:rPr>
      </w:pPr>
      <w:r w:rsidRPr="00BD2070">
        <w:rPr>
          <w:rFonts w:eastAsiaTheme="majorEastAsia" w:cstheme="majorBidi"/>
          <w:szCs w:val="32"/>
        </w:rPr>
        <w:t>BMW’s strategic position in both markets is shaped by six external dimensions, each of which presents unique challenges and opportunities. A comparative summary is presented in Table 1, with further analysis below.</w:t>
      </w:r>
    </w:p>
    <w:p w14:paraId="22DE306F" w14:textId="47E8F57E" w:rsidR="00353FEA" w:rsidRDefault="00BD2070" w:rsidP="00BD2070">
      <w:pPr>
        <w:rPr>
          <w:rFonts w:eastAsiaTheme="majorEastAsia" w:cstheme="majorBidi"/>
          <w:szCs w:val="32"/>
        </w:rPr>
      </w:pPr>
      <w:r w:rsidRPr="00BD2070">
        <w:rPr>
          <w:rFonts w:eastAsiaTheme="majorEastAsia" w:cstheme="majorBidi"/>
          <w:szCs w:val="32"/>
        </w:rPr>
        <w:t>Table 1: Comparative PESTLE Analysis – BMW in Germany vs the United Kingdom</w:t>
      </w:r>
    </w:p>
    <w:tbl>
      <w:tblPr>
        <w:tblStyle w:val="GridTable5Dark-Accent3"/>
        <w:tblW w:w="0" w:type="auto"/>
        <w:tblLook w:val="04A0" w:firstRow="1" w:lastRow="0" w:firstColumn="1" w:lastColumn="0" w:noHBand="0" w:noVBand="1"/>
      </w:tblPr>
      <w:tblGrid>
        <w:gridCol w:w="1883"/>
        <w:gridCol w:w="3447"/>
        <w:gridCol w:w="3526"/>
      </w:tblGrid>
      <w:tr w:rsidR="00B50D4B" w:rsidRPr="00B50D4B" w14:paraId="3A34159C" w14:textId="77777777" w:rsidTr="00B50D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A95C13" w14:textId="77777777" w:rsidR="00B50D4B" w:rsidRPr="00B50D4B" w:rsidRDefault="00B50D4B" w:rsidP="00B50D4B">
            <w:pPr>
              <w:spacing w:after="160" w:line="300" w:lineRule="auto"/>
              <w:rPr>
                <w:rFonts w:eastAsiaTheme="majorEastAsia" w:cstheme="majorBidi"/>
                <w:szCs w:val="32"/>
                <w:lang w:val="en-GB"/>
              </w:rPr>
            </w:pPr>
            <w:r w:rsidRPr="00B50D4B">
              <w:rPr>
                <w:rFonts w:eastAsiaTheme="majorEastAsia" w:cstheme="majorBidi"/>
                <w:szCs w:val="32"/>
                <w:lang w:val="en-GB"/>
              </w:rPr>
              <w:t>Factor</w:t>
            </w:r>
          </w:p>
        </w:tc>
        <w:tc>
          <w:tcPr>
            <w:tcW w:w="0" w:type="auto"/>
            <w:hideMark/>
          </w:tcPr>
          <w:p w14:paraId="063DF490" w14:textId="77777777" w:rsidR="00B50D4B" w:rsidRPr="00B50D4B" w:rsidRDefault="00B50D4B" w:rsidP="00B50D4B">
            <w:pPr>
              <w:spacing w:after="160" w:line="300" w:lineRule="auto"/>
              <w:cnfStyle w:val="100000000000" w:firstRow="1" w:lastRow="0" w:firstColumn="0" w:lastColumn="0" w:oddVBand="0" w:evenVBand="0" w:oddHBand="0" w:evenHBand="0" w:firstRowFirstColumn="0" w:firstRowLastColumn="0" w:lastRowFirstColumn="0" w:lastRowLastColumn="0"/>
              <w:rPr>
                <w:rFonts w:eastAsiaTheme="majorEastAsia" w:cstheme="majorBidi"/>
                <w:szCs w:val="32"/>
                <w:lang w:val="en-GB"/>
              </w:rPr>
            </w:pPr>
            <w:r w:rsidRPr="00B50D4B">
              <w:rPr>
                <w:rFonts w:eastAsiaTheme="majorEastAsia" w:cstheme="majorBidi"/>
                <w:szCs w:val="32"/>
                <w:lang w:val="en-GB"/>
              </w:rPr>
              <w:t>Germany</w:t>
            </w:r>
          </w:p>
        </w:tc>
        <w:tc>
          <w:tcPr>
            <w:tcW w:w="0" w:type="auto"/>
            <w:hideMark/>
          </w:tcPr>
          <w:p w14:paraId="11DBD982" w14:textId="77777777" w:rsidR="00B50D4B" w:rsidRPr="00B50D4B" w:rsidRDefault="00B50D4B" w:rsidP="00B50D4B">
            <w:pPr>
              <w:spacing w:after="160" w:line="300" w:lineRule="auto"/>
              <w:cnfStyle w:val="100000000000" w:firstRow="1" w:lastRow="0" w:firstColumn="0" w:lastColumn="0" w:oddVBand="0" w:evenVBand="0" w:oddHBand="0" w:evenHBand="0" w:firstRowFirstColumn="0" w:firstRowLastColumn="0" w:lastRowFirstColumn="0" w:lastRowLastColumn="0"/>
              <w:rPr>
                <w:rFonts w:eastAsiaTheme="majorEastAsia" w:cstheme="majorBidi"/>
                <w:szCs w:val="32"/>
                <w:lang w:val="en-GB"/>
              </w:rPr>
            </w:pPr>
            <w:r w:rsidRPr="00B50D4B">
              <w:rPr>
                <w:rFonts w:eastAsiaTheme="majorEastAsia" w:cstheme="majorBidi"/>
                <w:szCs w:val="32"/>
                <w:lang w:val="en-GB"/>
              </w:rPr>
              <w:t>United Kingdom</w:t>
            </w:r>
          </w:p>
        </w:tc>
      </w:tr>
      <w:tr w:rsidR="00B50D4B" w:rsidRPr="00B50D4B" w14:paraId="72F1D1D7" w14:textId="77777777" w:rsidTr="00B50D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2DE326" w14:textId="77777777" w:rsidR="00B50D4B" w:rsidRPr="00B50D4B" w:rsidRDefault="00B50D4B" w:rsidP="00B50D4B">
            <w:pPr>
              <w:spacing w:after="160" w:line="300" w:lineRule="auto"/>
              <w:rPr>
                <w:rFonts w:eastAsiaTheme="majorEastAsia" w:cstheme="majorBidi"/>
                <w:szCs w:val="32"/>
                <w:lang w:val="en-GB"/>
              </w:rPr>
            </w:pPr>
            <w:r w:rsidRPr="00B50D4B">
              <w:rPr>
                <w:rFonts w:eastAsiaTheme="majorEastAsia" w:cstheme="majorBidi"/>
                <w:szCs w:val="32"/>
                <w:lang w:val="en-GB"/>
              </w:rPr>
              <w:t>Political</w:t>
            </w:r>
          </w:p>
        </w:tc>
        <w:tc>
          <w:tcPr>
            <w:tcW w:w="0" w:type="auto"/>
            <w:hideMark/>
          </w:tcPr>
          <w:p w14:paraId="2A703512" w14:textId="77777777" w:rsidR="00B50D4B" w:rsidRPr="00B50D4B" w:rsidRDefault="00B50D4B" w:rsidP="00B50D4B">
            <w:pPr>
              <w:spacing w:after="160" w:line="30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Cs w:val="32"/>
                <w:lang w:val="en-GB"/>
              </w:rPr>
            </w:pPr>
            <w:r w:rsidRPr="00B50D4B">
              <w:rPr>
                <w:rFonts w:eastAsiaTheme="majorEastAsia" w:cstheme="majorBidi"/>
                <w:szCs w:val="32"/>
                <w:lang w:val="en-GB"/>
              </w:rPr>
              <w:t>Stable EU alignment; strong EV subsidies and mobility reforms</w:t>
            </w:r>
          </w:p>
        </w:tc>
        <w:tc>
          <w:tcPr>
            <w:tcW w:w="0" w:type="auto"/>
            <w:hideMark/>
          </w:tcPr>
          <w:p w14:paraId="2DB0CE94" w14:textId="77777777" w:rsidR="00B50D4B" w:rsidRPr="00B50D4B" w:rsidRDefault="00B50D4B" w:rsidP="00B50D4B">
            <w:pPr>
              <w:spacing w:after="160" w:line="30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Cs w:val="32"/>
                <w:lang w:val="en-GB"/>
              </w:rPr>
            </w:pPr>
            <w:r w:rsidRPr="00B50D4B">
              <w:rPr>
                <w:rFonts w:eastAsiaTheme="majorEastAsia" w:cstheme="majorBidi"/>
                <w:szCs w:val="32"/>
                <w:lang w:val="en-GB"/>
              </w:rPr>
              <w:t>Post-Brexit trade barriers; uncertainty in emissions policy</w:t>
            </w:r>
          </w:p>
        </w:tc>
      </w:tr>
      <w:tr w:rsidR="00B50D4B" w:rsidRPr="00B50D4B" w14:paraId="2E75EC33" w14:textId="77777777" w:rsidTr="00B50D4B">
        <w:tc>
          <w:tcPr>
            <w:cnfStyle w:val="001000000000" w:firstRow="0" w:lastRow="0" w:firstColumn="1" w:lastColumn="0" w:oddVBand="0" w:evenVBand="0" w:oddHBand="0" w:evenHBand="0" w:firstRowFirstColumn="0" w:firstRowLastColumn="0" w:lastRowFirstColumn="0" w:lastRowLastColumn="0"/>
            <w:tcW w:w="0" w:type="auto"/>
            <w:hideMark/>
          </w:tcPr>
          <w:p w14:paraId="420C0949" w14:textId="77777777" w:rsidR="00B50D4B" w:rsidRPr="00B50D4B" w:rsidRDefault="00B50D4B" w:rsidP="00B50D4B">
            <w:pPr>
              <w:spacing w:after="160" w:line="300" w:lineRule="auto"/>
              <w:rPr>
                <w:rFonts w:eastAsiaTheme="majorEastAsia" w:cstheme="majorBidi"/>
                <w:szCs w:val="32"/>
                <w:lang w:val="en-GB"/>
              </w:rPr>
            </w:pPr>
            <w:r w:rsidRPr="00B50D4B">
              <w:rPr>
                <w:rFonts w:eastAsiaTheme="majorEastAsia" w:cstheme="majorBidi"/>
                <w:szCs w:val="32"/>
                <w:lang w:val="en-GB"/>
              </w:rPr>
              <w:t>Economic</w:t>
            </w:r>
          </w:p>
        </w:tc>
        <w:tc>
          <w:tcPr>
            <w:tcW w:w="0" w:type="auto"/>
            <w:hideMark/>
          </w:tcPr>
          <w:p w14:paraId="62CD09D0" w14:textId="77777777" w:rsidR="00B50D4B" w:rsidRPr="00B50D4B" w:rsidRDefault="00B50D4B" w:rsidP="00B50D4B">
            <w:pPr>
              <w:spacing w:after="160" w:line="30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szCs w:val="32"/>
                <w:lang w:val="en-GB"/>
              </w:rPr>
            </w:pPr>
            <w:r w:rsidRPr="00B50D4B">
              <w:rPr>
                <w:rFonts w:eastAsiaTheme="majorEastAsia" w:cstheme="majorBidi"/>
                <w:szCs w:val="32"/>
                <w:lang w:val="en-GB"/>
              </w:rPr>
              <w:t>Strong GDP, premium consumer segment, energy cost volatility</w:t>
            </w:r>
          </w:p>
        </w:tc>
        <w:tc>
          <w:tcPr>
            <w:tcW w:w="0" w:type="auto"/>
            <w:hideMark/>
          </w:tcPr>
          <w:p w14:paraId="6EFE57A9" w14:textId="77777777" w:rsidR="00B50D4B" w:rsidRPr="00B50D4B" w:rsidRDefault="00B50D4B" w:rsidP="00B50D4B">
            <w:pPr>
              <w:spacing w:after="160" w:line="30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szCs w:val="32"/>
                <w:lang w:val="en-GB"/>
              </w:rPr>
            </w:pPr>
            <w:r w:rsidRPr="00B50D4B">
              <w:rPr>
                <w:rFonts w:eastAsiaTheme="majorEastAsia" w:cstheme="majorBidi"/>
                <w:szCs w:val="32"/>
                <w:lang w:val="en-GB"/>
              </w:rPr>
              <w:t>Stagnant growth, high financing rates, price-sensitive market</w:t>
            </w:r>
          </w:p>
        </w:tc>
      </w:tr>
      <w:tr w:rsidR="00B50D4B" w:rsidRPr="00B50D4B" w14:paraId="2872CCBF" w14:textId="77777777" w:rsidTr="00B50D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F33977" w14:textId="77777777" w:rsidR="00B50D4B" w:rsidRPr="00B50D4B" w:rsidRDefault="00B50D4B" w:rsidP="00B50D4B">
            <w:pPr>
              <w:spacing w:after="160" w:line="300" w:lineRule="auto"/>
              <w:rPr>
                <w:rFonts w:eastAsiaTheme="majorEastAsia" w:cstheme="majorBidi"/>
                <w:szCs w:val="32"/>
                <w:lang w:val="en-GB"/>
              </w:rPr>
            </w:pPr>
            <w:r w:rsidRPr="00B50D4B">
              <w:rPr>
                <w:rFonts w:eastAsiaTheme="majorEastAsia" w:cstheme="majorBidi"/>
                <w:szCs w:val="32"/>
                <w:lang w:val="en-GB"/>
              </w:rPr>
              <w:t>Social</w:t>
            </w:r>
          </w:p>
        </w:tc>
        <w:tc>
          <w:tcPr>
            <w:tcW w:w="0" w:type="auto"/>
            <w:hideMark/>
          </w:tcPr>
          <w:p w14:paraId="19F07B60" w14:textId="77777777" w:rsidR="00B50D4B" w:rsidRPr="00B50D4B" w:rsidRDefault="00B50D4B" w:rsidP="00B50D4B">
            <w:pPr>
              <w:spacing w:after="160" w:line="30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Cs w:val="32"/>
                <w:lang w:val="en-GB"/>
              </w:rPr>
            </w:pPr>
            <w:r w:rsidRPr="00B50D4B">
              <w:rPr>
                <w:rFonts w:eastAsiaTheme="majorEastAsia" w:cstheme="majorBidi"/>
                <w:szCs w:val="32"/>
                <w:lang w:val="en-GB"/>
              </w:rPr>
              <w:t>Preference for domestic brands and EVs; value placed on engineering</w:t>
            </w:r>
          </w:p>
        </w:tc>
        <w:tc>
          <w:tcPr>
            <w:tcW w:w="0" w:type="auto"/>
            <w:hideMark/>
          </w:tcPr>
          <w:p w14:paraId="39B9D024" w14:textId="77777777" w:rsidR="00B50D4B" w:rsidRPr="00B50D4B" w:rsidRDefault="00B50D4B" w:rsidP="00B50D4B">
            <w:pPr>
              <w:spacing w:after="160" w:line="30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Cs w:val="32"/>
                <w:lang w:val="en-GB"/>
              </w:rPr>
            </w:pPr>
            <w:r w:rsidRPr="00B50D4B">
              <w:rPr>
                <w:rFonts w:eastAsiaTheme="majorEastAsia" w:cstheme="majorBidi"/>
                <w:szCs w:val="32"/>
                <w:lang w:val="en-GB"/>
              </w:rPr>
              <w:t>Younger urban buyers; rising demand for flexible mobility</w:t>
            </w:r>
          </w:p>
        </w:tc>
      </w:tr>
      <w:tr w:rsidR="00B50D4B" w:rsidRPr="00B50D4B" w14:paraId="71F763DA" w14:textId="77777777" w:rsidTr="00B50D4B">
        <w:tc>
          <w:tcPr>
            <w:cnfStyle w:val="001000000000" w:firstRow="0" w:lastRow="0" w:firstColumn="1" w:lastColumn="0" w:oddVBand="0" w:evenVBand="0" w:oddHBand="0" w:evenHBand="0" w:firstRowFirstColumn="0" w:firstRowLastColumn="0" w:lastRowFirstColumn="0" w:lastRowLastColumn="0"/>
            <w:tcW w:w="0" w:type="auto"/>
            <w:hideMark/>
          </w:tcPr>
          <w:p w14:paraId="572582CB" w14:textId="77777777" w:rsidR="00B50D4B" w:rsidRPr="00B50D4B" w:rsidRDefault="00B50D4B" w:rsidP="00B50D4B">
            <w:pPr>
              <w:spacing w:after="160" w:line="300" w:lineRule="auto"/>
              <w:rPr>
                <w:rFonts w:eastAsiaTheme="majorEastAsia" w:cstheme="majorBidi"/>
                <w:szCs w:val="32"/>
                <w:lang w:val="en-GB"/>
              </w:rPr>
            </w:pPr>
            <w:r w:rsidRPr="00B50D4B">
              <w:rPr>
                <w:rFonts w:eastAsiaTheme="majorEastAsia" w:cstheme="majorBidi"/>
                <w:szCs w:val="32"/>
                <w:lang w:val="en-GB"/>
              </w:rPr>
              <w:t>Technological</w:t>
            </w:r>
          </w:p>
        </w:tc>
        <w:tc>
          <w:tcPr>
            <w:tcW w:w="0" w:type="auto"/>
            <w:hideMark/>
          </w:tcPr>
          <w:p w14:paraId="5517838E" w14:textId="77777777" w:rsidR="00B50D4B" w:rsidRPr="00B50D4B" w:rsidRDefault="00B50D4B" w:rsidP="00B50D4B">
            <w:pPr>
              <w:spacing w:after="160" w:line="30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szCs w:val="32"/>
                <w:lang w:val="en-GB"/>
              </w:rPr>
            </w:pPr>
            <w:r w:rsidRPr="00B50D4B">
              <w:rPr>
                <w:rFonts w:eastAsiaTheme="majorEastAsia" w:cstheme="majorBidi"/>
                <w:szCs w:val="32"/>
                <w:lang w:val="en-GB"/>
              </w:rPr>
              <w:t>Strong in R&amp;D, autonomous driving, production efficiency</w:t>
            </w:r>
          </w:p>
        </w:tc>
        <w:tc>
          <w:tcPr>
            <w:tcW w:w="0" w:type="auto"/>
            <w:hideMark/>
          </w:tcPr>
          <w:p w14:paraId="021EC850" w14:textId="77777777" w:rsidR="00B50D4B" w:rsidRPr="00B50D4B" w:rsidRDefault="00B50D4B" w:rsidP="00B50D4B">
            <w:pPr>
              <w:spacing w:after="160" w:line="30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szCs w:val="32"/>
                <w:lang w:val="en-GB"/>
              </w:rPr>
            </w:pPr>
            <w:r w:rsidRPr="00B50D4B">
              <w:rPr>
                <w:rFonts w:eastAsiaTheme="majorEastAsia" w:cstheme="majorBidi"/>
                <w:szCs w:val="32"/>
                <w:lang w:val="en-GB"/>
              </w:rPr>
              <w:t>Advanced digital retailing; fast uptake of connected tech</w:t>
            </w:r>
          </w:p>
        </w:tc>
      </w:tr>
      <w:tr w:rsidR="00B50D4B" w:rsidRPr="00B50D4B" w14:paraId="1D732284" w14:textId="77777777" w:rsidTr="00B50D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BE8448" w14:textId="77777777" w:rsidR="00B50D4B" w:rsidRPr="00B50D4B" w:rsidRDefault="00B50D4B" w:rsidP="00B50D4B">
            <w:pPr>
              <w:spacing w:after="160" w:line="300" w:lineRule="auto"/>
              <w:rPr>
                <w:rFonts w:eastAsiaTheme="majorEastAsia" w:cstheme="majorBidi"/>
                <w:szCs w:val="32"/>
                <w:lang w:val="en-GB"/>
              </w:rPr>
            </w:pPr>
            <w:r w:rsidRPr="00B50D4B">
              <w:rPr>
                <w:rFonts w:eastAsiaTheme="majorEastAsia" w:cstheme="majorBidi"/>
                <w:szCs w:val="32"/>
                <w:lang w:val="en-GB"/>
              </w:rPr>
              <w:t>Legal</w:t>
            </w:r>
          </w:p>
        </w:tc>
        <w:tc>
          <w:tcPr>
            <w:tcW w:w="0" w:type="auto"/>
            <w:hideMark/>
          </w:tcPr>
          <w:p w14:paraId="39E57FB8" w14:textId="77777777" w:rsidR="00B50D4B" w:rsidRPr="00B50D4B" w:rsidRDefault="00B50D4B" w:rsidP="00B50D4B">
            <w:pPr>
              <w:spacing w:after="160" w:line="30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Cs w:val="32"/>
                <w:lang w:val="en-GB"/>
              </w:rPr>
            </w:pPr>
            <w:r w:rsidRPr="00B50D4B">
              <w:rPr>
                <w:rFonts w:eastAsiaTheme="majorEastAsia" w:cstheme="majorBidi"/>
                <w:szCs w:val="32"/>
                <w:lang w:val="en-GB"/>
              </w:rPr>
              <w:t>EU emissions and data laws; regulatory predictability</w:t>
            </w:r>
          </w:p>
        </w:tc>
        <w:tc>
          <w:tcPr>
            <w:tcW w:w="0" w:type="auto"/>
            <w:hideMark/>
          </w:tcPr>
          <w:p w14:paraId="34618D36" w14:textId="77777777" w:rsidR="00B50D4B" w:rsidRPr="00B50D4B" w:rsidRDefault="00B50D4B" w:rsidP="00B50D4B">
            <w:pPr>
              <w:spacing w:after="160" w:line="300" w:lineRule="auto"/>
              <w:cnfStyle w:val="000000100000" w:firstRow="0" w:lastRow="0" w:firstColumn="0" w:lastColumn="0" w:oddVBand="0" w:evenVBand="0" w:oddHBand="1" w:evenHBand="0" w:firstRowFirstColumn="0" w:firstRowLastColumn="0" w:lastRowFirstColumn="0" w:lastRowLastColumn="0"/>
              <w:rPr>
                <w:rFonts w:eastAsiaTheme="majorEastAsia" w:cstheme="majorBidi"/>
                <w:szCs w:val="32"/>
                <w:lang w:val="en-GB"/>
              </w:rPr>
            </w:pPr>
            <w:r w:rsidRPr="00B50D4B">
              <w:rPr>
                <w:rFonts w:eastAsiaTheme="majorEastAsia" w:cstheme="majorBidi"/>
                <w:szCs w:val="32"/>
                <w:lang w:val="en-GB"/>
              </w:rPr>
              <w:t>Diverging UK vehicle/emissions standards; shifting legal frameworks</w:t>
            </w:r>
          </w:p>
        </w:tc>
      </w:tr>
      <w:tr w:rsidR="00B50D4B" w:rsidRPr="00B50D4B" w14:paraId="43F5DE1B" w14:textId="77777777" w:rsidTr="00B50D4B">
        <w:tc>
          <w:tcPr>
            <w:cnfStyle w:val="001000000000" w:firstRow="0" w:lastRow="0" w:firstColumn="1" w:lastColumn="0" w:oddVBand="0" w:evenVBand="0" w:oddHBand="0" w:evenHBand="0" w:firstRowFirstColumn="0" w:firstRowLastColumn="0" w:lastRowFirstColumn="0" w:lastRowLastColumn="0"/>
            <w:tcW w:w="0" w:type="auto"/>
            <w:hideMark/>
          </w:tcPr>
          <w:p w14:paraId="64FFE9E2" w14:textId="77777777" w:rsidR="00B50D4B" w:rsidRPr="00B50D4B" w:rsidRDefault="00B50D4B" w:rsidP="00B50D4B">
            <w:pPr>
              <w:spacing w:after="160" w:line="300" w:lineRule="auto"/>
              <w:rPr>
                <w:rFonts w:eastAsiaTheme="majorEastAsia" w:cstheme="majorBidi"/>
                <w:szCs w:val="32"/>
                <w:lang w:val="en-GB"/>
              </w:rPr>
            </w:pPr>
            <w:r w:rsidRPr="00B50D4B">
              <w:rPr>
                <w:rFonts w:eastAsiaTheme="majorEastAsia" w:cstheme="majorBidi"/>
                <w:szCs w:val="32"/>
                <w:lang w:val="en-GB"/>
              </w:rPr>
              <w:t>Environmental</w:t>
            </w:r>
          </w:p>
        </w:tc>
        <w:tc>
          <w:tcPr>
            <w:tcW w:w="0" w:type="auto"/>
            <w:hideMark/>
          </w:tcPr>
          <w:p w14:paraId="48BC6B54" w14:textId="77777777" w:rsidR="00B50D4B" w:rsidRPr="00B50D4B" w:rsidRDefault="00B50D4B" w:rsidP="00B50D4B">
            <w:pPr>
              <w:spacing w:after="160" w:line="30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szCs w:val="32"/>
                <w:lang w:val="en-GB"/>
              </w:rPr>
            </w:pPr>
            <w:r w:rsidRPr="00B50D4B">
              <w:rPr>
                <w:rFonts w:eastAsiaTheme="majorEastAsia" w:cstheme="majorBidi"/>
                <w:szCs w:val="32"/>
                <w:lang w:val="en-GB"/>
              </w:rPr>
              <w:t>Comprehensive green legislation; investment in sustainable production</w:t>
            </w:r>
          </w:p>
        </w:tc>
        <w:tc>
          <w:tcPr>
            <w:tcW w:w="0" w:type="auto"/>
            <w:hideMark/>
          </w:tcPr>
          <w:p w14:paraId="7F6E4263" w14:textId="77777777" w:rsidR="00B50D4B" w:rsidRPr="00B50D4B" w:rsidRDefault="00B50D4B" w:rsidP="00B50D4B">
            <w:pPr>
              <w:spacing w:after="160" w:line="300" w:lineRule="auto"/>
              <w:cnfStyle w:val="000000000000" w:firstRow="0" w:lastRow="0" w:firstColumn="0" w:lastColumn="0" w:oddVBand="0" w:evenVBand="0" w:oddHBand="0" w:evenHBand="0" w:firstRowFirstColumn="0" w:firstRowLastColumn="0" w:lastRowFirstColumn="0" w:lastRowLastColumn="0"/>
              <w:rPr>
                <w:rFonts w:eastAsiaTheme="majorEastAsia" w:cstheme="majorBidi"/>
                <w:szCs w:val="32"/>
                <w:lang w:val="en-GB"/>
              </w:rPr>
            </w:pPr>
            <w:r w:rsidRPr="00B50D4B">
              <w:rPr>
                <w:rFonts w:eastAsiaTheme="majorEastAsia" w:cstheme="majorBidi"/>
                <w:szCs w:val="32"/>
                <w:lang w:val="en-GB"/>
              </w:rPr>
              <w:t>Fragmented green policy; urban emission zones (ULEZ)</w:t>
            </w:r>
          </w:p>
        </w:tc>
      </w:tr>
    </w:tbl>
    <w:p w14:paraId="1390FC5A" w14:textId="61343A55" w:rsidR="0022680D" w:rsidRPr="00353FEA" w:rsidRDefault="00F56F71" w:rsidP="00353FEA">
      <w:pPr>
        <w:rPr>
          <w:rFonts w:eastAsiaTheme="majorEastAsia" w:cstheme="majorBidi"/>
          <w:szCs w:val="32"/>
        </w:rPr>
      </w:pPr>
      <w:r w:rsidRPr="00F56F71">
        <w:rPr>
          <w:rFonts w:eastAsiaTheme="majorEastAsia" w:cstheme="majorBidi"/>
          <w:szCs w:val="32"/>
        </w:rPr>
        <w:t>Source: BMW Group (2024); KPMG (2024); Luthra (2024); Statista (2024)</w:t>
      </w:r>
    </w:p>
    <w:p w14:paraId="0D0F7036" w14:textId="77777777" w:rsidR="00353FEA" w:rsidRPr="00353FEA" w:rsidRDefault="00353FEA" w:rsidP="00353FEA">
      <w:pPr>
        <w:rPr>
          <w:rFonts w:eastAsiaTheme="majorEastAsia" w:cstheme="majorBidi"/>
          <w:szCs w:val="32"/>
        </w:rPr>
      </w:pPr>
      <w:r w:rsidRPr="00353FEA">
        <w:rPr>
          <w:rFonts w:eastAsiaTheme="majorEastAsia" w:cstheme="majorBidi"/>
          <w:szCs w:val="32"/>
        </w:rPr>
        <w:lastRenderedPageBreak/>
        <w:t>Political Factors</w:t>
      </w:r>
    </w:p>
    <w:p w14:paraId="406C43EC" w14:textId="77777777" w:rsidR="00353FEA" w:rsidRPr="00353FEA" w:rsidRDefault="00353FEA" w:rsidP="00353FEA">
      <w:pPr>
        <w:rPr>
          <w:rFonts w:eastAsiaTheme="majorEastAsia" w:cstheme="majorBidi"/>
          <w:szCs w:val="32"/>
        </w:rPr>
      </w:pPr>
      <w:r w:rsidRPr="00353FEA">
        <w:rPr>
          <w:rFonts w:eastAsiaTheme="majorEastAsia" w:cstheme="majorBidi"/>
          <w:szCs w:val="32"/>
        </w:rPr>
        <w:t>Germany offers relative political stability and strong institutional support for the automotive industry, including favourable subsidies for electric vehicle (EV) adoption. The German government’s 2030 Mobility Strategy prioritises electromobility and digitalisation, which aligns closely with BMW’s long-term goals (BMW Group, 2023). In contrast, the UK’s post-Brexit regulatory environment has increased administrative burdens for imports and exports. According to Shafiee (2024), trade barriers and fluctuating tariffs have negatively affected the supply chain efficiency of German manufacturers operating in the UK.</w:t>
      </w:r>
    </w:p>
    <w:p w14:paraId="242E64BB" w14:textId="77777777" w:rsidR="00353FEA" w:rsidRPr="00353FEA" w:rsidRDefault="00353FEA" w:rsidP="00353FEA">
      <w:pPr>
        <w:rPr>
          <w:rFonts w:eastAsiaTheme="majorEastAsia" w:cstheme="majorBidi"/>
          <w:szCs w:val="32"/>
        </w:rPr>
      </w:pPr>
      <w:r w:rsidRPr="00353FEA">
        <w:rPr>
          <w:rFonts w:eastAsiaTheme="majorEastAsia" w:cstheme="majorBidi"/>
          <w:szCs w:val="32"/>
        </w:rPr>
        <w:t>Economic Factors</w:t>
      </w:r>
    </w:p>
    <w:p w14:paraId="4AE2ECB1" w14:textId="77777777" w:rsidR="00353FEA" w:rsidRPr="00353FEA" w:rsidRDefault="00353FEA" w:rsidP="00353FEA">
      <w:pPr>
        <w:rPr>
          <w:rFonts w:eastAsiaTheme="majorEastAsia" w:cstheme="majorBidi"/>
          <w:szCs w:val="32"/>
        </w:rPr>
      </w:pPr>
      <w:r w:rsidRPr="00353FEA">
        <w:rPr>
          <w:rFonts w:eastAsiaTheme="majorEastAsia" w:cstheme="majorBidi"/>
          <w:szCs w:val="32"/>
        </w:rPr>
        <w:t>Germany remains one of the largest economies in Europe, with a highly developed industrial base and strong domestic demand for premium vehicles. However, energy price volatility and inflation linked to the Ukraine conflict have impacted production costs (Montes Torralbo, 2024). Meanwhile, the UK economy continues to struggle with stagnant growth and weak consumer confidence, especially post-COVID. Rising interest rates have further constrained automotive financing, reducing consumer access to BMW’s higher-end models.</w:t>
      </w:r>
    </w:p>
    <w:p w14:paraId="3AB0CF9C" w14:textId="77777777" w:rsidR="00353FEA" w:rsidRPr="00353FEA" w:rsidRDefault="00353FEA" w:rsidP="00353FEA">
      <w:pPr>
        <w:rPr>
          <w:rFonts w:eastAsiaTheme="majorEastAsia" w:cstheme="majorBidi"/>
          <w:szCs w:val="32"/>
        </w:rPr>
      </w:pPr>
      <w:r w:rsidRPr="00353FEA">
        <w:rPr>
          <w:rFonts w:eastAsiaTheme="majorEastAsia" w:cstheme="majorBidi"/>
          <w:szCs w:val="32"/>
        </w:rPr>
        <w:t>Social Factors</w:t>
      </w:r>
    </w:p>
    <w:p w14:paraId="6715060D" w14:textId="77777777" w:rsidR="00353FEA" w:rsidRPr="00353FEA" w:rsidRDefault="00353FEA" w:rsidP="00353FEA">
      <w:pPr>
        <w:rPr>
          <w:rFonts w:eastAsiaTheme="majorEastAsia" w:cstheme="majorBidi"/>
          <w:szCs w:val="32"/>
        </w:rPr>
      </w:pPr>
      <w:r w:rsidRPr="00353FEA">
        <w:rPr>
          <w:rFonts w:eastAsiaTheme="majorEastAsia" w:cstheme="majorBidi"/>
          <w:szCs w:val="32"/>
        </w:rPr>
        <w:t>German consumers exhibit a strong preference for engineering excellence and domestic brands, offering BMW a loyal customer base. However, there is growing social pressure for greener, more sustainable mobility solutions, especially among younger demographics (Murça, 2024). In the UK, social trends lean toward compact and hybrid vehicles due to urban congestion and high fuel prices. There is also a stronger inclination toward car subscription services and mobility-as-a-service (MaaS), requiring BMW to rethink its traditional ownership models.</w:t>
      </w:r>
    </w:p>
    <w:p w14:paraId="1582C0E5" w14:textId="77777777" w:rsidR="00353FEA" w:rsidRPr="00353FEA" w:rsidRDefault="00353FEA" w:rsidP="00353FEA">
      <w:pPr>
        <w:rPr>
          <w:rFonts w:eastAsiaTheme="majorEastAsia" w:cstheme="majorBidi"/>
          <w:szCs w:val="32"/>
        </w:rPr>
      </w:pPr>
      <w:r w:rsidRPr="00353FEA">
        <w:rPr>
          <w:rFonts w:eastAsiaTheme="majorEastAsia" w:cstheme="majorBidi"/>
          <w:szCs w:val="32"/>
        </w:rPr>
        <w:t>Technological Factors</w:t>
      </w:r>
    </w:p>
    <w:p w14:paraId="228916CB" w14:textId="77777777" w:rsidR="00353FEA" w:rsidRPr="00353FEA" w:rsidRDefault="00353FEA" w:rsidP="00353FEA">
      <w:pPr>
        <w:rPr>
          <w:rFonts w:eastAsiaTheme="majorEastAsia" w:cstheme="majorBidi"/>
          <w:szCs w:val="32"/>
        </w:rPr>
      </w:pPr>
      <w:r w:rsidRPr="00353FEA">
        <w:rPr>
          <w:rFonts w:eastAsiaTheme="majorEastAsia" w:cstheme="majorBidi"/>
          <w:szCs w:val="32"/>
        </w:rPr>
        <w:t xml:space="preserve">Both countries exhibit high levels of technological infrastructure, but Germany leads in industrial automation and advanced manufacturing. The UK, however, has shown rapid adoption of digital retail platforms and connected car technology. The UK’s 5G infrastructure and smart city initiatives provide opportunities for BMW’s digital ecosystem (Luthra, 2024). Nonetheless, </w:t>
      </w:r>
      <w:r w:rsidRPr="00353FEA">
        <w:rPr>
          <w:rFonts w:eastAsiaTheme="majorEastAsia" w:cstheme="majorBidi"/>
          <w:szCs w:val="32"/>
        </w:rPr>
        <w:lastRenderedPageBreak/>
        <w:t>competition from Tesla and Chinese EV startups has placed additional pressure on BMW to accelerate innovation cycles.</w:t>
      </w:r>
    </w:p>
    <w:p w14:paraId="20420277" w14:textId="77777777" w:rsidR="00353FEA" w:rsidRPr="00353FEA" w:rsidRDefault="00353FEA" w:rsidP="00353FEA">
      <w:pPr>
        <w:rPr>
          <w:rFonts w:eastAsiaTheme="majorEastAsia" w:cstheme="majorBidi"/>
          <w:szCs w:val="32"/>
        </w:rPr>
      </w:pPr>
      <w:r w:rsidRPr="00353FEA">
        <w:rPr>
          <w:rFonts w:eastAsiaTheme="majorEastAsia" w:cstheme="majorBidi"/>
          <w:szCs w:val="32"/>
        </w:rPr>
        <w:t>Legal Factors</w:t>
      </w:r>
    </w:p>
    <w:p w14:paraId="0AA5FADA" w14:textId="77777777" w:rsidR="00353FEA" w:rsidRPr="00353FEA" w:rsidRDefault="00353FEA" w:rsidP="00353FEA">
      <w:pPr>
        <w:rPr>
          <w:rFonts w:eastAsiaTheme="majorEastAsia" w:cstheme="majorBidi"/>
          <w:szCs w:val="32"/>
        </w:rPr>
      </w:pPr>
      <w:r w:rsidRPr="00353FEA">
        <w:rPr>
          <w:rFonts w:eastAsiaTheme="majorEastAsia" w:cstheme="majorBidi"/>
          <w:szCs w:val="32"/>
        </w:rPr>
        <w:t>The German regulatory environment is harmonised with EU legislation, which continues to tighten emission standards and data protection compliance (e.g. GDPR). The UK, however, now operates under its own legal framework post-Brexit. The divergence in emissions and vehicle safety standards creates challenges for cross-market standardisation. The UK’s recent postponement of the ICE (Internal Combustion Engine) ban from 2030 to 2035 also adds uncertainty to BMW’s EV planning.</w:t>
      </w:r>
    </w:p>
    <w:p w14:paraId="20E0DA86" w14:textId="77777777" w:rsidR="00353FEA" w:rsidRPr="00353FEA" w:rsidRDefault="00353FEA" w:rsidP="00353FEA">
      <w:pPr>
        <w:rPr>
          <w:rFonts w:eastAsiaTheme="majorEastAsia" w:cstheme="majorBidi"/>
          <w:szCs w:val="32"/>
        </w:rPr>
      </w:pPr>
      <w:r w:rsidRPr="00353FEA">
        <w:rPr>
          <w:rFonts w:eastAsiaTheme="majorEastAsia" w:cstheme="majorBidi"/>
          <w:szCs w:val="32"/>
        </w:rPr>
        <w:t>Environmental Factors</w:t>
      </w:r>
    </w:p>
    <w:p w14:paraId="26647986" w14:textId="4C8D122B" w:rsidR="003B159D" w:rsidRDefault="00353FEA" w:rsidP="00353FEA">
      <w:pPr>
        <w:rPr>
          <w:rFonts w:eastAsiaTheme="majorEastAsia" w:cstheme="majorBidi"/>
          <w:szCs w:val="32"/>
        </w:rPr>
      </w:pPr>
      <w:r w:rsidRPr="00353FEA">
        <w:rPr>
          <w:rFonts w:eastAsiaTheme="majorEastAsia" w:cstheme="majorBidi"/>
          <w:szCs w:val="32"/>
        </w:rPr>
        <w:t>Germany has implemented one of the most comprehensive carbon neutrality frameworks in the EU, including environmental taxation, EV subsidies, and green infrastructure investment. BMW’s manufacturing plants in Leipzig and Munich have been recognised for their energy-efficient production (BMW Group, 2023). In the UK, while there is strong government rhetoric on sustainability, implementation remains fragmented. Urban emission zones (e.g. ULEZ in London) create opportunities for compact electric models but may limit demand for larger luxury vehicles.</w:t>
      </w:r>
    </w:p>
    <w:p w14:paraId="723BBBA4" w14:textId="77777777" w:rsidR="003B159D" w:rsidRDefault="003B159D" w:rsidP="00576F74">
      <w:pPr>
        <w:rPr>
          <w:rFonts w:eastAsiaTheme="majorEastAsia" w:cstheme="majorBidi"/>
          <w:szCs w:val="32"/>
        </w:rPr>
      </w:pPr>
    </w:p>
    <w:p w14:paraId="000B006A" w14:textId="77777777" w:rsidR="003B159D" w:rsidRDefault="003B159D" w:rsidP="00576F74">
      <w:pPr>
        <w:rPr>
          <w:rFonts w:eastAsiaTheme="majorEastAsia" w:cstheme="majorBidi"/>
          <w:szCs w:val="32"/>
        </w:rPr>
      </w:pPr>
    </w:p>
    <w:p w14:paraId="638151B2" w14:textId="77777777" w:rsidR="003B159D" w:rsidRDefault="003B159D" w:rsidP="00576F74">
      <w:pPr>
        <w:rPr>
          <w:rFonts w:eastAsiaTheme="majorEastAsia" w:cstheme="majorBidi"/>
          <w:szCs w:val="32"/>
        </w:rPr>
      </w:pPr>
    </w:p>
    <w:p w14:paraId="6F484D36" w14:textId="77777777" w:rsidR="003B159D" w:rsidRDefault="003B159D" w:rsidP="00576F74">
      <w:pPr>
        <w:rPr>
          <w:rFonts w:eastAsiaTheme="majorEastAsia" w:cstheme="majorBidi"/>
          <w:szCs w:val="32"/>
        </w:rPr>
      </w:pPr>
    </w:p>
    <w:p w14:paraId="5260F89F" w14:textId="77777777" w:rsidR="003E3A3E" w:rsidRDefault="003E3A3E" w:rsidP="00576F74">
      <w:pPr>
        <w:rPr>
          <w:rFonts w:eastAsiaTheme="majorEastAsia" w:cstheme="majorBidi"/>
          <w:szCs w:val="32"/>
        </w:rPr>
      </w:pPr>
    </w:p>
    <w:p w14:paraId="35F51B67" w14:textId="77777777" w:rsidR="003E3A3E" w:rsidRDefault="003E3A3E" w:rsidP="00576F74">
      <w:pPr>
        <w:rPr>
          <w:rFonts w:eastAsiaTheme="majorEastAsia" w:cstheme="majorBidi"/>
          <w:szCs w:val="32"/>
        </w:rPr>
      </w:pPr>
    </w:p>
    <w:p w14:paraId="1E60AFFB" w14:textId="77777777" w:rsidR="003E3A3E" w:rsidRDefault="003E3A3E" w:rsidP="00576F74">
      <w:pPr>
        <w:rPr>
          <w:rFonts w:eastAsiaTheme="majorEastAsia" w:cstheme="majorBidi"/>
          <w:szCs w:val="32"/>
        </w:rPr>
      </w:pPr>
    </w:p>
    <w:p w14:paraId="3FF6A13D" w14:textId="77777777" w:rsidR="003E3A3E" w:rsidRDefault="003E3A3E" w:rsidP="00576F74">
      <w:pPr>
        <w:rPr>
          <w:rFonts w:eastAsiaTheme="majorEastAsia" w:cstheme="majorBidi"/>
          <w:szCs w:val="32"/>
        </w:rPr>
      </w:pPr>
    </w:p>
    <w:p w14:paraId="21BBDF73" w14:textId="77777777" w:rsidR="003B159D" w:rsidRDefault="003B159D" w:rsidP="00576F74">
      <w:pPr>
        <w:rPr>
          <w:rFonts w:eastAsiaTheme="majorEastAsia" w:cstheme="majorBidi"/>
          <w:szCs w:val="32"/>
        </w:rPr>
      </w:pPr>
    </w:p>
    <w:p w14:paraId="669A32C3" w14:textId="76439A65" w:rsidR="00A6588A" w:rsidRDefault="00A6588A" w:rsidP="00944748">
      <w:pPr>
        <w:pStyle w:val="Heading1"/>
      </w:pPr>
      <w:bookmarkStart w:id="2" w:name="_Toc213673874"/>
      <w:r w:rsidRPr="00A6588A">
        <w:lastRenderedPageBreak/>
        <w:t>4</w:t>
      </w:r>
      <w:r w:rsidRPr="00CD4B66">
        <w:t>. Comparison of STP Strategies</w:t>
      </w:r>
      <w:r w:rsidRPr="00A6588A">
        <w:t xml:space="preserve"> (Segmentation, Targeting, Positioning)</w:t>
      </w:r>
      <w:bookmarkEnd w:id="2"/>
    </w:p>
    <w:p w14:paraId="21B91354" w14:textId="77777777" w:rsidR="000E0DB0" w:rsidRDefault="000E0DB0"/>
    <w:p w14:paraId="202D2888" w14:textId="77777777" w:rsidR="00467484" w:rsidRDefault="00467484" w:rsidP="00467484">
      <w:r>
        <w:t>The STP framework—Segmentation, Targeting and Positioning—forms the foundation of effective marketing strategy in international contexts (Kotler et al., 2019). For global brands like BMW, adapting these elements to local conditions is essential for maintaining competitiveness and resonance with consumers. This section compares how BMW applies STP strategies in Germany and the United Kingdom, reflecting differences in demographics, consumer behaviour, and regulatory landscapes.</w:t>
      </w:r>
    </w:p>
    <w:p w14:paraId="32AC2128" w14:textId="01A0C959" w:rsidR="00267067" w:rsidRDefault="00267067" w:rsidP="00467484">
      <w:r w:rsidRPr="00267067">
        <w:t>A comparative summary of BMW’s STP practices across both markets is presented in Table 1 below.</w:t>
      </w:r>
    </w:p>
    <w:p w14:paraId="02ACE29C" w14:textId="77777777" w:rsidR="005256AD" w:rsidRDefault="005256AD" w:rsidP="00467484"/>
    <w:p w14:paraId="7A486660" w14:textId="5DD78AEA" w:rsidR="00267067" w:rsidRDefault="00961EDF" w:rsidP="00467484">
      <w:r w:rsidRPr="00961EDF">
        <w:t xml:space="preserve">Table </w:t>
      </w:r>
      <w:r w:rsidR="00873B56">
        <w:t>2</w:t>
      </w:r>
      <w:r w:rsidRPr="00961EDF">
        <w:t>: STP Strategy Comparison – BMW in Germany vs the UK</w:t>
      </w:r>
    </w:p>
    <w:tbl>
      <w:tblPr>
        <w:tblStyle w:val="GridTable5Dark-Accent3"/>
        <w:tblW w:w="0" w:type="auto"/>
        <w:tblLook w:val="04A0" w:firstRow="1" w:lastRow="0" w:firstColumn="1" w:lastColumn="0" w:noHBand="0" w:noVBand="1"/>
      </w:tblPr>
      <w:tblGrid>
        <w:gridCol w:w="1803"/>
        <w:gridCol w:w="3718"/>
        <w:gridCol w:w="3335"/>
      </w:tblGrid>
      <w:tr w:rsidR="00961EDF" w:rsidRPr="00961EDF" w14:paraId="3FDF830A" w14:textId="77777777" w:rsidTr="00961E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C42701" w14:textId="77777777" w:rsidR="00961EDF" w:rsidRPr="00961EDF" w:rsidRDefault="00961EDF" w:rsidP="00961EDF">
            <w:pPr>
              <w:spacing w:after="160" w:line="300" w:lineRule="auto"/>
              <w:rPr>
                <w:lang w:val="en-GB"/>
              </w:rPr>
            </w:pPr>
            <w:r w:rsidRPr="00961EDF">
              <w:rPr>
                <w:lang w:val="en-GB"/>
              </w:rPr>
              <w:t>Element</w:t>
            </w:r>
          </w:p>
        </w:tc>
        <w:tc>
          <w:tcPr>
            <w:tcW w:w="0" w:type="auto"/>
            <w:hideMark/>
          </w:tcPr>
          <w:p w14:paraId="56193E28" w14:textId="77777777" w:rsidR="00961EDF" w:rsidRPr="00961EDF" w:rsidRDefault="00961EDF" w:rsidP="00961EDF">
            <w:pPr>
              <w:spacing w:after="160" w:line="300" w:lineRule="auto"/>
              <w:cnfStyle w:val="100000000000" w:firstRow="1" w:lastRow="0" w:firstColumn="0" w:lastColumn="0" w:oddVBand="0" w:evenVBand="0" w:oddHBand="0" w:evenHBand="0" w:firstRowFirstColumn="0" w:firstRowLastColumn="0" w:lastRowFirstColumn="0" w:lastRowLastColumn="0"/>
              <w:rPr>
                <w:lang w:val="en-GB"/>
              </w:rPr>
            </w:pPr>
            <w:r w:rsidRPr="00961EDF">
              <w:rPr>
                <w:lang w:val="en-GB"/>
              </w:rPr>
              <w:t>Germany</w:t>
            </w:r>
          </w:p>
        </w:tc>
        <w:tc>
          <w:tcPr>
            <w:tcW w:w="0" w:type="auto"/>
            <w:hideMark/>
          </w:tcPr>
          <w:p w14:paraId="21727AD8" w14:textId="77777777" w:rsidR="00961EDF" w:rsidRPr="00961EDF" w:rsidRDefault="00961EDF" w:rsidP="00961EDF">
            <w:pPr>
              <w:spacing w:after="160" w:line="300" w:lineRule="auto"/>
              <w:cnfStyle w:val="100000000000" w:firstRow="1" w:lastRow="0" w:firstColumn="0" w:lastColumn="0" w:oddVBand="0" w:evenVBand="0" w:oddHBand="0" w:evenHBand="0" w:firstRowFirstColumn="0" w:firstRowLastColumn="0" w:lastRowFirstColumn="0" w:lastRowLastColumn="0"/>
              <w:rPr>
                <w:lang w:val="en-GB"/>
              </w:rPr>
            </w:pPr>
            <w:r w:rsidRPr="00961EDF">
              <w:rPr>
                <w:lang w:val="en-GB"/>
              </w:rPr>
              <w:t>United Kingdom</w:t>
            </w:r>
          </w:p>
        </w:tc>
      </w:tr>
      <w:tr w:rsidR="00961EDF" w:rsidRPr="00961EDF" w14:paraId="0CE8677B" w14:textId="77777777" w:rsidTr="00961E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B2F6EA" w14:textId="77777777" w:rsidR="00961EDF" w:rsidRPr="00961EDF" w:rsidRDefault="00961EDF" w:rsidP="00961EDF">
            <w:pPr>
              <w:spacing w:after="160" w:line="300" w:lineRule="auto"/>
              <w:rPr>
                <w:lang w:val="en-GB"/>
              </w:rPr>
            </w:pPr>
            <w:r w:rsidRPr="00961EDF">
              <w:rPr>
                <w:lang w:val="en-GB"/>
              </w:rPr>
              <w:t>Segmentation</w:t>
            </w:r>
          </w:p>
        </w:tc>
        <w:tc>
          <w:tcPr>
            <w:tcW w:w="0" w:type="auto"/>
            <w:hideMark/>
          </w:tcPr>
          <w:p w14:paraId="78B75881" w14:textId="77777777" w:rsidR="00961EDF" w:rsidRPr="00961EDF" w:rsidRDefault="00961EDF" w:rsidP="00961EDF">
            <w:pPr>
              <w:spacing w:after="160" w:line="300" w:lineRule="auto"/>
              <w:cnfStyle w:val="000000100000" w:firstRow="0" w:lastRow="0" w:firstColumn="0" w:lastColumn="0" w:oddVBand="0" w:evenVBand="0" w:oddHBand="1" w:evenHBand="0" w:firstRowFirstColumn="0" w:firstRowLastColumn="0" w:lastRowFirstColumn="0" w:lastRowLastColumn="0"/>
              <w:rPr>
                <w:lang w:val="en-GB"/>
              </w:rPr>
            </w:pPr>
            <w:r w:rsidRPr="00961EDF">
              <w:rPr>
                <w:lang w:val="en-GB"/>
              </w:rPr>
              <w:t>Demographic: high-income professionals; Psychographic: tech-savvy, eco-aware</w:t>
            </w:r>
          </w:p>
        </w:tc>
        <w:tc>
          <w:tcPr>
            <w:tcW w:w="0" w:type="auto"/>
            <w:hideMark/>
          </w:tcPr>
          <w:p w14:paraId="2CCB437A" w14:textId="77777777" w:rsidR="00961EDF" w:rsidRPr="00961EDF" w:rsidRDefault="00961EDF" w:rsidP="00961EDF">
            <w:pPr>
              <w:spacing w:after="160" w:line="300" w:lineRule="auto"/>
              <w:cnfStyle w:val="000000100000" w:firstRow="0" w:lastRow="0" w:firstColumn="0" w:lastColumn="0" w:oddVBand="0" w:evenVBand="0" w:oddHBand="1" w:evenHBand="0" w:firstRowFirstColumn="0" w:firstRowLastColumn="0" w:lastRowFirstColumn="0" w:lastRowLastColumn="0"/>
              <w:rPr>
                <w:lang w:val="en-GB"/>
              </w:rPr>
            </w:pPr>
            <w:r w:rsidRPr="00961EDF">
              <w:rPr>
                <w:lang w:val="en-GB"/>
              </w:rPr>
              <w:t>Psychographic: urban lifestyles; Behavioural: price-sensitive buyers</w:t>
            </w:r>
          </w:p>
        </w:tc>
      </w:tr>
      <w:tr w:rsidR="00961EDF" w:rsidRPr="00961EDF" w14:paraId="28382D17" w14:textId="77777777" w:rsidTr="00961EDF">
        <w:tc>
          <w:tcPr>
            <w:cnfStyle w:val="001000000000" w:firstRow="0" w:lastRow="0" w:firstColumn="1" w:lastColumn="0" w:oddVBand="0" w:evenVBand="0" w:oddHBand="0" w:evenHBand="0" w:firstRowFirstColumn="0" w:firstRowLastColumn="0" w:lastRowFirstColumn="0" w:lastRowLastColumn="0"/>
            <w:tcW w:w="0" w:type="auto"/>
            <w:hideMark/>
          </w:tcPr>
          <w:p w14:paraId="4AD68A16" w14:textId="77777777" w:rsidR="00961EDF" w:rsidRPr="00961EDF" w:rsidRDefault="00961EDF" w:rsidP="00961EDF">
            <w:pPr>
              <w:spacing w:after="160" w:line="300" w:lineRule="auto"/>
              <w:rPr>
                <w:lang w:val="en-GB"/>
              </w:rPr>
            </w:pPr>
            <w:r w:rsidRPr="00961EDF">
              <w:rPr>
                <w:lang w:val="en-GB"/>
              </w:rPr>
              <w:t>Targeting</w:t>
            </w:r>
          </w:p>
        </w:tc>
        <w:tc>
          <w:tcPr>
            <w:tcW w:w="0" w:type="auto"/>
            <w:hideMark/>
          </w:tcPr>
          <w:p w14:paraId="237C54DF" w14:textId="77777777" w:rsidR="00961EDF" w:rsidRPr="00961EDF" w:rsidRDefault="00961EDF" w:rsidP="00961EDF">
            <w:pPr>
              <w:spacing w:after="160" w:line="300" w:lineRule="auto"/>
              <w:cnfStyle w:val="000000000000" w:firstRow="0" w:lastRow="0" w:firstColumn="0" w:lastColumn="0" w:oddVBand="0" w:evenVBand="0" w:oddHBand="0" w:evenHBand="0" w:firstRowFirstColumn="0" w:firstRowLastColumn="0" w:lastRowFirstColumn="0" w:lastRowLastColumn="0"/>
              <w:rPr>
                <w:lang w:val="en-GB"/>
              </w:rPr>
            </w:pPr>
            <w:r w:rsidRPr="00961EDF">
              <w:rPr>
                <w:lang w:val="en-GB"/>
              </w:rPr>
              <w:t>Narrow focus on innovation-driven, loyal customers</w:t>
            </w:r>
          </w:p>
        </w:tc>
        <w:tc>
          <w:tcPr>
            <w:tcW w:w="0" w:type="auto"/>
            <w:hideMark/>
          </w:tcPr>
          <w:p w14:paraId="73D0B18C" w14:textId="77777777" w:rsidR="00961EDF" w:rsidRPr="00961EDF" w:rsidRDefault="00961EDF" w:rsidP="00961EDF">
            <w:pPr>
              <w:spacing w:after="160" w:line="300" w:lineRule="auto"/>
              <w:cnfStyle w:val="000000000000" w:firstRow="0" w:lastRow="0" w:firstColumn="0" w:lastColumn="0" w:oddVBand="0" w:evenVBand="0" w:oddHBand="0" w:evenHBand="0" w:firstRowFirstColumn="0" w:firstRowLastColumn="0" w:lastRowFirstColumn="0" w:lastRowLastColumn="0"/>
              <w:rPr>
                <w:lang w:val="en-GB"/>
              </w:rPr>
            </w:pPr>
            <w:r w:rsidRPr="00961EDF">
              <w:rPr>
                <w:lang w:val="en-GB"/>
              </w:rPr>
              <w:t>Broader focus incl. younger professionals, leasing/PCP customers</w:t>
            </w:r>
          </w:p>
        </w:tc>
      </w:tr>
      <w:tr w:rsidR="00961EDF" w:rsidRPr="00961EDF" w14:paraId="56630733" w14:textId="77777777" w:rsidTr="00961E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268E1F" w14:textId="77777777" w:rsidR="00961EDF" w:rsidRPr="00961EDF" w:rsidRDefault="00961EDF" w:rsidP="00961EDF">
            <w:pPr>
              <w:spacing w:after="160" w:line="300" w:lineRule="auto"/>
              <w:rPr>
                <w:lang w:val="en-GB"/>
              </w:rPr>
            </w:pPr>
            <w:r w:rsidRPr="00961EDF">
              <w:rPr>
                <w:lang w:val="en-GB"/>
              </w:rPr>
              <w:t>Positioning</w:t>
            </w:r>
          </w:p>
        </w:tc>
        <w:tc>
          <w:tcPr>
            <w:tcW w:w="0" w:type="auto"/>
            <w:hideMark/>
          </w:tcPr>
          <w:p w14:paraId="7826E8AA" w14:textId="77777777" w:rsidR="00961EDF" w:rsidRPr="00961EDF" w:rsidRDefault="00961EDF" w:rsidP="00961EDF">
            <w:pPr>
              <w:spacing w:after="160" w:line="300" w:lineRule="auto"/>
              <w:cnfStyle w:val="000000100000" w:firstRow="0" w:lastRow="0" w:firstColumn="0" w:lastColumn="0" w:oddVBand="0" w:evenVBand="0" w:oddHBand="1" w:evenHBand="0" w:firstRowFirstColumn="0" w:firstRowLastColumn="0" w:lastRowFirstColumn="0" w:lastRowLastColumn="0"/>
              <w:rPr>
                <w:lang w:val="en-GB"/>
              </w:rPr>
            </w:pPr>
            <w:r w:rsidRPr="00961EDF">
              <w:rPr>
                <w:lang w:val="en-GB"/>
              </w:rPr>
              <w:t>Performance, heritage, engineering excellence</w:t>
            </w:r>
          </w:p>
        </w:tc>
        <w:tc>
          <w:tcPr>
            <w:tcW w:w="0" w:type="auto"/>
            <w:hideMark/>
          </w:tcPr>
          <w:p w14:paraId="07B8C4D0" w14:textId="77777777" w:rsidR="00961EDF" w:rsidRPr="00961EDF" w:rsidRDefault="00961EDF" w:rsidP="00961EDF">
            <w:pPr>
              <w:spacing w:after="160" w:line="300" w:lineRule="auto"/>
              <w:cnfStyle w:val="000000100000" w:firstRow="0" w:lastRow="0" w:firstColumn="0" w:lastColumn="0" w:oddVBand="0" w:evenVBand="0" w:oddHBand="1" w:evenHBand="0" w:firstRowFirstColumn="0" w:firstRowLastColumn="0" w:lastRowFirstColumn="0" w:lastRowLastColumn="0"/>
              <w:rPr>
                <w:lang w:val="en-GB"/>
              </w:rPr>
            </w:pPr>
            <w:r w:rsidRPr="00961EDF">
              <w:rPr>
                <w:lang w:val="en-GB"/>
              </w:rPr>
              <w:t>Aspirational lifestyle, affordability, digital experience</w:t>
            </w:r>
          </w:p>
        </w:tc>
      </w:tr>
    </w:tbl>
    <w:p w14:paraId="6D57A023" w14:textId="77777777" w:rsidR="005256AD" w:rsidRPr="005256AD" w:rsidRDefault="005256AD" w:rsidP="005256AD">
      <w:pPr>
        <w:rPr>
          <w:lang w:val="en-GB"/>
        </w:rPr>
      </w:pPr>
      <w:r w:rsidRPr="005256AD">
        <w:rPr>
          <w:i/>
          <w:iCs/>
          <w:lang w:val="en-GB"/>
        </w:rPr>
        <w:t>Source: BMW Group (2024); Mintel (2023); Statista (2024)</w:t>
      </w:r>
    </w:p>
    <w:p w14:paraId="56E491D9" w14:textId="77777777" w:rsidR="00961EDF" w:rsidRDefault="00961EDF" w:rsidP="00467484"/>
    <w:p w14:paraId="52B6E9CC" w14:textId="77777777" w:rsidR="00467484" w:rsidRDefault="00467484" w:rsidP="00467484">
      <w:r>
        <w:t>Segmentation</w:t>
      </w:r>
    </w:p>
    <w:p w14:paraId="4E341332" w14:textId="77777777" w:rsidR="00467484" w:rsidRDefault="00467484" w:rsidP="00467484">
      <w:r>
        <w:t xml:space="preserve">BMW employs multi-dimensional segmentation strategies combining demographic, psychographic, geographic, and behavioural variables. In Germany, segmentation is largely influenced by income level, profession, and brand loyalty. The German premium segment values technological </w:t>
      </w:r>
      <w:r>
        <w:lastRenderedPageBreak/>
        <w:t>sophistication, engineering precision, and environmental responsibility—characteristics embedded in models like the 5 Series and i4 (BMW Group, 2024).</w:t>
      </w:r>
    </w:p>
    <w:p w14:paraId="7DC6AB62" w14:textId="77777777" w:rsidR="00467484" w:rsidRDefault="00467484" w:rsidP="00467484">
      <w:r>
        <w:t>Conversely, the UK market is segmented more heavily along lifestyle and economic lines. Urban consumers in cities like London and Manchester favour compact vehicles and EVs due to congestion charges and ULEZ regulations. Additionally, psychographic segmentation plays a stronger role, with aspirational middle-class buyers responding well to brand image and digital features over technical specifications (Mintel, 2023).</w:t>
      </w:r>
    </w:p>
    <w:p w14:paraId="1261274F" w14:textId="77777777" w:rsidR="00467484" w:rsidRDefault="00467484" w:rsidP="00467484">
      <w:r>
        <w:t>Targeting</w:t>
      </w:r>
    </w:p>
    <w:p w14:paraId="342DB0E8" w14:textId="77777777" w:rsidR="00467484" w:rsidRDefault="00467484" w:rsidP="00467484">
      <w:r>
        <w:t>In Germany, BMW adopts a focused targeting strategy towards high-income professionals, long-term loyalists, and environmentally conscious drivers. The company emphasises innovation and sustainability, aligning its messaging with national values and EU environmental policy (KPMG, 2024). BMW’s electrified lineup is positioned as a natural extension of its engineering excellence, targeting buyers seeking both performance and ecological responsibility.</w:t>
      </w:r>
    </w:p>
    <w:p w14:paraId="0C5F7271" w14:textId="77777777" w:rsidR="00467484" w:rsidRDefault="00467484" w:rsidP="00467484">
      <w:r>
        <w:t>In the UK, BMW uses a more diversified targeting approach. It aims at younger, urban professionals and families through its compact models (1 Series, X1) and through flexible financing schemes such as Personal Contract Purchase (PCP). Over 80% of UK car buyers now use financing options to acquire vehicles (Statista, 2024), making affordability a key targeting criterion. The MINI brand, produced locally in Oxford, supports this strategy by appealing to design-oriented and cost-conscious consumers.</w:t>
      </w:r>
    </w:p>
    <w:p w14:paraId="17DA5F68" w14:textId="77777777" w:rsidR="00467484" w:rsidRDefault="00467484" w:rsidP="00467484">
      <w:r>
        <w:t>Positioning</w:t>
      </w:r>
    </w:p>
    <w:p w14:paraId="2F8AD600" w14:textId="77777777" w:rsidR="00467484" w:rsidRDefault="00467484" w:rsidP="00467484">
      <w:r>
        <w:t>BMW’s global brand is built around the promise of “Sheer Driving Pleasure”, combining performance, luxury, and innovation. In Germany, this positioning is reinforced by heritage and national pride—BMW is seen as a flagship of German engineering. Marketing messages focus on advanced technology, electric mobility, and long-term sustainability goals.</w:t>
      </w:r>
    </w:p>
    <w:p w14:paraId="519B6C7B" w14:textId="77777777" w:rsidR="00467484" w:rsidRDefault="00467484" w:rsidP="00467484">
      <w:r>
        <w:t>In the UK, positioning is adapted to reflect lifestyle aspirations and emotional appeal. Advertising campaigns often highlight design, freedom, and connectivity, supported by influencer marketing and digital media channels. While maintaining its premium image, BMW must balance prestige with accessibility to appeal to a broader market segment.</w:t>
      </w:r>
    </w:p>
    <w:p w14:paraId="7FC3DC6B" w14:textId="77777777" w:rsidR="00467484" w:rsidRDefault="00467484" w:rsidP="00467484">
      <w:r>
        <w:t>Critical Comparison</w:t>
      </w:r>
    </w:p>
    <w:p w14:paraId="78F2A57F" w14:textId="17EBE9D6" w:rsidR="004659ED" w:rsidRDefault="00467484" w:rsidP="00467484">
      <w:r>
        <w:lastRenderedPageBreak/>
        <w:t>While BMW retains a globally consistent brand identity, the implementation of STP differs significantly between Germany and the UK. In Germany, the brand enjoys legacy status and aligns with institutional expectations of performance and environmental leadership. In the UK, price sensitivity, urbanisation, and post-Brexit uncertainty necessitate more flexible and lifestyle-oriented strategies. The contrast underlines BMW’s capability to practise global standardisation while allowing for tactical local adaptation—an essential feature of successful international marketing.</w:t>
      </w:r>
    </w:p>
    <w:p w14:paraId="6858FD5B" w14:textId="77777777" w:rsidR="004659ED" w:rsidRDefault="004659ED" w:rsidP="004659ED"/>
    <w:p w14:paraId="2D6AAC83" w14:textId="77777777" w:rsidR="004659ED" w:rsidRDefault="004659ED" w:rsidP="004659ED"/>
    <w:p w14:paraId="319739C5" w14:textId="77777777" w:rsidR="004659ED" w:rsidRDefault="004659ED" w:rsidP="004659ED"/>
    <w:p w14:paraId="7598EC39" w14:textId="77777777" w:rsidR="004659ED" w:rsidRDefault="004659ED" w:rsidP="004659ED"/>
    <w:p w14:paraId="2F25CDBD" w14:textId="77777777" w:rsidR="005256AD" w:rsidRDefault="005256AD" w:rsidP="004659ED"/>
    <w:p w14:paraId="75E60E32" w14:textId="77777777" w:rsidR="005256AD" w:rsidRDefault="005256AD" w:rsidP="004659ED"/>
    <w:p w14:paraId="5571ABC3" w14:textId="77777777" w:rsidR="005256AD" w:rsidRDefault="005256AD" w:rsidP="004659ED"/>
    <w:p w14:paraId="51992F5A" w14:textId="77777777" w:rsidR="005256AD" w:rsidRDefault="005256AD" w:rsidP="004659ED"/>
    <w:p w14:paraId="1832CA24" w14:textId="77777777" w:rsidR="005256AD" w:rsidRDefault="005256AD" w:rsidP="004659ED"/>
    <w:p w14:paraId="55FF62FB" w14:textId="77777777" w:rsidR="005256AD" w:rsidRDefault="005256AD" w:rsidP="004659ED"/>
    <w:p w14:paraId="29975D18" w14:textId="77777777" w:rsidR="005256AD" w:rsidRDefault="005256AD" w:rsidP="004659ED"/>
    <w:p w14:paraId="28E80CE3" w14:textId="77777777" w:rsidR="005256AD" w:rsidRDefault="005256AD" w:rsidP="004659ED"/>
    <w:p w14:paraId="4E18CDF2" w14:textId="77777777" w:rsidR="005256AD" w:rsidRDefault="005256AD" w:rsidP="004659ED"/>
    <w:p w14:paraId="5AC7F448" w14:textId="77777777" w:rsidR="005256AD" w:rsidRDefault="005256AD" w:rsidP="004659ED"/>
    <w:p w14:paraId="6B792121" w14:textId="77777777" w:rsidR="005256AD" w:rsidRDefault="005256AD" w:rsidP="004659ED"/>
    <w:p w14:paraId="05036A55" w14:textId="71815669" w:rsidR="005256AD" w:rsidRDefault="00166F0F" w:rsidP="004659ED">
      <w:r>
        <w:t>n</w:t>
      </w:r>
    </w:p>
    <w:p w14:paraId="4EDD0FD2" w14:textId="77777777" w:rsidR="004659ED" w:rsidRDefault="004659ED" w:rsidP="004659ED"/>
    <w:p w14:paraId="5915DDE9" w14:textId="02283C36" w:rsidR="004659ED" w:rsidRDefault="004659ED" w:rsidP="004659ED"/>
    <w:p w14:paraId="63F2D3EF" w14:textId="77777777" w:rsidR="005F6820" w:rsidRDefault="005F6820" w:rsidP="004659ED">
      <w:pPr>
        <w:rPr>
          <w:rFonts w:eastAsiaTheme="majorEastAsia" w:cstheme="majorBidi"/>
          <w:szCs w:val="32"/>
        </w:rPr>
      </w:pPr>
    </w:p>
    <w:p w14:paraId="40378E79" w14:textId="12F49B8B" w:rsidR="00D61D39" w:rsidRDefault="00D61D39" w:rsidP="00944748">
      <w:pPr>
        <w:pStyle w:val="Heading1"/>
      </w:pPr>
      <w:bookmarkStart w:id="3" w:name="_Toc213673879"/>
      <w:r w:rsidRPr="00D61D39">
        <w:lastRenderedPageBreak/>
        <w:t>5. Comparison of Marketing Mix (7Ps)</w:t>
      </w:r>
      <w:bookmarkEnd w:id="3"/>
    </w:p>
    <w:p w14:paraId="1034259F" w14:textId="77777777" w:rsidR="008A17FA" w:rsidRDefault="008A17FA" w:rsidP="00034495"/>
    <w:p w14:paraId="35F0119E" w14:textId="1B7532C9" w:rsidR="00034495" w:rsidRDefault="00164EA6" w:rsidP="00034495">
      <w:r w:rsidRPr="00164EA6">
        <w:t xml:space="preserve">The extended marketing mix, or </w:t>
      </w:r>
      <w:r w:rsidRPr="00164EA6">
        <w:rPr>
          <w:b/>
          <w:bCs/>
        </w:rPr>
        <w:t>7Ps model</w:t>
      </w:r>
      <w:r w:rsidRPr="00164EA6">
        <w:t>, enhances traditional product-marketing frameworks by including people, process, and physical evidence—critical in service-dominant and experience-based industries such as the premium automotive sector (Booms &amp; Bitner, 1981; Kotler et al., 2019). BMW's ability to customise its 7Ps strategies across different national contexts such as Germany and the United Kingdom highlights its strategic marketing adaptability.</w:t>
      </w:r>
    </w:p>
    <w:p w14:paraId="55E097D7" w14:textId="77777777" w:rsidR="00034495" w:rsidRDefault="00034495" w:rsidP="008A17FA">
      <w:pPr>
        <w:pStyle w:val="Heading2"/>
      </w:pPr>
      <w:bookmarkStart w:id="4" w:name="_Toc213673880"/>
      <w:r>
        <w:t>Product</w:t>
      </w:r>
      <w:bookmarkEnd w:id="4"/>
    </w:p>
    <w:p w14:paraId="1B1AA66F" w14:textId="77777777" w:rsidR="00E97B89" w:rsidRPr="00E97B89" w:rsidRDefault="00E97B89" w:rsidP="00E97B89"/>
    <w:p w14:paraId="487D8208" w14:textId="77777777" w:rsidR="0019211E" w:rsidRDefault="0019211E" w:rsidP="0019211E">
      <w:r>
        <w:t>BMW’s product strategy in Germany is closely linked to its domestic reputation for engineering excellence and sustainability. In 2022, the best-selling BMW models in Germany were the 3 Series and 5 Series, followed by SUVs such as the X3 and X5, which together accounted for a significant portion of sales in the premium segment (Statista, 2023). The electric i4 and iX3 have shown strong growth, reflecting German consumers’ increasing preference for sustainable mobility. EVs represented around 17% of BMW’s sales in Germany in 2022, compared to 12% in 2021, indicating a rapid transition in consumer demand (VDA, 2022).</w:t>
      </w:r>
    </w:p>
    <w:p w14:paraId="1593EA71" w14:textId="77777777" w:rsidR="0019211E" w:rsidRDefault="0019211E" w:rsidP="0019211E">
      <w:r>
        <w:t>In the UK, the product mix reflects lifestyle preferences and affordability. The 1 Series and X1 are among the most popular models, particularly for younger professionals and families seeking prestige at lower entry points (Mintel, 2022). Larger SUVs such as the X3 and X5 also sell strongly, particularly in suburban and rural areas where practicality and status intersect. EV adoption is increasing, but at a slower pace than in Germany: around 15% of BMW’s UK registrations in 2022 were EVs or plug-in hybrids, compared to nearly 20% in Germany (Department for Transport, 2023).</w:t>
      </w:r>
    </w:p>
    <w:p w14:paraId="6695B575" w14:textId="77777777" w:rsidR="0019211E" w:rsidRDefault="0019211E" w:rsidP="0019211E"/>
    <w:p w14:paraId="63A859EF" w14:textId="77777777" w:rsidR="00BE5D0B" w:rsidRDefault="00BE5D0B" w:rsidP="0019211E"/>
    <w:p w14:paraId="288DA4EB" w14:textId="77777777" w:rsidR="00BE5D0B" w:rsidRDefault="00BE5D0B" w:rsidP="0019211E"/>
    <w:p w14:paraId="60839B02" w14:textId="77777777" w:rsidR="00BE5D0B" w:rsidRDefault="00BE5D0B" w:rsidP="0019211E"/>
    <w:p w14:paraId="7945625A" w14:textId="77777777" w:rsidR="00BE5D0B" w:rsidRDefault="00BE5D0B" w:rsidP="0019211E"/>
    <w:p w14:paraId="78260D21" w14:textId="22D1E5C1" w:rsidR="0096779E" w:rsidRPr="0096779E" w:rsidRDefault="0096779E" w:rsidP="0096779E">
      <w:pPr>
        <w:rPr>
          <w:rFonts w:ascii="Segoe UI Emoji" w:hAnsi="Segoe UI Emoji" w:cs="Segoe UI Emoji"/>
        </w:rPr>
      </w:pPr>
      <w:r w:rsidRPr="0096779E">
        <w:rPr>
          <w:rFonts w:ascii="Segoe UI Emoji" w:hAnsi="Segoe UI Emoji" w:cs="Segoe UI Emoji"/>
        </w:rPr>
        <w:lastRenderedPageBreak/>
        <w:t xml:space="preserve">Table </w:t>
      </w:r>
      <w:r w:rsidR="000704DD">
        <w:rPr>
          <w:rFonts w:ascii="Segoe UI Emoji" w:hAnsi="Segoe UI Emoji" w:cs="Segoe UI Emoji"/>
        </w:rPr>
        <w:t>3</w:t>
      </w:r>
      <w:r w:rsidRPr="0096779E">
        <w:rPr>
          <w:rFonts w:ascii="Segoe UI Emoji" w:hAnsi="Segoe UI Emoji" w:cs="Segoe UI Emoji"/>
        </w:rPr>
        <w:t>. BMW new car registrations &amp; market share (2023)</w:t>
      </w:r>
    </w:p>
    <w:tbl>
      <w:tblPr>
        <w:tblStyle w:val="TableGrid"/>
        <w:tblW w:w="0" w:type="auto"/>
        <w:jc w:val="center"/>
        <w:tblLayout w:type="fixed"/>
        <w:tblLook w:val="04A0" w:firstRow="1" w:lastRow="0" w:firstColumn="1" w:lastColumn="0" w:noHBand="0" w:noVBand="1"/>
      </w:tblPr>
      <w:tblGrid>
        <w:gridCol w:w="1242"/>
        <w:gridCol w:w="851"/>
        <w:gridCol w:w="1417"/>
        <w:gridCol w:w="1276"/>
        <w:gridCol w:w="4070"/>
      </w:tblGrid>
      <w:tr w:rsidR="0096779E" w:rsidRPr="0096779E" w14:paraId="78C598C9" w14:textId="77777777" w:rsidTr="00BE5D0B">
        <w:trPr>
          <w:jc w:val="center"/>
        </w:trPr>
        <w:tc>
          <w:tcPr>
            <w:tcW w:w="1242" w:type="dxa"/>
          </w:tcPr>
          <w:p w14:paraId="66D2B142" w14:textId="77777777" w:rsidR="0096779E" w:rsidRPr="0096779E" w:rsidRDefault="0096779E" w:rsidP="0096779E">
            <w:pPr>
              <w:spacing w:after="160" w:line="300" w:lineRule="auto"/>
              <w:rPr>
                <w:rFonts w:cs="Arial"/>
                <w:sz w:val="20"/>
                <w:szCs w:val="20"/>
              </w:rPr>
            </w:pPr>
            <w:r w:rsidRPr="0096779E">
              <w:rPr>
                <w:rFonts w:cs="Arial"/>
                <w:sz w:val="20"/>
                <w:szCs w:val="20"/>
              </w:rPr>
              <w:t>Country</w:t>
            </w:r>
          </w:p>
        </w:tc>
        <w:tc>
          <w:tcPr>
            <w:tcW w:w="851" w:type="dxa"/>
          </w:tcPr>
          <w:p w14:paraId="3BE71DFF" w14:textId="77777777" w:rsidR="0096779E" w:rsidRPr="0096779E" w:rsidRDefault="0096779E" w:rsidP="0096779E">
            <w:pPr>
              <w:spacing w:after="160" w:line="300" w:lineRule="auto"/>
              <w:rPr>
                <w:rFonts w:cs="Arial"/>
                <w:sz w:val="20"/>
                <w:szCs w:val="20"/>
              </w:rPr>
            </w:pPr>
            <w:r w:rsidRPr="0096779E">
              <w:rPr>
                <w:rFonts w:cs="Arial"/>
                <w:sz w:val="20"/>
                <w:szCs w:val="20"/>
              </w:rPr>
              <w:t>Year</w:t>
            </w:r>
          </w:p>
        </w:tc>
        <w:tc>
          <w:tcPr>
            <w:tcW w:w="1417" w:type="dxa"/>
          </w:tcPr>
          <w:p w14:paraId="2C76A47E" w14:textId="77777777" w:rsidR="0096779E" w:rsidRPr="0096779E" w:rsidRDefault="0096779E" w:rsidP="0096779E">
            <w:pPr>
              <w:spacing w:after="160" w:line="300" w:lineRule="auto"/>
              <w:rPr>
                <w:rFonts w:cs="Arial"/>
                <w:sz w:val="20"/>
                <w:szCs w:val="20"/>
              </w:rPr>
            </w:pPr>
            <w:r w:rsidRPr="0096779E">
              <w:rPr>
                <w:rFonts w:cs="Arial"/>
                <w:sz w:val="20"/>
                <w:szCs w:val="20"/>
              </w:rPr>
              <w:t>BMW registrations (units)</w:t>
            </w:r>
          </w:p>
        </w:tc>
        <w:tc>
          <w:tcPr>
            <w:tcW w:w="1276" w:type="dxa"/>
          </w:tcPr>
          <w:p w14:paraId="5E913BFB" w14:textId="77777777" w:rsidR="0096779E" w:rsidRPr="0096779E" w:rsidRDefault="0096779E" w:rsidP="0096779E">
            <w:pPr>
              <w:spacing w:after="160" w:line="300" w:lineRule="auto"/>
              <w:rPr>
                <w:rFonts w:cs="Arial"/>
                <w:sz w:val="20"/>
                <w:szCs w:val="20"/>
              </w:rPr>
            </w:pPr>
            <w:r w:rsidRPr="0096779E">
              <w:rPr>
                <w:rFonts w:cs="Arial"/>
                <w:sz w:val="20"/>
                <w:szCs w:val="20"/>
              </w:rPr>
              <w:t>BMW market share (%)</w:t>
            </w:r>
          </w:p>
        </w:tc>
        <w:tc>
          <w:tcPr>
            <w:tcW w:w="4070" w:type="dxa"/>
          </w:tcPr>
          <w:p w14:paraId="04B6ED98" w14:textId="77777777" w:rsidR="0096779E" w:rsidRPr="0096779E" w:rsidRDefault="0096779E" w:rsidP="0096779E">
            <w:pPr>
              <w:spacing w:after="160" w:line="300" w:lineRule="auto"/>
              <w:rPr>
                <w:rFonts w:cs="Arial"/>
                <w:sz w:val="20"/>
                <w:szCs w:val="20"/>
              </w:rPr>
            </w:pPr>
            <w:r w:rsidRPr="0096779E">
              <w:rPr>
                <w:rFonts w:cs="Arial"/>
                <w:sz w:val="20"/>
                <w:szCs w:val="20"/>
              </w:rPr>
              <w:t>Notes / Link</w:t>
            </w:r>
          </w:p>
        </w:tc>
      </w:tr>
      <w:tr w:rsidR="0096779E" w:rsidRPr="0096779E" w14:paraId="2DEAAD1E" w14:textId="77777777" w:rsidTr="00BE5D0B">
        <w:trPr>
          <w:jc w:val="center"/>
        </w:trPr>
        <w:tc>
          <w:tcPr>
            <w:tcW w:w="1242" w:type="dxa"/>
          </w:tcPr>
          <w:p w14:paraId="4F835C8B" w14:textId="77777777" w:rsidR="0096779E" w:rsidRPr="0096779E" w:rsidRDefault="0096779E" w:rsidP="0096779E">
            <w:pPr>
              <w:spacing w:after="160" w:line="300" w:lineRule="auto"/>
              <w:rPr>
                <w:rFonts w:cs="Arial"/>
                <w:sz w:val="20"/>
                <w:szCs w:val="20"/>
              </w:rPr>
            </w:pPr>
            <w:r w:rsidRPr="0096779E">
              <w:rPr>
                <w:rFonts w:cs="Arial"/>
                <w:sz w:val="20"/>
                <w:szCs w:val="20"/>
              </w:rPr>
              <w:t>United Kingdom</w:t>
            </w:r>
          </w:p>
        </w:tc>
        <w:tc>
          <w:tcPr>
            <w:tcW w:w="851" w:type="dxa"/>
          </w:tcPr>
          <w:p w14:paraId="7D820E58" w14:textId="77777777" w:rsidR="0096779E" w:rsidRPr="0096779E" w:rsidRDefault="0096779E" w:rsidP="0096779E">
            <w:pPr>
              <w:spacing w:after="160" w:line="300" w:lineRule="auto"/>
              <w:rPr>
                <w:rFonts w:cs="Arial"/>
                <w:sz w:val="20"/>
                <w:szCs w:val="20"/>
              </w:rPr>
            </w:pPr>
            <w:r w:rsidRPr="0096779E">
              <w:rPr>
                <w:rFonts w:cs="Arial"/>
                <w:sz w:val="20"/>
                <w:szCs w:val="20"/>
              </w:rPr>
              <w:t>2023</w:t>
            </w:r>
          </w:p>
        </w:tc>
        <w:tc>
          <w:tcPr>
            <w:tcW w:w="1417" w:type="dxa"/>
          </w:tcPr>
          <w:p w14:paraId="016D3B9C" w14:textId="77777777" w:rsidR="0096779E" w:rsidRPr="0096779E" w:rsidRDefault="0096779E" w:rsidP="0096779E">
            <w:pPr>
              <w:spacing w:after="160" w:line="300" w:lineRule="auto"/>
              <w:rPr>
                <w:rFonts w:cs="Arial"/>
                <w:sz w:val="20"/>
                <w:szCs w:val="20"/>
              </w:rPr>
            </w:pPr>
            <w:r w:rsidRPr="0096779E">
              <w:rPr>
                <w:rFonts w:cs="Arial"/>
                <w:sz w:val="20"/>
                <w:szCs w:val="20"/>
              </w:rPr>
              <w:t>111,734</w:t>
            </w:r>
          </w:p>
        </w:tc>
        <w:tc>
          <w:tcPr>
            <w:tcW w:w="1276" w:type="dxa"/>
          </w:tcPr>
          <w:p w14:paraId="56948A0A" w14:textId="77777777" w:rsidR="0096779E" w:rsidRPr="0096779E" w:rsidRDefault="0096779E" w:rsidP="0096779E">
            <w:pPr>
              <w:spacing w:after="160" w:line="300" w:lineRule="auto"/>
              <w:rPr>
                <w:rFonts w:cs="Arial"/>
                <w:sz w:val="20"/>
                <w:szCs w:val="20"/>
              </w:rPr>
            </w:pPr>
            <w:r w:rsidRPr="0096779E">
              <w:rPr>
                <w:rFonts w:cs="Arial"/>
                <w:sz w:val="20"/>
                <w:szCs w:val="20"/>
              </w:rPr>
              <w:t>5.9</w:t>
            </w:r>
          </w:p>
        </w:tc>
        <w:tc>
          <w:tcPr>
            <w:tcW w:w="4070" w:type="dxa"/>
          </w:tcPr>
          <w:p w14:paraId="1B808E95" w14:textId="77777777" w:rsidR="0096779E" w:rsidRPr="0096779E" w:rsidRDefault="0096779E" w:rsidP="0096779E">
            <w:pPr>
              <w:spacing w:after="160" w:line="300" w:lineRule="auto"/>
              <w:rPr>
                <w:rFonts w:cs="Arial"/>
                <w:sz w:val="20"/>
                <w:szCs w:val="20"/>
              </w:rPr>
            </w:pPr>
            <w:r w:rsidRPr="0096779E">
              <w:rPr>
                <w:rFonts w:cs="Arial"/>
                <w:sz w:val="20"/>
                <w:szCs w:val="20"/>
              </w:rPr>
              <w:t>MarkLines summary of SMMT (https://www.marklines.com/en/statistics/flash_sales/automotive-sales-in-uk-by-month-2023)</w:t>
            </w:r>
          </w:p>
        </w:tc>
      </w:tr>
      <w:tr w:rsidR="0096779E" w:rsidRPr="0096779E" w14:paraId="3318BC5B" w14:textId="77777777" w:rsidTr="00BE5D0B">
        <w:trPr>
          <w:jc w:val="center"/>
        </w:trPr>
        <w:tc>
          <w:tcPr>
            <w:tcW w:w="1242" w:type="dxa"/>
          </w:tcPr>
          <w:p w14:paraId="1F001A36" w14:textId="77777777" w:rsidR="0096779E" w:rsidRPr="0096779E" w:rsidRDefault="0096779E" w:rsidP="0096779E">
            <w:pPr>
              <w:spacing w:after="160" w:line="300" w:lineRule="auto"/>
              <w:rPr>
                <w:rFonts w:cs="Arial"/>
                <w:sz w:val="20"/>
                <w:szCs w:val="20"/>
              </w:rPr>
            </w:pPr>
            <w:r w:rsidRPr="0096779E">
              <w:rPr>
                <w:rFonts w:cs="Arial"/>
                <w:sz w:val="20"/>
                <w:szCs w:val="20"/>
              </w:rPr>
              <w:t>Germany</w:t>
            </w:r>
          </w:p>
        </w:tc>
        <w:tc>
          <w:tcPr>
            <w:tcW w:w="851" w:type="dxa"/>
          </w:tcPr>
          <w:p w14:paraId="61FA59F0" w14:textId="77777777" w:rsidR="0096779E" w:rsidRPr="0096779E" w:rsidRDefault="0096779E" w:rsidP="0096779E">
            <w:pPr>
              <w:spacing w:after="160" w:line="300" w:lineRule="auto"/>
              <w:rPr>
                <w:rFonts w:cs="Arial"/>
                <w:sz w:val="20"/>
                <w:szCs w:val="20"/>
              </w:rPr>
            </w:pPr>
            <w:r w:rsidRPr="0096779E">
              <w:rPr>
                <w:rFonts w:cs="Arial"/>
                <w:sz w:val="20"/>
                <w:szCs w:val="20"/>
              </w:rPr>
              <w:t>2023</w:t>
            </w:r>
          </w:p>
        </w:tc>
        <w:tc>
          <w:tcPr>
            <w:tcW w:w="1417" w:type="dxa"/>
          </w:tcPr>
          <w:p w14:paraId="5C594199" w14:textId="77777777" w:rsidR="0096779E" w:rsidRPr="0096779E" w:rsidRDefault="0096779E" w:rsidP="0096779E">
            <w:pPr>
              <w:spacing w:after="160" w:line="300" w:lineRule="auto"/>
              <w:rPr>
                <w:rFonts w:cs="Arial"/>
                <w:sz w:val="20"/>
                <w:szCs w:val="20"/>
              </w:rPr>
            </w:pPr>
            <w:r w:rsidRPr="0096779E">
              <w:rPr>
                <w:rFonts w:cs="Arial"/>
                <w:sz w:val="20"/>
                <w:szCs w:val="20"/>
              </w:rPr>
              <w:t>233,160</w:t>
            </w:r>
          </w:p>
        </w:tc>
        <w:tc>
          <w:tcPr>
            <w:tcW w:w="1276" w:type="dxa"/>
          </w:tcPr>
          <w:p w14:paraId="67367C9F" w14:textId="77777777" w:rsidR="0096779E" w:rsidRPr="0096779E" w:rsidRDefault="0096779E" w:rsidP="0096779E">
            <w:pPr>
              <w:spacing w:after="160" w:line="300" w:lineRule="auto"/>
              <w:rPr>
                <w:rFonts w:cs="Arial"/>
                <w:sz w:val="20"/>
                <w:szCs w:val="20"/>
              </w:rPr>
            </w:pPr>
            <w:r w:rsidRPr="0096779E">
              <w:rPr>
                <w:rFonts w:cs="Arial"/>
                <w:sz w:val="20"/>
                <w:szCs w:val="20"/>
              </w:rPr>
              <w:t>8.2</w:t>
            </w:r>
          </w:p>
        </w:tc>
        <w:tc>
          <w:tcPr>
            <w:tcW w:w="4070" w:type="dxa"/>
          </w:tcPr>
          <w:p w14:paraId="3057CB23" w14:textId="77777777" w:rsidR="0096779E" w:rsidRPr="0096779E" w:rsidRDefault="0096779E" w:rsidP="0096779E">
            <w:pPr>
              <w:spacing w:after="160" w:line="300" w:lineRule="auto"/>
              <w:rPr>
                <w:rFonts w:cs="Arial"/>
                <w:sz w:val="20"/>
                <w:szCs w:val="20"/>
              </w:rPr>
            </w:pPr>
            <w:r w:rsidRPr="0096779E">
              <w:rPr>
                <w:rFonts w:cs="Arial"/>
                <w:sz w:val="20"/>
                <w:szCs w:val="20"/>
              </w:rPr>
              <w:t>KBA Press Release PDF (https://www.kba.de/DE/Presse/Pressemitteilungen/Fahrzeugzulassungen/2024/pm01_2024_n_12_23_pm_komplett.html or mirror PDF)</w:t>
            </w:r>
          </w:p>
        </w:tc>
      </w:tr>
    </w:tbl>
    <w:p w14:paraId="56FEC334" w14:textId="77777777" w:rsidR="0096779E" w:rsidRDefault="0096779E" w:rsidP="0096779E">
      <w:pPr>
        <w:rPr>
          <w:rFonts w:ascii="Segoe UI Emoji" w:hAnsi="Segoe UI Emoji" w:cs="Segoe UI Emoji"/>
        </w:rPr>
      </w:pPr>
      <w:r w:rsidRPr="0096779E">
        <w:rPr>
          <w:rFonts w:ascii="Segoe UI Emoji" w:hAnsi="Segoe UI Emoji" w:cs="Segoe UI Emoji"/>
        </w:rPr>
        <w:t>Source(s): UK: MarkLines (SMMT sourced). Germany: KBA Pressemitteilung Nr. 01/2024 (brand totals Jan–Dec 2023).</w:t>
      </w:r>
    </w:p>
    <w:p w14:paraId="031C616A" w14:textId="2BD943F7" w:rsidR="00034495" w:rsidRDefault="00034495" w:rsidP="008A17FA">
      <w:pPr>
        <w:pStyle w:val="Heading2"/>
      </w:pPr>
      <w:bookmarkStart w:id="5" w:name="_Toc213673881"/>
      <w:r>
        <w:t>Price</w:t>
      </w:r>
      <w:bookmarkEnd w:id="5"/>
    </w:p>
    <w:p w14:paraId="72D1D647" w14:textId="77777777" w:rsidR="00034495" w:rsidRDefault="00034495" w:rsidP="00034495"/>
    <w:p w14:paraId="16E41FF1" w14:textId="77777777" w:rsidR="00A113FE" w:rsidRDefault="00A113FE" w:rsidP="00A113FE">
      <w:r>
        <w:t>Pricing differences between Germany and the UK reflect both cultural and financial contexts. In Germany, the average retail price of a new BMW was approximately €55,000 in 2022, with premium sedans such as the 5 Series retailing at €58,000–€65,000, and SUVs such as the X5 starting at €70,000 (Statista, 2023). German consumers tend to purchase outright or through traditional leasing schemes, reflecting higher disposable income and a preference for ownership stability (VDA, 2022). BMW’s premium pricing reinforces exclusivity, and heavy discounting is rare.</w:t>
      </w:r>
    </w:p>
    <w:p w14:paraId="3E81B138" w14:textId="31751198" w:rsidR="00A113FE" w:rsidRDefault="00A113FE" w:rsidP="00A113FE">
      <w:r>
        <w:t xml:space="preserve">In the UK, affordability is achieved through finance rather than direct pricing. The average transaction price for a BMW in 2022 was around £46,000, but most consumers access vehicles through Personal Contract Purchase (PCP) or leasing (Mintel, 2022). For instance, a BMW 3 Series can be financed through PCP at £499 per month over 48 months with a £5,000 deposit, while a BMW X1 is available at approximately £420 per month under similar terms (AutoTrader, 2023). By marketing affordability on a </w:t>
      </w:r>
      <w:r w:rsidR="002D04A0">
        <w:t>monthly payment</w:t>
      </w:r>
      <w:r>
        <w:t xml:space="preserve"> basis, BMW broadens its target market to middle-income consumers who would otherwise be priced out of the luxury segment. This strategy enables BMW to maintain volume sales while preserving a premium brand aura.</w:t>
      </w:r>
    </w:p>
    <w:p w14:paraId="1078760E" w14:textId="77777777" w:rsidR="00A113FE" w:rsidRDefault="00A113FE" w:rsidP="00A113FE"/>
    <w:p w14:paraId="75CA5E41" w14:textId="1AD096CD" w:rsidR="003210EE" w:rsidRPr="003210EE" w:rsidRDefault="003210EE" w:rsidP="003210EE">
      <w:pPr>
        <w:rPr>
          <w:rFonts w:ascii="Segoe UI Emoji" w:hAnsi="Segoe UI Emoji" w:cs="Segoe UI Emoji"/>
        </w:rPr>
      </w:pPr>
      <w:r w:rsidRPr="003210EE">
        <w:rPr>
          <w:rFonts w:ascii="Segoe UI Emoji" w:hAnsi="Segoe UI Emoji" w:cs="Segoe UI Emoji"/>
        </w:rPr>
        <w:t xml:space="preserve">Table </w:t>
      </w:r>
      <w:r w:rsidR="002A3791">
        <w:rPr>
          <w:rFonts w:ascii="Segoe UI Emoji" w:hAnsi="Segoe UI Emoji" w:cs="Segoe UI Emoji"/>
        </w:rPr>
        <w:t>4</w:t>
      </w:r>
      <w:r w:rsidRPr="003210EE">
        <w:rPr>
          <w:rFonts w:ascii="Segoe UI Emoji" w:hAnsi="Segoe UI Emoji" w:cs="Segoe UI Emoji"/>
        </w:rPr>
        <w:t>. BEV adoption (overall market) in 2023</w:t>
      </w:r>
    </w:p>
    <w:tbl>
      <w:tblPr>
        <w:tblStyle w:val="TableGrid"/>
        <w:tblW w:w="0" w:type="auto"/>
        <w:jc w:val="center"/>
        <w:tblLayout w:type="fixed"/>
        <w:tblLook w:val="04A0" w:firstRow="1" w:lastRow="0" w:firstColumn="1" w:lastColumn="0" w:noHBand="0" w:noVBand="1"/>
      </w:tblPr>
      <w:tblGrid>
        <w:gridCol w:w="1101"/>
        <w:gridCol w:w="850"/>
        <w:gridCol w:w="1418"/>
        <w:gridCol w:w="1275"/>
        <w:gridCol w:w="4212"/>
      </w:tblGrid>
      <w:tr w:rsidR="003210EE" w:rsidRPr="003210EE" w14:paraId="6A1480D4" w14:textId="77777777" w:rsidTr="003210EE">
        <w:trPr>
          <w:jc w:val="center"/>
        </w:trPr>
        <w:tc>
          <w:tcPr>
            <w:tcW w:w="1101" w:type="dxa"/>
          </w:tcPr>
          <w:p w14:paraId="6F8EEA68" w14:textId="77777777" w:rsidR="003210EE" w:rsidRPr="003210EE" w:rsidRDefault="003210EE" w:rsidP="003210EE">
            <w:pPr>
              <w:spacing w:after="160" w:line="300" w:lineRule="auto"/>
              <w:rPr>
                <w:rFonts w:cs="Arial"/>
                <w:sz w:val="20"/>
                <w:szCs w:val="20"/>
              </w:rPr>
            </w:pPr>
            <w:r w:rsidRPr="003210EE">
              <w:rPr>
                <w:rFonts w:cs="Arial"/>
                <w:sz w:val="20"/>
                <w:szCs w:val="20"/>
              </w:rPr>
              <w:t>Country</w:t>
            </w:r>
          </w:p>
        </w:tc>
        <w:tc>
          <w:tcPr>
            <w:tcW w:w="850" w:type="dxa"/>
          </w:tcPr>
          <w:p w14:paraId="58C38F4A" w14:textId="77777777" w:rsidR="003210EE" w:rsidRPr="003210EE" w:rsidRDefault="003210EE" w:rsidP="003210EE">
            <w:pPr>
              <w:spacing w:after="160" w:line="300" w:lineRule="auto"/>
              <w:rPr>
                <w:rFonts w:cs="Arial"/>
                <w:sz w:val="20"/>
                <w:szCs w:val="20"/>
              </w:rPr>
            </w:pPr>
            <w:r w:rsidRPr="003210EE">
              <w:rPr>
                <w:rFonts w:cs="Arial"/>
                <w:sz w:val="20"/>
                <w:szCs w:val="20"/>
              </w:rPr>
              <w:t>Year</w:t>
            </w:r>
          </w:p>
        </w:tc>
        <w:tc>
          <w:tcPr>
            <w:tcW w:w="1418" w:type="dxa"/>
          </w:tcPr>
          <w:p w14:paraId="615CFF4B" w14:textId="77777777" w:rsidR="003210EE" w:rsidRPr="003210EE" w:rsidRDefault="003210EE" w:rsidP="003210EE">
            <w:pPr>
              <w:spacing w:after="160" w:line="300" w:lineRule="auto"/>
              <w:rPr>
                <w:rFonts w:cs="Arial"/>
                <w:sz w:val="20"/>
                <w:szCs w:val="20"/>
              </w:rPr>
            </w:pPr>
            <w:r w:rsidRPr="003210EE">
              <w:rPr>
                <w:rFonts w:cs="Arial"/>
                <w:sz w:val="20"/>
                <w:szCs w:val="20"/>
              </w:rPr>
              <w:t>BEV registrations (units)</w:t>
            </w:r>
          </w:p>
        </w:tc>
        <w:tc>
          <w:tcPr>
            <w:tcW w:w="1275" w:type="dxa"/>
          </w:tcPr>
          <w:p w14:paraId="47BAD249" w14:textId="77777777" w:rsidR="003210EE" w:rsidRPr="003210EE" w:rsidRDefault="003210EE" w:rsidP="003210EE">
            <w:pPr>
              <w:spacing w:after="160" w:line="300" w:lineRule="auto"/>
              <w:rPr>
                <w:rFonts w:cs="Arial"/>
                <w:sz w:val="20"/>
                <w:szCs w:val="20"/>
              </w:rPr>
            </w:pPr>
            <w:r w:rsidRPr="003210EE">
              <w:rPr>
                <w:rFonts w:cs="Arial"/>
                <w:sz w:val="20"/>
                <w:szCs w:val="20"/>
              </w:rPr>
              <w:t>BEV market share (%)</w:t>
            </w:r>
          </w:p>
        </w:tc>
        <w:tc>
          <w:tcPr>
            <w:tcW w:w="4212" w:type="dxa"/>
          </w:tcPr>
          <w:p w14:paraId="652225E4" w14:textId="77777777" w:rsidR="003210EE" w:rsidRPr="003210EE" w:rsidRDefault="003210EE" w:rsidP="003210EE">
            <w:pPr>
              <w:spacing w:after="160" w:line="300" w:lineRule="auto"/>
              <w:rPr>
                <w:rFonts w:cs="Arial"/>
                <w:sz w:val="20"/>
                <w:szCs w:val="20"/>
              </w:rPr>
            </w:pPr>
            <w:r w:rsidRPr="003210EE">
              <w:rPr>
                <w:rFonts w:cs="Arial"/>
                <w:sz w:val="20"/>
                <w:szCs w:val="20"/>
              </w:rPr>
              <w:t>Notes / Link</w:t>
            </w:r>
          </w:p>
        </w:tc>
      </w:tr>
      <w:tr w:rsidR="003210EE" w:rsidRPr="003210EE" w14:paraId="30584CF6" w14:textId="77777777" w:rsidTr="003210EE">
        <w:trPr>
          <w:jc w:val="center"/>
        </w:trPr>
        <w:tc>
          <w:tcPr>
            <w:tcW w:w="1101" w:type="dxa"/>
          </w:tcPr>
          <w:p w14:paraId="2F9F3F86" w14:textId="77777777" w:rsidR="003210EE" w:rsidRPr="003210EE" w:rsidRDefault="003210EE" w:rsidP="003210EE">
            <w:pPr>
              <w:spacing w:after="160" w:line="300" w:lineRule="auto"/>
              <w:rPr>
                <w:rFonts w:cs="Arial"/>
                <w:sz w:val="20"/>
                <w:szCs w:val="20"/>
              </w:rPr>
            </w:pPr>
            <w:r w:rsidRPr="003210EE">
              <w:rPr>
                <w:rFonts w:cs="Arial"/>
                <w:sz w:val="20"/>
                <w:szCs w:val="20"/>
              </w:rPr>
              <w:t>United Kingdom</w:t>
            </w:r>
          </w:p>
        </w:tc>
        <w:tc>
          <w:tcPr>
            <w:tcW w:w="850" w:type="dxa"/>
          </w:tcPr>
          <w:p w14:paraId="0B54D0D9" w14:textId="77777777" w:rsidR="003210EE" w:rsidRPr="003210EE" w:rsidRDefault="003210EE" w:rsidP="003210EE">
            <w:pPr>
              <w:spacing w:after="160" w:line="300" w:lineRule="auto"/>
              <w:rPr>
                <w:rFonts w:cs="Arial"/>
                <w:sz w:val="20"/>
                <w:szCs w:val="20"/>
              </w:rPr>
            </w:pPr>
            <w:r w:rsidRPr="003210EE">
              <w:rPr>
                <w:rFonts w:cs="Arial"/>
                <w:sz w:val="20"/>
                <w:szCs w:val="20"/>
              </w:rPr>
              <w:t>2023</w:t>
            </w:r>
          </w:p>
        </w:tc>
        <w:tc>
          <w:tcPr>
            <w:tcW w:w="1418" w:type="dxa"/>
          </w:tcPr>
          <w:p w14:paraId="4FDCCE27" w14:textId="77777777" w:rsidR="003210EE" w:rsidRPr="003210EE" w:rsidRDefault="003210EE" w:rsidP="003210EE">
            <w:pPr>
              <w:spacing w:after="160" w:line="300" w:lineRule="auto"/>
              <w:rPr>
                <w:rFonts w:cs="Arial"/>
                <w:sz w:val="20"/>
                <w:szCs w:val="20"/>
              </w:rPr>
            </w:pPr>
            <w:r w:rsidRPr="003210EE">
              <w:rPr>
                <w:rFonts w:cs="Arial"/>
                <w:sz w:val="20"/>
                <w:szCs w:val="20"/>
              </w:rPr>
              <w:t>314,684</w:t>
            </w:r>
          </w:p>
        </w:tc>
        <w:tc>
          <w:tcPr>
            <w:tcW w:w="1275" w:type="dxa"/>
          </w:tcPr>
          <w:p w14:paraId="64DD8648" w14:textId="77777777" w:rsidR="003210EE" w:rsidRPr="003210EE" w:rsidRDefault="003210EE" w:rsidP="003210EE">
            <w:pPr>
              <w:spacing w:after="160" w:line="300" w:lineRule="auto"/>
              <w:rPr>
                <w:rFonts w:cs="Arial"/>
                <w:sz w:val="20"/>
                <w:szCs w:val="20"/>
              </w:rPr>
            </w:pPr>
            <w:r w:rsidRPr="003210EE">
              <w:rPr>
                <w:rFonts w:cs="Arial"/>
                <w:sz w:val="20"/>
                <w:szCs w:val="20"/>
              </w:rPr>
              <w:t>16.5</w:t>
            </w:r>
          </w:p>
        </w:tc>
        <w:tc>
          <w:tcPr>
            <w:tcW w:w="4212" w:type="dxa"/>
          </w:tcPr>
          <w:p w14:paraId="21756960" w14:textId="77777777" w:rsidR="003210EE" w:rsidRPr="003210EE" w:rsidRDefault="003210EE" w:rsidP="003210EE">
            <w:pPr>
              <w:spacing w:after="160" w:line="300" w:lineRule="auto"/>
              <w:rPr>
                <w:rFonts w:cs="Arial"/>
                <w:sz w:val="20"/>
                <w:szCs w:val="20"/>
              </w:rPr>
            </w:pPr>
            <w:r w:rsidRPr="003210EE">
              <w:rPr>
                <w:rFonts w:cs="Arial"/>
                <w:sz w:val="20"/>
                <w:szCs w:val="20"/>
              </w:rPr>
              <w:t>Zap-Map EV statistics (https://www.zap-map.com/ev-stats/ev-market)</w:t>
            </w:r>
          </w:p>
        </w:tc>
      </w:tr>
      <w:tr w:rsidR="003210EE" w:rsidRPr="003210EE" w14:paraId="1E785856" w14:textId="77777777" w:rsidTr="003210EE">
        <w:trPr>
          <w:jc w:val="center"/>
        </w:trPr>
        <w:tc>
          <w:tcPr>
            <w:tcW w:w="1101" w:type="dxa"/>
          </w:tcPr>
          <w:p w14:paraId="468D3EFA" w14:textId="77777777" w:rsidR="003210EE" w:rsidRPr="003210EE" w:rsidRDefault="003210EE" w:rsidP="003210EE">
            <w:pPr>
              <w:spacing w:after="160" w:line="300" w:lineRule="auto"/>
              <w:rPr>
                <w:rFonts w:cs="Arial"/>
                <w:sz w:val="20"/>
                <w:szCs w:val="20"/>
              </w:rPr>
            </w:pPr>
            <w:r w:rsidRPr="003210EE">
              <w:rPr>
                <w:rFonts w:cs="Arial"/>
                <w:sz w:val="20"/>
                <w:szCs w:val="20"/>
              </w:rPr>
              <w:t>Germany</w:t>
            </w:r>
          </w:p>
        </w:tc>
        <w:tc>
          <w:tcPr>
            <w:tcW w:w="850" w:type="dxa"/>
          </w:tcPr>
          <w:p w14:paraId="33B5CCD8" w14:textId="77777777" w:rsidR="003210EE" w:rsidRPr="003210EE" w:rsidRDefault="003210EE" w:rsidP="003210EE">
            <w:pPr>
              <w:spacing w:after="160" w:line="300" w:lineRule="auto"/>
              <w:rPr>
                <w:rFonts w:cs="Arial"/>
                <w:sz w:val="20"/>
                <w:szCs w:val="20"/>
              </w:rPr>
            </w:pPr>
            <w:r w:rsidRPr="003210EE">
              <w:rPr>
                <w:rFonts w:cs="Arial"/>
                <w:sz w:val="20"/>
                <w:szCs w:val="20"/>
              </w:rPr>
              <w:t>2023</w:t>
            </w:r>
          </w:p>
        </w:tc>
        <w:tc>
          <w:tcPr>
            <w:tcW w:w="1418" w:type="dxa"/>
          </w:tcPr>
          <w:p w14:paraId="60805402" w14:textId="77777777" w:rsidR="003210EE" w:rsidRPr="003210EE" w:rsidRDefault="003210EE" w:rsidP="003210EE">
            <w:pPr>
              <w:spacing w:after="160" w:line="300" w:lineRule="auto"/>
              <w:rPr>
                <w:rFonts w:cs="Arial"/>
                <w:sz w:val="20"/>
                <w:szCs w:val="20"/>
              </w:rPr>
            </w:pPr>
            <w:r w:rsidRPr="003210EE">
              <w:rPr>
                <w:rFonts w:cs="Arial"/>
                <w:sz w:val="20"/>
                <w:szCs w:val="20"/>
              </w:rPr>
              <w:t>524,219</w:t>
            </w:r>
          </w:p>
        </w:tc>
        <w:tc>
          <w:tcPr>
            <w:tcW w:w="1275" w:type="dxa"/>
          </w:tcPr>
          <w:p w14:paraId="3623ACE4" w14:textId="77777777" w:rsidR="003210EE" w:rsidRPr="003210EE" w:rsidRDefault="003210EE" w:rsidP="003210EE">
            <w:pPr>
              <w:spacing w:after="160" w:line="300" w:lineRule="auto"/>
              <w:rPr>
                <w:rFonts w:cs="Arial"/>
                <w:sz w:val="20"/>
                <w:szCs w:val="20"/>
              </w:rPr>
            </w:pPr>
            <w:r w:rsidRPr="003210EE">
              <w:rPr>
                <w:rFonts w:cs="Arial"/>
                <w:sz w:val="20"/>
                <w:szCs w:val="20"/>
              </w:rPr>
              <w:t>18.4</w:t>
            </w:r>
          </w:p>
        </w:tc>
        <w:tc>
          <w:tcPr>
            <w:tcW w:w="4212" w:type="dxa"/>
          </w:tcPr>
          <w:p w14:paraId="11AC6A57" w14:textId="77777777" w:rsidR="003210EE" w:rsidRPr="003210EE" w:rsidRDefault="003210EE" w:rsidP="003210EE">
            <w:pPr>
              <w:spacing w:after="160" w:line="300" w:lineRule="auto"/>
              <w:rPr>
                <w:rFonts w:cs="Arial"/>
                <w:sz w:val="20"/>
                <w:szCs w:val="20"/>
              </w:rPr>
            </w:pPr>
            <w:r w:rsidRPr="003210EE">
              <w:rPr>
                <w:rFonts w:cs="Arial"/>
                <w:sz w:val="20"/>
                <w:szCs w:val="20"/>
              </w:rPr>
              <w:t>Umweltbundesamt (https://www.umweltbundesamt.de/daten/verkehr/verkehrsinfrastruktur-fahrzeugbestand)</w:t>
            </w:r>
          </w:p>
        </w:tc>
      </w:tr>
    </w:tbl>
    <w:p w14:paraId="09E18EB9" w14:textId="77777777" w:rsidR="003210EE" w:rsidRPr="003210EE" w:rsidRDefault="003210EE" w:rsidP="003210EE">
      <w:pPr>
        <w:rPr>
          <w:rFonts w:ascii="Segoe UI Emoji" w:hAnsi="Segoe UI Emoji" w:cs="Segoe UI Emoji"/>
        </w:rPr>
      </w:pPr>
      <w:r w:rsidRPr="003210EE">
        <w:rPr>
          <w:rFonts w:ascii="Segoe UI Emoji" w:hAnsi="Segoe UI Emoji" w:cs="Segoe UI Emoji"/>
        </w:rPr>
        <w:t>Source(s): UK: Zap-Map citing SMMT. Germany: Umweltbundesamt citing KBA.</w:t>
      </w:r>
    </w:p>
    <w:p w14:paraId="1D4C4B96" w14:textId="1501814F" w:rsidR="002635B0" w:rsidRPr="002635B0" w:rsidRDefault="002635B0" w:rsidP="002635B0">
      <w:pPr>
        <w:rPr>
          <w:lang w:val="en-GB"/>
        </w:rPr>
      </w:pPr>
      <w:r w:rsidRPr="002635B0">
        <w:rPr>
          <w:noProof/>
          <w:lang w:val="en-GB"/>
        </w:rPr>
        <w:drawing>
          <wp:inline distT="0" distB="0" distL="0" distR="0" wp14:anchorId="377BA3EB" wp14:editId="7DF83C97">
            <wp:extent cx="5486400" cy="2811780"/>
            <wp:effectExtent l="0" t="0" r="0" b="7620"/>
            <wp:docPr id="766833544" name="Picture 2" descr="A chart of a battery electric vehicle market 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833544" name="Picture 2" descr="A chart of a battery electric vehicle market sha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2811780"/>
                    </a:xfrm>
                    <a:prstGeom prst="rect">
                      <a:avLst/>
                    </a:prstGeom>
                    <a:noFill/>
                    <a:ln>
                      <a:noFill/>
                    </a:ln>
                  </pic:spPr>
                </pic:pic>
              </a:graphicData>
            </a:graphic>
          </wp:inline>
        </w:drawing>
      </w:r>
    </w:p>
    <w:p w14:paraId="5E52CEC3" w14:textId="28C0C85F" w:rsidR="00AA266F" w:rsidRDefault="00AA266F" w:rsidP="00AA266F">
      <w:r>
        <w:t xml:space="preserve">Figure </w:t>
      </w:r>
      <w:r w:rsidR="003547D8">
        <w:t>1</w:t>
      </w:r>
    </w:p>
    <w:p w14:paraId="1F84FB39" w14:textId="77777777" w:rsidR="00AA266F" w:rsidRDefault="00AA266F" w:rsidP="00AA266F">
      <w:r>
        <w:t>Battery Electric Vehicle (BEV) market share in the United Kingdom and Germany (2023).</w:t>
      </w:r>
    </w:p>
    <w:p w14:paraId="0A741F99" w14:textId="4BA68981" w:rsidR="00034495" w:rsidRDefault="00AA266F" w:rsidP="00AA266F">
      <w:r>
        <w:t>Source: Zap-Map (2023) and Umweltbundesamt (2023).</w:t>
      </w:r>
    </w:p>
    <w:p w14:paraId="17B05DF2" w14:textId="77777777" w:rsidR="00BB63BD" w:rsidRDefault="00BB63BD" w:rsidP="00A113FE"/>
    <w:p w14:paraId="23ECD706" w14:textId="77777777" w:rsidR="00034495" w:rsidRDefault="00034495" w:rsidP="008A17FA">
      <w:pPr>
        <w:pStyle w:val="Heading2"/>
      </w:pPr>
      <w:bookmarkStart w:id="6" w:name="_Toc213673882"/>
      <w:r>
        <w:t>Place</w:t>
      </w:r>
      <w:bookmarkEnd w:id="6"/>
    </w:p>
    <w:p w14:paraId="5001BBA0" w14:textId="77777777" w:rsidR="00034495" w:rsidRDefault="00034495" w:rsidP="00034495"/>
    <w:p w14:paraId="6D87B6AC" w14:textId="77777777" w:rsidR="00034495" w:rsidRDefault="00034495" w:rsidP="00034495">
      <w:r>
        <w:t xml:space="preserve">BMW’s distribution in Germany is characterised by an extensive dealership network and flagship experiences such as BMW Welt in Munich, which doubles </w:t>
      </w:r>
      <w:r>
        <w:lastRenderedPageBreak/>
        <w:t>as a sales hub and brand showcase (BMW Group, 2023). German consumers value in-depth consultations and trust-based dealer relationships, which shape BMW’s domestic sales model.</w:t>
      </w:r>
    </w:p>
    <w:p w14:paraId="348A25E4" w14:textId="77777777" w:rsidR="00034495" w:rsidRDefault="00034495" w:rsidP="00034495">
      <w:r>
        <w:t>In the UK, while dealerships remain crucial, digital channels are increasingly significant. Online configurators, digital financing approvals, and virtual showrooms reflect British consumers’ openness to e-commerce and fintech (PwC, 2022). Brexit-related supply chain challenges have raised costs, but BMW offsets this by leveraging its local MINI plant in Oxford and Rolls-Royce operations in Goodwood, which enhance the brand’s embeddedness in the UK economy (Financial Times, 2021).</w:t>
      </w:r>
    </w:p>
    <w:p w14:paraId="4B7EB69E" w14:textId="77777777" w:rsidR="00034495" w:rsidRDefault="00034495" w:rsidP="008A17FA">
      <w:pPr>
        <w:pStyle w:val="Heading2"/>
      </w:pPr>
      <w:bookmarkStart w:id="7" w:name="_Toc213673883"/>
      <w:r>
        <w:t>Promotion</w:t>
      </w:r>
      <w:bookmarkEnd w:id="7"/>
    </w:p>
    <w:p w14:paraId="57309B6C" w14:textId="77777777" w:rsidR="00034495" w:rsidRDefault="00034495" w:rsidP="00034495"/>
    <w:p w14:paraId="38322269" w14:textId="77777777" w:rsidR="00FE1FB6" w:rsidRDefault="00FE1FB6" w:rsidP="00FE1FB6">
      <w:r>
        <w:t>BMW’s promotional strategies reflect the cultural and consumer differences between the UK and Germany.</w:t>
      </w:r>
    </w:p>
    <w:p w14:paraId="32F88A6B" w14:textId="77777777" w:rsidR="00FE1FB6" w:rsidRDefault="00FE1FB6" w:rsidP="00FE1FB6">
      <w:r>
        <w:t>In Germany, campaigns highlight sustainability and engineering credibility. For example, the launch of the BMW iX in 2021 was accompanied by advertising emphasising “Shaping the Future of Mobility”, which highlighted the car’s recyclable materials and carbon-neutral production (BMW Group, 2023). BMW also participates prominently in the IAA Mobility Fair in Munich, where it showcases concept vehicles such as the i Vision Circular, reinforcing its reputation for innovation and leadership in green technology (VDA, 2022). These efforts align with German consumers’ rational decision-making and expectations for brands to demonstrate environmental responsibility.</w:t>
      </w:r>
    </w:p>
    <w:p w14:paraId="35800773" w14:textId="362A57F2" w:rsidR="00034495" w:rsidRDefault="00FE1FB6" w:rsidP="00FE1FB6">
      <w:r>
        <w:t>In the United Kingdom, BMW’s promotional activities are more lifestyle- and status-oriented. A prime example is BMW’s sponsorship of the BMW PGA Golf Championship at Wentworth, one of the most prestigious events in the European golf calendar. Campaigns emphasise exclusivity, luxury, and association with elite sports, appealing to aspirational consumers (McKinsey, 2022). BMW also invests heavily in digital and influencer marketing, targeting younger demographics through platforms such as Instagram and TikTok, where content highlights lifestyle benefits of ownership rather than technical specifications. By integrating PCP financing into promotional messaging, advertisements often present BMW vehicles as affordable monthly commitments rather than high-cost purchases, increasing accessibility for middle-income buyers (Mintel, 2022).</w:t>
      </w:r>
    </w:p>
    <w:p w14:paraId="015B5C78" w14:textId="77777777" w:rsidR="00A70CEE" w:rsidRDefault="00A70CEE" w:rsidP="00FE1FB6"/>
    <w:p w14:paraId="16B04607" w14:textId="48490F0F" w:rsidR="00A01C94" w:rsidRPr="00A01C94" w:rsidRDefault="00A01C94" w:rsidP="00A01C94">
      <w:pPr>
        <w:rPr>
          <w:rFonts w:ascii="Segoe UI Emoji" w:hAnsi="Segoe UI Emoji" w:cs="Segoe UI Emoji"/>
        </w:rPr>
      </w:pPr>
      <w:r w:rsidRPr="00A01C94">
        <w:rPr>
          <w:rFonts w:ascii="Segoe UI Emoji" w:hAnsi="Segoe UI Emoji" w:cs="Segoe UI Emoji"/>
        </w:rPr>
        <w:lastRenderedPageBreak/>
        <w:t xml:space="preserve">Table </w:t>
      </w:r>
      <w:r w:rsidR="00246472">
        <w:rPr>
          <w:rFonts w:ascii="Segoe UI Emoji" w:hAnsi="Segoe UI Emoji" w:cs="Segoe UI Emoji"/>
        </w:rPr>
        <w:t>5</w:t>
      </w:r>
      <w:r w:rsidRPr="00A01C94">
        <w:rPr>
          <w:rFonts w:ascii="Segoe UI Emoji" w:hAnsi="Segoe UI Emoji" w:cs="Segoe UI Emoji"/>
        </w:rPr>
        <w:t>. BMW UK – indicative finance offers (PCP)</w:t>
      </w:r>
    </w:p>
    <w:tbl>
      <w:tblPr>
        <w:tblStyle w:val="TableGrid"/>
        <w:tblW w:w="0" w:type="auto"/>
        <w:jc w:val="center"/>
        <w:tblLook w:val="04A0" w:firstRow="1" w:lastRow="0" w:firstColumn="1" w:lastColumn="0" w:noHBand="0" w:noVBand="1"/>
      </w:tblPr>
      <w:tblGrid>
        <w:gridCol w:w="755"/>
        <w:gridCol w:w="679"/>
        <w:gridCol w:w="741"/>
        <w:gridCol w:w="731"/>
        <w:gridCol w:w="784"/>
        <w:gridCol w:w="776"/>
        <w:gridCol w:w="776"/>
        <w:gridCol w:w="531"/>
        <w:gridCol w:w="3083"/>
      </w:tblGrid>
      <w:tr w:rsidR="00A01C94" w:rsidRPr="00A01C94" w14:paraId="3971166C" w14:textId="77777777" w:rsidTr="00045E22">
        <w:trPr>
          <w:jc w:val="center"/>
        </w:trPr>
        <w:tc>
          <w:tcPr>
            <w:tcW w:w="755" w:type="dxa"/>
          </w:tcPr>
          <w:p w14:paraId="037B42ED"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Model (trim)</w:t>
            </w:r>
          </w:p>
        </w:tc>
        <w:tc>
          <w:tcPr>
            <w:tcW w:w="679" w:type="dxa"/>
          </w:tcPr>
          <w:p w14:paraId="2AC34368"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Finance product</w:t>
            </w:r>
          </w:p>
        </w:tc>
        <w:tc>
          <w:tcPr>
            <w:tcW w:w="741" w:type="dxa"/>
          </w:tcPr>
          <w:p w14:paraId="1FFDC74C"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Term (months)</w:t>
            </w:r>
          </w:p>
        </w:tc>
        <w:tc>
          <w:tcPr>
            <w:tcW w:w="731" w:type="dxa"/>
          </w:tcPr>
          <w:p w14:paraId="65D37245"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Monthly payment (£)</w:t>
            </w:r>
          </w:p>
        </w:tc>
        <w:tc>
          <w:tcPr>
            <w:tcW w:w="784" w:type="dxa"/>
          </w:tcPr>
          <w:p w14:paraId="7BD39BBA"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Customer deposit (£)</w:t>
            </w:r>
          </w:p>
        </w:tc>
        <w:tc>
          <w:tcPr>
            <w:tcW w:w="776" w:type="dxa"/>
          </w:tcPr>
          <w:p w14:paraId="000A2689"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Optional final payment (£)</w:t>
            </w:r>
          </w:p>
        </w:tc>
        <w:tc>
          <w:tcPr>
            <w:tcW w:w="776" w:type="dxa"/>
          </w:tcPr>
          <w:p w14:paraId="207501E8"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OTR / Cash price (£)</w:t>
            </w:r>
          </w:p>
        </w:tc>
        <w:tc>
          <w:tcPr>
            <w:tcW w:w="678" w:type="dxa"/>
          </w:tcPr>
          <w:p w14:paraId="43D6D43C"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APR</w:t>
            </w:r>
          </w:p>
        </w:tc>
        <w:tc>
          <w:tcPr>
            <w:tcW w:w="2936" w:type="dxa"/>
          </w:tcPr>
          <w:p w14:paraId="2398D6B1"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Source Link</w:t>
            </w:r>
          </w:p>
        </w:tc>
      </w:tr>
      <w:tr w:rsidR="00A01C94" w:rsidRPr="00A01C94" w14:paraId="275C03F9" w14:textId="77777777" w:rsidTr="00045E22">
        <w:trPr>
          <w:jc w:val="center"/>
        </w:trPr>
        <w:tc>
          <w:tcPr>
            <w:tcW w:w="755" w:type="dxa"/>
          </w:tcPr>
          <w:p w14:paraId="42760A12"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3 Series 320i M Sport Saloon</w:t>
            </w:r>
          </w:p>
        </w:tc>
        <w:tc>
          <w:tcPr>
            <w:tcW w:w="679" w:type="dxa"/>
          </w:tcPr>
          <w:p w14:paraId="456D3067"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BMW Select (PCP)</w:t>
            </w:r>
          </w:p>
        </w:tc>
        <w:tc>
          <w:tcPr>
            <w:tcW w:w="741" w:type="dxa"/>
          </w:tcPr>
          <w:p w14:paraId="08E6AD6C"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48</w:t>
            </w:r>
          </w:p>
        </w:tc>
        <w:tc>
          <w:tcPr>
            <w:tcW w:w="731" w:type="dxa"/>
          </w:tcPr>
          <w:p w14:paraId="1497BF16"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549.00</w:t>
            </w:r>
          </w:p>
        </w:tc>
        <w:tc>
          <w:tcPr>
            <w:tcW w:w="784" w:type="dxa"/>
          </w:tcPr>
          <w:p w14:paraId="1C8A60F9"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See page</w:t>
            </w:r>
          </w:p>
        </w:tc>
        <w:tc>
          <w:tcPr>
            <w:tcW w:w="776" w:type="dxa"/>
          </w:tcPr>
          <w:p w14:paraId="03B6E9DB"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N/A</w:t>
            </w:r>
          </w:p>
        </w:tc>
        <w:tc>
          <w:tcPr>
            <w:tcW w:w="776" w:type="dxa"/>
          </w:tcPr>
          <w:p w14:paraId="1B362F48"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N/A</w:t>
            </w:r>
          </w:p>
        </w:tc>
        <w:tc>
          <w:tcPr>
            <w:tcW w:w="678" w:type="dxa"/>
          </w:tcPr>
          <w:p w14:paraId="08C0A3E4"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See T&amp;Cs</w:t>
            </w:r>
          </w:p>
        </w:tc>
        <w:tc>
          <w:tcPr>
            <w:tcW w:w="2936" w:type="dxa"/>
          </w:tcPr>
          <w:p w14:paraId="615C2749"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https://offers.bmw.co.uk/?series=3</w:t>
            </w:r>
          </w:p>
        </w:tc>
      </w:tr>
      <w:tr w:rsidR="00A01C94" w:rsidRPr="00A01C94" w14:paraId="0B338562" w14:textId="77777777" w:rsidTr="00045E22">
        <w:trPr>
          <w:jc w:val="center"/>
        </w:trPr>
        <w:tc>
          <w:tcPr>
            <w:tcW w:w="755" w:type="dxa"/>
          </w:tcPr>
          <w:p w14:paraId="101122E1"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X1 sDrive20i M Sport</w:t>
            </w:r>
          </w:p>
        </w:tc>
        <w:tc>
          <w:tcPr>
            <w:tcW w:w="679" w:type="dxa"/>
          </w:tcPr>
          <w:p w14:paraId="7C73C6C9"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BMW Select (PCP)</w:t>
            </w:r>
          </w:p>
        </w:tc>
        <w:tc>
          <w:tcPr>
            <w:tcW w:w="741" w:type="dxa"/>
          </w:tcPr>
          <w:p w14:paraId="009DFDF1"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48</w:t>
            </w:r>
          </w:p>
        </w:tc>
        <w:tc>
          <w:tcPr>
            <w:tcW w:w="731" w:type="dxa"/>
          </w:tcPr>
          <w:p w14:paraId="4823AFD6"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469.00</w:t>
            </w:r>
          </w:p>
        </w:tc>
        <w:tc>
          <w:tcPr>
            <w:tcW w:w="784" w:type="dxa"/>
          </w:tcPr>
          <w:p w14:paraId="1C1D81CF"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Shown on offer page</w:t>
            </w:r>
          </w:p>
        </w:tc>
        <w:tc>
          <w:tcPr>
            <w:tcW w:w="776" w:type="dxa"/>
          </w:tcPr>
          <w:p w14:paraId="330991B4"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18,144.80</w:t>
            </w:r>
          </w:p>
        </w:tc>
        <w:tc>
          <w:tcPr>
            <w:tcW w:w="776" w:type="dxa"/>
          </w:tcPr>
          <w:p w14:paraId="11278660"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42,335.00</w:t>
            </w:r>
          </w:p>
        </w:tc>
        <w:tc>
          <w:tcPr>
            <w:tcW w:w="678" w:type="dxa"/>
          </w:tcPr>
          <w:p w14:paraId="345ADE80"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See page</w:t>
            </w:r>
          </w:p>
        </w:tc>
        <w:tc>
          <w:tcPr>
            <w:tcW w:w="2936" w:type="dxa"/>
          </w:tcPr>
          <w:p w14:paraId="1D16B53C"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https://offers.bmw.co.uk/offers/X1M0/7eddbf41-0ad6-4ef4-bff0-b734b498cbbc/</w:t>
            </w:r>
          </w:p>
        </w:tc>
      </w:tr>
      <w:tr w:rsidR="00A01C94" w:rsidRPr="00A01C94" w14:paraId="0C762FAB" w14:textId="77777777" w:rsidTr="00045E22">
        <w:trPr>
          <w:jc w:val="center"/>
        </w:trPr>
        <w:tc>
          <w:tcPr>
            <w:tcW w:w="755" w:type="dxa"/>
          </w:tcPr>
          <w:p w14:paraId="5290B81F"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i4 eDrive40 M Sport</w:t>
            </w:r>
          </w:p>
        </w:tc>
        <w:tc>
          <w:tcPr>
            <w:tcW w:w="679" w:type="dxa"/>
          </w:tcPr>
          <w:p w14:paraId="14F46DF5"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BMW Select (PCP)</w:t>
            </w:r>
          </w:p>
        </w:tc>
        <w:tc>
          <w:tcPr>
            <w:tcW w:w="741" w:type="dxa"/>
          </w:tcPr>
          <w:p w14:paraId="002B0AAD"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48</w:t>
            </w:r>
          </w:p>
        </w:tc>
        <w:tc>
          <w:tcPr>
            <w:tcW w:w="731" w:type="dxa"/>
          </w:tcPr>
          <w:p w14:paraId="0E454AF2"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831.50</w:t>
            </w:r>
          </w:p>
        </w:tc>
        <w:tc>
          <w:tcPr>
            <w:tcW w:w="784" w:type="dxa"/>
          </w:tcPr>
          <w:p w14:paraId="1358CCF5"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Shown on offer page</w:t>
            </w:r>
          </w:p>
        </w:tc>
        <w:tc>
          <w:tcPr>
            <w:tcW w:w="776" w:type="dxa"/>
          </w:tcPr>
          <w:p w14:paraId="50BB86D6"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23,085.23</w:t>
            </w:r>
          </w:p>
        </w:tc>
        <w:tc>
          <w:tcPr>
            <w:tcW w:w="776" w:type="dxa"/>
          </w:tcPr>
          <w:p w14:paraId="453095BE"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62,331.50</w:t>
            </w:r>
          </w:p>
        </w:tc>
        <w:tc>
          <w:tcPr>
            <w:tcW w:w="678" w:type="dxa"/>
          </w:tcPr>
          <w:p w14:paraId="73ED6972"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See page</w:t>
            </w:r>
          </w:p>
        </w:tc>
        <w:tc>
          <w:tcPr>
            <w:tcW w:w="2936" w:type="dxa"/>
          </w:tcPr>
          <w:p w14:paraId="75F328EE" w14:textId="77777777" w:rsidR="00A01C94" w:rsidRPr="00A01C94" w:rsidRDefault="00A01C94" w:rsidP="00A01C94">
            <w:pPr>
              <w:spacing w:after="160" w:line="300" w:lineRule="auto"/>
              <w:rPr>
                <w:rFonts w:ascii="Segoe UI Emoji" w:hAnsi="Segoe UI Emoji" w:cs="Segoe UI Emoji"/>
                <w:sz w:val="16"/>
                <w:szCs w:val="16"/>
              </w:rPr>
            </w:pPr>
            <w:r w:rsidRPr="00A01C94">
              <w:rPr>
                <w:rFonts w:ascii="Segoe UI Emoji" w:hAnsi="Segoe UI Emoji" w:cs="Segoe UI Emoji"/>
                <w:sz w:val="16"/>
                <w:szCs w:val="16"/>
              </w:rPr>
              <w:t>https://offers.bmw.co.uk/offers/I4PC/78e7cb9d-6619-4766-ad62-eb31f4770d5c/883417ba-d4a4-4239-9c95-440c14b528da/</w:t>
            </w:r>
          </w:p>
        </w:tc>
      </w:tr>
    </w:tbl>
    <w:p w14:paraId="2D0F7AAE" w14:textId="77777777" w:rsidR="00A01C94" w:rsidRDefault="00A01C94" w:rsidP="00A01C94">
      <w:pPr>
        <w:rPr>
          <w:rFonts w:ascii="Segoe UI Emoji" w:hAnsi="Segoe UI Emoji" w:cs="Segoe UI Emoji"/>
        </w:rPr>
      </w:pPr>
      <w:r w:rsidRPr="00A01C94">
        <w:rPr>
          <w:rFonts w:ascii="Segoe UI Emoji" w:hAnsi="Segoe UI Emoji" w:cs="Segoe UI Emoji"/>
        </w:rPr>
        <w:t>Source(s): Offers.bmw.co.uk (accessed Sep 20, 2025). Values vary by dealer, spec, mileage &amp; profile; check pages for full T&amp;Cs.</w:t>
      </w:r>
    </w:p>
    <w:p w14:paraId="4D9CD396" w14:textId="77777777" w:rsidR="00034495" w:rsidRDefault="00034495" w:rsidP="008A17FA">
      <w:pPr>
        <w:pStyle w:val="Heading2"/>
      </w:pPr>
      <w:bookmarkStart w:id="8" w:name="_Toc213673884"/>
      <w:r>
        <w:t>People</w:t>
      </w:r>
      <w:bookmarkEnd w:id="8"/>
    </w:p>
    <w:p w14:paraId="146DED79" w14:textId="77777777" w:rsidR="00034495" w:rsidRDefault="00034495" w:rsidP="00034495"/>
    <w:p w14:paraId="583BF57A" w14:textId="77777777" w:rsidR="00034495" w:rsidRDefault="00034495" w:rsidP="00034495">
      <w:r>
        <w:t>Customer service staff are central to delivering BMW’s premium promise. In Germany, sales representatives act as technical experts, offering detailed explanations of engineering features and environmental performance. Training focuses on credibility and expertise (Kaspar, 2019).</w:t>
      </w:r>
    </w:p>
    <w:p w14:paraId="699696BF" w14:textId="77777777" w:rsidR="00034495" w:rsidRDefault="00034495" w:rsidP="00034495">
      <w:r>
        <w:t>In the UK, the emphasis is on relationship-building and financial consultation. Sales staff are trained to frame ownership in terms of affordability and lifestyle alignment, translating technical details into emotional and financial benefits (Mintel, 2022).</w:t>
      </w:r>
    </w:p>
    <w:p w14:paraId="51220ED4" w14:textId="77777777" w:rsidR="00034495" w:rsidRDefault="00034495" w:rsidP="00034495"/>
    <w:p w14:paraId="229FB502" w14:textId="77777777" w:rsidR="00034495" w:rsidRDefault="00034495" w:rsidP="00883890">
      <w:pPr>
        <w:pStyle w:val="Heading2"/>
      </w:pPr>
      <w:bookmarkStart w:id="9" w:name="_Toc213673885"/>
      <w:r>
        <w:t>Process</w:t>
      </w:r>
      <w:bookmarkEnd w:id="9"/>
    </w:p>
    <w:p w14:paraId="63EFC6F8" w14:textId="77777777" w:rsidR="00034495" w:rsidRDefault="00034495" w:rsidP="00034495"/>
    <w:p w14:paraId="00B10F9C" w14:textId="77777777" w:rsidR="00034495" w:rsidRDefault="00034495" w:rsidP="00034495">
      <w:r>
        <w:t xml:space="preserve">Sales processes mirror cultural expectations. In Germany, the process is structured and detail-oriented, often involving long consultations and technical </w:t>
      </w:r>
      <w:r>
        <w:lastRenderedPageBreak/>
        <w:t>demonstrations. Customers expect precision and transparency at every stage (VDA, 2022).</w:t>
      </w:r>
    </w:p>
    <w:p w14:paraId="449CC13B" w14:textId="77777777" w:rsidR="00034495" w:rsidRDefault="00034495" w:rsidP="00034495">
      <w:r>
        <w:t>In the UK, the process is streamlined for speed and convenience, with digital tools such as online credit checks and instant trade-in valuations (PwC, 2022). This flexibility makes BMW more accessible to aspirational buyers while reinforcing its premium image.</w:t>
      </w:r>
    </w:p>
    <w:p w14:paraId="2939BB54" w14:textId="77777777" w:rsidR="002C037A" w:rsidRDefault="002C037A" w:rsidP="00034495"/>
    <w:p w14:paraId="42075E0D" w14:textId="77777777" w:rsidR="00034495" w:rsidRDefault="00034495" w:rsidP="00883890">
      <w:pPr>
        <w:pStyle w:val="Heading2"/>
      </w:pPr>
      <w:bookmarkStart w:id="10" w:name="_Toc213673886"/>
      <w:r>
        <w:t>Physical Evidence</w:t>
      </w:r>
      <w:bookmarkEnd w:id="10"/>
    </w:p>
    <w:p w14:paraId="2FB00080" w14:textId="77777777" w:rsidR="00034495" w:rsidRDefault="00034495" w:rsidP="00034495"/>
    <w:p w14:paraId="761D7CF1" w14:textId="77777777" w:rsidR="002C037A" w:rsidRDefault="002C037A" w:rsidP="002C037A">
      <w:r>
        <w:t>BMW’s physical brand environments embody its marketing strategies in each market.</w:t>
      </w:r>
    </w:p>
    <w:p w14:paraId="4AA2F2A3" w14:textId="77777777" w:rsidR="002C037A" w:rsidRDefault="002C037A" w:rsidP="002C037A">
      <w:r>
        <w:t>In Germany, the most prominent example is BMW Welt in Munich, which attracts over 3 million visitors annually (BMW Group, 2023). It serves not only as a showroom but also as a delivery centre, museum, and experiential hub. Visitors can explore BMW’s history, see concept cars, and even take delivery of new vehicles in a ceremonial environment. This reinforces BMW’s German heritage, engineering prestige, and commitment to innovation, providing tangible evidence of its premium identity.</w:t>
      </w:r>
    </w:p>
    <w:p w14:paraId="68433B9E" w14:textId="77777777" w:rsidR="002C037A" w:rsidRDefault="002C037A" w:rsidP="002C037A"/>
    <w:p w14:paraId="7AFA5509" w14:textId="76530585" w:rsidR="00034495" w:rsidRDefault="002C037A" w:rsidP="002C037A">
      <w:r>
        <w:t>In the United Kingdom, the flagship BMW Park Lane dealership in London acts as a premium marketing hub. It frequently hosts exclusive product launches and customer events, targeting affluent buyers in one of the world’s wealthiest cities. Showrooms integrate digital configurators, VR customisation, and luxury hospitality lounges, creating an immersive environment where the focus is on lifestyle and prestige (Mintel, 2022). These brand spaces are critical in reinforcing BMW’s positioning as an aspirational but attainable luxury brand.</w:t>
      </w:r>
    </w:p>
    <w:p w14:paraId="4DA159DD" w14:textId="77777777" w:rsidR="00F62905" w:rsidRDefault="00F62905" w:rsidP="002C037A"/>
    <w:p w14:paraId="14703CBB" w14:textId="77777777" w:rsidR="00F62905" w:rsidRDefault="00F62905" w:rsidP="002C037A"/>
    <w:p w14:paraId="32780B6B" w14:textId="77777777" w:rsidR="00F62905" w:rsidRDefault="00F62905" w:rsidP="002C037A"/>
    <w:p w14:paraId="32D9DD11" w14:textId="77777777" w:rsidR="00F62905" w:rsidRDefault="00F62905" w:rsidP="002C037A"/>
    <w:p w14:paraId="6037C72D" w14:textId="77777777" w:rsidR="00F62905" w:rsidRDefault="00F62905" w:rsidP="002C037A"/>
    <w:p w14:paraId="357927DD" w14:textId="1282A47C" w:rsidR="00914D8F" w:rsidRPr="00914D8F" w:rsidRDefault="00914D8F" w:rsidP="00914D8F">
      <w:pPr>
        <w:rPr>
          <w:rFonts w:ascii="Segoe UI Emoji" w:hAnsi="Segoe UI Emoji" w:cs="Segoe UI Emoji"/>
        </w:rPr>
      </w:pPr>
      <w:r w:rsidRPr="00914D8F">
        <w:rPr>
          <w:rFonts w:ascii="Segoe UI Emoji" w:hAnsi="Segoe UI Emoji" w:cs="Segoe UI Emoji"/>
        </w:rPr>
        <w:lastRenderedPageBreak/>
        <w:t xml:space="preserve">Table </w:t>
      </w:r>
      <w:r w:rsidR="00246472">
        <w:rPr>
          <w:rFonts w:ascii="Segoe UI Emoji" w:hAnsi="Segoe UI Emoji" w:cs="Segoe UI Emoji"/>
        </w:rPr>
        <w:t>6</w:t>
      </w:r>
      <w:r w:rsidRPr="00914D8F">
        <w:rPr>
          <w:rFonts w:ascii="Segoe UI Emoji" w:hAnsi="Segoe UI Emoji" w:cs="Segoe UI Emoji"/>
        </w:rPr>
        <w:t>. Flagship brand spaces</w:t>
      </w:r>
    </w:p>
    <w:tbl>
      <w:tblPr>
        <w:tblStyle w:val="TableGrid"/>
        <w:tblW w:w="0" w:type="auto"/>
        <w:jc w:val="center"/>
        <w:tblLook w:val="04A0" w:firstRow="1" w:lastRow="0" w:firstColumn="1" w:lastColumn="0" w:noHBand="0" w:noVBand="1"/>
      </w:tblPr>
      <w:tblGrid>
        <w:gridCol w:w="857"/>
        <w:gridCol w:w="999"/>
        <w:gridCol w:w="1188"/>
        <w:gridCol w:w="793"/>
        <w:gridCol w:w="5019"/>
      </w:tblGrid>
      <w:tr w:rsidR="00E97B89" w:rsidRPr="00914D8F" w14:paraId="6E540953" w14:textId="77777777" w:rsidTr="00E97B89">
        <w:trPr>
          <w:jc w:val="center"/>
        </w:trPr>
        <w:tc>
          <w:tcPr>
            <w:tcW w:w="852" w:type="dxa"/>
          </w:tcPr>
          <w:p w14:paraId="03FB07B5" w14:textId="77777777" w:rsidR="00914D8F" w:rsidRPr="00914D8F" w:rsidRDefault="00914D8F" w:rsidP="00914D8F">
            <w:pPr>
              <w:spacing w:after="160" w:line="300" w:lineRule="auto"/>
              <w:rPr>
                <w:rFonts w:cs="Arial"/>
                <w:sz w:val="16"/>
                <w:szCs w:val="16"/>
              </w:rPr>
            </w:pPr>
            <w:r w:rsidRPr="00914D8F">
              <w:rPr>
                <w:rFonts w:cs="Arial"/>
                <w:sz w:val="16"/>
                <w:szCs w:val="16"/>
              </w:rPr>
              <w:t>Location</w:t>
            </w:r>
          </w:p>
        </w:tc>
        <w:tc>
          <w:tcPr>
            <w:tcW w:w="978" w:type="dxa"/>
          </w:tcPr>
          <w:p w14:paraId="50634F18" w14:textId="77777777" w:rsidR="00914D8F" w:rsidRPr="00914D8F" w:rsidRDefault="00914D8F" w:rsidP="00914D8F">
            <w:pPr>
              <w:spacing w:after="160" w:line="300" w:lineRule="auto"/>
              <w:rPr>
                <w:rFonts w:cs="Arial"/>
                <w:sz w:val="16"/>
                <w:szCs w:val="16"/>
              </w:rPr>
            </w:pPr>
            <w:r w:rsidRPr="00914D8F">
              <w:rPr>
                <w:rFonts w:cs="Arial"/>
                <w:sz w:val="16"/>
                <w:szCs w:val="16"/>
              </w:rPr>
              <w:t>Role</w:t>
            </w:r>
          </w:p>
        </w:tc>
        <w:tc>
          <w:tcPr>
            <w:tcW w:w="1192" w:type="dxa"/>
          </w:tcPr>
          <w:p w14:paraId="0CDE293C" w14:textId="77777777" w:rsidR="00914D8F" w:rsidRPr="00914D8F" w:rsidRDefault="00914D8F" w:rsidP="00914D8F">
            <w:pPr>
              <w:spacing w:after="160" w:line="300" w:lineRule="auto"/>
              <w:rPr>
                <w:rFonts w:cs="Arial"/>
                <w:sz w:val="16"/>
                <w:szCs w:val="16"/>
              </w:rPr>
            </w:pPr>
            <w:r w:rsidRPr="00914D8F">
              <w:rPr>
                <w:rFonts w:cs="Arial"/>
                <w:sz w:val="16"/>
                <w:szCs w:val="16"/>
              </w:rPr>
              <w:t>Notable features</w:t>
            </w:r>
          </w:p>
        </w:tc>
        <w:tc>
          <w:tcPr>
            <w:tcW w:w="914" w:type="dxa"/>
          </w:tcPr>
          <w:p w14:paraId="41E08A49" w14:textId="77777777" w:rsidR="00914D8F" w:rsidRPr="00914D8F" w:rsidRDefault="00914D8F" w:rsidP="00914D8F">
            <w:pPr>
              <w:spacing w:after="160" w:line="300" w:lineRule="auto"/>
              <w:rPr>
                <w:rFonts w:cs="Arial"/>
                <w:sz w:val="16"/>
                <w:szCs w:val="16"/>
              </w:rPr>
            </w:pPr>
            <w:r w:rsidRPr="00914D8F">
              <w:rPr>
                <w:rFonts w:cs="Arial"/>
                <w:sz w:val="16"/>
                <w:szCs w:val="16"/>
              </w:rPr>
              <w:t>Annual visitors (if known)</w:t>
            </w:r>
          </w:p>
        </w:tc>
        <w:tc>
          <w:tcPr>
            <w:tcW w:w="4920" w:type="dxa"/>
          </w:tcPr>
          <w:p w14:paraId="5E25E1CB" w14:textId="77777777" w:rsidR="00914D8F" w:rsidRPr="00914D8F" w:rsidRDefault="00914D8F" w:rsidP="00914D8F">
            <w:pPr>
              <w:spacing w:after="160" w:line="300" w:lineRule="auto"/>
              <w:rPr>
                <w:rFonts w:cs="Arial"/>
                <w:sz w:val="16"/>
                <w:szCs w:val="16"/>
              </w:rPr>
            </w:pPr>
            <w:r w:rsidRPr="00914D8F">
              <w:rPr>
                <w:rFonts w:cs="Arial"/>
                <w:sz w:val="16"/>
                <w:szCs w:val="16"/>
              </w:rPr>
              <w:t>Source / Link</w:t>
            </w:r>
          </w:p>
        </w:tc>
      </w:tr>
      <w:tr w:rsidR="00E97B89" w:rsidRPr="00914D8F" w14:paraId="595D96AB" w14:textId="77777777" w:rsidTr="00E97B89">
        <w:trPr>
          <w:jc w:val="center"/>
        </w:trPr>
        <w:tc>
          <w:tcPr>
            <w:tcW w:w="852" w:type="dxa"/>
          </w:tcPr>
          <w:p w14:paraId="28F6BA87" w14:textId="77777777" w:rsidR="00914D8F" w:rsidRPr="00914D8F" w:rsidRDefault="00914D8F" w:rsidP="00914D8F">
            <w:pPr>
              <w:spacing w:after="160" w:line="300" w:lineRule="auto"/>
              <w:rPr>
                <w:rFonts w:cs="Arial"/>
                <w:sz w:val="16"/>
                <w:szCs w:val="16"/>
              </w:rPr>
            </w:pPr>
            <w:r w:rsidRPr="00914D8F">
              <w:rPr>
                <w:rFonts w:cs="Arial"/>
                <w:sz w:val="16"/>
                <w:szCs w:val="16"/>
              </w:rPr>
              <w:t>BMW Welt (Munich)</w:t>
            </w:r>
          </w:p>
        </w:tc>
        <w:tc>
          <w:tcPr>
            <w:tcW w:w="978" w:type="dxa"/>
          </w:tcPr>
          <w:p w14:paraId="1C5E8CCF" w14:textId="77777777" w:rsidR="00914D8F" w:rsidRPr="00914D8F" w:rsidRDefault="00914D8F" w:rsidP="00914D8F">
            <w:pPr>
              <w:spacing w:after="160" w:line="300" w:lineRule="auto"/>
              <w:rPr>
                <w:rFonts w:cs="Arial"/>
                <w:sz w:val="16"/>
                <w:szCs w:val="16"/>
              </w:rPr>
            </w:pPr>
            <w:r w:rsidRPr="00914D8F">
              <w:rPr>
                <w:rFonts w:cs="Arial"/>
                <w:sz w:val="16"/>
                <w:szCs w:val="16"/>
              </w:rPr>
              <w:t>Brand experience hub &amp; delivery centre</w:t>
            </w:r>
          </w:p>
        </w:tc>
        <w:tc>
          <w:tcPr>
            <w:tcW w:w="1192" w:type="dxa"/>
          </w:tcPr>
          <w:p w14:paraId="724CAAC7" w14:textId="77777777" w:rsidR="00914D8F" w:rsidRPr="00914D8F" w:rsidRDefault="00914D8F" w:rsidP="00914D8F">
            <w:pPr>
              <w:spacing w:after="160" w:line="300" w:lineRule="auto"/>
              <w:rPr>
                <w:rFonts w:cs="Arial"/>
                <w:sz w:val="16"/>
                <w:szCs w:val="16"/>
              </w:rPr>
            </w:pPr>
            <w:r w:rsidRPr="00914D8F">
              <w:rPr>
                <w:rFonts w:cs="Arial"/>
                <w:sz w:val="16"/>
                <w:szCs w:val="16"/>
              </w:rPr>
              <w:t>Exhibitions, museum link, delivery experience, events</w:t>
            </w:r>
          </w:p>
        </w:tc>
        <w:tc>
          <w:tcPr>
            <w:tcW w:w="914" w:type="dxa"/>
          </w:tcPr>
          <w:p w14:paraId="02407C5F" w14:textId="77777777" w:rsidR="00914D8F" w:rsidRPr="00914D8F" w:rsidRDefault="00914D8F" w:rsidP="00914D8F">
            <w:pPr>
              <w:spacing w:after="160" w:line="300" w:lineRule="auto"/>
              <w:rPr>
                <w:rFonts w:cs="Arial"/>
                <w:sz w:val="16"/>
                <w:szCs w:val="16"/>
              </w:rPr>
            </w:pPr>
            <w:r w:rsidRPr="00914D8F">
              <w:rPr>
                <w:rFonts w:cs="Arial"/>
                <w:sz w:val="16"/>
                <w:szCs w:val="16"/>
              </w:rPr>
              <w:t>3+ million / year</w:t>
            </w:r>
          </w:p>
        </w:tc>
        <w:tc>
          <w:tcPr>
            <w:tcW w:w="4920" w:type="dxa"/>
          </w:tcPr>
          <w:p w14:paraId="7EF00786" w14:textId="77777777" w:rsidR="00914D8F" w:rsidRPr="00914D8F" w:rsidRDefault="00914D8F" w:rsidP="00914D8F">
            <w:pPr>
              <w:spacing w:after="160" w:line="300" w:lineRule="auto"/>
              <w:rPr>
                <w:rFonts w:cs="Arial"/>
                <w:sz w:val="16"/>
                <w:szCs w:val="16"/>
              </w:rPr>
            </w:pPr>
            <w:r w:rsidRPr="00914D8F">
              <w:rPr>
                <w:rFonts w:cs="Arial"/>
                <w:sz w:val="16"/>
                <w:szCs w:val="16"/>
              </w:rPr>
              <w:t>BMW PressClub (2020): https://www.press.bmwgroup.com/global/article/detail/T0311847EN/</w:t>
            </w:r>
          </w:p>
        </w:tc>
      </w:tr>
      <w:tr w:rsidR="00E97B89" w:rsidRPr="00914D8F" w14:paraId="1EF211E9" w14:textId="77777777" w:rsidTr="00E97B89">
        <w:trPr>
          <w:jc w:val="center"/>
        </w:trPr>
        <w:tc>
          <w:tcPr>
            <w:tcW w:w="852" w:type="dxa"/>
          </w:tcPr>
          <w:p w14:paraId="7669F9C1" w14:textId="77777777" w:rsidR="00914D8F" w:rsidRPr="00914D8F" w:rsidRDefault="00914D8F" w:rsidP="00914D8F">
            <w:pPr>
              <w:spacing w:after="160" w:line="300" w:lineRule="auto"/>
              <w:rPr>
                <w:rFonts w:cs="Arial"/>
                <w:sz w:val="16"/>
                <w:szCs w:val="16"/>
              </w:rPr>
            </w:pPr>
            <w:r w:rsidRPr="00914D8F">
              <w:rPr>
                <w:rFonts w:cs="Arial"/>
                <w:sz w:val="16"/>
                <w:szCs w:val="16"/>
              </w:rPr>
              <w:t>BMW Park Lane (London)</w:t>
            </w:r>
          </w:p>
        </w:tc>
        <w:tc>
          <w:tcPr>
            <w:tcW w:w="978" w:type="dxa"/>
          </w:tcPr>
          <w:p w14:paraId="5A9F66EF" w14:textId="77777777" w:rsidR="00914D8F" w:rsidRPr="00914D8F" w:rsidRDefault="00914D8F" w:rsidP="00914D8F">
            <w:pPr>
              <w:spacing w:after="160" w:line="300" w:lineRule="auto"/>
              <w:rPr>
                <w:rFonts w:cs="Arial"/>
                <w:sz w:val="16"/>
                <w:szCs w:val="16"/>
              </w:rPr>
            </w:pPr>
            <w:r w:rsidRPr="00914D8F">
              <w:rPr>
                <w:rFonts w:cs="Arial"/>
                <w:sz w:val="16"/>
                <w:szCs w:val="16"/>
              </w:rPr>
              <w:t>Flagship retail &amp; events hub</w:t>
            </w:r>
          </w:p>
        </w:tc>
        <w:tc>
          <w:tcPr>
            <w:tcW w:w="1192" w:type="dxa"/>
          </w:tcPr>
          <w:p w14:paraId="303CC88D" w14:textId="77777777" w:rsidR="00914D8F" w:rsidRPr="00914D8F" w:rsidRDefault="00914D8F" w:rsidP="00914D8F">
            <w:pPr>
              <w:spacing w:after="160" w:line="300" w:lineRule="auto"/>
              <w:rPr>
                <w:rFonts w:cs="Arial"/>
                <w:sz w:val="16"/>
                <w:szCs w:val="16"/>
              </w:rPr>
            </w:pPr>
            <w:r w:rsidRPr="00914D8F">
              <w:rPr>
                <w:rFonts w:cs="Arial"/>
                <w:sz w:val="16"/>
                <w:szCs w:val="16"/>
              </w:rPr>
              <w:t>Luxury showroom, digital configurators, events, central London</w:t>
            </w:r>
          </w:p>
        </w:tc>
        <w:tc>
          <w:tcPr>
            <w:tcW w:w="914" w:type="dxa"/>
          </w:tcPr>
          <w:p w14:paraId="26E68804" w14:textId="77777777" w:rsidR="00914D8F" w:rsidRPr="00914D8F" w:rsidRDefault="00914D8F" w:rsidP="00914D8F">
            <w:pPr>
              <w:spacing w:after="160" w:line="300" w:lineRule="auto"/>
              <w:rPr>
                <w:rFonts w:cs="Arial"/>
                <w:sz w:val="16"/>
                <w:szCs w:val="16"/>
              </w:rPr>
            </w:pPr>
            <w:r w:rsidRPr="00914D8F">
              <w:rPr>
                <w:rFonts w:cs="Arial"/>
                <w:sz w:val="16"/>
                <w:szCs w:val="16"/>
              </w:rPr>
              <w:t>n/a</w:t>
            </w:r>
          </w:p>
        </w:tc>
        <w:tc>
          <w:tcPr>
            <w:tcW w:w="4920" w:type="dxa"/>
          </w:tcPr>
          <w:p w14:paraId="74FCBD2B" w14:textId="77777777" w:rsidR="00914D8F" w:rsidRPr="00914D8F" w:rsidRDefault="00914D8F" w:rsidP="00914D8F">
            <w:pPr>
              <w:spacing w:after="160" w:line="300" w:lineRule="auto"/>
              <w:rPr>
                <w:rFonts w:cs="Arial"/>
                <w:sz w:val="16"/>
                <w:szCs w:val="16"/>
              </w:rPr>
            </w:pPr>
            <w:r w:rsidRPr="00914D8F">
              <w:rPr>
                <w:rFonts w:cs="Arial"/>
                <w:sz w:val="16"/>
                <w:szCs w:val="16"/>
              </w:rPr>
              <w:t>Official site: https://www.bmwparklane.co.uk/</w:t>
            </w:r>
          </w:p>
        </w:tc>
      </w:tr>
    </w:tbl>
    <w:p w14:paraId="47A5D1B7" w14:textId="77777777" w:rsidR="00914D8F" w:rsidRPr="00914D8F" w:rsidRDefault="00914D8F" w:rsidP="00914D8F">
      <w:pPr>
        <w:rPr>
          <w:rFonts w:ascii="Segoe UI Emoji" w:hAnsi="Segoe UI Emoji" w:cs="Segoe UI Emoji"/>
        </w:rPr>
      </w:pPr>
      <w:r w:rsidRPr="00914D8F">
        <w:rPr>
          <w:rFonts w:ascii="Segoe UI Emoji" w:hAnsi="Segoe UI Emoji" w:cs="Segoe UI Emoji"/>
        </w:rPr>
        <w:t>Source(s): BMW PressClub; BMW Park Lane site.</w:t>
      </w:r>
    </w:p>
    <w:p w14:paraId="64F5953B" w14:textId="5512DBFA" w:rsidR="00034495" w:rsidRDefault="00034495" w:rsidP="00883890">
      <w:pPr>
        <w:pStyle w:val="Heading2"/>
      </w:pPr>
      <w:bookmarkStart w:id="11" w:name="_Toc213673887"/>
      <w:r>
        <w:t>Comparative Insights</w:t>
      </w:r>
      <w:bookmarkEnd w:id="11"/>
    </w:p>
    <w:p w14:paraId="3C6AD6B2" w14:textId="77777777" w:rsidR="00034495" w:rsidRDefault="00034495" w:rsidP="00034495"/>
    <w:p w14:paraId="1FD35787" w14:textId="77777777" w:rsidR="00B974FF" w:rsidRDefault="00B974FF" w:rsidP="00B974FF">
      <w:r>
        <w:t>The 7Ps analysis demonstrates BMW’s ability to maintain global brand consistency while adapting to local contexts. In Germany, strategies emphasise premium pricing, rational promotion, and sustainability, aligning with cultural values of quality and responsibility. In the UK, marketing is shaped by aspiration, affordability through finance, and lifestyle-driven promotions, reflecting consumers’ desire for prestige at manageable costs.</w:t>
      </w:r>
    </w:p>
    <w:p w14:paraId="0EDF6CBE" w14:textId="73D47B54" w:rsidR="005E09F0" w:rsidRPr="005E09F0" w:rsidRDefault="005E09F0" w:rsidP="005E09F0">
      <w:pPr>
        <w:rPr>
          <w:rFonts w:ascii="Segoe UI Emoji" w:hAnsi="Segoe UI Emoji" w:cs="Segoe UI Emoji"/>
        </w:rPr>
      </w:pPr>
      <w:r w:rsidRPr="005E09F0">
        <w:rPr>
          <w:rFonts w:ascii="Segoe UI Emoji" w:hAnsi="Segoe UI Emoji" w:cs="Segoe UI Emoji"/>
        </w:rPr>
        <w:t xml:space="preserve">Table </w:t>
      </w:r>
      <w:r w:rsidR="00246472">
        <w:rPr>
          <w:rFonts w:ascii="Segoe UI Emoji" w:hAnsi="Segoe UI Emoji" w:cs="Segoe UI Emoji"/>
        </w:rPr>
        <w:t>7</w:t>
      </w:r>
      <w:r w:rsidRPr="005E09F0">
        <w:rPr>
          <w:rFonts w:ascii="Segoe UI Emoji" w:hAnsi="Segoe UI Emoji" w:cs="Segoe UI Emoji"/>
        </w:rPr>
        <w:t>. Promotional themes (Germany vs UK)</w:t>
      </w:r>
    </w:p>
    <w:tbl>
      <w:tblPr>
        <w:tblStyle w:val="TableGrid"/>
        <w:tblW w:w="0" w:type="auto"/>
        <w:jc w:val="center"/>
        <w:tblLook w:val="04A0" w:firstRow="1" w:lastRow="0" w:firstColumn="1" w:lastColumn="0" w:noHBand="0" w:noVBand="1"/>
      </w:tblPr>
      <w:tblGrid>
        <w:gridCol w:w="2160"/>
        <w:gridCol w:w="2160"/>
        <w:gridCol w:w="2343"/>
        <w:gridCol w:w="1977"/>
      </w:tblGrid>
      <w:tr w:rsidR="005E09F0" w:rsidRPr="005E09F0" w14:paraId="31E7C17A" w14:textId="77777777" w:rsidTr="00E97B89">
        <w:trPr>
          <w:jc w:val="center"/>
        </w:trPr>
        <w:tc>
          <w:tcPr>
            <w:tcW w:w="2160" w:type="dxa"/>
          </w:tcPr>
          <w:p w14:paraId="2C5B637B" w14:textId="77777777" w:rsidR="005E09F0" w:rsidRPr="005E09F0" w:rsidRDefault="005E09F0" w:rsidP="005E09F0">
            <w:pPr>
              <w:spacing w:after="160" w:line="300" w:lineRule="auto"/>
              <w:rPr>
                <w:rFonts w:cs="Arial"/>
                <w:sz w:val="20"/>
                <w:szCs w:val="20"/>
              </w:rPr>
            </w:pPr>
            <w:r w:rsidRPr="005E09F0">
              <w:rPr>
                <w:rFonts w:cs="Arial"/>
                <w:sz w:val="20"/>
                <w:szCs w:val="20"/>
              </w:rPr>
              <w:t>Market</w:t>
            </w:r>
          </w:p>
        </w:tc>
        <w:tc>
          <w:tcPr>
            <w:tcW w:w="2160" w:type="dxa"/>
          </w:tcPr>
          <w:p w14:paraId="490430D6" w14:textId="77777777" w:rsidR="005E09F0" w:rsidRPr="005E09F0" w:rsidRDefault="005E09F0" w:rsidP="005E09F0">
            <w:pPr>
              <w:spacing w:after="160" w:line="300" w:lineRule="auto"/>
              <w:rPr>
                <w:rFonts w:cs="Arial"/>
                <w:sz w:val="20"/>
                <w:szCs w:val="20"/>
              </w:rPr>
            </w:pPr>
            <w:r w:rsidRPr="005E09F0">
              <w:rPr>
                <w:rFonts w:cs="Arial"/>
                <w:sz w:val="20"/>
                <w:szCs w:val="20"/>
              </w:rPr>
              <w:t>Core theme(s)</w:t>
            </w:r>
          </w:p>
        </w:tc>
        <w:tc>
          <w:tcPr>
            <w:tcW w:w="2343" w:type="dxa"/>
          </w:tcPr>
          <w:p w14:paraId="40D262B3" w14:textId="77777777" w:rsidR="005E09F0" w:rsidRPr="005E09F0" w:rsidRDefault="005E09F0" w:rsidP="005E09F0">
            <w:pPr>
              <w:spacing w:after="160" w:line="300" w:lineRule="auto"/>
              <w:rPr>
                <w:rFonts w:cs="Arial"/>
                <w:sz w:val="20"/>
                <w:szCs w:val="20"/>
              </w:rPr>
            </w:pPr>
            <w:r w:rsidRPr="005E09F0">
              <w:rPr>
                <w:rFonts w:cs="Arial"/>
                <w:sz w:val="20"/>
                <w:szCs w:val="20"/>
              </w:rPr>
              <w:t>Illustrative activation</w:t>
            </w:r>
          </w:p>
        </w:tc>
        <w:tc>
          <w:tcPr>
            <w:tcW w:w="1977" w:type="dxa"/>
          </w:tcPr>
          <w:p w14:paraId="62214883" w14:textId="77777777" w:rsidR="005E09F0" w:rsidRPr="005E09F0" w:rsidRDefault="005E09F0" w:rsidP="005E09F0">
            <w:pPr>
              <w:spacing w:after="160" w:line="300" w:lineRule="auto"/>
              <w:rPr>
                <w:rFonts w:cs="Arial"/>
                <w:sz w:val="20"/>
                <w:szCs w:val="20"/>
              </w:rPr>
            </w:pPr>
            <w:r w:rsidRPr="005E09F0">
              <w:rPr>
                <w:rFonts w:cs="Arial"/>
                <w:sz w:val="20"/>
                <w:szCs w:val="20"/>
              </w:rPr>
              <w:t>Source / Link</w:t>
            </w:r>
          </w:p>
        </w:tc>
      </w:tr>
      <w:tr w:rsidR="005E09F0" w:rsidRPr="005E09F0" w14:paraId="17C5D753" w14:textId="77777777" w:rsidTr="00E97B89">
        <w:trPr>
          <w:jc w:val="center"/>
        </w:trPr>
        <w:tc>
          <w:tcPr>
            <w:tcW w:w="2160" w:type="dxa"/>
          </w:tcPr>
          <w:p w14:paraId="22F630C6" w14:textId="77777777" w:rsidR="005E09F0" w:rsidRPr="005E09F0" w:rsidRDefault="005E09F0" w:rsidP="005E09F0">
            <w:pPr>
              <w:spacing w:after="160" w:line="300" w:lineRule="auto"/>
              <w:rPr>
                <w:rFonts w:cs="Arial"/>
                <w:sz w:val="20"/>
                <w:szCs w:val="20"/>
              </w:rPr>
            </w:pPr>
            <w:r w:rsidRPr="005E09F0">
              <w:rPr>
                <w:rFonts w:cs="Arial"/>
                <w:sz w:val="20"/>
                <w:szCs w:val="20"/>
              </w:rPr>
              <w:t>Germany</w:t>
            </w:r>
          </w:p>
        </w:tc>
        <w:tc>
          <w:tcPr>
            <w:tcW w:w="2160" w:type="dxa"/>
          </w:tcPr>
          <w:p w14:paraId="59B9F265" w14:textId="77777777" w:rsidR="005E09F0" w:rsidRPr="005E09F0" w:rsidRDefault="005E09F0" w:rsidP="005E09F0">
            <w:pPr>
              <w:spacing w:after="160" w:line="300" w:lineRule="auto"/>
              <w:rPr>
                <w:rFonts w:cs="Arial"/>
                <w:sz w:val="20"/>
                <w:szCs w:val="20"/>
              </w:rPr>
            </w:pPr>
            <w:r w:rsidRPr="005E09F0">
              <w:rPr>
                <w:rFonts w:cs="Arial"/>
                <w:sz w:val="20"/>
                <w:szCs w:val="20"/>
              </w:rPr>
              <w:t>Engineering credibility, sustainability, EV leadership</w:t>
            </w:r>
          </w:p>
        </w:tc>
        <w:tc>
          <w:tcPr>
            <w:tcW w:w="2343" w:type="dxa"/>
          </w:tcPr>
          <w:p w14:paraId="4D94FE0F" w14:textId="77777777" w:rsidR="005E09F0" w:rsidRPr="005E09F0" w:rsidRDefault="005E09F0" w:rsidP="005E09F0">
            <w:pPr>
              <w:spacing w:after="160" w:line="300" w:lineRule="auto"/>
              <w:rPr>
                <w:rFonts w:cs="Arial"/>
                <w:sz w:val="20"/>
                <w:szCs w:val="20"/>
              </w:rPr>
            </w:pPr>
            <w:r w:rsidRPr="005E09F0">
              <w:rPr>
                <w:rFonts w:cs="Arial"/>
                <w:sz w:val="20"/>
                <w:szCs w:val="20"/>
              </w:rPr>
              <w:t>IAA Mobility showcase; i Vision Circular; iX/i4 tech emphasis</w:t>
            </w:r>
          </w:p>
        </w:tc>
        <w:tc>
          <w:tcPr>
            <w:tcW w:w="1977" w:type="dxa"/>
          </w:tcPr>
          <w:p w14:paraId="67E35878" w14:textId="77777777" w:rsidR="005E09F0" w:rsidRPr="005E09F0" w:rsidRDefault="005E09F0" w:rsidP="005E09F0">
            <w:pPr>
              <w:spacing w:after="160" w:line="300" w:lineRule="auto"/>
              <w:rPr>
                <w:rFonts w:cs="Arial"/>
                <w:sz w:val="20"/>
                <w:szCs w:val="20"/>
              </w:rPr>
            </w:pPr>
            <w:r w:rsidRPr="005E09F0">
              <w:rPr>
                <w:rFonts w:cs="Arial"/>
                <w:sz w:val="20"/>
                <w:szCs w:val="20"/>
              </w:rPr>
              <w:t>VDA/IAA; BMW Group press</w:t>
            </w:r>
          </w:p>
        </w:tc>
      </w:tr>
      <w:tr w:rsidR="005E09F0" w:rsidRPr="005E09F0" w14:paraId="4785286B" w14:textId="77777777" w:rsidTr="00E97B89">
        <w:trPr>
          <w:jc w:val="center"/>
        </w:trPr>
        <w:tc>
          <w:tcPr>
            <w:tcW w:w="2160" w:type="dxa"/>
          </w:tcPr>
          <w:p w14:paraId="1BE25BED" w14:textId="77777777" w:rsidR="005E09F0" w:rsidRPr="005E09F0" w:rsidRDefault="005E09F0" w:rsidP="005E09F0">
            <w:pPr>
              <w:spacing w:after="160" w:line="300" w:lineRule="auto"/>
              <w:rPr>
                <w:rFonts w:cs="Arial"/>
                <w:sz w:val="20"/>
                <w:szCs w:val="20"/>
              </w:rPr>
            </w:pPr>
            <w:r w:rsidRPr="005E09F0">
              <w:rPr>
                <w:rFonts w:cs="Arial"/>
                <w:sz w:val="20"/>
                <w:szCs w:val="20"/>
              </w:rPr>
              <w:t>United Kingdom</w:t>
            </w:r>
          </w:p>
        </w:tc>
        <w:tc>
          <w:tcPr>
            <w:tcW w:w="2160" w:type="dxa"/>
          </w:tcPr>
          <w:p w14:paraId="55ED6598" w14:textId="77777777" w:rsidR="005E09F0" w:rsidRPr="005E09F0" w:rsidRDefault="005E09F0" w:rsidP="005E09F0">
            <w:pPr>
              <w:spacing w:after="160" w:line="300" w:lineRule="auto"/>
              <w:rPr>
                <w:rFonts w:cs="Arial"/>
                <w:sz w:val="20"/>
                <w:szCs w:val="20"/>
              </w:rPr>
            </w:pPr>
            <w:r w:rsidRPr="005E09F0">
              <w:rPr>
                <w:rFonts w:cs="Arial"/>
                <w:sz w:val="20"/>
                <w:szCs w:val="20"/>
              </w:rPr>
              <w:t>Lifestyle aspiration, status, financial accessibility</w:t>
            </w:r>
          </w:p>
        </w:tc>
        <w:tc>
          <w:tcPr>
            <w:tcW w:w="2343" w:type="dxa"/>
          </w:tcPr>
          <w:p w14:paraId="0F5F5189" w14:textId="77777777" w:rsidR="005E09F0" w:rsidRPr="005E09F0" w:rsidRDefault="005E09F0" w:rsidP="005E09F0">
            <w:pPr>
              <w:spacing w:after="160" w:line="300" w:lineRule="auto"/>
              <w:rPr>
                <w:rFonts w:cs="Arial"/>
                <w:sz w:val="20"/>
                <w:szCs w:val="20"/>
              </w:rPr>
            </w:pPr>
            <w:r w:rsidRPr="005E09F0">
              <w:rPr>
                <w:rFonts w:cs="Arial"/>
                <w:sz w:val="20"/>
                <w:szCs w:val="20"/>
              </w:rPr>
              <w:t>BMW PGA Golf Championship; integrated PCP messaging; influencer content</w:t>
            </w:r>
          </w:p>
        </w:tc>
        <w:tc>
          <w:tcPr>
            <w:tcW w:w="1977" w:type="dxa"/>
          </w:tcPr>
          <w:p w14:paraId="56C7BC06" w14:textId="77777777" w:rsidR="005E09F0" w:rsidRPr="005E09F0" w:rsidRDefault="005E09F0" w:rsidP="005E09F0">
            <w:pPr>
              <w:spacing w:after="160" w:line="300" w:lineRule="auto"/>
              <w:rPr>
                <w:rFonts w:cs="Arial"/>
                <w:sz w:val="20"/>
                <w:szCs w:val="20"/>
              </w:rPr>
            </w:pPr>
            <w:r w:rsidRPr="005E09F0">
              <w:rPr>
                <w:rFonts w:cs="Arial"/>
                <w:sz w:val="20"/>
                <w:szCs w:val="20"/>
              </w:rPr>
              <w:t>McKinsey; BMW UK press</w:t>
            </w:r>
          </w:p>
        </w:tc>
      </w:tr>
    </w:tbl>
    <w:p w14:paraId="15BB18F2" w14:textId="5A6C5C79" w:rsidR="00B974FF" w:rsidRDefault="005E09F0" w:rsidP="00B974FF">
      <w:r w:rsidRPr="005E09F0">
        <w:rPr>
          <w:rFonts w:ascii="Segoe UI Emoji" w:hAnsi="Segoe UI Emoji" w:cs="Segoe UI Emoji"/>
        </w:rPr>
        <w:lastRenderedPageBreak/>
        <w:t>Source(s): VDA/IAA Mobility; BMW UK PGA sponsorship; McKinsey consumer trends.</w:t>
      </w:r>
    </w:p>
    <w:p w14:paraId="02E6A022" w14:textId="45B8A92C" w:rsidR="002B7464" w:rsidRDefault="00B974FF" w:rsidP="00B974FF">
      <w:r>
        <w:t>This comparison highlights how even within advanced European economies, cultural, economic, and social differences necessitate distinct marketing approaches. By tailoring its strategies across the 7Ps framework, BMW successfully strengthens its global brand while maximising relevance in both markets.</w:t>
      </w:r>
    </w:p>
    <w:p w14:paraId="35CEDB2B" w14:textId="77777777" w:rsidR="00D61D39" w:rsidRDefault="00D61D39">
      <w:pPr>
        <w:rPr>
          <w:rFonts w:eastAsiaTheme="majorEastAsia" w:cstheme="majorBidi"/>
          <w:szCs w:val="32"/>
        </w:rPr>
      </w:pPr>
      <w:r>
        <w:br w:type="page"/>
      </w:r>
    </w:p>
    <w:p w14:paraId="399A1E9B" w14:textId="4601B89A" w:rsidR="00D61D39" w:rsidRDefault="00D61D39" w:rsidP="00944748">
      <w:pPr>
        <w:pStyle w:val="Heading1"/>
      </w:pPr>
      <w:bookmarkStart w:id="12" w:name="_Toc213673888"/>
      <w:r w:rsidRPr="00D61D39">
        <w:lastRenderedPageBreak/>
        <w:t>6. Evaluation of Performance of Marketing Strategies</w:t>
      </w:r>
      <w:bookmarkEnd w:id="12"/>
    </w:p>
    <w:p w14:paraId="63B86502" w14:textId="77777777" w:rsidR="000D32D4" w:rsidRDefault="000D32D4"/>
    <w:p w14:paraId="1BA655F6" w14:textId="77777777" w:rsidR="000D32D4" w:rsidRDefault="000D32D4" w:rsidP="000D32D4">
      <w:r>
        <w:t>Evaluating the performance of BMW’s marketing strategies in the United Kingdom and Germany provides an opportunity to measure how effectively the company aligns global positioning with local conditions. Key metrics include sales volumes, market share, electric vehicle adoption, brand equity, and customer loyalty.</w:t>
      </w:r>
    </w:p>
    <w:p w14:paraId="573C7583" w14:textId="77777777" w:rsidR="000D32D4" w:rsidRDefault="000D32D4" w:rsidP="000D32D4"/>
    <w:p w14:paraId="457516CE" w14:textId="77777777" w:rsidR="000D32D4" w:rsidRDefault="000D32D4" w:rsidP="000D32D4">
      <w:r>
        <w:t>Sales and Market Share Performance</w:t>
      </w:r>
    </w:p>
    <w:p w14:paraId="37F8AC1C" w14:textId="77777777" w:rsidR="000D32D4" w:rsidRDefault="000D32D4" w:rsidP="000D32D4"/>
    <w:p w14:paraId="59EF8EC1" w14:textId="77777777" w:rsidR="000D32D4" w:rsidRDefault="000D32D4" w:rsidP="000D32D4">
      <w:r>
        <w:t>BMW’s sales results demonstrate different forms of success across the two markets. In Germany, BMW registered 233,160 vehicles in 2023, representing an 8.2% market share (KBA, 2024). This positions the brand behind Mercedes-Benz but competitive with Audi in the premium segment. BMW maintains a strong domestic presence, but its lead is narrower due to fierce competition and high brand loyalty towards other German manufacturers (Kaspar, 2019).</w:t>
      </w:r>
    </w:p>
    <w:p w14:paraId="5644611F" w14:textId="77777777" w:rsidR="000D32D4" w:rsidRDefault="000D32D4" w:rsidP="000D32D4"/>
    <w:p w14:paraId="184EC864" w14:textId="77777777" w:rsidR="000D32D4" w:rsidRDefault="000D32D4" w:rsidP="000D32D4">
      <w:r>
        <w:t>In the United Kingdom, BMW achieved 111,734 registrations in 2023, capturing 5.9% of the total market (MarkLines, 2023). Despite lower absolute volumes than in Germany, BMW consistently outperforms Audi and Mercedes-Benz, making it the leading premium brand in the UK (Mintel, 2022). This success is partly attributable to its emphasis on flexible financing schemes, which broaden access to aspirational consumers.</w:t>
      </w:r>
    </w:p>
    <w:p w14:paraId="216A6DE9" w14:textId="77777777" w:rsidR="000D32D4" w:rsidRDefault="000D32D4" w:rsidP="000D32D4"/>
    <w:p w14:paraId="6D0DDDA7" w14:textId="34DE428C" w:rsidR="00366956" w:rsidRPr="00366956" w:rsidRDefault="00366956" w:rsidP="00366956">
      <w:pPr>
        <w:rPr>
          <w:rFonts w:ascii="Segoe UI Emoji" w:hAnsi="Segoe UI Emoji" w:cs="Segoe UI Emoji"/>
          <w:lang w:val="en-GB"/>
        </w:rPr>
      </w:pPr>
      <w:r w:rsidRPr="00366956">
        <w:rPr>
          <w:rFonts w:ascii="Segoe UI Emoji" w:hAnsi="Segoe UI Emoji" w:cs="Segoe UI Emoji"/>
          <w:noProof/>
          <w:lang w:val="en-GB"/>
        </w:rPr>
        <w:lastRenderedPageBreak/>
        <w:drawing>
          <wp:inline distT="0" distB="0" distL="0" distR="0" wp14:anchorId="66F8ACE6" wp14:editId="1C10212C">
            <wp:extent cx="5486400" cy="3918585"/>
            <wp:effectExtent l="0" t="0" r="0" b="5715"/>
            <wp:docPr id="1470496610" name="Picture 3" descr="A graph of a number of c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496610" name="Picture 3" descr="A graph of a number of car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3918585"/>
                    </a:xfrm>
                    <a:prstGeom prst="rect">
                      <a:avLst/>
                    </a:prstGeom>
                    <a:noFill/>
                    <a:ln>
                      <a:noFill/>
                    </a:ln>
                  </pic:spPr>
                </pic:pic>
              </a:graphicData>
            </a:graphic>
          </wp:inline>
        </w:drawing>
      </w:r>
    </w:p>
    <w:p w14:paraId="30FC995D" w14:textId="407DDB21" w:rsidR="000D32D4" w:rsidRDefault="003608A3" w:rsidP="000D32D4">
      <w:r w:rsidRPr="003608A3">
        <w:t>Figure 3: BMW New Car Registrations (2023)</w:t>
      </w:r>
    </w:p>
    <w:p w14:paraId="0B418CB6" w14:textId="77777777" w:rsidR="003608A3" w:rsidRDefault="003608A3" w:rsidP="000D32D4"/>
    <w:p w14:paraId="65944E70" w14:textId="77777777" w:rsidR="000D32D4" w:rsidRDefault="000D32D4" w:rsidP="000D32D4">
      <w:r>
        <w:t>Electric Vehicle Strategy Success</w:t>
      </w:r>
    </w:p>
    <w:p w14:paraId="05920DBC" w14:textId="77777777" w:rsidR="000D32D4" w:rsidRDefault="000D32D4" w:rsidP="000D32D4"/>
    <w:p w14:paraId="4F25A01D" w14:textId="77777777" w:rsidR="000D32D4" w:rsidRDefault="000D32D4" w:rsidP="000D32D4">
      <w:r>
        <w:t>The transition towards sustainable mobility is a central test of BMW’s marketing effectiveness. In Germany, government subsidies and consumer expectations have supported high EV adoption. Around 18% of BMW’s German sales in 2023 were battery electric vehicles (BEVs) or plug-in hybrids, driven by models such as the i4 and iX3 (BMW Group, 2023; VDA, 2022).</w:t>
      </w:r>
    </w:p>
    <w:p w14:paraId="717C68ED" w14:textId="77777777" w:rsidR="000D32D4" w:rsidRDefault="000D32D4" w:rsidP="000D32D4"/>
    <w:p w14:paraId="4CD2379F" w14:textId="77777777" w:rsidR="000D32D4" w:rsidRDefault="000D32D4" w:rsidP="000D32D4">
      <w:r>
        <w:t>In the UK, EV uptake among BMW customers is growing but slightly lower, at approximately 15% of registrations (DfT, 2023). While incentives exist, consumer adoption has been shaped more by affordability concerns and infrastructure limitations. BMW’s use of PCP financing to market EVs as attainable luxury products has mitigated these barriers, making the i4 and iX1 appealing to middle-income urban customers.</w:t>
      </w:r>
    </w:p>
    <w:p w14:paraId="37AC9B6A" w14:textId="77777777" w:rsidR="000D32D4" w:rsidRDefault="000D32D4" w:rsidP="000D32D4"/>
    <w:p w14:paraId="3A438B2B" w14:textId="1C5D8CA1" w:rsidR="00EF5A9C" w:rsidRPr="00EF5A9C" w:rsidRDefault="00EF5A9C" w:rsidP="00EF5A9C">
      <w:pPr>
        <w:rPr>
          <w:rFonts w:ascii="Segoe UI Emoji" w:hAnsi="Segoe UI Emoji" w:cs="Segoe UI Emoji"/>
          <w:lang w:val="en-GB"/>
        </w:rPr>
      </w:pPr>
      <w:r w:rsidRPr="00EF5A9C">
        <w:rPr>
          <w:rFonts w:ascii="Segoe UI Emoji" w:hAnsi="Segoe UI Emoji" w:cs="Segoe UI Emoji"/>
          <w:noProof/>
          <w:lang w:val="en-GB"/>
        </w:rPr>
        <w:drawing>
          <wp:inline distT="0" distB="0" distL="0" distR="0" wp14:anchorId="5D12EE0F" wp14:editId="2150A9EA">
            <wp:extent cx="5486400" cy="3918585"/>
            <wp:effectExtent l="0" t="0" r="0" b="5715"/>
            <wp:docPr id="1070384853" name="Picture 4" descr="A graph of s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384853" name="Picture 4" descr="A graph of sale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6400" cy="3918585"/>
                    </a:xfrm>
                    <a:prstGeom prst="rect">
                      <a:avLst/>
                    </a:prstGeom>
                    <a:noFill/>
                    <a:ln>
                      <a:noFill/>
                    </a:ln>
                  </pic:spPr>
                </pic:pic>
              </a:graphicData>
            </a:graphic>
          </wp:inline>
        </w:drawing>
      </w:r>
    </w:p>
    <w:p w14:paraId="015BD309" w14:textId="06084311" w:rsidR="000D32D4" w:rsidRDefault="00122E6E" w:rsidP="000D32D4">
      <w:r w:rsidRPr="00122E6E">
        <w:t>Figure 4: BMW BEV Share of Sales (2023)</w:t>
      </w:r>
    </w:p>
    <w:p w14:paraId="17567577" w14:textId="77777777" w:rsidR="00122E6E" w:rsidRDefault="00122E6E" w:rsidP="000D32D4"/>
    <w:p w14:paraId="4BB08A80" w14:textId="77777777" w:rsidR="00122E6E" w:rsidRDefault="00122E6E" w:rsidP="000D32D4"/>
    <w:p w14:paraId="3ABBB2FF" w14:textId="77777777" w:rsidR="000D32D4" w:rsidRDefault="000D32D4" w:rsidP="000D32D4">
      <w:r>
        <w:t>Brand Equity and Marketing Effectiveness</w:t>
      </w:r>
    </w:p>
    <w:p w14:paraId="4DCEB95A" w14:textId="77777777" w:rsidR="000D32D4" w:rsidRDefault="000D32D4" w:rsidP="000D32D4"/>
    <w:p w14:paraId="0EA99966" w14:textId="77777777" w:rsidR="000D32D4" w:rsidRDefault="000D32D4" w:rsidP="000D32D4">
      <w:r>
        <w:t>In Germany, BMW leverages heritage and technological leadership. Participation in events such as the IAA Mobility Fair in Munich reinforces brand equity through sustainability and innovation narratives (VDA, 2022). BMW ranks consistently among the top German brands in Kantar’s BrandZ survey, reflecting its strength in consumer perception (Kantar, 2023).</w:t>
      </w:r>
    </w:p>
    <w:p w14:paraId="1B6EA085" w14:textId="77777777" w:rsidR="000D32D4" w:rsidRDefault="000D32D4" w:rsidP="000D32D4"/>
    <w:p w14:paraId="7E10C636" w14:textId="77777777" w:rsidR="000D32D4" w:rsidRDefault="000D32D4" w:rsidP="000D32D4">
      <w:r>
        <w:t xml:space="preserve">In the UK, BMW’s promotional effectiveness is underpinned by lifestyle positioning. Sponsorship of the BMW PGA Golf Championship aligns the brand with elite sports, while digital marketing campaigns on Instagram and TikTok </w:t>
      </w:r>
      <w:r>
        <w:lastRenderedPageBreak/>
        <w:t>strengthen engagement with aspirational younger consumers (McKinsey, 2022). These strategies expand BMW’s audience without diluting its premium image.</w:t>
      </w:r>
    </w:p>
    <w:p w14:paraId="6490F2C9" w14:textId="77777777" w:rsidR="000D32D4" w:rsidRDefault="000D32D4" w:rsidP="000D32D4"/>
    <w:p w14:paraId="27BEFBE3" w14:textId="77777777" w:rsidR="000D32D4" w:rsidRDefault="000D32D4" w:rsidP="000D32D4">
      <w:r>
        <w:t>Digital and Social Media Presence</w:t>
      </w:r>
    </w:p>
    <w:p w14:paraId="64D1F866" w14:textId="77777777" w:rsidR="000D32D4" w:rsidRDefault="000D32D4" w:rsidP="000D32D4"/>
    <w:p w14:paraId="66333F16" w14:textId="77777777" w:rsidR="000D32D4" w:rsidRDefault="000D32D4" w:rsidP="000D32D4">
      <w:r>
        <w:t>BMW’s global digital footprint supports local adaptations. The brand has over 35 million followers on Instagram (Statista, 2023), with UK campaigns focused on emotional storytelling and lifestyle alignment, while German campaigns highlight sustainability and engineering achievements. On LinkedIn, BMW Germany engages business audiences with ESG (Environmental, Social, Governance) initiatives, contrasting with BMW UK’s influencer partnerships designed for lifestyle visibility.</w:t>
      </w:r>
    </w:p>
    <w:p w14:paraId="57082D9F" w14:textId="77777777" w:rsidR="000D32D4" w:rsidRDefault="000D32D4" w:rsidP="000D32D4"/>
    <w:p w14:paraId="6FCB058D" w14:textId="77777777" w:rsidR="000D32D4" w:rsidRDefault="000D32D4" w:rsidP="000D32D4">
      <w:r>
        <w:t>Customer Loyalty and Satisfaction</w:t>
      </w:r>
    </w:p>
    <w:p w14:paraId="5AA0D56D" w14:textId="77777777" w:rsidR="000D32D4" w:rsidRDefault="000D32D4" w:rsidP="000D32D4"/>
    <w:p w14:paraId="6728A351" w14:textId="77777777" w:rsidR="000D32D4" w:rsidRDefault="000D32D4" w:rsidP="000D32D4">
      <w:r>
        <w:t>Customer satisfaction and loyalty remain strong in both markets, but the drivers differ. In Germany, loyalty is rooted in cultural attachment to domestic engineering brands. BMW’s customer base is highly stable, with repeat purchases driven by trust in performance and sustainability credentials (Kaspar, 2019).</w:t>
      </w:r>
    </w:p>
    <w:p w14:paraId="1D0E49C6" w14:textId="77777777" w:rsidR="000D32D4" w:rsidRDefault="000D32D4" w:rsidP="000D32D4"/>
    <w:p w14:paraId="4830E142" w14:textId="77777777" w:rsidR="000D32D4" w:rsidRDefault="000D32D4" w:rsidP="000D32D4">
      <w:r>
        <w:t>In the UK, loyalty is more strongly associated with customer experience and financial accessibility. PCP structures, combined with premium aftersales service, contribute to high Net Promoter Scores (PwC, 2022). BMW’s positioning as both aspirational and attainable helps maintain loyalty in a competitive premium segment.</w:t>
      </w:r>
    </w:p>
    <w:p w14:paraId="163E80E3" w14:textId="77777777" w:rsidR="000D32D4" w:rsidRDefault="000D32D4" w:rsidP="000D32D4"/>
    <w:p w14:paraId="76E34B1F" w14:textId="77777777" w:rsidR="000D32D4" w:rsidRDefault="000D32D4" w:rsidP="000D32D4">
      <w:r>
        <w:t>Comparative Evaluation</w:t>
      </w:r>
    </w:p>
    <w:p w14:paraId="08C5C91E" w14:textId="77777777" w:rsidR="000D32D4" w:rsidRDefault="000D32D4" w:rsidP="000D32D4"/>
    <w:p w14:paraId="26C14A42" w14:textId="0B306730" w:rsidR="000D32D4" w:rsidRDefault="00192E38" w:rsidP="000D32D4">
      <w:r>
        <w:t>Comparative</w:t>
      </w:r>
      <w:r w:rsidR="000D32D4">
        <w:t xml:space="preserve"> analysis highlights distinct forms of success. In Germany, BMW sustains its position through heritage, innovation, and sustainability, but operates </w:t>
      </w:r>
      <w:r w:rsidR="000D32D4">
        <w:lastRenderedPageBreak/>
        <w:t>in a more crowded domestic premium market. In the UK, BMW has achieved market leadership in the premium segment through finance-driven accessibility and lifestyle promotion.</w:t>
      </w:r>
    </w:p>
    <w:p w14:paraId="604A8EF4" w14:textId="77777777" w:rsidR="000D32D4" w:rsidRDefault="000D32D4" w:rsidP="000D32D4"/>
    <w:p w14:paraId="7406B208" w14:textId="27C78EFD" w:rsidR="00855A57" w:rsidRPr="00855A57" w:rsidRDefault="00855A57" w:rsidP="00855A57">
      <w:pPr>
        <w:rPr>
          <w:rFonts w:ascii="Segoe UI Emoji" w:hAnsi="Segoe UI Emoji" w:cs="Segoe UI Emoji"/>
          <w:lang w:val="en-GB"/>
        </w:rPr>
      </w:pPr>
      <w:r w:rsidRPr="00855A57">
        <w:rPr>
          <w:rFonts w:ascii="Segoe UI Emoji" w:hAnsi="Segoe UI Emoji" w:cs="Segoe UI Emoji"/>
          <w:noProof/>
          <w:lang w:val="en-GB"/>
        </w:rPr>
        <w:drawing>
          <wp:inline distT="0" distB="0" distL="0" distR="0" wp14:anchorId="6AB9C6A6" wp14:editId="31B8B9E2">
            <wp:extent cx="5486400" cy="3429000"/>
            <wp:effectExtent l="0" t="0" r="0" b="0"/>
            <wp:docPr id="1129181195" name="Picture 5" descr="A graph of blue and orang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181195" name="Picture 5" descr="A graph of blue and orange bar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3429000"/>
                    </a:xfrm>
                    <a:prstGeom prst="rect">
                      <a:avLst/>
                    </a:prstGeom>
                    <a:noFill/>
                    <a:ln>
                      <a:noFill/>
                    </a:ln>
                  </pic:spPr>
                </pic:pic>
              </a:graphicData>
            </a:graphic>
          </wp:inline>
        </w:drawing>
      </w:r>
    </w:p>
    <w:p w14:paraId="6E754392" w14:textId="0E44FC0E" w:rsidR="000D32D4" w:rsidRDefault="004D7424" w:rsidP="000D32D4">
      <w:r w:rsidRPr="004D7424">
        <w:t>Figure 5: Premium Brand Market Share (BMW vs Audi vs Mercedes, 2023)</w:t>
      </w:r>
    </w:p>
    <w:p w14:paraId="0DBB14F1" w14:textId="77777777" w:rsidR="004D7424" w:rsidRDefault="004D7424" w:rsidP="000D32D4"/>
    <w:p w14:paraId="18518E17" w14:textId="23AE2510" w:rsidR="00D61D39" w:rsidRDefault="000D32D4" w:rsidP="000D32D4">
      <w:pPr>
        <w:rPr>
          <w:rFonts w:eastAsiaTheme="majorEastAsia" w:cstheme="majorBidi"/>
          <w:szCs w:val="32"/>
        </w:rPr>
      </w:pPr>
      <w:r>
        <w:t>Overall, BMW’s performance in both markets illustrates the adaptability of its marketing mix. While Germany demonstrates the strength of heritage and technological leadership, the UK case shows the power of affordability, aspiration, and digital engagement. Together, these strategies reflect BMW’s ability to balance global brand equity with local responsiveness.</w:t>
      </w:r>
      <w:r w:rsidR="00D61D39">
        <w:br w:type="page"/>
      </w:r>
    </w:p>
    <w:p w14:paraId="38928156" w14:textId="4BE420E6" w:rsidR="00E22686" w:rsidRDefault="00E22686" w:rsidP="00944748">
      <w:pPr>
        <w:pStyle w:val="Heading1"/>
      </w:pPr>
      <w:bookmarkStart w:id="13" w:name="_Toc213673889"/>
      <w:r w:rsidRPr="00E22686">
        <w:lastRenderedPageBreak/>
        <w:t>7. Evaluation of Marketing Ethics Practice</w:t>
      </w:r>
      <w:bookmarkEnd w:id="13"/>
      <w:r w:rsidRPr="00E22686">
        <w:t xml:space="preserve"> </w:t>
      </w:r>
    </w:p>
    <w:p w14:paraId="1A19334F" w14:textId="77777777" w:rsidR="00BE66D6" w:rsidRDefault="00BE66D6"/>
    <w:p w14:paraId="4FA09C14" w14:textId="77777777" w:rsidR="00BE66D6" w:rsidRDefault="00BE66D6" w:rsidP="00BE66D6">
      <w:r>
        <w:t>The evaluation of marketing ethics in the automotive industry is particularly relevant given rising expectations for sustainability, transparency, and corporate responsibility. For BMW, the challenge lies in balancing commercial imperatives with ethical obligations, particularly in the United Kingdom and Germany.</w:t>
      </w:r>
    </w:p>
    <w:p w14:paraId="5F908F12" w14:textId="77777777" w:rsidR="00BE66D6" w:rsidRDefault="00BE66D6" w:rsidP="00BE66D6"/>
    <w:p w14:paraId="47CD7D48" w14:textId="77777777" w:rsidR="00BE66D6" w:rsidRDefault="00BE66D6" w:rsidP="00BE66D6">
      <w:r>
        <w:t>In Germany, BMW has increasingly positioned its marketing around sustainability. Campaigns such as the i Vision Circular concept presented at the IAA Mobility Fair highlighted closed-loop recycling and carbon neutrality (VDA, 2022). This approach reflects German consumers’ strong preference for environmentally responsible products and aligns with national policy objectives on emissions reduction (BMW Group, 2023). The emphasis on technical details and verifiable sustainability initiatives reduces the risk of misleading claims, thereby enhancing ethical credibility.</w:t>
      </w:r>
    </w:p>
    <w:p w14:paraId="314C0188" w14:textId="77777777" w:rsidR="00BE66D6" w:rsidRDefault="00BE66D6" w:rsidP="00BE66D6"/>
    <w:p w14:paraId="4BE39818" w14:textId="77777777" w:rsidR="00BE66D6" w:rsidRDefault="00BE66D6" w:rsidP="00BE66D6">
      <w:r>
        <w:t>By contrast, in the United Kingdom, BMW’s ethical marketing is often tied to affordability narratives. The brand promotes EVs such as the i4 and iX1 through Personal Contract Purchase (PCP) financing, framing them as attainable luxury (Mintel, 2022). While this broadens accessibility, critics argue that marketing which stresses low monthly payments can obscure the true cost of ownership and final balloon payments, raising concerns over transparency (PwC, 2022). Ethical marketing requires clear disclosure, and while BMW generally complies with Advertising Standards Authority (ASA) rules, the UK context exposes greater risk of consumer misunderstanding.</w:t>
      </w:r>
    </w:p>
    <w:p w14:paraId="754EBAD0" w14:textId="77777777" w:rsidR="00BE66D6" w:rsidRDefault="00BE66D6" w:rsidP="00BE66D6"/>
    <w:p w14:paraId="6861C58E" w14:textId="77777777" w:rsidR="00BE66D6" w:rsidRDefault="00BE66D6" w:rsidP="00BE66D6">
      <w:r>
        <w:t>A further ethical issue concerns greenwashing. BMW promotes its EV portfolio in both markets, yet continues to market large, fuel-intensive SUVs such as the X5 and X7. This duality raises questions about whether sustainability claims are undermined by parallel promotion of high-emission models (Crane and Matten, 2021). In Germany, marketing tends to emphasise sustainable mobility more heavily, aligning with cultural and regulatory pressures. In the UK, lifestyle and aspirational themes sometimes overshadow the sustainability narrative, potentially creating ethical ambiguity.</w:t>
      </w:r>
    </w:p>
    <w:p w14:paraId="09E4CC81" w14:textId="77777777" w:rsidR="00BE66D6" w:rsidRDefault="00BE66D6" w:rsidP="00BE66D6"/>
    <w:p w14:paraId="29862444" w14:textId="77777777" w:rsidR="00BE66D6" w:rsidRDefault="00BE66D6" w:rsidP="00BE66D6">
      <w:r>
        <w:t>Corporate social responsibility initiatives add another dimension. In Germany, the BMW Stiftung Herbert Quandt supports social innovation and climate action projects, reinforcing ethical alignment beyond product marketing. In the UK, BMW engages in sponsorships such as the PGA Golf Championship, which enhance brand prestige but are less directly linked to pressing social or environmental concerns (McKinsey, 2022).</w:t>
      </w:r>
    </w:p>
    <w:p w14:paraId="1A2A0F69" w14:textId="77777777" w:rsidR="00BE66D6" w:rsidRDefault="00BE66D6" w:rsidP="00BE66D6"/>
    <w:p w14:paraId="3D9A1024" w14:textId="76989918" w:rsidR="00E22686" w:rsidRDefault="00BE66D6" w:rsidP="00BE66D6">
      <w:pPr>
        <w:rPr>
          <w:rFonts w:eastAsiaTheme="majorEastAsia" w:cstheme="majorBidi"/>
          <w:szCs w:val="32"/>
        </w:rPr>
      </w:pPr>
      <w:r>
        <w:t xml:space="preserve">In comparative terms, BMW’s German marketing practices appear more ethically robust, owing to transparency and consistent sustainability positioning. In the UK, although the brand promotes EVs responsibly, the emphasis on affordability and lifestyle introduces potential ethical dilemmas relating to transparency and greenwashing. Addressing these risks through clearer disclosures and stronger sustainability integration would strengthen BMW’s ethical marketing across both markets. </w:t>
      </w:r>
      <w:r w:rsidR="00E22686">
        <w:br w:type="page"/>
      </w:r>
    </w:p>
    <w:p w14:paraId="15E1F6EF" w14:textId="554B7C15" w:rsidR="00E22686" w:rsidRPr="00B71839" w:rsidRDefault="00E22686" w:rsidP="00B71839">
      <w:pPr>
        <w:pStyle w:val="Heading1"/>
      </w:pPr>
      <w:bookmarkStart w:id="14" w:name="_Toc213673890"/>
      <w:r w:rsidRPr="00B71839">
        <w:lastRenderedPageBreak/>
        <w:t>8. Recommendations &amp; Conclusion</w:t>
      </w:r>
      <w:bookmarkEnd w:id="14"/>
      <w:r w:rsidRPr="00B71839">
        <w:t xml:space="preserve"> </w:t>
      </w:r>
    </w:p>
    <w:p w14:paraId="05F974E2" w14:textId="77777777" w:rsidR="005731C1" w:rsidRDefault="005731C1"/>
    <w:p w14:paraId="1986B62E" w14:textId="77777777" w:rsidR="00DA1A48" w:rsidRDefault="00DA1A48" w:rsidP="00DA1A48">
      <w:r>
        <w:t>BMW’s performance in Germany (233,160 registrations; 8.2% share) versus the UK (111,734; 5.9%) underscores two different success logics: heritage-and-innovation at home and finance-driven accessibility in Britain (KBA, 2024; MarkLines, 2023). Strategic recommendations should therefore consolidate each market’s advantage while eliminating structural risks (e.g., greenwashing exposure, PCP opacity, EV infrastructure frictions).</w:t>
      </w:r>
    </w:p>
    <w:p w14:paraId="6007BD01" w14:textId="77777777" w:rsidR="00DA1A48" w:rsidRDefault="00DA1A48" w:rsidP="00DA1A48"/>
    <w:p w14:paraId="23EAB558" w14:textId="10A6FD6E" w:rsidR="00DA1A48" w:rsidRDefault="00DA1A48" w:rsidP="00DA1A48">
      <w:pPr>
        <w:pStyle w:val="Heading2"/>
      </w:pPr>
      <w:bookmarkStart w:id="15" w:name="_Toc213673891"/>
      <w:r>
        <w:t>Make EV affordability transparent, not just attractive (UK)</w:t>
      </w:r>
      <w:bookmarkEnd w:id="15"/>
    </w:p>
    <w:p w14:paraId="7E3BAC9C" w14:textId="77777777" w:rsidR="00DA1A48" w:rsidRDefault="00DA1A48" w:rsidP="00DA1A48"/>
    <w:p w14:paraId="5259CCFD" w14:textId="77777777" w:rsidR="00DA1A48" w:rsidRDefault="00DA1A48" w:rsidP="00DA1A48">
      <w:r>
        <w:t>BMW’s UK growth relies on PCP; however, the risk is perceived opacity around APR, balloon payments and total cost of ownership (Mintel, 2022; PwC, 2022). Maintain finance-led appeal but shift communication to “clear-cost EV”: standardise a disclosure panel (APR, deposit, optional final payment, effective cost per mile with home charging) across all digital and dealer touchpoints. Tie this to EV-specific residual-value guarantees and bundled wallbox/energy tariffs. KPI: lift EV share in BMW UK registrations from ~15% to ≥22% within 24 months while keeping complaint ratios and FCA/ASA escalations at ≤ industry median (DfT, 2023; ASA, 2022).</w:t>
      </w:r>
    </w:p>
    <w:p w14:paraId="5A19EA8A" w14:textId="77777777" w:rsidR="00DA1A48" w:rsidRDefault="00DA1A48" w:rsidP="00DA1A48"/>
    <w:p w14:paraId="2F4787CD" w14:textId="5787DCC2" w:rsidR="00DA1A48" w:rsidRDefault="00DA1A48" w:rsidP="00DA1A48">
      <w:pPr>
        <w:pStyle w:val="Heading2"/>
      </w:pPr>
      <w:bookmarkStart w:id="16" w:name="_Toc213673892"/>
      <w:r>
        <w:t>Monetise German trust with tech depth, not discounts (Germany)</w:t>
      </w:r>
      <w:bookmarkEnd w:id="16"/>
    </w:p>
    <w:p w14:paraId="66318AE1" w14:textId="77777777" w:rsidR="00DA1A48" w:rsidRDefault="00DA1A48" w:rsidP="00DA1A48"/>
    <w:p w14:paraId="15A9B78D" w14:textId="77777777" w:rsidR="00DA1A48" w:rsidRDefault="00DA1A48" w:rsidP="00DA1A48">
      <w:r>
        <w:t>German buyers reward engineering credibility and sustainability; avoid volume-chasing promotions that dilute premium equity (VDA, 2022). Scale feature-on-demand (e.g., driver assistance, connectivity) with transparent value narratives and lifecycle CO</w:t>
      </w:r>
      <w:r>
        <w:rPr>
          <w:rFonts w:ascii="Cambria Math" w:hAnsi="Cambria Math" w:cs="Cambria Math"/>
        </w:rPr>
        <w:t>₂</w:t>
      </w:r>
      <w:r>
        <w:t xml:space="preserve"> dashboards in the app and showroom. Pair each EV handover with a verified green energy certificate (BMW Group, 2023). KPI: attach rate for software features +5</w:t>
      </w:r>
      <w:r>
        <w:rPr>
          <w:rFonts w:cs="Arial"/>
        </w:rPr>
        <w:t>–</w:t>
      </w:r>
      <w:r>
        <w:t xml:space="preserve">7pp, EV mix </w:t>
      </w:r>
      <w:r>
        <w:rPr>
          <w:rFonts w:cs="Arial"/>
        </w:rPr>
        <w:t>≥</w:t>
      </w:r>
      <w:r>
        <w:t>20%, BrandZ score stability vs. Audi/Mercedes (Kantar, 2023).</w:t>
      </w:r>
    </w:p>
    <w:p w14:paraId="3E0E2DB1" w14:textId="77777777" w:rsidR="00DA1A48" w:rsidRDefault="00DA1A48" w:rsidP="00DA1A48"/>
    <w:p w14:paraId="2D735F88" w14:textId="77777777" w:rsidR="00EA320E" w:rsidRDefault="00EA320E" w:rsidP="00A46B2B">
      <w:pPr>
        <w:pStyle w:val="Heading2"/>
      </w:pPr>
    </w:p>
    <w:p w14:paraId="55A6BC48" w14:textId="4D0755CC" w:rsidR="00DA1A48" w:rsidRDefault="00DA1A48" w:rsidP="00A46B2B">
      <w:pPr>
        <w:pStyle w:val="Heading2"/>
      </w:pPr>
      <w:r>
        <w:t xml:space="preserve"> </w:t>
      </w:r>
      <w:bookmarkStart w:id="17" w:name="_Toc213673893"/>
      <w:r>
        <w:t>Harmonise sustainability claims across both markets</w:t>
      </w:r>
      <w:bookmarkEnd w:id="17"/>
    </w:p>
    <w:p w14:paraId="7891F83C" w14:textId="77777777" w:rsidR="00DA1A48" w:rsidRDefault="00DA1A48" w:rsidP="00DA1A48"/>
    <w:p w14:paraId="12ED0D16" w14:textId="77777777" w:rsidR="00DA1A48" w:rsidRDefault="00DA1A48" w:rsidP="00DA1A48">
      <w:r>
        <w:t>The dual push—promoting EVs while advertising large ICE SUVs—creates greenwashing risk if claims are inconsistent across channels (Crane and Matten, 2021). Establish a one-page claim standard: every sustainability claim must include scope (vehicle/use/production), metric (gCO</w:t>
      </w:r>
      <w:r>
        <w:rPr>
          <w:rFonts w:ascii="Cambria Math" w:hAnsi="Cambria Math" w:cs="Cambria Math"/>
        </w:rPr>
        <w:t>₂</w:t>
      </w:r>
      <w:r>
        <w:t>e/km WLTP or plant kWh from renewables) and third-party reference. In UK lifestyle campaigns, require data tiles to sit alongside emotive visuals; in Germany, keep spec-led formats but add use-phase honesty (cold-weather range, charging speed). KPI: ASA challenges =0, uplift in ad credibility scores ≥+10% in quarterly tracking (ASA, 2022).</w:t>
      </w:r>
    </w:p>
    <w:p w14:paraId="2B1BBF10" w14:textId="77777777" w:rsidR="00DA1A48" w:rsidRDefault="00DA1A48" w:rsidP="00DA1A48"/>
    <w:p w14:paraId="627D99E2" w14:textId="592A4E03" w:rsidR="00DA1A48" w:rsidRDefault="00DA1A48" w:rsidP="00A46B2B">
      <w:pPr>
        <w:pStyle w:val="Heading2"/>
      </w:pPr>
      <w:bookmarkStart w:id="18" w:name="_Toc213673894"/>
      <w:r>
        <w:t>Borrow what works—selective cross-pollination</w:t>
      </w:r>
      <w:bookmarkEnd w:id="18"/>
    </w:p>
    <w:p w14:paraId="0785617A" w14:textId="77777777" w:rsidR="00DA1A48" w:rsidRDefault="00DA1A48" w:rsidP="00DA1A48"/>
    <w:p w14:paraId="22F927CA" w14:textId="77777777" w:rsidR="00DA1A48" w:rsidRDefault="00DA1A48" w:rsidP="00DA1A48">
      <w:r>
        <w:t>From UK to Germany: adopt micro-subscription pilots (6–12 months, capped mileage) for conquest from Audi/Mercedes, but constrain volumes to protect RVs; message risk-free entry into EV (PwC, 2022).</w:t>
      </w:r>
    </w:p>
    <w:p w14:paraId="4B783923" w14:textId="77777777" w:rsidR="00DA1A48" w:rsidRDefault="00DA1A48" w:rsidP="00DA1A48"/>
    <w:p w14:paraId="5E34DBDD" w14:textId="77777777" w:rsidR="00DA1A48" w:rsidRDefault="00DA1A48" w:rsidP="00DA1A48">
      <w:r>
        <w:t>From Germany to UK: bring spec-rich storytelling (battery chemistry, repairability, recyclates) to UK digital journeys to raise perceived quality and reduce range-anxiety churn (BMW Group, 2023; VDA, 2022).</w:t>
      </w:r>
    </w:p>
    <w:p w14:paraId="2CE3998F" w14:textId="77777777" w:rsidR="00DA1A48" w:rsidRDefault="00DA1A48" w:rsidP="00DA1A48">
      <w:r>
        <w:t>KPI: conquest rate +3pp in target postcodes; UK EV test-drive-to-purchase conversion +2pp.</w:t>
      </w:r>
    </w:p>
    <w:p w14:paraId="3286C87C" w14:textId="77777777" w:rsidR="00DA1A48" w:rsidRDefault="00DA1A48" w:rsidP="00DA1A48"/>
    <w:p w14:paraId="77C60619" w14:textId="3A2905C3" w:rsidR="00DA1A48" w:rsidRDefault="00DA1A48" w:rsidP="00A46B2B">
      <w:pPr>
        <w:pStyle w:val="Heading2"/>
      </w:pPr>
      <w:bookmarkStart w:id="19" w:name="_Toc213673895"/>
      <w:r w:rsidRPr="00A46B2B">
        <w:rPr>
          <w:rStyle w:val="Heading2Char"/>
        </w:rPr>
        <w:t>Turn flagship spaces into measurable growth engines</w:t>
      </w:r>
      <w:bookmarkEnd w:id="19"/>
    </w:p>
    <w:p w14:paraId="02E4F11C" w14:textId="77777777" w:rsidR="00DA1A48" w:rsidRDefault="00DA1A48" w:rsidP="00DA1A48"/>
    <w:p w14:paraId="240274BF" w14:textId="77777777" w:rsidR="00DA1A48" w:rsidRDefault="00DA1A48" w:rsidP="00DA1A48">
      <w:r>
        <w:t>Leverage BMW Welt (3m+ visitors/year) as a pan-European EV conversion hub with bookable range-simulation labs; mirror this in London via Park Lane pop-ups in ULEZ boroughs during tariff changes (BMW Group, 2023). Attribute leads with QR/UTM discipline. KPI: showroom-sourced EV orders +15% YoY in both markets.</w:t>
      </w:r>
    </w:p>
    <w:p w14:paraId="41F2CB27" w14:textId="510E2383" w:rsidR="00DA1A48" w:rsidRDefault="00DA1A48" w:rsidP="00A46B2B">
      <w:pPr>
        <w:pStyle w:val="Heading2"/>
      </w:pPr>
      <w:bookmarkStart w:id="20" w:name="_Toc213673896"/>
      <w:r>
        <w:lastRenderedPageBreak/>
        <w:t>Execute with rigorous, comparable KPIs</w:t>
      </w:r>
      <w:bookmarkEnd w:id="20"/>
    </w:p>
    <w:p w14:paraId="1A6866D2" w14:textId="77777777" w:rsidR="00DA1A48" w:rsidRDefault="00DA1A48" w:rsidP="00DA1A48"/>
    <w:p w14:paraId="323D3CFD" w14:textId="77777777" w:rsidR="00DA1A48" w:rsidRDefault="00DA1A48" w:rsidP="00DA1A48">
      <w:r>
        <w:t>Create a binational dashboard: EV mix, software attach, premium share vs Audi/Mercedes, finance transparency NPS, ASA/complaint rates, cost per incremental premium share point. Review quarterly; cut tactics that do not move two metrics at once.</w:t>
      </w:r>
    </w:p>
    <w:p w14:paraId="72598050" w14:textId="77777777" w:rsidR="00DA1A48" w:rsidRDefault="00DA1A48" w:rsidP="00DA1A48"/>
    <w:p w14:paraId="6E9C650F" w14:textId="77777777" w:rsidR="00DA1A48" w:rsidRDefault="00DA1A48" w:rsidP="00A46B2B">
      <w:pPr>
        <w:pStyle w:val="Heading2"/>
      </w:pPr>
      <w:bookmarkStart w:id="21" w:name="_Toc213673897"/>
      <w:r>
        <w:t>Conclusion</w:t>
      </w:r>
      <w:bookmarkEnd w:id="21"/>
    </w:p>
    <w:p w14:paraId="7C8D1FBB" w14:textId="77777777" w:rsidR="00EA320E" w:rsidRDefault="00EA320E" w:rsidP="00DA1A48"/>
    <w:p w14:paraId="67C7BEFC" w14:textId="77777777" w:rsidR="000B7AF8" w:rsidRDefault="00DA1A48" w:rsidP="00DA1A48">
      <w:r>
        <w:t xml:space="preserve">Germany rewards BMW’s tech-sustainability authority; the UK rewards transparent affordability plus lifestyle aspiration. The winning strategy is not to average these approaches but to double down on each, while removing ethical and informational weak points. If BMW makes affordable EVs genuinely transparent in the UK and deepens measurable sustainability and software value in Germany, it strengthens equity, accelerates electrification, and widens the premium gap versus rivals on both sides of the Channel (BMW Group, 2023; KBA, 2024; MarkLines, 2023; Kantar, 2023). </w:t>
      </w:r>
    </w:p>
    <w:p w14:paraId="780C8BB6" w14:textId="77777777" w:rsidR="00D16249" w:rsidRDefault="00D16249" w:rsidP="00DA1A48"/>
    <w:p w14:paraId="2C3D9079" w14:textId="77777777" w:rsidR="00D16249" w:rsidRDefault="00D16249" w:rsidP="00DA1A48"/>
    <w:p w14:paraId="2A696FEB" w14:textId="77777777" w:rsidR="00D16249" w:rsidRDefault="00D16249" w:rsidP="00DA1A48"/>
    <w:p w14:paraId="0FCCBFD3" w14:textId="77777777" w:rsidR="00D16249" w:rsidRDefault="00D16249" w:rsidP="00DA1A48"/>
    <w:p w14:paraId="1E36BA85" w14:textId="77777777" w:rsidR="00D16249" w:rsidRDefault="00D16249" w:rsidP="00DA1A48"/>
    <w:p w14:paraId="35079AFA" w14:textId="77777777" w:rsidR="00D16249" w:rsidRDefault="00D16249" w:rsidP="00DA1A48"/>
    <w:p w14:paraId="1ACEB55F" w14:textId="77777777" w:rsidR="00D16249" w:rsidRDefault="00D16249" w:rsidP="00DA1A48"/>
    <w:p w14:paraId="2600EFFB" w14:textId="77777777" w:rsidR="00D16249" w:rsidRDefault="00D16249" w:rsidP="00DA1A48"/>
    <w:p w14:paraId="502AB1A6" w14:textId="77777777" w:rsidR="00D16249" w:rsidRDefault="00D16249" w:rsidP="00DA1A48"/>
    <w:p w14:paraId="152AB869" w14:textId="77777777" w:rsidR="00D16249" w:rsidRDefault="00D16249" w:rsidP="00DA1A48"/>
    <w:p w14:paraId="2057CDC7" w14:textId="77777777" w:rsidR="00D16249" w:rsidRDefault="00D16249" w:rsidP="00DA1A48"/>
    <w:p w14:paraId="74C8D00B" w14:textId="77777777" w:rsidR="00D16249" w:rsidRDefault="00D16249" w:rsidP="00DA1A48"/>
    <w:p w14:paraId="3F741235" w14:textId="77777777" w:rsidR="00D16249" w:rsidRDefault="00D16249" w:rsidP="00DA1A48"/>
    <w:p w14:paraId="0E8DB6BC" w14:textId="7814D61A" w:rsidR="00426C85" w:rsidRDefault="00B71839" w:rsidP="00C153D5">
      <w:pPr>
        <w:pStyle w:val="Heading1"/>
      </w:pPr>
      <w:bookmarkStart w:id="22" w:name="_Toc213673898"/>
      <w:r>
        <w:lastRenderedPageBreak/>
        <w:t>9.</w:t>
      </w:r>
      <w:r w:rsidR="00614075">
        <w:t xml:space="preserve"> </w:t>
      </w:r>
      <w:r w:rsidR="00C153D5">
        <w:t>Reference</w:t>
      </w:r>
      <w:bookmarkEnd w:id="22"/>
      <w:r w:rsidR="00C153D5">
        <w:t xml:space="preserve"> </w:t>
      </w:r>
    </w:p>
    <w:p w14:paraId="6247C4F2" w14:textId="77777777" w:rsidR="00426C85" w:rsidRDefault="00426C85" w:rsidP="00DA1A48"/>
    <w:p w14:paraId="7AB80D2A" w14:textId="77777777" w:rsidR="00C153D5" w:rsidRDefault="00C153D5" w:rsidP="00C153D5">
      <w:pPr>
        <w:pStyle w:val="ListParagraph"/>
        <w:numPr>
          <w:ilvl w:val="0"/>
          <w:numId w:val="14"/>
        </w:numPr>
      </w:pPr>
      <w:r w:rsidRPr="00684B6F">
        <w:t>ASA (2022) Rulings on misleading environmental claims. London: ASA.</w:t>
      </w:r>
    </w:p>
    <w:p w14:paraId="01DE0942" w14:textId="77777777" w:rsidR="00C153D5" w:rsidRDefault="00C153D5" w:rsidP="00C153D5">
      <w:pPr>
        <w:pStyle w:val="ListParagraph"/>
        <w:numPr>
          <w:ilvl w:val="0"/>
          <w:numId w:val="14"/>
        </w:numPr>
      </w:pPr>
      <w:r w:rsidRPr="00830455">
        <w:t xml:space="preserve">AutoTrader (2023) </w:t>
      </w:r>
      <w:r w:rsidRPr="00830455">
        <w:rPr>
          <w:i/>
          <w:iCs/>
        </w:rPr>
        <w:t>BMW 3 Series and X1 finance deals UK 2023</w:t>
      </w:r>
      <w:r w:rsidRPr="00830455">
        <w:t>. Available at: https://www.autotrader.co.uk (Accessed: 22 September 2025).</w:t>
      </w:r>
    </w:p>
    <w:p w14:paraId="3E15EC56" w14:textId="77777777" w:rsidR="00C153D5" w:rsidRDefault="00C153D5" w:rsidP="00C153D5">
      <w:pPr>
        <w:pStyle w:val="ListParagraph"/>
        <w:numPr>
          <w:ilvl w:val="0"/>
          <w:numId w:val="14"/>
        </w:numPr>
      </w:pPr>
      <w:r w:rsidRPr="00A34A0A">
        <w:t>BMW Group (2023) Annual Report 2022/23. Munich: BMW AG.</w:t>
      </w:r>
    </w:p>
    <w:p w14:paraId="49A0D59A" w14:textId="78329C4A" w:rsidR="00D14B99" w:rsidRDefault="00D14B99" w:rsidP="00C153D5">
      <w:pPr>
        <w:pStyle w:val="ListParagraph"/>
        <w:numPr>
          <w:ilvl w:val="0"/>
          <w:numId w:val="14"/>
        </w:numPr>
      </w:pPr>
      <w:r w:rsidRPr="00D14B99">
        <w:t>Doole, I. and Lowe, R. (2020). International Marketing Strategy: Analysis, Development and Implementation. 8th ed. Cengage Learning.</w:t>
      </w:r>
    </w:p>
    <w:p w14:paraId="19A2DF0A" w14:textId="494820C6" w:rsidR="002C67C0" w:rsidRDefault="00E15AE1" w:rsidP="00C153D5">
      <w:pPr>
        <w:pStyle w:val="ListParagraph"/>
        <w:numPr>
          <w:ilvl w:val="0"/>
          <w:numId w:val="14"/>
        </w:numPr>
      </w:pPr>
      <w:r w:rsidRPr="00E15AE1">
        <w:t xml:space="preserve">Johnson, G., Scholes, K. and Whittington, R. (2020). </w:t>
      </w:r>
      <w:r w:rsidRPr="00E15AE1">
        <w:rPr>
          <w:i/>
          <w:iCs/>
        </w:rPr>
        <w:t>Exploring Strategy</w:t>
      </w:r>
      <w:r w:rsidRPr="00E15AE1">
        <w:t>. 12th ed. Pearson.</w:t>
      </w:r>
    </w:p>
    <w:p w14:paraId="6A188465" w14:textId="77777777" w:rsidR="00C153D5" w:rsidRDefault="00C153D5" w:rsidP="00C153D5">
      <w:pPr>
        <w:pStyle w:val="ListParagraph"/>
        <w:numPr>
          <w:ilvl w:val="0"/>
          <w:numId w:val="14"/>
        </w:numPr>
      </w:pPr>
      <w:r w:rsidRPr="00A34A0A">
        <w:t xml:space="preserve">Hofstede Insights (2023) Country Comparison: Germany and United Kingdom. Available at: </w:t>
      </w:r>
      <w:hyperlink r:id="rId15" w:history="1">
        <w:r w:rsidRPr="00AB0253">
          <w:t>https://www.hofstede-insights.com/country-comparison/</w:t>
        </w:r>
      </w:hyperlink>
      <w:r>
        <w:t xml:space="preserve"> </w:t>
      </w:r>
      <w:r w:rsidRPr="00A34A0A">
        <w:t>(Accessed: 20 September 2025).</w:t>
      </w:r>
    </w:p>
    <w:p w14:paraId="499C0FC6" w14:textId="77777777" w:rsidR="00C153D5" w:rsidRDefault="00C153D5" w:rsidP="00C153D5">
      <w:pPr>
        <w:pStyle w:val="ListParagraph"/>
        <w:numPr>
          <w:ilvl w:val="0"/>
          <w:numId w:val="14"/>
        </w:numPr>
      </w:pPr>
      <w:r>
        <w:t>Department for Transport (2023) Decarbonising transport: A better, greener Britain. London: DfT.</w:t>
      </w:r>
    </w:p>
    <w:p w14:paraId="03160D27" w14:textId="77777777" w:rsidR="00C153D5" w:rsidRPr="00A34A0A" w:rsidRDefault="00C153D5" w:rsidP="00C153D5">
      <w:pPr>
        <w:pStyle w:val="ListParagraph"/>
        <w:numPr>
          <w:ilvl w:val="0"/>
          <w:numId w:val="14"/>
        </w:numPr>
      </w:pPr>
      <w:r>
        <w:t>European Commission (2022) CO</w:t>
      </w:r>
      <w:r>
        <w:rPr>
          <w:rFonts w:ascii="Cambria Math" w:hAnsi="Cambria Math" w:cs="Cambria Math"/>
        </w:rPr>
        <w:t>₂</w:t>
      </w:r>
      <w:r>
        <w:t xml:space="preserve"> emission performance standards for cars and vans. Brussels:</w:t>
      </w:r>
    </w:p>
    <w:p w14:paraId="00034C11" w14:textId="77777777" w:rsidR="00C153D5" w:rsidRDefault="00C153D5" w:rsidP="00C153D5">
      <w:pPr>
        <w:pStyle w:val="ListParagraph"/>
        <w:numPr>
          <w:ilvl w:val="0"/>
          <w:numId w:val="14"/>
        </w:numPr>
      </w:pPr>
      <w:r w:rsidRPr="00A34A0A">
        <w:t>Hollensen, S. (2020) Global marketing. 8th edn. Harlow: Pearson.</w:t>
      </w:r>
    </w:p>
    <w:p w14:paraId="1989D2D1" w14:textId="77777777" w:rsidR="00C153D5" w:rsidRDefault="00C153D5" w:rsidP="00C153D5">
      <w:pPr>
        <w:pStyle w:val="ListParagraph"/>
        <w:numPr>
          <w:ilvl w:val="0"/>
          <w:numId w:val="14"/>
        </w:numPr>
      </w:pPr>
      <w:r>
        <w:t>Financial Times (2021) ‘Brexit hits UK car industry with supply chain disruptions’. Financial Times, 15 March. Available at: https://www.ft.com</w:t>
      </w:r>
    </w:p>
    <w:p w14:paraId="57694D99" w14:textId="77777777" w:rsidR="00C153D5" w:rsidRDefault="00C153D5" w:rsidP="00C153D5">
      <w:pPr>
        <w:pStyle w:val="ListParagraph"/>
      </w:pPr>
      <w:r>
        <w:t xml:space="preserve">(Accessed: 20 September 2025). </w:t>
      </w:r>
    </w:p>
    <w:p w14:paraId="7DD2C00B" w14:textId="77777777" w:rsidR="00C153D5" w:rsidRDefault="00C153D5" w:rsidP="00C153D5">
      <w:pPr>
        <w:pStyle w:val="ListParagraph"/>
        <w:numPr>
          <w:ilvl w:val="0"/>
          <w:numId w:val="14"/>
        </w:numPr>
      </w:pPr>
      <w:r w:rsidRPr="00E863CA">
        <w:t>German Federal Ministry for Economic Affairs and Climate Action (2022) The German Government’s Energy Transition Strategy. Berlin: BMWK.</w:t>
      </w:r>
    </w:p>
    <w:p w14:paraId="191E618E" w14:textId="77777777" w:rsidR="00C153D5" w:rsidRDefault="00C153D5" w:rsidP="00C153D5">
      <w:pPr>
        <w:pStyle w:val="ListParagraph"/>
        <w:numPr>
          <w:ilvl w:val="0"/>
          <w:numId w:val="14"/>
        </w:numPr>
      </w:pPr>
      <w:r w:rsidRPr="00FD5C56">
        <w:t xml:space="preserve">Johnson, G., Scholes, K. and Whittington, R. (2020) </w:t>
      </w:r>
      <w:r w:rsidRPr="00FD5C56">
        <w:rPr>
          <w:i/>
          <w:iCs/>
        </w:rPr>
        <w:t>Exploring corporate strategy</w:t>
      </w:r>
      <w:r w:rsidRPr="00FD5C56">
        <w:t>. 12th edn. Harlow: Pearson.</w:t>
      </w:r>
    </w:p>
    <w:p w14:paraId="3D914C4B" w14:textId="77777777" w:rsidR="00C153D5" w:rsidRDefault="00C153D5" w:rsidP="00C153D5">
      <w:pPr>
        <w:pStyle w:val="ListParagraph"/>
        <w:numPr>
          <w:ilvl w:val="0"/>
          <w:numId w:val="14"/>
        </w:numPr>
      </w:pPr>
      <w:r w:rsidRPr="00C53F17">
        <w:t xml:space="preserve">Kantar (2023) </w:t>
      </w:r>
      <w:r w:rsidRPr="00C53F17">
        <w:rPr>
          <w:i/>
          <w:iCs/>
        </w:rPr>
        <w:t>BrandZ Top German Brands</w:t>
      </w:r>
      <w:r w:rsidRPr="00C53F17">
        <w:t>. London: Kantar.</w:t>
      </w:r>
    </w:p>
    <w:p w14:paraId="0A28AC92" w14:textId="77777777" w:rsidR="00C153D5" w:rsidRDefault="00C153D5" w:rsidP="00C153D5">
      <w:pPr>
        <w:pStyle w:val="ListParagraph"/>
        <w:numPr>
          <w:ilvl w:val="0"/>
          <w:numId w:val="14"/>
        </w:numPr>
      </w:pPr>
      <w:r w:rsidRPr="0085640E">
        <w:t xml:space="preserve">Kaspar, R. (2019) </w:t>
      </w:r>
      <w:r w:rsidRPr="0085640E">
        <w:rPr>
          <w:i/>
          <w:iCs/>
        </w:rPr>
        <w:t>The history of German car brands</w:t>
      </w:r>
      <w:r w:rsidRPr="0085640E">
        <w:t>. Munich: Springer.</w:t>
      </w:r>
    </w:p>
    <w:p w14:paraId="55710FEA" w14:textId="77777777" w:rsidR="00C153D5" w:rsidRDefault="00C153D5" w:rsidP="00C153D5">
      <w:pPr>
        <w:pStyle w:val="ListParagraph"/>
        <w:numPr>
          <w:ilvl w:val="0"/>
          <w:numId w:val="14"/>
        </w:numPr>
      </w:pPr>
      <w:r w:rsidRPr="00AE4B32">
        <w:t xml:space="preserve">KBA (2024) </w:t>
      </w:r>
      <w:r w:rsidRPr="00AE4B32">
        <w:rPr>
          <w:i/>
          <w:iCs/>
        </w:rPr>
        <w:t>Fahrzeugzulassungen 2023: Marken</w:t>
      </w:r>
      <w:r w:rsidRPr="00AE4B32">
        <w:t>. Flensburg: KBA.</w:t>
      </w:r>
    </w:p>
    <w:p w14:paraId="6D7C6AA8" w14:textId="77777777" w:rsidR="00C153D5" w:rsidRDefault="00C153D5" w:rsidP="00C153D5">
      <w:pPr>
        <w:pStyle w:val="ListParagraph"/>
        <w:numPr>
          <w:ilvl w:val="0"/>
          <w:numId w:val="14"/>
        </w:numPr>
      </w:pPr>
      <w:r w:rsidRPr="00A34A0A">
        <w:t>Kotabe, M. and Helsen, K. (2022) Global marketing management. 9th edn. Hoboken: Wiley.</w:t>
      </w:r>
    </w:p>
    <w:p w14:paraId="7C9ADCA3" w14:textId="5EB784B5" w:rsidR="00F0228F" w:rsidRDefault="00F0228F" w:rsidP="00C153D5">
      <w:pPr>
        <w:pStyle w:val="ListParagraph"/>
        <w:numPr>
          <w:ilvl w:val="0"/>
          <w:numId w:val="14"/>
        </w:numPr>
      </w:pPr>
      <w:r w:rsidRPr="00F0228F">
        <w:t xml:space="preserve">Kotler, P., Keller, K.L., Goodman, M. and Brady, M. (2019). </w:t>
      </w:r>
      <w:r w:rsidRPr="00F0228F">
        <w:rPr>
          <w:i/>
          <w:iCs/>
        </w:rPr>
        <w:t>Marketing Management</w:t>
      </w:r>
      <w:r w:rsidRPr="00F0228F">
        <w:t>. 4th European ed. Pearson.</w:t>
      </w:r>
    </w:p>
    <w:p w14:paraId="71567FBD" w14:textId="77C79B37" w:rsidR="00DC5345" w:rsidRDefault="00DC5345" w:rsidP="00C153D5">
      <w:pPr>
        <w:pStyle w:val="ListParagraph"/>
        <w:numPr>
          <w:ilvl w:val="0"/>
          <w:numId w:val="14"/>
        </w:numPr>
      </w:pPr>
      <w:r w:rsidRPr="00DC5345">
        <w:t xml:space="preserve">KPMG. (2024). </w:t>
      </w:r>
      <w:r w:rsidRPr="00DC5345">
        <w:rPr>
          <w:i/>
          <w:iCs/>
        </w:rPr>
        <w:t>Automotive Executive Survey</w:t>
      </w:r>
      <w:r w:rsidRPr="00DC5345">
        <w:t>.</w:t>
      </w:r>
    </w:p>
    <w:p w14:paraId="3DDEB791" w14:textId="05E76192" w:rsidR="00B8554D" w:rsidRDefault="00B8554D" w:rsidP="00C153D5">
      <w:pPr>
        <w:pStyle w:val="ListParagraph"/>
        <w:numPr>
          <w:ilvl w:val="0"/>
          <w:numId w:val="14"/>
        </w:numPr>
      </w:pPr>
      <w:r w:rsidRPr="00B8554D">
        <w:t xml:space="preserve">Luthra, M. (2024). </w:t>
      </w:r>
      <w:r w:rsidRPr="00B8554D">
        <w:rPr>
          <w:i/>
          <w:iCs/>
        </w:rPr>
        <w:t>Internationalisation of Volkswagen Group Services</w:t>
      </w:r>
      <w:r w:rsidRPr="00B8554D">
        <w:t>. ProQuest.</w:t>
      </w:r>
    </w:p>
    <w:p w14:paraId="5914A963" w14:textId="77777777" w:rsidR="00C153D5" w:rsidRPr="00A34A0A" w:rsidRDefault="00C153D5" w:rsidP="00C153D5">
      <w:pPr>
        <w:pStyle w:val="ListParagraph"/>
        <w:numPr>
          <w:ilvl w:val="0"/>
          <w:numId w:val="14"/>
        </w:numPr>
      </w:pPr>
      <w:r w:rsidRPr="007413B3">
        <w:t xml:space="preserve">MarkLines (2023) </w:t>
      </w:r>
      <w:r w:rsidRPr="007413B3">
        <w:rPr>
          <w:i/>
          <w:iCs/>
        </w:rPr>
        <w:t>UK automotive sales flash report</w:t>
      </w:r>
      <w:r w:rsidRPr="007413B3">
        <w:t>. Tokyo: MarkLines.</w:t>
      </w:r>
    </w:p>
    <w:p w14:paraId="08B32CA2" w14:textId="77777777" w:rsidR="00C153D5" w:rsidRDefault="00C153D5" w:rsidP="00C153D5">
      <w:pPr>
        <w:pStyle w:val="ListParagraph"/>
        <w:numPr>
          <w:ilvl w:val="0"/>
          <w:numId w:val="14"/>
        </w:numPr>
      </w:pPr>
      <w:r w:rsidRPr="00A34A0A">
        <w:lastRenderedPageBreak/>
        <w:t>McKinsey (2022) Automotive consumer trends 2022. Available at: https://www.mckinsey.com</w:t>
      </w:r>
      <w:r>
        <w:t xml:space="preserve"> </w:t>
      </w:r>
      <w:r w:rsidRPr="00A34A0A">
        <w:t>(Accessed: 20 September 2025).</w:t>
      </w:r>
    </w:p>
    <w:p w14:paraId="5CC40B61" w14:textId="77777777" w:rsidR="00C153D5" w:rsidRDefault="00C153D5" w:rsidP="00C153D5">
      <w:pPr>
        <w:pStyle w:val="ListParagraph"/>
        <w:numPr>
          <w:ilvl w:val="0"/>
          <w:numId w:val="14"/>
        </w:numPr>
        <w:rPr>
          <w:i/>
          <w:iCs/>
        </w:rPr>
      </w:pPr>
      <w:r w:rsidRPr="00E112D3">
        <w:t xml:space="preserve">Mintel (2022) </w:t>
      </w:r>
      <w:r w:rsidRPr="00E112D3">
        <w:rPr>
          <w:i/>
          <w:iCs/>
        </w:rPr>
        <w:t>UK car purchasing and finance market report</w:t>
      </w:r>
      <w:r w:rsidRPr="00E112D3">
        <w:t xml:space="preserve">. Available at: </w:t>
      </w:r>
      <w:hyperlink r:id="rId16" w:tgtFrame="_new" w:history="1">
        <w:r w:rsidRPr="00E112D3">
          <w:rPr>
            <w:i/>
            <w:iCs/>
          </w:rPr>
          <w:t>https://www.mintel.com</w:t>
        </w:r>
      </w:hyperlink>
      <w:r w:rsidRPr="00E112D3">
        <w:rPr>
          <w:i/>
          <w:iCs/>
        </w:rPr>
        <w:t xml:space="preserve"> (Accessed: 20 September 2025).</w:t>
      </w:r>
    </w:p>
    <w:p w14:paraId="3B885EE6" w14:textId="7E3C7382" w:rsidR="00E15AE1" w:rsidRDefault="00E15AE1" w:rsidP="00C153D5">
      <w:pPr>
        <w:pStyle w:val="ListParagraph"/>
        <w:numPr>
          <w:ilvl w:val="0"/>
          <w:numId w:val="14"/>
        </w:numPr>
        <w:rPr>
          <w:i/>
          <w:iCs/>
        </w:rPr>
      </w:pPr>
      <w:r w:rsidRPr="00E15AE1">
        <w:rPr>
          <w:i/>
          <w:iCs/>
        </w:rPr>
        <w:t>Montes Torralbo, J. (2024). Electrification of Vehicles and the Future of the Automobile Industry in Europe. Theseus.fi.</w:t>
      </w:r>
    </w:p>
    <w:p w14:paraId="6D19104A" w14:textId="6E210A3B" w:rsidR="00965A34" w:rsidRDefault="00965A34" w:rsidP="00C153D5">
      <w:pPr>
        <w:pStyle w:val="ListParagraph"/>
        <w:numPr>
          <w:ilvl w:val="0"/>
          <w:numId w:val="14"/>
        </w:numPr>
        <w:rPr>
          <w:i/>
          <w:iCs/>
        </w:rPr>
      </w:pPr>
      <w:r w:rsidRPr="00965A34">
        <w:rPr>
          <w:i/>
          <w:iCs/>
        </w:rPr>
        <w:t>Murça, M.S.V.M. (2024). SME Competitiveness and Internationalisation. ProQuest Dissertations.</w:t>
      </w:r>
    </w:p>
    <w:p w14:paraId="67F581D8" w14:textId="77777777" w:rsidR="00C153D5" w:rsidRPr="00B72761" w:rsidRDefault="00C153D5" w:rsidP="00C153D5">
      <w:pPr>
        <w:pStyle w:val="ListParagraph"/>
        <w:numPr>
          <w:ilvl w:val="0"/>
          <w:numId w:val="14"/>
        </w:numPr>
        <w:rPr>
          <w:i/>
          <w:iCs/>
        </w:rPr>
      </w:pPr>
      <w:r w:rsidRPr="00B72761">
        <w:rPr>
          <w:i/>
          <w:iCs/>
        </w:rPr>
        <w:t>PwC (2022) Five trends transforming the automotive industry. PwC Automotive Report. Available at: https://www.pwc.com</w:t>
      </w:r>
    </w:p>
    <w:p w14:paraId="5083341A" w14:textId="77777777" w:rsidR="00C153D5" w:rsidRDefault="00C153D5" w:rsidP="00C153D5">
      <w:pPr>
        <w:pStyle w:val="ListParagraph"/>
        <w:rPr>
          <w:i/>
          <w:iCs/>
        </w:rPr>
      </w:pPr>
      <w:r w:rsidRPr="00B72761">
        <w:rPr>
          <w:i/>
          <w:iCs/>
        </w:rPr>
        <w:t>(Accessed: 20 September 2025).</w:t>
      </w:r>
    </w:p>
    <w:p w14:paraId="1C095CA1" w14:textId="5D3B646C" w:rsidR="00B8554D" w:rsidRDefault="00B8554D" w:rsidP="00C153D5">
      <w:pPr>
        <w:pStyle w:val="ListParagraph"/>
        <w:rPr>
          <w:i/>
          <w:iCs/>
        </w:rPr>
      </w:pPr>
      <w:r w:rsidRPr="00B8554D">
        <w:rPr>
          <w:i/>
          <w:iCs/>
        </w:rPr>
        <w:t>Shafiee, M. (2024). ‘Extending the Lifetime of Offshore Wind Turbines: Challenges and Opportunities’, Energies, 17(16), pp. 1–20. MDPI.</w:t>
      </w:r>
    </w:p>
    <w:p w14:paraId="5472B438" w14:textId="77777777" w:rsidR="00C153D5" w:rsidRPr="00D707F4" w:rsidRDefault="00C153D5" w:rsidP="00C153D5">
      <w:pPr>
        <w:pStyle w:val="ListParagraph"/>
        <w:numPr>
          <w:ilvl w:val="0"/>
          <w:numId w:val="14"/>
        </w:numPr>
        <w:rPr>
          <w:rFonts w:eastAsiaTheme="majorEastAsia" w:cstheme="majorBidi"/>
          <w:szCs w:val="32"/>
        </w:rPr>
      </w:pPr>
      <w:r w:rsidRPr="00D707F4">
        <w:t xml:space="preserve">Statista (2023) BMW car sales in Europe by country. Available at: </w:t>
      </w:r>
      <w:hyperlink r:id="rId17" w:history="1">
        <w:r w:rsidRPr="00D707F4">
          <w:t>https://www.statista.com</w:t>
        </w:r>
      </w:hyperlink>
      <w:r w:rsidRPr="00D707F4">
        <w:t xml:space="preserve"> (Accessed: 20 September 2025).</w:t>
      </w:r>
    </w:p>
    <w:p w14:paraId="4F789BF7" w14:textId="77777777" w:rsidR="00C153D5" w:rsidRPr="00D707F4" w:rsidRDefault="00C153D5" w:rsidP="00C153D5">
      <w:pPr>
        <w:pStyle w:val="ListParagraph"/>
        <w:numPr>
          <w:ilvl w:val="0"/>
          <w:numId w:val="14"/>
        </w:numPr>
        <w:rPr>
          <w:rFonts w:eastAsiaTheme="majorEastAsia" w:cstheme="majorBidi"/>
          <w:szCs w:val="32"/>
        </w:rPr>
      </w:pPr>
      <w:r w:rsidRPr="00D707F4">
        <w:t xml:space="preserve">Verband der Automobilindustrie (VDA) (2022) The German automotive industry: Key figures. Berlin: VDA. </w:t>
      </w:r>
      <w:r w:rsidRPr="00D707F4">
        <w:br w:type="page"/>
      </w:r>
    </w:p>
    <w:p w14:paraId="7AFEF912" w14:textId="5C5C1993" w:rsidR="000B7AF8" w:rsidRDefault="00614075" w:rsidP="000B7AF8">
      <w:pPr>
        <w:pStyle w:val="Heading1"/>
      </w:pPr>
      <w:bookmarkStart w:id="23" w:name="_Toc213673899"/>
      <w:r>
        <w:lastRenderedPageBreak/>
        <w:t xml:space="preserve">10. </w:t>
      </w:r>
      <w:r w:rsidR="000B7AF8">
        <w:t>Appendix</w:t>
      </w:r>
      <w:bookmarkEnd w:id="23"/>
      <w:r w:rsidR="000B7AF8">
        <w:t xml:space="preserve"> </w:t>
      </w:r>
    </w:p>
    <w:p w14:paraId="1C97EA4B" w14:textId="77777777" w:rsidR="005D57FE" w:rsidRPr="005D57FE" w:rsidRDefault="005D57FE" w:rsidP="005D57FE"/>
    <w:p w14:paraId="6CBD61AA" w14:textId="303CC4BA" w:rsidR="00B92A84" w:rsidRPr="00B92A84" w:rsidRDefault="00B92A84" w:rsidP="00B92A84">
      <w:pPr>
        <w:rPr>
          <w:lang w:val="en-GB"/>
        </w:rPr>
      </w:pPr>
      <w:r w:rsidRPr="00B92A84">
        <w:rPr>
          <w:lang w:val="en-GB"/>
        </w:rPr>
        <w:t>Appendix A6 – Hofstede Cultural Dimensions – UK vs Germany</w:t>
      </w:r>
    </w:p>
    <w:p w14:paraId="354AAEF2" w14:textId="77777777" w:rsidR="00B92A84" w:rsidRPr="00B92A84" w:rsidRDefault="00B92A84" w:rsidP="00B92A84"/>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0"/>
        <w:gridCol w:w="1079"/>
        <w:gridCol w:w="928"/>
        <w:gridCol w:w="4693"/>
      </w:tblGrid>
      <w:tr w:rsidR="00C810FC" w:rsidRPr="00C810FC" w14:paraId="0D2223EB" w14:textId="77777777" w:rsidTr="00C810FC">
        <w:trPr>
          <w:tblHeader/>
          <w:tblCellSpacing w:w="15" w:type="dxa"/>
        </w:trPr>
        <w:tc>
          <w:tcPr>
            <w:tcW w:w="1985" w:type="dxa"/>
            <w:vAlign w:val="center"/>
            <w:hideMark/>
          </w:tcPr>
          <w:p w14:paraId="7354D607" w14:textId="77777777" w:rsidR="00C810FC" w:rsidRPr="00C810FC" w:rsidRDefault="00C810FC" w:rsidP="00C810FC">
            <w:pPr>
              <w:rPr>
                <w:b/>
                <w:bCs/>
                <w:sz w:val="20"/>
                <w:szCs w:val="20"/>
                <w:lang w:val="en-GB"/>
              </w:rPr>
            </w:pPr>
            <w:r w:rsidRPr="00C810FC">
              <w:rPr>
                <w:b/>
                <w:bCs/>
                <w:sz w:val="20"/>
                <w:szCs w:val="20"/>
                <w:lang w:val="en-GB"/>
              </w:rPr>
              <w:t>Dimension</w:t>
            </w:r>
          </w:p>
        </w:tc>
        <w:tc>
          <w:tcPr>
            <w:tcW w:w="1049" w:type="dxa"/>
            <w:vAlign w:val="center"/>
            <w:hideMark/>
          </w:tcPr>
          <w:p w14:paraId="18A3AFB3" w14:textId="77777777" w:rsidR="00C810FC" w:rsidRPr="00C810FC" w:rsidRDefault="00C810FC" w:rsidP="00C810FC">
            <w:pPr>
              <w:rPr>
                <w:b/>
                <w:bCs/>
                <w:sz w:val="20"/>
                <w:szCs w:val="20"/>
                <w:lang w:val="en-GB"/>
              </w:rPr>
            </w:pPr>
            <w:r w:rsidRPr="00C810FC">
              <w:rPr>
                <w:b/>
                <w:bCs/>
                <w:sz w:val="20"/>
                <w:szCs w:val="20"/>
                <w:lang w:val="en-GB"/>
              </w:rPr>
              <w:t>United Kingdom</w:t>
            </w:r>
          </w:p>
        </w:tc>
        <w:tc>
          <w:tcPr>
            <w:tcW w:w="0" w:type="auto"/>
            <w:vAlign w:val="center"/>
            <w:hideMark/>
          </w:tcPr>
          <w:p w14:paraId="5A9821E5" w14:textId="77777777" w:rsidR="00C810FC" w:rsidRPr="00C810FC" w:rsidRDefault="00C810FC" w:rsidP="00C810FC">
            <w:pPr>
              <w:rPr>
                <w:b/>
                <w:bCs/>
                <w:sz w:val="20"/>
                <w:szCs w:val="20"/>
                <w:lang w:val="en-GB"/>
              </w:rPr>
            </w:pPr>
            <w:r w:rsidRPr="00C810FC">
              <w:rPr>
                <w:b/>
                <w:bCs/>
                <w:sz w:val="20"/>
                <w:szCs w:val="20"/>
                <w:lang w:val="en-GB"/>
              </w:rPr>
              <w:t>Germany</w:t>
            </w:r>
          </w:p>
        </w:tc>
        <w:tc>
          <w:tcPr>
            <w:tcW w:w="0" w:type="auto"/>
            <w:vAlign w:val="center"/>
            <w:hideMark/>
          </w:tcPr>
          <w:p w14:paraId="19592D0E" w14:textId="77777777" w:rsidR="00C810FC" w:rsidRPr="00C810FC" w:rsidRDefault="00C810FC" w:rsidP="00C810FC">
            <w:pPr>
              <w:rPr>
                <w:b/>
                <w:bCs/>
                <w:sz w:val="20"/>
                <w:szCs w:val="20"/>
                <w:lang w:val="en-GB"/>
              </w:rPr>
            </w:pPr>
            <w:r w:rsidRPr="00C810FC">
              <w:rPr>
                <w:b/>
                <w:bCs/>
                <w:sz w:val="20"/>
                <w:szCs w:val="20"/>
                <w:lang w:val="en-GB"/>
              </w:rPr>
              <w:t>Implications for BMW Marketing</w:t>
            </w:r>
          </w:p>
        </w:tc>
      </w:tr>
      <w:tr w:rsidR="00C810FC" w:rsidRPr="00C810FC" w14:paraId="66EB2544" w14:textId="77777777" w:rsidTr="00C810FC">
        <w:trPr>
          <w:tblCellSpacing w:w="15" w:type="dxa"/>
        </w:trPr>
        <w:tc>
          <w:tcPr>
            <w:tcW w:w="1985" w:type="dxa"/>
            <w:vAlign w:val="center"/>
            <w:hideMark/>
          </w:tcPr>
          <w:p w14:paraId="71C899D4" w14:textId="77777777" w:rsidR="00C810FC" w:rsidRPr="00C810FC" w:rsidRDefault="00C810FC" w:rsidP="00C810FC">
            <w:pPr>
              <w:rPr>
                <w:sz w:val="20"/>
                <w:szCs w:val="20"/>
                <w:lang w:val="en-GB"/>
              </w:rPr>
            </w:pPr>
            <w:r w:rsidRPr="00C810FC">
              <w:rPr>
                <w:b/>
                <w:bCs/>
                <w:sz w:val="20"/>
                <w:szCs w:val="20"/>
                <w:lang w:val="en-GB"/>
              </w:rPr>
              <w:t>Power Distance (PDI)</w:t>
            </w:r>
          </w:p>
        </w:tc>
        <w:tc>
          <w:tcPr>
            <w:tcW w:w="1049" w:type="dxa"/>
            <w:vAlign w:val="center"/>
            <w:hideMark/>
          </w:tcPr>
          <w:p w14:paraId="37C24158" w14:textId="77777777" w:rsidR="00C810FC" w:rsidRPr="00C810FC" w:rsidRDefault="00C810FC" w:rsidP="00C810FC">
            <w:pPr>
              <w:rPr>
                <w:lang w:val="en-GB"/>
              </w:rPr>
            </w:pPr>
            <w:r w:rsidRPr="00C810FC">
              <w:rPr>
                <w:lang w:val="en-GB"/>
              </w:rPr>
              <w:t>35</w:t>
            </w:r>
          </w:p>
        </w:tc>
        <w:tc>
          <w:tcPr>
            <w:tcW w:w="0" w:type="auto"/>
            <w:vAlign w:val="center"/>
            <w:hideMark/>
          </w:tcPr>
          <w:p w14:paraId="32519307" w14:textId="77777777" w:rsidR="00C810FC" w:rsidRPr="00C810FC" w:rsidRDefault="00C810FC" w:rsidP="00C810FC">
            <w:pPr>
              <w:rPr>
                <w:lang w:val="en-GB"/>
              </w:rPr>
            </w:pPr>
            <w:r w:rsidRPr="00C810FC">
              <w:rPr>
                <w:lang w:val="en-GB"/>
              </w:rPr>
              <w:t>35</w:t>
            </w:r>
          </w:p>
        </w:tc>
        <w:tc>
          <w:tcPr>
            <w:tcW w:w="0" w:type="auto"/>
            <w:vAlign w:val="center"/>
            <w:hideMark/>
          </w:tcPr>
          <w:p w14:paraId="7E824702" w14:textId="77777777" w:rsidR="00C810FC" w:rsidRPr="00C810FC" w:rsidRDefault="00C810FC" w:rsidP="00C810FC">
            <w:pPr>
              <w:rPr>
                <w:sz w:val="20"/>
                <w:szCs w:val="20"/>
                <w:lang w:val="en-GB"/>
              </w:rPr>
            </w:pPr>
            <w:r w:rsidRPr="00C810FC">
              <w:rPr>
                <w:sz w:val="20"/>
                <w:szCs w:val="20"/>
                <w:lang w:val="en-GB"/>
              </w:rPr>
              <w:t>Both societies exhibit low power distance, valuing equality and open communication. BMW’s marketing should emphasise personalised service and direct customer engagement rather than hierarchical or authoritative tones.</w:t>
            </w:r>
          </w:p>
        </w:tc>
      </w:tr>
      <w:tr w:rsidR="00C810FC" w:rsidRPr="00C810FC" w14:paraId="5A13410E" w14:textId="77777777" w:rsidTr="00C810FC">
        <w:trPr>
          <w:tblCellSpacing w:w="15" w:type="dxa"/>
        </w:trPr>
        <w:tc>
          <w:tcPr>
            <w:tcW w:w="1985" w:type="dxa"/>
            <w:vAlign w:val="center"/>
            <w:hideMark/>
          </w:tcPr>
          <w:p w14:paraId="66018030" w14:textId="77777777" w:rsidR="00C810FC" w:rsidRPr="00C810FC" w:rsidRDefault="00C810FC" w:rsidP="00C810FC">
            <w:pPr>
              <w:rPr>
                <w:sz w:val="20"/>
                <w:szCs w:val="20"/>
                <w:lang w:val="en-GB"/>
              </w:rPr>
            </w:pPr>
            <w:r w:rsidRPr="00C810FC">
              <w:rPr>
                <w:b/>
                <w:bCs/>
                <w:sz w:val="20"/>
                <w:szCs w:val="20"/>
                <w:lang w:val="en-GB"/>
              </w:rPr>
              <w:t>Individualism (IDV)</w:t>
            </w:r>
          </w:p>
        </w:tc>
        <w:tc>
          <w:tcPr>
            <w:tcW w:w="1049" w:type="dxa"/>
            <w:vAlign w:val="center"/>
            <w:hideMark/>
          </w:tcPr>
          <w:p w14:paraId="629F8D26" w14:textId="77777777" w:rsidR="00C810FC" w:rsidRPr="00C810FC" w:rsidRDefault="00C810FC" w:rsidP="00C810FC">
            <w:pPr>
              <w:rPr>
                <w:lang w:val="en-GB"/>
              </w:rPr>
            </w:pPr>
            <w:r w:rsidRPr="00C810FC">
              <w:rPr>
                <w:lang w:val="en-GB"/>
              </w:rPr>
              <w:t>89</w:t>
            </w:r>
          </w:p>
        </w:tc>
        <w:tc>
          <w:tcPr>
            <w:tcW w:w="0" w:type="auto"/>
            <w:vAlign w:val="center"/>
            <w:hideMark/>
          </w:tcPr>
          <w:p w14:paraId="1DF6D13C" w14:textId="77777777" w:rsidR="00C810FC" w:rsidRPr="00C810FC" w:rsidRDefault="00C810FC" w:rsidP="00C810FC">
            <w:pPr>
              <w:rPr>
                <w:lang w:val="en-GB"/>
              </w:rPr>
            </w:pPr>
            <w:r w:rsidRPr="00C810FC">
              <w:rPr>
                <w:lang w:val="en-GB"/>
              </w:rPr>
              <w:t>67</w:t>
            </w:r>
          </w:p>
        </w:tc>
        <w:tc>
          <w:tcPr>
            <w:tcW w:w="0" w:type="auto"/>
            <w:vAlign w:val="center"/>
            <w:hideMark/>
          </w:tcPr>
          <w:p w14:paraId="20C5A9E4" w14:textId="77777777" w:rsidR="00C810FC" w:rsidRPr="00C810FC" w:rsidRDefault="00C810FC" w:rsidP="00C810FC">
            <w:pPr>
              <w:rPr>
                <w:sz w:val="20"/>
                <w:szCs w:val="20"/>
                <w:lang w:val="en-GB"/>
              </w:rPr>
            </w:pPr>
            <w:r w:rsidRPr="00C810FC">
              <w:rPr>
                <w:sz w:val="20"/>
                <w:szCs w:val="20"/>
                <w:lang w:val="en-GB"/>
              </w:rPr>
              <w:t>The UK’s strong individualism supports messages of personal expression and self-fulfilment (“Your BMW, your way”). In Germany, slightly lower individualism favours messaging that highlights engineering excellence and collective quality.</w:t>
            </w:r>
          </w:p>
        </w:tc>
      </w:tr>
      <w:tr w:rsidR="00C810FC" w:rsidRPr="00C810FC" w14:paraId="77A6B505" w14:textId="77777777" w:rsidTr="00C810FC">
        <w:trPr>
          <w:tblCellSpacing w:w="15" w:type="dxa"/>
        </w:trPr>
        <w:tc>
          <w:tcPr>
            <w:tcW w:w="1985" w:type="dxa"/>
            <w:vAlign w:val="center"/>
            <w:hideMark/>
          </w:tcPr>
          <w:p w14:paraId="2FB39CE4" w14:textId="77777777" w:rsidR="00C810FC" w:rsidRPr="00C810FC" w:rsidRDefault="00C810FC" w:rsidP="00C810FC">
            <w:pPr>
              <w:rPr>
                <w:sz w:val="20"/>
                <w:szCs w:val="20"/>
                <w:lang w:val="en-GB"/>
              </w:rPr>
            </w:pPr>
            <w:r w:rsidRPr="00C810FC">
              <w:rPr>
                <w:b/>
                <w:bCs/>
                <w:sz w:val="20"/>
                <w:szCs w:val="20"/>
                <w:lang w:val="en-GB"/>
              </w:rPr>
              <w:t>Masculinity (MAS)</w:t>
            </w:r>
          </w:p>
        </w:tc>
        <w:tc>
          <w:tcPr>
            <w:tcW w:w="1049" w:type="dxa"/>
            <w:vAlign w:val="center"/>
            <w:hideMark/>
          </w:tcPr>
          <w:p w14:paraId="18969266" w14:textId="77777777" w:rsidR="00C810FC" w:rsidRPr="00C810FC" w:rsidRDefault="00C810FC" w:rsidP="00C810FC">
            <w:pPr>
              <w:rPr>
                <w:lang w:val="en-GB"/>
              </w:rPr>
            </w:pPr>
            <w:r w:rsidRPr="00C810FC">
              <w:rPr>
                <w:lang w:val="en-GB"/>
              </w:rPr>
              <w:t>66</w:t>
            </w:r>
          </w:p>
        </w:tc>
        <w:tc>
          <w:tcPr>
            <w:tcW w:w="0" w:type="auto"/>
            <w:vAlign w:val="center"/>
            <w:hideMark/>
          </w:tcPr>
          <w:p w14:paraId="637B160A" w14:textId="77777777" w:rsidR="00C810FC" w:rsidRPr="00C810FC" w:rsidRDefault="00C810FC" w:rsidP="00C810FC">
            <w:pPr>
              <w:rPr>
                <w:lang w:val="en-GB"/>
              </w:rPr>
            </w:pPr>
            <w:r w:rsidRPr="00C810FC">
              <w:rPr>
                <w:lang w:val="en-GB"/>
              </w:rPr>
              <w:t>66</w:t>
            </w:r>
          </w:p>
        </w:tc>
        <w:tc>
          <w:tcPr>
            <w:tcW w:w="0" w:type="auto"/>
            <w:vAlign w:val="center"/>
            <w:hideMark/>
          </w:tcPr>
          <w:p w14:paraId="04096650" w14:textId="77777777" w:rsidR="00C810FC" w:rsidRPr="00C810FC" w:rsidRDefault="00C810FC" w:rsidP="00C810FC">
            <w:pPr>
              <w:rPr>
                <w:sz w:val="20"/>
                <w:szCs w:val="20"/>
                <w:lang w:val="en-GB"/>
              </w:rPr>
            </w:pPr>
            <w:r w:rsidRPr="00C810FC">
              <w:rPr>
                <w:sz w:val="20"/>
                <w:szCs w:val="20"/>
                <w:lang w:val="en-GB"/>
              </w:rPr>
              <w:t>Both cultures value performance and success. BMW’s brand promise of “Sheer Driving Pleasure” resonates well in both markets through emphasis on achievement, performance, and technical mastery.</w:t>
            </w:r>
          </w:p>
        </w:tc>
      </w:tr>
      <w:tr w:rsidR="00C810FC" w:rsidRPr="00C810FC" w14:paraId="3B04D1D9" w14:textId="77777777" w:rsidTr="00C810FC">
        <w:trPr>
          <w:tblCellSpacing w:w="15" w:type="dxa"/>
        </w:trPr>
        <w:tc>
          <w:tcPr>
            <w:tcW w:w="1985" w:type="dxa"/>
            <w:vAlign w:val="center"/>
            <w:hideMark/>
          </w:tcPr>
          <w:p w14:paraId="517B763A" w14:textId="77777777" w:rsidR="00C810FC" w:rsidRPr="00C810FC" w:rsidRDefault="00C810FC" w:rsidP="00C810FC">
            <w:pPr>
              <w:rPr>
                <w:sz w:val="20"/>
                <w:szCs w:val="20"/>
                <w:lang w:val="en-GB"/>
              </w:rPr>
            </w:pPr>
            <w:r w:rsidRPr="00C810FC">
              <w:rPr>
                <w:b/>
                <w:bCs/>
                <w:sz w:val="20"/>
                <w:szCs w:val="20"/>
                <w:lang w:val="en-GB"/>
              </w:rPr>
              <w:t>Uncertainty Avoidance (UAI)</w:t>
            </w:r>
          </w:p>
        </w:tc>
        <w:tc>
          <w:tcPr>
            <w:tcW w:w="1049" w:type="dxa"/>
            <w:vAlign w:val="center"/>
            <w:hideMark/>
          </w:tcPr>
          <w:p w14:paraId="08738131" w14:textId="77777777" w:rsidR="00C810FC" w:rsidRPr="00C810FC" w:rsidRDefault="00C810FC" w:rsidP="00C810FC">
            <w:pPr>
              <w:rPr>
                <w:lang w:val="en-GB"/>
              </w:rPr>
            </w:pPr>
            <w:r w:rsidRPr="00C810FC">
              <w:rPr>
                <w:lang w:val="en-GB"/>
              </w:rPr>
              <w:t>35</w:t>
            </w:r>
          </w:p>
        </w:tc>
        <w:tc>
          <w:tcPr>
            <w:tcW w:w="0" w:type="auto"/>
            <w:vAlign w:val="center"/>
            <w:hideMark/>
          </w:tcPr>
          <w:p w14:paraId="522FDA6A" w14:textId="77777777" w:rsidR="00C810FC" w:rsidRPr="00C810FC" w:rsidRDefault="00C810FC" w:rsidP="00C810FC">
            <w:pPr>
              <w:rPr>
                <w:lang w:val="en-GB"/>
              </w:rPr>
            </w:pPr>
            <w:r w:rsidRPr="00C810FC">
              <w:rPr>
                <w:lang w:val="en-GB"/>
              </w:rPr>
              <w:t>65</w:t>
            </w:r>
          </w:p>
        </w:tc>
        <w:tc>
          <w:tcPr>
            <w:tcW w:w="0" w:type="auto"/>
            <w:vAlign w:val="center"/>
            <w:hideMark/>
          </w:tcPr>
          <w:p w14:paraId="10DAF565" w14:textId="77777777" w:rsidR="00C810FC" w:rsidRPr="00C810FC" w:rsidRDefault="00C810FC" w:rsidP="00C810FC">
            <w:pPr>
              <w:rPr>
                <w:sz w:val="20"/>
                <w:szCs w:val="20"/>
                <w:lang w:val="en-GB"/>
              </w:rPr>
            </w:pPr>
            <w:r w:rsidRPr="00C810FC">
              <w:rPr>
                <w:sz w:val="20"/>
                <w:szCs w:val="20"/>
                <w:lang w:val="en-GB"/>
              </w:rPr>
              <w:t>German consumers have higher need for certainty and reliability. Marketing communications in Germany should provide detailed technical data and reassurance about safety and durability. UK marketing can use more creative and emotional appeal.</w:t>
            </w:r>
          </w:p>
        </w:tc>
      </w:tr>
      <w:tr w:rsidR="00C810FC" w:rsidRPr="00C810FC" w14:paraId="24B82D75" w14:textId="77777777" w:rsidTr="00C810FC">
        <w:trPr>
          <w:tblCellSpacing w:w="15" w:type="dxa"/>
        </w:trPr>
        <w:tc>
          <w:tcPr>
            <w:tcW w:w="1985" w:type="dxa"/>
            <w:vAlign w:val="center"/>
            <w:hideMark/>
          </w:tcPr>
          <w:p w14:paraId="42F3477A" w14:textId="77777777" w:rsidR="00C810FC" w:rsidRPr="00C810FC" w:rsidRDefault="00C810FC" w:rsidP="00C810FC">
            <w:pPr>
              <w:rPr>
                <w:sz w:val="20"/>
                <w:szCs w:val="20"/>
                <w:lang w:val="en-GB"/>
              </w:rPr>
            </w:pPr>
            <w:r w:rsidRPr="00C810FC">
              <w:rPr>
                <w:b/>
                <w:bCs/>
                <w:sz w:val="20"/>
                <w:szCs w:val="20"/>
                <w:lang w:val="en-GB"/>
              </w:rPr>
              <w:t>Long-Term Orientation (LTO)</w:t>
            </w:r>
          </w:p>
        </w:tc>
        <w:tc>
          <w:tcPr>
            <w:tcW w:w="1049" w:type="dxa"/>
            <w:vAlign w:val="center"/>
            <w:hideMark/>
          </w:tcPr>
          <w:p w14:paraId="0A09DE67" w14:textId="77777777" w:rsidR="00C810FC" w:rsidRPr="00C810FC" w:rsidRDefault="00C810FC" w:rsidP="00C810FC">
            <w:pPr>
              <w:rPr>
                <w:lang w:val="en-GB"/>
              </w:rPr>
            </w:pPr>
            <w:r w:rsidRPr="00C810FC">
              <w:rPr>
                <w:lang w:val="en-GB"/>
              </w:rPr>
              <w:t>51</w:t>
            </w:r>
          </w:p>
        </w:tc>
        <w:tc>
          <w:tcPr>
            <w:tcW w:w="0" w:type="auto"/>
            <w:vAlign w:val="center"/>
            <w:hideMark/>
          </w:tcPr>
          <w:p w14:paraId="37A5C90B" w14:textId="77777777" w:rsidR="00C810FC" w:rsidRPr="00C810FC" w:rsidRDefault="00C810FC" w:rsidP="00C810FC">
            <w:pPr>
              <w:rPr>
                <w:lang w:val="en-GB"/>
              </w:rPr>
            </w:pPr>
            <w:r w:rsidRPr="00C810FC">
              <w:rPr>
                <w:lang w:val="en-GB"/>
              </w:rPr>
              <w:t>83</w:t>
            </w:r>
          </w:p>
        </w:tc>
        <w:tc>
          <w:tcPr>
            <w:tcW w:w="0" w:type="auto"/>
            <w:vAlign w:val="center"/>
            <w:hideMark/>
          </w:tcPr>
          <w:p w14:paraId="6E1E8A9A" w14:textId="77777777" w:rsidR="00C810FC" w:rsidRPr="00C810FC" w:rsidRDefault="00C810FC" w:rsidP="00C810FC">
            <w:pPr>
              <w:rPr>
                <w:sz w:val="20"/>
                <w:szCs w:val="20"/>
                <w:lang w:val="en-GB"/>
              </w:rPr>
            </w:pPr>
            <w:r w:rsidRPr="00C810FC">
              <w:rPr>
                <w:sz w:val="20"/>
                <w:szCs w:val="20"/>
                <w:lang w:val="en-GB"/>
              </w:rPr>
              <w:t>Germany’s high long-term orientation supports sustainable innovation narratives and life-cycle value. In the UK, short- to mid-term benefits such as flexible finance or convenience drive engagement.</w:t>
            </w:r>
          </w:p>
        </w:tc>
      </w:tr>
      <w:tr w:rsidR="00C810FC" w:rsidRPr="00C810FC" w14:paraId="4FC88468" w14:textId="77777777" w:rsidTr="00C810FC">
        <w:trPr>
          <w:tblCellSpacing w:w="15" w:type="dxa"/>
        </w:trPr>
        <w:tc>
          <w:tcPr>
            <w:tcW w:w="1985" w:type="dxa"/>
            <w:vAlign w:val="center"/>
            <w:hideMark/>
          </w:tcPr>
          <w:p w14:paraId="48B4B08E" w14:textId="77777777" w:rsidR="00C810FC" w:rsidRPr="00C810FC" w:rsidRDefault="00C810FC" w:rsidP="00C810FC">
            <w:pPr>
              <w:rPr>
                <w:sz w:val="20"/>
                <w:szCs w:val="20"/>
                <w:lang w:val="en-GB"/>
              </w:rPr>
            </w:pPr>
            <w:r w:rsidRPr="00C810FC">
              <w:rPr>
                <w:b/>
                <w:bCs/>
                <w:sz w:val="20"/>
                <w:szCs w:val="20"/>
                <w:lang w:val="en-GB"/>
              </w:rPr>
              <w:t>Indulgence (IVR)</w:t>
            </w:r>
          </w:p>
        </w:tc>
        <w:tc>
          <w:tcPr>
            <w:tcW w:w="1049" w:type="dxa"/>
            <w:vAlign w:val="center"/>
            <w:hideMark/>
          </w:tcPr>
          <w:p w14:paraId="56E60343" w14:textId="77777777" w:rsidR="00C810FC" w:rsidRPr="00C810FC" w:rsidRDefault="00C810FC" w:rsidP="00C810FC">
            <w:pPr>
              <w:rPr>
                <w:lang w:val="en-GB"/>
              </w:rPr>
            </w:pPr>
            <w:r w:rsidRPr="00C810FC">
              <w:rPr>
                <w:lang w:val="en-GB"/>
              </w:rPr>
              <w:t>69</w:t>
            </w:r>
          </w:p>
        </w:tc>
        <w:tc>
          <w:tcPr>
            <w:tcW w:w="0" w:type="auto"/>
            <w:vAlign w:val="center"/>
            <w:hideMark/>
          </w:tcPr>
          <w:p w14:paraId="51180CB6" w14:textId="77777777" w:rsidR="00C810FC" w:rsidRPr="00C810FC" w:rsidRDefault="00C810FC" w:rsidP="00C810FC">
            <w:pPr>
              <w:rPr>
                <w:lang w:val="en-GB"/>
              </w:rPr>
            </w:pPr>
            <w:r w:rsidRPr="00C810FC">
              <w:rPr>
                <w:lang w:val="en-GB"/>
              </w:rPr>
              <w:t>40</w:t>
            </w:r>
          </w:p>
        </w:tc>
        <w:tc>
          <w:tcPr>
            <w:tcW w:w="0" w:type="auto"/>
            <w:vAlign w:val="center"/>
            <w:hideMark/>
          </w:tcPr>
          <w:p w14:paraId="0B4954AB" w14:textId="77777777" w:rsidR="00C810FC" w:rsidRDefault="00C810FC" w:rsidP="00C810FC">
            <w:pPr>
              <w:rPr>
                <w:sz w:val="20"/>
                <w:szCs w:val="20"/>
                <w:lang w:val="en-GB"/>
              </w:rPr>
            </w:pPr>
            <w:r w:rsidRPr="00C810FC">
              <w:rPr>
                <w:sz w:val="20"/>
                <w:szCs w:val="20"/>
                <w:lang w:val="en-GB"/>
              </w:rPr>
              <w:t>UK consumers are more pleasure-driven, allowing lifestyle and aspirational advertising. German campaigns should remain more pragmatic and grounded in product function and value.</w:t>
            </w:r>
          </w:p>
          <w:p w14:paraId="22AC871F" w14:textId="77777777" w:rsidR="00ED3C18" w:rsidRPr="00C810FC" w:rsidRDefault="00ED3C18" w:rsidP="00C810FC">
            <w:pPr>
              <w:rPr>
                <w:sz w:val="20"/>
                <w:szCs w:val="20"/>
                <w:lang w:val="en-GB"/>
              </w:rPr>
            </w:pPr>
          </w:p>
        </w:tc>
      </w:tr>
    </w:tbl>
    <w:p w14:paraId="38F73A9C" w14:textId="58013BF0" w:rsidR="0033106A" w:rsidRPr="00ED3C18" w:rsidRDefault="0033106A" w:rsidP="0033106A">
      <w:pPr>
        <w:rPr>
          <w:lang w:val="en-GB"/>
        </w:rPr>
      </w:pPr>
      <w:r w:rsidRPr="00ED3C18">
        <w:rPr>
          <w:lang w:val="en-GB"/>
        </w:rPr>
        <w:t xml:space="preserve">Appendix A7 </w:t>
      </w:r>
    </w:p>
    <w:p w14:paraId="7AE09291" w14:textId="1EE9FB37" w:rsidR="00C22E95" w:rsidRPr="00C22E95" w:rsidRDefault="00C22E95" w:rsidP="00C22E95">
      <w:pPr>
        <w:rPr>
          <w:lang w:val="en-GB"/>
        </w:rPr>
      </w:pPr>
      <w:r w:rsidRPr="00C22E95">
        <w:rPr>
          <w:noProof/>
          <w:lang w:val="en-GB"/>
        </w:rPr>
        <w:lastRenderedPageBreak/>
        <w:drawing>
          <wp:inline distT="0" distB="0" distL="0" distR="0" wp14:anchorId="24EEDEA8" wp14:editId="556D2A6B">
            <wp:extent cx="5486400" cy="4702810"/>
            <wp:effectExtent l="0" t="0" r="0" b="2540"/>
            <wp:docPr id="646876322" name="Picture 1" descr="A graph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876322" name="Picture 1" descr="A graph with numbers and symbols&#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4702810"/>
                    </a:xfrm>
                    <a:prstGeom prst="rect">
                      <a:avLst/>
                    </a:prstGeom>
                    <a:noFill/>
                    <a:ln>
                      <a:noFill/>
                    </a:ln>
                  </pic:spPr>
                </pic:pic>
              </a:graphicData>
            </a:graphic>
          </wp:inline>
        </w:drawing>
      </w:r>
    </w:p>
    <w:p w14:paraId="39ADB635" w14:textId="77777777" w:rsidR="00A34A0A" w:rsidRDefault="00A34A0A">
      <w:pPr>
        <w:rPr>
          <w:b/>
          <w:bCs/>
        </w:rPr>
      </w:pPr>
    </w:p>
    <w:p w14:paraId="4ACD5D24" w14:textId="77777777" w:rsidR="00944748" w:rsidRPr="00944748" w:rsidRDefault="00944748" w:rsidP="00944748">
      <w:pPr>
        <w:pStyle w:val="Heading2"/>
        <w:ind w:left="720"/>
        <w:jc w:val="left"/>
        <w:rPr>
          <w:lang w:val="en-GB"/>
        </w:rPr>
      </w:pPr>
    </w:p>
    <w:p w14:paraId="2EBB37B0" w14:textId="77777777" w:rsidR="00701E5C" w:rsidRDefault="00701E5C" w:rsidP="00991A00">
      <w:pPr>
        <w:pStyle w:val="Heading2"/>
      </w:pPr>
    </w:p>
    <w:sectPr w:rsidR="00701E5C" w:rsidSect="00701E5C">
      <w:footerReference w:type="default" r:id="rId19"/>
      <w:pgSz w:w="12240" w:h="15840"/>
      <w:pgMar w:top="1440" w:right="1800" w:bottom="1440" w:left="180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A930D" w14:textId="77777777" w:rsidR="003D7A55" w:rsidRDefault="003D7A55" w:rsidP="00701E5C">
      <w:pPr>
        <w:spacing w:after="0" w:line="240" w:lineRule="auto"/>
      </w:pPr>
      <w:r>
        <w:separator/>
      </w:r>
    </w:p>
  </w:endnote>
  <w:endnote w:type="continuationSeparator" w:id="0">
    <w:p w14:paraId="445208EB" w14:textId="77777777" w:rsidR="003D7A55" w:rsidRDefault="003D7A55" w:rsidP="00701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4841027"/>
      <w:docPartObj>
        <w:docPartGallery w:val="Page Numbers (Bottom of Page)"/>
        <w:docPartUnique/>
      </w:docPartObj>
    </w:sdtPr>
    <w:sdtEndPr>
      <w:rPr>
        <w:color w:val="7F7F7F" w:themeColor="background1" w:themeShade="7F"/>
        <w:spacing w:val="60"/>
      </w:rPr>
    </w:sdtEndPr>
    <w:sdtContent>
      <w:p w14:paraId="431A9E83" w14:textId="5777250E" w:rsidR="00473920" w:rsidRDefault="0047392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CFA7A95" w14:textId="77777777" w:rsidR="00E72AE2" w:rsidRDefault="00E72A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1DBCF" w14:textId="77777777" w:rsidR="003D7A55" w:rsidRDefault="003D7A55" w:rsidP="00701E5C">
      <w:pPr>
        <w:spacing w:after="0" w:line="240" w:lineRule="auto"/>
      </w:pPr>
      <w:r>
        <w:separator/>
      </w:r>
    </w:p>
  </w:footnote>
  <w:footnote w:type="continuationSeparator" w:id="0">
    <w:p w14:paraId="0433B219" w14:textId="77777777" w:rsidR="003D7A55" w:rsidRDefault="003D7A55" w:rsidP="00701E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2C74196"/>
    <w:multiLevelType w:val="hybridMultilevel"/>
    <w:tmpl w:val="3AFC20D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F2045CA"/>
    <w:multiLevelType w:val="multilevel"/>
    <w:tmpl w:val="3CEA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4104FA"/>
    <w:multiLevelType w:val="hybridMultilevel"/>
    <w:tmpl w:val="3EB61D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9244F2"/>
    <w:multiLevelType w:val="multilevel"/>
    <w:tmpl w:val="7FF8E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0C7BD7"/>
    <w:multiLevelType w:val="hybridMultilevel"/>
    <w:tmpl w:val="3EB61D8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69343331">
    <w:abstractNumId w:val="8"/>
  </w:num>
  <w:num w:numId="2" w16cid:durableId="1490756874">
    <w:abstractNumId w:val="6"/>
  </w:num>
  <w:num w:numId="3" w16cid:durableId="2043282082">
    <w:abstractNumId w:val="5"/>
  </w:num>
  <w:num w:numId="4" w16cid:durableId="994383142">
    <w:abstractNumId w:val="4"/>
  </w:num>
  <w:num w:numId="5" w16cid:durableId="1096251064">
    <w:abstractNumId w:val="7"/>
  </w:num>
  <w:num w:numId="6" w16cid:durableId="1730684526">
    <w:abstractNumId w:val="3"/>
  </w:num>
  <w:num w:numId="7" w16cid:durableId="1933928202">
    <w:abstractNumId w:val="2"/>
  </w:num>
  <w:num w:numId="8" w16cid:durableId="1822380076">
    <w:abstractNumId w:val="1"/>
  </w:num>
  <w:num w:numId="9" w16cid:durableId="1859804914">
    <w:abstractNumId w:val="0"/>
  </w:num>
  <w:num w:numId="10" w16cid:durableId="1807888170">
    <w:abstractNumId w:val="12"/>
  </w:num>
  <w:num w:numId="11" w16cid:durableId="1175608971">
    <w:abstractNumId w:val="10"/>
  </w:num>
  <w:num w:numId="12" w16cid:durableId="1720788699">
    <w:abstractNumId w:val="11"/>
  </w:num>
  <w:num w:numId="13" w16cid:durableId="1212185806">
    <w:abstractNumId w:val="9"/>
  </w:num>
  <w:num w:numId="14" w16cid:durableId="101537720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1BFD"/>
    <w:rsid w:val="00034495"/>
    <w:rsid w:val="00034616"/>
    <w:rsid w:val="00045E22"/>
    <w:rsid w:val="00045E83"/>
    <w:rsid w:val="00045E87"/>
    <w:rsid w:val="0006063C"/>
    <w:rsid w:val="000704DD"/>
    <w:rsid w:val="00075C5B"/>
    <w:rsid w:val="000B7AF8"/>
    <w:rsid w:val="000D32D4"/>
    <w:rsid w:val="000E0DB0"/>
    <w:rsid w:val="000E2830"/>
    <w:rsid w:val="0011620D"/>
    <w:rsid w:val="00122E6E"/>
    <w:rsid w:val="00123502"/>
    <w:rsid w:val="00142FA3"/>
    <w:rsid w:val="00144DB9"/>
    <w:rsid w:val="0015074B"/>
    <w:rsid w:val="001621ED"/>
    <w:rsid w:val="00164EA6"/>
    <w:rsid w:val="00166F0F"/>
    <w:rsid w:val="0017175C"/>
    <w:rsid w:val="0019021C"/>
    <w:rsid w:val="0019211E"/>
    <w:rsid w:val="00192E38"/>
    <w:rsid w:val="0019662A"/>
    <w:rsid w:val="001B7736"/>
    <w:rsid w:val="001C1D1C"/>
    <w:rsid w:val="001E3098"/>
    <w:rsid w:val="001F3833"/>
    <w:rsid w:val="001F68CF"/>
    <w:rsid w:val="002019C6"/>
    <w:rsid w:val="00224FDB"/>
    <w:rsid w:val="0022680D"/>
    <w:rsid w:val="002332AB"/>
    <w:rsid w:val="00246472"/>
    <w:rsid w:val="00262F46"/>
    <w:rsid w:val="002635B0"/>
    <w:rsid w:val="002653ED"/>
    <w:rsid w:val="00267067"/>
    <w:rsid w:val="002752DC"/>
    <w:rsid w:val="002871A9"/>
    <w:rsid w:val="0029639D"/>
    <w:rsid w:val="002A3791"/>
    <w:rsid w:val="002A4C3F"/>
    <w:rsid w:val="002B7464"/>
    <w:rsid w:val="002C037A"/>
    <w:rsid w:val="002C67C0"/>
    <w:rsid w:val="002D04A0"/>
    <w:rsid w:val="002E0542"/>
    <w:rsid w:val="003210EE"/>
    <w:rsid w:val="00326F90"/>
    <w:rsid w:val="0033106A"/>
    <w:rsid w:val="00333AE7"/>
    <w:rsid w:val="00345AA7"/>
    <w:rsid w:val="003473CA"/>
    <w:rsid w:val="00353FEA"/>
    <w:rsid w:val="003547D8"/>
    <w:rsid w:val="003608A3"/>
    <w:rsid w:val="00364F1C"/>
    <w:rsid w:val="00366956"/>
    <w:rsid w:val="00373EE0"/>
    <w:rsid w:val="003B159D"/>
    <w:rsid w:val="003D5C3C"/>
    <w:rsid w:val="003D7A55"/>
    <w:rsid w:val="003E3A3E"/>
    <w:rsid w:val="00426C85"/>
    <w:rsid w:val="004475AF"/>
    <w:rsid w:val="004659ED"/>
    <w:rsid w:val="00467484"/>
    <w:rsid w:val="00473920"/>
    <w:rsid w:val="00475137"/>
    <w:rsid w:val="004B0F55"/>
    <w:rsid w:val="004C6AF5"/>
    <w:rsid w:val="004D4187"/>
    <w:rsid w:val="004D7424"/>
    <w:rsid w:val="004E3DE8"/>
    <w:rsid w:val="004F53D7"/>
    <w:rsid w:val="005256AD"/>
    <w:rsid w:val="00536BDE"/>
    <w:rsid w:val="00541746"/>
    <w:rsid w:val="00541EDE"/>
    <w:rsid w:val="00542043"/>
    <w:rsid w:val="005529CE"/>
    <w:rsid w:val="00562EFB"/>
    <w:rsid w:val="005731C1"/>
    <w:rsid w:val="00576F74"/>
    <w:rsid w:val="0058002B"/>
    <w:rsid w:val="005828E9"/>
    <w:rsid w:val="005D57FE"/>
    <w:rsid w:val="005E09F0"/>
    <w:rsid w:val="005E2410"/>
    <w:rsid w:val="005F1E8F"/>
    <w:rsid w:val="005F6820"/>
    <w:rsid w:val="0060347A"/>
    <w:rsid w:val="00606BAA"/>
    <w:rsid w:val="00614075"/>
    <w:rsid w:val="006209D3"/>
    <w:rsid w:val="006336AC"/>
    <w:rsid w:val="006377AD"/>
    <w:rsid w:val="00641B2C"/>
    <w:rsid w:val="006632E4"/>
    <w:rsid w:val="006660A6"/>
    <w:rsid w:val="00684B6F"/>
    <w:rsid w:val="00685A5A"/>
    <w:rsid w:val="006976E6"/>
    <w:rsid w:val="006B246D"/>
    <w:rsid w:val="006C6FF2"/>
    <w:rsid w:val="00701E5C"/>
    <w:rsid w:val="00713632"/>
    <w:rsid w:val="00725446"/>
    <w:rsid w:val="007413B3"/>
    <w:rsid w:val="007621B6"/>
    <w:rsid w:val="00766344"/>
    <w:rsid w:val="00775BE0"/>
    <w:rsid w:val="00777713"/>
    <w:rsid w:val="007944A5"/>
    <w:rsid w:val="007944D6"/>
    <w:rsid w:val="00797A2D"/>
    <w:rsid w:val="007B15F3"/>
    <w:rsid w:val="007F2FAE"/>
    <w:rsid w:val="00815AE1"/>
    <w:rsid w:val="00830455"/>
    <w:rsid w:val="008439C5"/>
    <w:rsid w:val="008471F6"/>
    <w:rsid w:val="00854403"/>
    <w:rsid w:val="00854A3D"/>
    <w:rsid w:val="00855A57"/>
    <w:rsid w:val="0085640E"/>
    <w:rsid w:val="00856AC6"/>
    <w:rsid w:val="00863EE4"/>
    <w:rsid w:val="008672A7"/>
    <w:rsid w:val="00871855"/>
    <w:rsid w:val="00873B56"/>
    <w:rsid w:val="00883890"/>
    <w:rsid w:val="00884D1C"/>
    <w:rsid w:val="008A17FA"/>
    <w:rsid w:val="008C1962"/>
    <w:rsid w:val="008C27BF"/>
    <w:rsid w:val="008D3670"/>
    <w:rsid w:val="00914D8F"/>
    <w:rsid w:val="00944748"/>
    <w:rsid w:val="00961EDF"/>
    <w:rsid w:val="00965A34"/>
    <w:rsid w:val="0096779E"/>
    <w:rsid w:val="00991A00"/>
    <w:rsid w:val="009E486F"/>
    <w:rsid w:val="00A01C94"/>
    <w:rsid w:val="00A04D25"/>
    <w:rsid w:val="00A113FE"/>
    <w:rsid w:val="00A34A0A"/>
    <w:rsid w:val="00A35CE4"/>
    <w:rsid w:val="00A436FE"/>
    <w:rsid w:val="00A46B2B"/>
    <w:rsid w:val="00A631F9"/>
    <w:rsid w:val="00A6588A"/>
    <w:rsid w:val="00A70CEE"/>
    <w:rsid w:val="00A74AE9"/>
    <w:rsid w:val="00A77A51"/>
    <w:rsid w:val="00AA1D8D"/>
    <w:rsid w:val="00AA266F"/>
    <w:rsid w:val="00AB0253"/>
    <w:rsid w:val="00AB58CA"/>
    <w:rsid w:val="00AB60FF"/>
    <w:rsid w:val="00AC4878"/>
    <w:rsid w:val="00AE4B32"/>
    <w:rsid w:val="00AE51CB"/>
    <w:rsid w:val="00AF4951"/>
    <w:rsid w:val="00B00C16"/>
    <w:rsid w:val="00B02A9E"/>
    <w:rsid w:val="00B13646"/>
    <w:rsid w:val="00B47730"/>
    <w:rsid w:val="00B50D4B"/>
    <w:rsid w:val="00B71839"/>
    <w:rsid w:val="00B72761"/>
    <w:rsid w:val="00B8554D"/>
    <w:rsid w:val="00B92A84"/>
    <w:rsid w:val="00B974FF"/>
    <w:rsid w:val="00BB63BD"/>
    <w:rsid w:val="00BC4A21"/>
    <w:rsid w:val="00BD2070"/>
    <w:rsid w:val="00BE5D0B"/>
    <w:rsid w:val="00BE66D6"/>
    <w:rsid w:val="00C1292E"/>
    <w:rsid w:val="00C153D5"/>
    <w:rsid w:val="00C22E95"/>
    <w:rsid w:val="00C53F17"/>
    <w:rsid w:val="00C810FC"/>
    <w:rsid w:val="00CA0531"/>
    <w:rsid w:val="00CB0664"/>
    <w:rsid w:val="00CD4B66"/>
    <w:rsid w:val="00CE5304"/>
    <w:rsid w:val="00CF1275"/>
    <w:rsid w:val="00D06FEC"/>
    <w:rsid w:val="00D14B99"/>
    <w:rsid w:val="00D16249"/>
    <w:rsid w:val="00D16483"/>
    <w:rsid w:val="00D4744E"/>
    <w:rsid w:val="00D61D39"/>
    <w:rsid w:val="00D707F4"/>
    <w:rsid w:val="00D74D64"/>
    <w:rsid w:val="00D80D13"/>
    <w:rsid w:val="00DA1A48"/>
    <w:rsid w:val="00DB5B49"/>
    <w:rsid w:val="00DC5345"/>
    <w:rsid w:val="00DE2EEF"/>
    <w:rsid w:val="00E112D3"/>
    <w:rsid w:val="00E15AE1"/>
    <w:rsid w:val="00E22686"/>
    <w:rsid w:val="00E41894"/>
    <w:rsid w:val="00E57D46"/>
    <w:rsid w:val="00E62676"/>
    <w:rsid w:val="00E67475"/>
    <w:rsid w:val="00E72AE2"/>
    <w:rsid w:val="00E82601"/>
    <w:rsid w:val="00E863CA"/>
    <w:rsid w:val="00E96F9F"/>
    <w:rsid w:val="00E97B89"/>
    <w:rsid w:val="00EA247D"/>
    <w:rsid w:val="00EA320E"/>
    <w:rsid w:val="00EB2F9A"/>
    <w:rsid w:val="00ED3C18"/>
    <w:rsid w:val="00EE2AEE"/>
    <w:rsid w:val="00EF5A9C"/>
    <w:rsid w:val="00F0228F"/>
    <w:rsid w:val="00F11D70"/>
    <w:rsid w:val="00F278EB"/>
    <w:rsid w:val="00F36DD6"/>
    <w:rsid w:val="00F56F71"/>
    <w:rsid w:val="00F62905"/>
    <w:rsid w:val="00F6745F"/>
    <w:rsid w:val="00F746E2"/>
    <w:rsid w:val="00F85DDE"/>
    <w:rsid w:val="00FC693F"/>
    <w:rsid w:val="00FC7270"/>
    <w:rsid w:val="00FD5C56"/>
    <w:rsid w:val="00FE1FB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91CCBE0"/>
  <w14:defaultImageDpi w14:val="300"/>
  <w15:docId w15:val="{7CB31AC1-E05B-4033-B41C-710AEAE04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9C5"/>
    <w:rPr>
      <w:rFonts w:ascii="Arial" w:hAnsi="Arial"/>
      <w:sz w:val="24"/>
    </w:rPr>
  </w:style>
  <w:style w:type="paragraph" w:styleId="Heading1">
    <w:name w:val="heading 1"/>
    <w:basedOn w:val="Normal"/>
    <w:next w:val="Normal"/>
    <w:link w:val="Heading1Char"/>
    <w:uiPriority w:val="9"/>
    <w:qFormat/>
    <w:rsid w:val="0058002B"/>
    <w:pPr>
      <w:keepNext/>
      <w:keepLines/>
      <w:spacing w:before="320" w:after="80" w:line="240" w:lineRule="auto"/>
      <w:jc w:val="center"/>
      <w:outlineLvl w:val="0"/>
    </w:pPr>
    <w:rPr>
      <w:rFonts w:eastAsiaTheme="majorEastAsia" w:cstheme="majorBidi"/>
      <w:color w:val="374C80" w:themeColor="accent1" w:themeShade="BF"/>
      <w:sz w:val="28"/>
      <w:szCs w:val="40"/>
    </w:rPr>
  </w:style>
  <w:style w:type="paragraph" w:styleId="Heading2">
    <w:name w:val="heading 2"/>
    <w:basedOn w:val="Normal"/>
    <w:next w:val="Normal"/>
    <w:link w:val="Heading2Char"/>
    <w:uiPriority w:val="9"/>
    <w:unhideWhenUsed/>
    <w:qFormat/>
    <w:rsid w:val="00863EE4"/>
    <w:pPr>
      <w:keepNext/>
      <w:keepLines/>
      <w:spacing w:before="160" w:after="40" w:line="240" w:lineRule="auto"/>
      <w:jc w:val="center"/>
      <w:outlineLvl w:val="1"/>
    </w:pPr>
    <w:rPr>
      <w:rFonts w:eastAsiaTheme="majorEastAsia" w:cstheme="majorBidi"/>
      <w:szCs w:val="32"/>
    </w:rPr>
  </w:style>
  <w:style w:type="paragraph" w:styleId="Heading3">
    <w:name w:val="heading 3"/>
    <w:basedOn w:val="Normal"/>
    <w:next w:val="Normal"/>
    <w:link w:val="Heading3Char"/>
    <w:uiPriority w:val="9"/>
    <w:unhideWhenUsed/>
    <w:qFormat/>
    <w:rsid w:val="00701E5C"/>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701E5C"/>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701E5C"/>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701E5C"/>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701E5C"/>
    <w:pPr>
      <w:keepNext/>
      <w:keepLines/>
      <w:spacing w:before="40" w:after="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701E5C"/>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701E5C"/>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701E5C"/>
    <w:pPr>
      <w:spacing w:after="0" w:line="240" w:lineRule="auto"/>
    </w:pPr>
  </w:style>
  <w:style w:type="character" w:customStyle="1" w:styleId="Heading1Char">
    <w:name w:val="Heading 1 Char"/>
    <w:basedOn w:val="DefaultParagraphFont"/>
    <w:link w:val="Heading1"/>
    <w:uiPriority w:val="9"/>
    <w:rsid w:val="0058002B"/>
    <w:rPr>
      <w:rFonts w:ascii="Arial" w:eastAsiaTheme="majorEastAsia" w:hAnsi="Arial" w:cstheme="majorBidi"/>
      <w:color w:val="374C80" w:themeColor="accent1" w:themeShade="BF"/>
      <w:sz w:val="28"/>
      <w:szCs w:val="40"/>
    </w:rPr>
  </w:style>
  <w:style w:type="character" w:customStyle="1" w:styleId="Heading2Char">
    <w:name w:val="Heading 2 Char"/>
    <w:basedOn w:val="DefaultParagraphFont"/>
    <w:link w:val="Heading2"/>
    <w:uiPriority w:val="9"/>
    <w:rsid w:val="00863EE4"/>
    <w:rPr>
      <w:rFonts w:ascii="Arial" w:eastAsiaTheme="majorEastAsia" w:hAnsi="Arial" w:cstheme="majorBidi"/>
      <w:sz w:val="24"/>
      <w:szCs w:val="32"/>
    </w:rPr>
  </w:style>
  <w:style w:type="character" w:customStyle="1" w:styleId="Heading3Char">
    <w:name w:val="Heading 3 Char"/>
    <w:basedOn w:val="DefaultParagraphFont"/>
    <w:link w:val="Heading3"/>
    <w:uiPriority w:val="9"/>
    <w:rsid w:val="00701E5C"/>
    <w:rPr>
      <w:rFonts w:asciiTheme="majorHAnsi" w:eastAsiaTheme="majorEastAsia" w:hAnsiTheme="majorHAnsi" w:cstheme="majorBidi"/>
      <w:sz w:val="32"/>
      <w:szCs w:val="32"/>
    </w:rPr>
  </w:style>
  <w:style w:type="paragraph" w:styleId="Title">
    <w:name w:val="Title"/>
    <w:basedOn w:val="Normal"/>
    <w:next w:val="Normal"/>
    <w:link w:val="TitleChar"/>
    <w:uiPriority w:val="10"/>
    <w:qFormat/>
    <w:rsid w:val="00701E5C"/>
    <w:pPr>
      <w:pBdr>
        <w:top w:val="single" w:sz="6" w:space="8" w:color="297FD5" w:themeColor="accent3"/>
        <w:bottom w:val="single" w:sz="6" w:space="8" w:color="297FD5" w:themeColor="accent3"/>
      </w:pBdr>
      <w:spacing w:after="400" w:line="240" w:lineRule="auto"/>
      <w:contextualSpacing/>
      <w:jc w:val="center"/>
    </w:pPr>
    <w:rPr>
      <w:rFonts w:asciiTheme="majorHAnsi" w:eastAsiaTheme="majorEastAsia" w:hAnsiTheme="majorHAnsi" w:cstheme="majorBidi"/>
      <w:caps/>
      <w:color w:val="242852" w:themeColor="text2"/>
      <w:spacing w:val="30"/>
      <w:sz w:val="72"/>
      <w:szCs w:val="72"/>
    </w:rPr>
  </w:style>
  <w:style w:type="character" w:customStyle="1" w:styleId="TitleChar">
    <w:name w:val="Title Char"/>
    <w:basedOn w:val="DefaultParagraphFont"/>
    <w:link w:val="Title"/>
    <w:uiPriority w:val="10"/>
    <w:rsid w:val="00701E5C"/>
    <w:rPr>
      <w:rFonts w:asciiTheme="majorHAnsi" w:eastAsiaTheme="majorEastAsia" w:hAnsiTheme="majorHAnsi" w:cstheme="majorBidi"/>
      <w:caps/>
      <w:color w:val="242852" w:themeColor="text2"/>
      <w:spacing w:val="30"/>
      <w:sz w:val="72"/>
      <w:szCs w:val="72"/>
    </w:rPr>
  </w:style>
  <w:style w:type="paragraph" w:styleId="Subtitle">
    <w:name w:val="Subtitle"/>
    <w:basedOn w:val="Normal"/>
    <w:next w:val="Normal"/>
    <w:link w:val="SubtitleChar"/>
    <w:uiPriority w:val="11"/>
    <w:qFormat/>
    <w:rsid w:val="00701E5C"/>
    <w:pPr>
      <w:numPr>
        <w:ilvl w:val="1"/>
      </w:numPr>
      <w:jc w:val="center"/>
    </w:pPr>
    <w:rPr>
      <w:color w:val="242852" w:themeColor="text2"/>
      <w:sz w:val="28"/>
      <w:szCs w:val="28"/>
    </w:rPr>
  </w:style>
  <w:style w:type="character" w:customStyle="1" w:styleId="SubtitleChar">
    <w:name w:val="Subtitle Char"/>
    <w:basedOn w:val="DefaultParagraphFont"/>
    <w:link w:val="Subtitle"/>
    <w:uiPriority w:val="11"/>
    <w:rsid w:val="00701E5C"/>
    <w:rPr>
      <w:color w:val="242852" w:themeColor="text2"/>
      <w:sz w:val="28"/>
      <w:szCs w:val="28"/>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701E5C"/>
    <w:pPr>
      <w:spacing w:before="160"/>
      <w:ind w:left="720" w:right="720"/>
      <w:jc w:val="center"/>
    </w:pPr>
    <w:rPr>
      <w:i/>
      <w:iCs/>
      <w:color w:val="1E5E9F" w:themeColor="accent3" w:themeShade="BF"/>
      <w:szCs w:val="24"/>
    </w:rPr>
  </w:style>
  <w:style w:type="character" w:customStyle="1" w:styleId="QuoteChar">
    <w:name w:val="Quote Char"/>
    <w:basedOn w:val="DefaultParagraphFont"/>
    <w:link w:val="Quote"/>
    <w:uiPriority w:val="29"/>
    <w:rsid w:val="00701E5C"/>
    <w:rPr>
      <w:i/>
      <w:iCs/>
      <w:color w:val="1E5E9F" w:themeColor="accent3" w:themeShade="BF"/>
      <w:sz w:val="24"/>
      <w:szCs w:val="24"/>
    </w:rPr>
  </w:style>
  <w:style w:type="character" w:customStyle="1" w:styleId="Heading4Char">
    <w:name w:val="Heading 4 Char"/>
    <w:basedOn w:val="DefaultParagraphFont"/>
    <w:link w:val="Heading4"/>
    <w:uiPriority w:val="9"/>
    <w:semiHidden/>
    <w:rsid w:val="00701E5C"/>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701E5C"/>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701E5C"/>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701E5C"/>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701E5C"/>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701E5C"/>
    <w:rPr>
      <w:b/>
      <w:bCs/>
      <w:i/>
      <w:iCs/>
    </w:rPr>
  </w:style>
  <w:style w:type="paragraph" w:styleId="Caption">
    <w:name w:val="caption"/>
    <w:basedOn w:val="Normal"/>
    <w:next w:val="Normal"/>
    <w:uiPriority w:val="35"/>
    <w:semiHidden/>
    <w:unhideWhenUsed/>
    <w:qFormat/>
    <w:rsid w:val="00701E5C"/>
    <w:pPr>
      <w:spacing w:line="240" w:lineRule="auto"/>
    </w:pPr>
    <w:rPr>
      <w:b/>
      <w:bCs/>
      <w:color w:val="404040" w:themeColor="text1" w:themeTint="BF"/>
      <w:sz w:val="16"/>
      <w:szCs w:val="16"/>
    </w:rPr>
  </w:style>
  <w:style w:type="character" w:styleId="Strong">
    <w:name w:val="Strong"/>
    <w:basedOn w:val="DefaultParagraphFont"/>
    <w:uiPriority w:val="22"/>
    <w:qFormat/>
    <w:rsid w:val="00701E5C"/>
    <w:rPr>
      <w:b/>
      <w:bCs/>
    </w:rPr>
  </w:style>
  <w:style w:type="character" w:styleId="Emphasis">
    <w:name w:val="Emphasis"/>
    <w:basedOn w:val="DefaultParagraphFont"/>
    <w:uiPriority w:val="20"/>
    <w:qFormat/>
    <w:rsid w:val="00701E5C"/>
    <w:rPr>
      <w:i/>
      <w:iCs/>
      <w:color w:val="000000" w:themeColor="text1"/>
    </w:rPr>
  </w:style>
  <w:style w:type="paragraph" w:styleId="IntenseQuote">
    <w:name w:val="Intense Quote"/>
    <w:basedOn w:val="Normal"/>
    <w:next w:val="Normal"/>
    <w:link w:val="IntenseQuoteChar"/>
    <w:uiPriority w:val="30"/>
    <w:qFormat/>
    <w:rsid w:val="00701E5C"/>
    <w:pPr>
      <w:spacing w:before="160" w:line="276" w:lineRule="auto"/>
      <w:ind w:left="936" w:right="936"/>
      <w:jc w:val="center"/>
    </w:pPr>
    <w:rPr>
      <w:rFonts w:asciiTheme="majorHAnsi" w:eastAsiaTheme="majorEastAsia" w:hAnsiTheme="majorHAnsi" w:cstheme="majorBidi"/>
      <w:caps/>
      <w:color w:val="374C80" w:themeColor="accent1" w:themeShade="BF"/>
      <w:sz w:val="28"/>
      <w:szCs w:val="28"/>
    </w:rPr>
  </w:style>
  <w:style w:type="character" w:customStyle="1" w:styleId="IntenseQuoteChar">
    <w:name w:val="Intense Quote Char"/>
    <w:basedOn w:val="DefaultParagraphFont"/>
    <w:link w:val="IntenseQuote"/>
    <w:uiPriority w:val="30"/>
    <w:rsid w:val="00701E5C"/>
    <w:rPr>
      <w:rFonts w:asciiTheme="majorHAnsi" w:eastAsiaTheme="majorEastAsia" w:hAnsiTheme="majorHAnsi" w:cstheme="majorBidi"/>
      <w:caps/>
      <w:color w:val="374C80" w:themeColor="accent1" w:themeShade="BF"/>
      <w:sz w:val="28"/>
      <w:szCs w:val="28"/>
    </w:rPr>
  </w:style>
  <w:style w:type="character" w:styleId="SubtleEmphasis">
    <w:name w:val="Subtle Emphasis"/>
    <w:basedOn w:val="DefaultParagraphFont"/>
    <w:uiPriority w:val="19"/>
    <w:qFormat/>
    <w:rsid w:val="00701E5C"/>
    <w:rPr>
      <w:i/>
      <w:iCs/>
      <w:color w:val="595959" w:themeColor="text1" w:themeTint="A6"/>
    </w:rPr>
  </w:style>
  <w:style w:type="character" w:styleId="IntenseEmphasis">
    <w:name w:val="Intense Emphasis"/>
    <w:basedOn w:val="DefaultParagraphFont"/>
    <w:uiPriority w:val="21"/>
    <w:qFormat/>
    <w:rsid w:val="00701E5C"/>
    <w:rPr>
      <w:b/>
      <w:bCs/>
      <w:i/>
      <w:iCs/>
      <w:color w:val="auto"/>
    </w:rPr>
  </w:style>
  <w:style w:type="character" w:styleId="SubtleReference">
    <w:name w:val="Subtle Reference"/>
    <w:basedOn w:val="DefaultParagraphFont"/>
    <w:uiPriority w:val="31"/>
    <w:qFormat/>
    <w:rsid w:val="00701E5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01E5C"/>
    <w:rPr>
      <w:b/>
      <w:bCs/>
      <w:caps w:val="0"/>
      <w:smallCaps/>
      <w:color w:val="auto"/>
      <w:spacing w:val="0"/>
      <w:u w:val="single"/>
    </w:rPr>
  </w:style>
  <w:style w:type="character" w:styleId="BookTitle">
    <w:name w:val="Book Title"/>
    <w:basedOn w:val="DefaultParagraphFont"/>
    <w:uiPriority w:val="33"/>
    <w:qFormat/>
    <w:rsid w:val="00701E5C"/>
    <w:rPr>
      <w:b/>
      <w:bCs/>
      <w:caps w:val="0"/>
      <w:smallCaps/>
      <w:spacing w:val="0"/>
    </w:rPr>
  </w:style>
  <w:style w:type="paragraph" w:styleId="TOCHeading">
    <w:name w:val="TOC Heading"/>
    <w:basedOn w:val="Heading1"/>
    <w:next w:val="Normal"/>
    <w:uiPriority w:val="39"/>
    <w:unhideWhenUsed/>
    <w:qFormat/>
    <w:rsid w:val="00701E5C"/>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74C80" w:themeColor="accent1" w:themeShade="BF"/>
    </w:rPr>
    <w:tblPr>
      <w:tblStyleRowBandSize w:val="1"/>
      <w:tblStyleColBandSize w:val="1"/>
      <w:tblBorders>
        <w:top w:val="single" w:sz="8" w:space="0" w:color="4A66AC" w:themeColor="accent1"/>
        <w:bottom w:val="single" w:sz="8" w:space="0" w:color="4A66AC" w:themeColor="accent1"/>
      </w:tblBorders>
    </w:tblPr>
    <w:tblStylePr w:type="firstRow">
      <w:pPr>
        <w:spacing w:before="0" w:after="0" w:line="240" w:lineRule="auto"/>
      </w:pPr>
      <w:rPr>
        <w:b/>
        <w:bCs/>
      </w:rPr>
      <w:tblPr/>
      <w:tcPr>
        <w:tcBorders>
          <w:top w:val="single" w:sz="8" w:space="0" w:color="4A66AC" w:themeColor="accent1"/>
          <w:left w:val="nil"/>
          <w:bottom w:val="single" w:sz="8" w:space="0" w:color="4A66AC" w:themeColor="accent1"/>
          <w:right w:val="nil"/>
          <w:insideH w:val="nil"/>
          <w:insideV w:val="nil"/>
        </w:tcBorders>
      </w:tcPr>
    </w:tblStylePr>
    <w:tblStylePr w:type="lastRow">
      <w:pPr>
        <w:spacing w:before="0" w:after="0" w:line="240" w:lineRule="auto"/>
      </w:pPr>
      <w:rPr>
        <w:b/>
        <w:bCs/>
      </w:rPr>
      <w:tblPr/>
      <w:tcPr>
        <w:tcBorders>
          <w:top w:val="single" w:sz="8" w:space="0" w:color="4A66AC" w:themeColor="accent1"/>
          <w:left w:val="nil"/>
          <w:bottom w:val="single" w:sz="8" w:space="0" w:color="4A66AC"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1D8EB" w:themeFill="accent1" w:themeFillTint="3F"/>
      </w:tcPr>
    </w:tblStylePr>
    <w:tblStylePr w:type="band1Horz">
      <w:tblPr/>
      <w:tcPr>
        <w:tcBorders>
          <w:left w:val="nil"/>
          <w:right w:val="nil"/>
          <w:insideH w:val="nil"/>
          <w:insideV w:val="nil"/>
        </w:tcBorders>
        <w:shd w:val="clear" w:color="auto" w:fill="D1D8EB" w:themeFill="accent1" w:themeFillTint="3F"/>
      </w:tcPr>
    </w:tblStylePr>
  </w:style>
  <w:style w:type="table" w:styleId="LightShading-Accent2">
    <w:name w:val="Light Shading Accent 2"/>
    <w:basedOn w:val="TableNormal"/>
    <w:uiPriority w:val="60"/>
    <w:rsid w:val="00FC693F"/>
    <w:pPr>
      <w:spacing w:after="0" w:line="240" w:lineRule="auto"/>
    </w:pPr>
    <w:rPr>
      <w:color w:val="3476B1" w:themeColor="accent2" w:themeShade="BF"/>
    </w:rPr>
    <w:tblPr>
      <w:tblStyleRowBandSize w:val="1"/>
      <w:tblStyleColBandSize w:val="1"/>
      <w:tblBorders>
        <w:top w:val="single" w:sz="8" w:space="0" w:color="629DD1" w:themeColor="accent2"/>
        <w:bottom w:val="single" w:sz="8" w:space="0" w:color="629DD1" w:themeColor="accent2"/>
      </w:tblBorders>
    </w:tblPr>
    <w:tblStylePr w:type="firstRow">
      <w:pPr>
        <w:spacing w:before="0" w:after="0" w:line="240" w:lineRule="auto"/>
      </w:pPr>
      <w:rPr>
        <w:b/>
        <w:bCs/>
      </w:rPr>
      <w:tblPr/>
      <w:tcPr>
        <w:tcBorders>
          <w:top w:val="single" w:sz="8" w:space="0" w:color="629DD1" w:themeColor="accent2"/>
          <w:left w:val="nil"/>
          <w:bottom w:val="single" w:sz="8" w:space="0" w:color="629DD1" w:themeColor="accent2"/>
          <w:right w:val="nil"/>
          <w:insideH w:val="nil"/>
          <w:insideV w:val="nil"/>
        </w:tcBorders>
      </w:tcPr>
    </w:tblStylePr>
    <w:tblStylePr w:type="lastRow">
      <w:pPr>
        <w:spacing w:before="0" w:after="0" w:line="240" w:lineRule="auto"/>
      </w:pPr>
      <w:rPr>
        <w:b/>
        <w:bCs/>
      </w:rPr>
      <w:tblPr/>
      <w:tcPr>
        <w:tcBorders>
          <w:top w:val="single" w:sz="8" w:space="0" w:color="629DD1" w:themeColor="accent2"/>
          <w:left w:val="nil"/>
          <w:bottom w:val="single" w:sz="8" w:space="0" w:color="629DD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E6F3" w:themeFill="accent2" w:themeFillTint="3F"/>
      </w:tcPr>
    </w:tblStylePr>
    <w:tblStylePr w:type="band1Horz">
      <w:tblPr/>
      <w:tcPr>
        <w:tcBorders>
          <w:left w:val="nil"/>
          <w:right w:val="nil"/>
          <w:insideH w:val="nil"/>
          <w:insideV w:val="nil"/>
        </w:tcBorders>
        <w:shd w:val="clear" w:color="auto" w:fill="D8E6F3" w:themeFill="accent2" w:themeFillTint="3F"/>
      </w:tcPr>
    </w:tblStylePr>
  </w:style>
  <w:style w:type="table" w:styleId="LightShading-Accent3">
    <w:name w:val="Light Shading Accent 3"/>
    <w:basedOn w:val="TableNormal"/>
    <w:uiPriority w:val="60"/>
    <w:rsid w:val="00FC693F"/>
    <w:pPr>
      <w:spacing w:after="0" w:line="240" w:lineRule="auto"/>
    </w:pPr>
    <w:rPr>
      <w:color w:val="1E5E9F" w:themeColor="accent3" w:themeShade="BF"/>
    </w:rPr>
    <w:tblPr>
      <w:tblStyleRowBandSize w:val="1"/>
      <w:tblStyleColBandSize w:val="1"/>
      <w:tblBorders>
        <w:top w:val="single" w:sz="8" w:space="0" w:color="297FD5" w:themeColor="accent3"/>
        <w:bottom w:val="single" w:sz="8" w:space="0" w:color="297FD5" w:themeColor="accent3"/>
      </w:tblBorders>
    </w:tblPr>
    <w:tblStylePr w:type="firstRow">
      <w:pPr>
        <w:spacing w:before="0" w:after="0" w:line="240" w:lineRule="auto"/>
      </w:pPr>
      <w:rPr>
        <w:b/>
        <w:bCs/>
      </w:rPr>
      <w:tblPr/>
      <w:tcPr>
        <w:tcBorders>
          <w:top w:val="single" w:sz="8" w:space="0" w:color="297FD5" w:themeColor="accent3"/>
          <w:left w:val="nil"/>
          <w:bottom w:val="single" w:sz="8" w:space="0" w:color="297FD5" w:themeColor="accent3"/>
          <w:right w:val="nil"/>
          <w:insideH w:val="nil"/>
          <w:insideV w:val="nil"/>
        </w:tcBorders>
      </w:tcPr>
    </w:tblStylePr>
    <w:tblStylePr w:type="lastRow">
      <w:pPr>
        <w:spacing w:before="0" w:after="0" w:line="240" w:lineRule="auto"/>
      </w:pPr>
      <w:rPr>
        <w:b/>
        <w:bCs/>
      </w:rPr>
      <w:tblPr/>
      <w:tcPr>
        <w:tcBorders>
          <w:top w:val="single" w:sz="8" w:space="0" w:color="297FD5" w:themeColor="accent3"/>
          <w:left w:val="nil"/>
          <w:bottom w:val="single" w:sz="8" w:space="0" w:color="297FD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9DFF4" w:themeFill="accent3" w:themeFillTint="3F"/>
      </w:tcPr>
    </w:tblStylePr>
    <w:tblStylePr w:type="band1Horz">
      <w:tblPr/>
      <w:tcPr>
        <w:tcBorders>
          <w:left w:val="nil"/>
          <w:right w:val="nil"/>
          <w:insideH w:val="nil"/>
          <w:insideV w:val="nil"/>
        </w:tcBorders>
        <w:shd w:val="clear" w:color="auto" w:fill="C9DFF4" w:themeFill="accent3" w:themeFillTint="3F"/>
      </w:tcPr>
    </w:tblStylePr>
  </w:style>
  <w:style w:type="table" w:styleId="LightShading-Accent4">
    <w:name w:val="Light Shading Accent 4"/>
    <w:basedOn w:val="TableNormal"/>
    <w:uiPriority w:val="60"/>
    <w:rsid w:val="00FC693F"/>
    <w:pPr>
      <w:spacing w:after="0" w:line="240" w:lineRule="auto"/>
    </w:pPr>
    <w:rPr>
      <w:color w:val="596984" w:themeColor="accent4" w:themeShade="BF"/>
    </w:rPr>
    <w:tblPr>
      <w:tblStyleRowBandSize w:val="1"/>
      <w:tblStyleColBandSize w:val="1"/>
      <w:tblBorders>
        <w:top w:val="single" w:sz="8" w:space="0" w:color="7F8FA9" w:themeColor="accent4"/>
        <w:bottom w:val="single" w:sz="8" w:space="0" w:color="7F8FA9" w:themeColor="accent4"/>
      </w:tblBorders>
    </w:tblPr>
    <w:tblStylePr w:type="firstRow">
      <w:pPr>
        <w:spacing w:before="0" w:after="0" w:line="240" w:lineRule="auto"/>
      </w:pPr>
      <w:rPr>
        <w:b/>
        <w:bCs/>
      </w:rPr>
      <w:tblPr/>
      <w:tcPr>
        <w:tcBorders>
          <w:top w:val="single" w:sz="8" w:space="0" w:color="7F8FA9" w:themeColor="accent4"/>
          <w:left w:val="nil"/>
          <w:bottom w:val="single" w:sz="8" w:space="0" w:color="7F8FA9" w:themeColor="accent4"/>
          <w:right w:val="nil"/>
          <w:insideH w:val="nil"/>
          <w:insideV w:val="nil"/>
        </w:tcBorders>
      </w:tcPr>
    </w:tblStylePr>
    <w:tblStylePr w:type="lastRow">
      <w:pPr>
        <w:spacing w:before="0" w:after="0" w:line="240" w:lineRule="auto"/>
      </w:pPr>
      <w:rPr>
        <w:b/>
        <w:bCs/>
      </w:rPr>
      <w:tblPr/>
      <w:tcPr>
        <w:tcBorders>
          <w:top w:val="single" w:sz="8" w:space="0" w:color="7F8FA9" w:themeColor="accent4"/>
          <w:left w:val="nil"/>
          <w:bottom w:val="single" w:sz="8" w:space="0" w:color="7F8FA9"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E3E9" w:themeFill="accent4" w:themeFillTint="3F"/>
      </w:tcPr>
    </w:tblStylePr>
    <w:tblStylePr w:type="band1Horz">
      <w:tblPr/>
      <w:tcPr>
        <w:tcBorders>
          <w:left w:val="nil"/>
          <w:right w:val="nil"/>
          <w:insideH w:val="nil"/>
          <w:insideV w:val="nil"/>
        </w:tcBorders>
        <w:shd w:val="clear" w:color="auto" w:fill="DFE3E9" w:themeFill="accent4" w:themeFillTint="3F"/>
      </w:tcPr>
    </w:tblStylePr>
  </w:style>
  <w:style w:type="table" w:styleId="LightShading-Accent5">
    <w:name w:val="Light Shading Accent 5"/>
    <w:basedOn w:val="TableNormal"/>
    <w:uiPriority w:val="60"/>
    <w:rsid w:val="00FC693F"/>
    <w:pPr>
      <w:spacing w:after="0" w:line="240" w:lineRule="auto"/>
    </w:pPr>
    <w:rPr>
      <w:color w:val="417A84" w:themeColor="accent5" w:themeShade="BF"/>
    </w:rPr>
    <w:tblPr>
      <w:tblStyleRowBandSize w:val="1"/>
      <w:tblStyleColBandSize w:val="1"/>
      <w:tblBorders>
        <w:top w:val="single" w:sz="8" w:space="0" w:color="5AA2AE" w:themeColor="accent5"/>
        <w:bottom w:val="single" w:sz="8" w:space="0" w:color="5AA2AE" w:themeColor="accent5"/>
      </w:tblBorders>
    </w:tblPr>
    <w:tblStylePr w:type="firstRow">
      <w:pPr>
        <w:spacing w:before="0" w:after="0" w:line="240" w:lineRule="auto"/>
      </w:pPr>
      <w:rPr>
        <w:b/>
        <w:bCs/>
      </w:rPr>
      <w:tblPr/>
      <w:tcPr>
        <w:tcBorders>
          <w:top w:val="single" w:sz="8" w:space="0" w:color="5AA2AE" w:themeColor="accent5"/>
          <w:left w:val="nil"/>
          <w:bottom w:val="single" w:sz="8" w:space="0" w:color="5AA2AE" w:themeColor="accent5"/>
          <w:right w:val="nil"/>
          <w:insideH w:val="nil"/>
          <w:insideV w:val="nil"/>
        </w:tcBorders>
      </w:tcPr>
    </w:tblStylePr>
    <w:tblStylePr w:type="lastRow">
      <w:pPr>
        <w:spacing w:before="0" w:after="0" w:line="240" w:lineRule="auto"/>
      </w:pPr>
      <w:rPr>
        <w:b/>
        <w:bCs/>
      </w:rPr>
      <w:tblPr/>
      <w:tcPr>
        <w:tcBorders>
          <w:top w:val="single" w:sz="8" w:space="0" w:color="5AA2AE" w:themeColor="accent5"/>
          <w:left w:val="nil"/>
          <w:bottom w:val="single" w:sz="8" w:space="0" w:color="5AA2AE"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7EB" w:themeFill="accent5" w:themeFillTint="3F"/>
      </w:tcPr>
    </w:tblStylePr>
    <w:tblStylePr w:type="band1Horz">
      <w:tblPr/>
      <w:tcPr>
        <w:tcBorders>
          <w:left w:val="nil"/>
          <w:right w:val="nil"/>
          <w:insideH w:val="nil"/>
          <w:insideV w:val="nil"/>
        </w:tcBorders>
        <w:shd w:val="clear" w:color="auto" w:fill="D6E7EB" w:themeFill="accent5" w:themeFillTint="3F"/>
      </w:tcPr>
    </w:tblStylePr>
  </w:style>
  <w:style w:type="table" w:styleId="LightShading-Accent6">
    <w:name w:val="Light Shading Accent 6"/>
    <w:basedOn w:val="TableNormal"/>
    <w:uiPriority w:val="60"/>
    <w:rsid w:val="00FC693F"/>
    <w:pPr>
      <w:spacing w:after="0" w:line="240" w:lineRule="auto"/>
    </w:pPr>
    <w:rPr>
      <w:color w:val="77697A" w:themeColor="accent6" w:themeShade="BF"/>
    </w:rPr>
    <w:tblPr>
      <w:tblStyleRowBandSize w:val="1"/>
      <w:tblStyleColBandSize w:val="1"/>
      <w:tblBorders>
        <w:top w:val="single" w:sz="8" w:space="0" w:color="9D90A0" w:themeColor="accent6"/>
        <w:bottom w:val="single" w:sz="8" w:space="0" w:color="9D90A0" w:themeColor="accent6"/>
      </w:tblBorders>
    </w:tblPr>
    <w:tblStylePr w:type="firstRow">
      <w:pPr>
        <w:spacing w:before="0" w:after="0" w:line="240" w:lineRule="auto"/>
      </w:pPr>
      <w:rPr>
        <w:b/>
        <w:bCs/>
      </w:rPr>
      <w:tblPr/>
      <w:tcPr>
        <w:tcBorders>
          <w:top w:val="single" w:sz="8" w:space="0" w:color="9D90A0" w:themeColor="accent6"/>
          <w:left w:val="nil"/>
          <w:bottom w:val="single" w:sz="8" w:space="0" w:color="9D90A0" w:themeColor="accent6"/>
          <w:right w:val="nil"/>
          <w:insideH w:val="nil"/>
          <w:insideV w:val="nil"/>
        </w:tcBorders>
      </w:tcPr>
    </w:tblStylePr>
    <w:tblStylePr w:type="lastRow">
      <w:pPr>
        <w:spacing w:before="0" w:after="0" w:line="240" w:lineRule="auto"/>
      </w:pPr>
      <w:rPr>
        <w:b/>
        <w:bCs/>
      </w:rPr>
      <w:tblPr/>
      <w:tcPr>
        <w:tcBorders>
          <w:top w:val="single" w:sz="8" w:space="0" w:color="9D90A0" w:themeColor="accent6"/>
          <w:left w:val="nil"/>
          <w:bottom w:val="single" w:sz="8" w:space="0" w:color="9D90A0"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3E7" w:themeFill="accent6" w:themeFillTint="3F"/>
      </w:tcPr>
    </w:tblStylePr>
    <w:tblStylePr w:type="band1Horz">
      <w:tblPr/>
      <w:tcPr>
        <w:tcBorders>
          <w:left w:val="nil"/>
          <w:right w:val="nil"/>
          <w:insideH w:val="nil"/>
          <w:insideV w:val="nil"/>
        </w:tcBorders>
        <w:shd w:val="clear" w:color="auto" w:fill="E6E3E7"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A66AC" w:themeColor="accent1"/>
        <w:left w:val="single" w:sz="8" w:space="0" w:color="4A66AC" w:themeColor="accent1"/>
        <w:bottom w:val="single" w:sz="8" w:space="0" w:color="4A66AC" w:themeColor="accent1"/>
        <w:right w:val="single" w:sz="8" w:space="0" w:color="4A66AC" w:themeColor="accent1"/>
      </w:tblBorders>
    </w:tblPr>
    <w:tblStylePr w:type="firstRow">
      <w:pPr>
        <w:spacing w:before="0" w:after="0" w:line="240" w:lineRule="auto"/>
      </w:pPr>
      <w:rPr>
        <w:b/>
        <w:bCs/>
        <w:color w:val="FFFFFF" w:themeColor="background1"/>
      </w:rPr>
      <w:tblPr/>
      <w:tcPr>
        <w:shd w:val="clear" w:color="auto" w:fill="4A66AC" w:themeFill="accent1"/>
      </w:tcPr>
    </w:tblStylePr>
    <w:tblStylePr w:type="lastRow">
      <w:pPr>
        <w:spacing w:before="0" w:after="0" w:line="240" w:lineRule="auto"/>
      </w:pPr>
      <w:rPr>
        <w:b/>
        <w:bCs/>
      </w:rPr>
      <w:tblPr/>
      <w:tcPr>
        <w:tcBorders>
          <w:top w:val="double" w:sz="6" w:space="0" w:color="4A66AC" w:themeColor="accent1"/>
          <w:left w:val="single" w:sz="8" w:space="0" w:color="4A66AC" w:themeColor="accent1"/>
          <w:bottom w:val="single" w:sz="8" w:space="0" w:color="4A66AC" w:themeColor="accent1"/>
          <w:right w:val="single" w:sz="8" w:space="0" w:color="4A66AC" w:themeColor="accent1"/>
        </w:tcBorders>
      </w:tcPr>
    </w:tblStylePr>
    <w:tblStylePr w:type="firstCol">
      <w:rPr>
        <w:b/>
        <w:bCs/>
      </w:rPr>
    </w:tblStylePr>
    <w:tblStylePr w:type="lastCol">
      <w:rPr>
        <w:b/>
        <w:bCs/>
      </w:rPr>
    </w:tblStylePr>
    <w:tblStylePr w:type="band1Vert">
      <w:tblPr/>
      <w:tcPr>
        <w:tcBorders>
          <w:top w:val="single" w:sz="8" w:space="0" w:color="4A66AC" w:themeColor="accent1"/>
          <w:left w:val="single" w:sz="8" w:space="0" w:color="4A66AC" w:themeColor="accent1"/>
          <w:bottom w:val="single" w:sz="8" w:space="0" w:color="4A66AC" w:themeColor="accent1"/>
          <w:right w:val="single" w:sz="8" w:space="0" w:color="4A66AC" w:themeColor="accent1"/>
        </w:tcBorders>
      </w:tcPr>
    </w:tblStylePr>
    <w:tblStylePr w:type="band1Horz">
      <w:tblPr/>
      <w:tcPr>
        <w:tcBorders>
          <w:top w:val="single" w:sz="8" w:space="0" w:color="4A66AC" w:themeColor="accent1"/>
          <w:left w:val="single" w:sz="8" w:space="0" w:color="4A66AC" w:themeColor="accent1"/>
          <w:bottom w:val="single" w:sz="8" w:space="0" w:color="4A66AC" w:themeColor="accent1"/>
          <w:right w:val="single" w:sz="8" w:space="0" w:color="4A66AC"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629DD1" w:themeColor="accent2"/>
        <w:left w:val="single" w:sz="8" w:space="0" w:color="629DD1" w:themeColor="accent2"/>
        <w:bottom w:val="single" w:sz="8" w:space="0" w:color="629DD1" w:themeColor="accent2"/>
        <w:right w:val="single" w:sz="8" w:space="0" w:color="629DD1" w:themeColor="accent2"/>
      </w:tblBorders>
    </w:tblPr>
    <w:tblStylePr w:type="firstRow">
      <w:pPr>
        <w:spacing w:before="0" w:after="0" w:line="240" w:lineRule="auto"/>
      </w:pPr>
      <w:rPr>
        <w:b/>
        <w:bCs/>
        <w:color w:val="FFFFFF" w:themeColor="background1"/>
      </w:rPr>
      <w:tblPr/>
      <w:tcPr>
        <w:shd w:val="clear" w:color="auto" w:fill="629DD1" w:themeFill="accent2"/>
      </w:tcPr>
    </w:tblStylePr>
    <w:tblStylePr w:type="lastRow">
      <w:pPr>
        <w:spacing w:before="0" w:after="0" w:line="240" w:lineRule="auto"/>
      </w:pPr>
      <w:rPr>
        <w:b/>
        <w:bCs/>
      </w:rPr>
      <w:tblPr/>
      <w:tcPr>
        <w:tcBorders>
          <w:top w:val="double" w:sz="6" w:space="0" w:color="629DD1" w:themeColor="accent2"/>
          <w:left w:val="single" w:sz="8" w:space="0" w:color="629DD1" w:themeColor="accent2"/>
          <w:bottom w:val="single" w:sz="8" w:space="0" w:color="629DD1" w:themeColor="accent2"/>
          <w:right w:val="single" w:sz="8" w:space="0" w:color="629DD1" w:themeColor="accent2"/>
        </w:tcBorders>
      </w:tcPr>
    </w:tblStylePr>
    <w:tblStylePr w:type="firstCol">
      <w:rPr>
        <w:b/>
        <w:bCs/>
      </w:rPr>
    </w:tblStylePr>
    <w:tblStylePr w:type="lastCol">
      <w:rPr>
        <w:b/>
        <w:bCs/>
      </w:rPr>
    </w:tblStylePr>
    <w:tblStylePr w:type="band1Vert">
      <w:tblPr/>
      <w:tcPr>
        <w:tcBorders>
          <w:top w:val="single" w:sz="8" w:space="0" w:color="629DD1" w:themeColor="accent2"/>
          <w:left w:val="single" w:sz="8" w:space="0" w:color="629DD1" w:themeColor="accent2"/>
          <w:bottom w:val="single" w:sz="8" w:space="0" w:color="629DD1" w:themeColor="accent2"/>
          <w:right w:val="single" w:sz="8" w:space="0" w:color="629DD1" w:themeColor="accent2"/>
        </w:tcBorders>
      </w:tcPr>
    </w:tblStylePr>
    <w:tblStylePr w:type="band1Horz">
      <w:tblPr/>
      <w:tcPr>
        <w:tcBorders>
          <w:top w:val="single" w:sz="8" w:space="0" w:color="629DD1" w:themeColor="accent2"/>
          <w:left w:val="single" w:sz="8" w:space="0" w:color="629DD1" w:themeColor="accent2"/>
          <w:bottom w:val="single" w:sz="8" w:space="0" w:color="629DD1" w:themeColor="accent2"/>
          <w:right w:val="single" w:sz="8" w:space="0" w:color="629DD1"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297FD5" w:themeColor="accent3"/>
        <w:left w:val="single" w:sz="8" w:space="0" w:color="297FD5" w:themeColor="accent3"/>
        <w:bottom w:val="single" w:sz="8" w:space="0" w:color="297FD5" w:themeColor="accent3"/>
        <w:right w:val="single" w:sz="8" w:space="0" w:color="297FD5" w:themeColor="accent3"/>
      </w:tblBorders>
    </w:tblPr>
    <w:tblStylePr w:type="firstRow">
      <w:pPr>
        <w:spacing w:before="0" w:after="0" w:line="240" w:lineRule="auto"/>
      </w:pPr>
      <w:rPr>
        <w:b/>
        <w:bCs/>
        <w:color w:val="FFFFFF" w:themeColor="background1"/>
      </w:rPr>
      <w:tblPr/>
      <w:tcPr>
        <w:shd w:val="clear" w:color="auto" w:fill="297FD5" w:themeFill="accent3"/>
      </w:tcPr>
    </w:tblStylePr>
    <w:tblStylePr w:type="lastRow">
      <w:pPr>
        <w:spacing w:before="0" w:after="0" w:line="240" w:lineRule="auto"/>
      </w:pPr>
      <w:rPr>
        <w:b/>
        <w:bCs/>
      </w:rPr>
      <w:tblPr/>
      <w:tcPr>
        <w:tcBorders>
          <w:top w:val="double" w:sz="6" w:space="0" w:color="297FD5" w:themeColor="accent3"/>
          <w:left w:val="single" w:sz="8" w:space="0" w:color="297FD5" w:themeColor="accent3"/>
          <w:bottom w:val="single" w:sz="8" w:space="0" w:color="297FD5" w:themeColor="accent3"/>
          <w:right w:val="single" w:sz="8" w:space="0" w:color="297FD5" w:themeColor="accent3"/>
        </w:tcBorders>
      </w:tcPr>
    </w:tblStylePr>
    <w:tblStylePr w:type="firstCol">
      <w:rPr>
        <w:b/>
        <w:bCs/>
      </w:rPr>
    </w:tblStylePr>
    <w:tblStylePr w:type="lastCol">
      <w:rPr>
        <w:b/>
        <w:bCs/>
      </w:rPr>
    </w:tblStylePr>
    <w:tblStylePr w:type="band1Vert">
      <w:tblPr/>
      <w:tcPr>
        <w:tcBorders>
          <w:top w:val="single" w:sz="8" w:space="0" w:color="297FD5" w:themeColor="accent3"/>
          <w:left w:val="single" w:sz="8" w:space="0" w:color="297FD5" w:themeColor="accent3"/>
          <w:bottom w:val="single" w:sz="8" w:space="0" w:color="297FD5" w:themeColor="accent3"/>
          <w:right w:val="single" w:sz="8" w:space="0" w:color="297FD5" w:themeColor="accent3"/>
        </w:tcBorders>
      </w:tcPr>
    </w:tblStylePr>
    <w:tblStylePr w:type="band1Horz">
      <w:tblPr/>
      <w:tcPr>
        <w:tcBorders>
          <w:top w:val="single" w:sz="8" w:space="0" w:color="297FD5" w:themeColor="accent3"/>
          <w:left w:val="single" w:sz="8" w:space="0" w:color="297FD5" w:themeColor="accent3"/>
          <w:bottom w:val="single" w:sz="8" w:space="0" w:color="297FD5" w:themeColor="accent3"/>
          <w:right w:val="single" w:sz="8" w:space="0" w:color="297FD5"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7F8FA9" w:themeColor="accent4"/>
        <w:left w:val="single" w:sz="8" w:space="0" w:color="7F8FA9" w:themeColor="accent4"/>
        <w:bottom w:val="single" w:sz="8" w:space="0" w:color="7F8FA9" w:themeColor="accent4"/>
        <w:right w:val="single" w:sz="8" w:space="0" w:color="7F8FA9" w:themeColor="accent4"/>
      </w:tblBorders>
    </w:tblPr>
    <w:tblStylePr w:type="firstRow">
      <w:pPr>
        <w:spacing w:before="0" w:after="0" w:line="240" w:lineRule="auto"/>
      </w:pPr>
      <w:rPr>
        <w:b/>
        <w:bCs/>
        <w:color w:val="FFFFFF" w:themeColor="background1"/>
      </w:rPr>
      <w:tblPr/>
      <w:tcPr>
        <w:shd w:val="clear" w:color="auto" w:fill="7F8FA9" w:themeFill="accent4"/>
      </w:tcPr>
    </w:tblStylePr>
    <w:tblStylePr w:type="lastRow">
      <w:pPr>
        <w:spacing w:before="0" w:after="0" w:line="240" w:lineRule="auto"/>
      </w:pPr>
      <w:rPr>
        <w:b/>
        <w:bCs/>
      </w:rPr>
      <w:tblPr/>
      <w:tcPr>
        <w:tcBorders>
          <w:top w:val="double" w:sz="6" w:space="0" w:color="7F8FA9" w:themeColor="accent4"/>
          <w:left w:val="single" w:sz="8" w:space="0" w:color="7F8FA9" w:themeColor="accent4"/>
          <w:bottom w:val="single" w:sz="8" w:space="0" w:color="7F8FA9" w:themeColor="accent4"/>
          <w:right w:val="single" w:sz="8" w:space="0" w:color="7F8FA9" w:themeColor="accent4"/>
        </w:tcBorders>
      </w:tcPr>
    </w:tblStylePr>
    <w:tblStylePr w:type="firstCol">
      <w:rPr>
        <w:b/>
        <w:bCs/>
      </w:rPr>
    </w:tblStylePr>
    <w:tblStylePr w:type="lastCol">
      <w:rPr>
        <w:b/>
        <w:bCs/>
      </w:rPr>
    </w:tblStylePr>
    <w:tblStylePr w:type="band1Vert">
      <w:tblPr/>
      <w:tcPr>
        <w:tcBorders>
          <w:top w:val="single" w:sz="8" w:space="0" w:color="7F8FA9" w:themeColor="accent4"/>
          <w:left w:val="single" w:sz="8" w:space="0" w:color="7F8FA9" w:themeColor="accent4"/>
          <w:bottom w:val="single" w:sz="8" w:space="0" w:color="7F8FA9" w:themeColor="accent4"/>
          <w:right w:val="single" w:sz="8" w:space="0" w:color="7F8FA9" w:themeColor="accent4"/>
        </w:tcBorders>
      </w:tcPr>
    </w:tblStylePr>
    <w:tblStylePr w:type="band1Horz">
      <w:tblPr/>
      <w:tcPr>
        <w:tcBorders>
          <w:top w:val="single" w:sz="8" w:space="0" w:color="7F8FA9" w:themeColor="accent4"/>
          <w:left w:val="single" w:sz="8" w:space="0" w:color="7F8FA9" w:themeColor="accent4"/>
          <w:bottom w:val="single" w:sz="8" w:space="0" w:color="7F8FA9" w:themeColor="accent4"/>
          <w:right w:val="single" w:sz="8" w:space="0" w:color="7F8FA9"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5AA2AE" w:themeColor="accent5"/>
        <w:left w:val="single" w:sz="8" w:space="0" w:color="5AA2AE" w:themeColor="accent5"/>
        <w:bottom w:val="single" w:sz="8" w:space="0" w:color="5AA2AE" w:themeColor="accent5"/>
        <w:right w:val="single" w:sz="8" w:space="0" w:color="5AA2AE" w:themeColor="accent5"/>
      </w:tblBorders>
    </w:tblPr>
    <w:tblStylePr w:type="firstRow">
      <w:pPr>
        <w:spacing w:before="0" w:after="0" w:line="240" w:lineRule="auto"/>
      </w:pPr>
      <w:rPr>
        <w:b/>
        <w:bCs/>
        <w:color w:val="FFFFFF" w:themeColor="background1"/>
      </w:rPr>
      <w:tblPr/>
      <w:tcPr>
        <w:shd w:val="clear" w:color="auto" w:fill="5AA2AE" w:themeFill="accent5"/>
      </w:tcPr>
    </w:tblStylePr>
    <w:tblStylePr w:type="lastRow">
      <w:pPr>
        <w:spacing w:before="0" w:after="0" w:line="240" w:lineRule="auto"/>
      </w:pPr>
      <w:rPr>
        <w:b/>
        <w:bCs/>
      </w:rPr>
      <w:tblPr/>
      <w:tcPr>
        <w:tcBorders>
          <w:top w:val="double" w:sz="6" w:space="0" w:color="5AA2AE" w:themeColor="accent5"/>
          <w:left w:val="single" w:sz="8" w:space="0" w:color="5AA2AE" w:themeColor="accent5"/>
          <w:bottom w:val="single" w:sz="8" w:space="0" w:color="5AA2AE" w:themeColor="accent5"/>
          <w:right w:val="single" w:sz="8" w:space="0" w:color="5AA2AE" w:themeColor="accent5"/>
        </w:tcBorders>
      </w:tcPr>
    </w:tblStylePr>
    <w:tblStylePr w:type="firstCol">
      <w:rPr>
        <w:b/>
        <w:bCs/>
      </w:rPr>
    </w:tblStylePr>
    <w:tblStylePr w:type="lastCol">
      <w:rPr>
        <w:b/>
        <w:bCs/>
      </w:rPr>
    </w:tblStylePr>
    <w:tblStylePr w:type="band1Vert">
      <w:tblPr/>
      <w:tcPr>
        <w:tcBorders>
          <w:top w:val="single" w:sz="8" w:space="0" w:color="5AA2AE" w:themeColor="accent5"/>
          <w:left w:val="single" w:sz="8" w:space="0" w:color="5AA2AE" w:themeColor="accent5"/>
          <w:bottom w:val="single" w:sz="8" w:space="0" w:color="5AA2AE" w:themeColor="accent5"/>
          <w:right w:val="single" w:sz="8" w:space="0" w:color="5AA2AE" w:themeColor="accent5"/>
        </w:tcBorders>
      </w:tcPr>
    </w:tblStylePr>
    <w:tblStylePr w:type="band1Horz">
      <w:tblPr/>
      <w:tcPr>
        <w:tcBorders>
          <w:top w:val="single" w:sz="8" w:space="0" w:color="5AA2AE" w:themeColor="accent5"/>
          <w:left w:val="single" w:sz="8" w:space="0" w:color="5AA2AE" w:themeColor="accent5"/>
          <w:bottom w:val="single" w:sz="8" w:space="0" w:color="5AA2AE" w:themeColor="accent5"/>
          <w:right w:val="single" w:sz="8" w:space="0" w:color="5AA2AE"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9D90A0" w:themeColor="accent6"/>
        <w:left w:val="single" w:sz="8" w:space="0" w:color="9D90A0" w:themeColor="accent6"/>
        <w:bottom w:val="single" w:sz="8" w:space="0" w:color="9D90A0" w:themeColor="accent6"/>
        <w:right w:val="single" w:sz="8" w:space="0" w:color="9D90A0" w:themeColor="accent6"/>
      </w:tblBorders>
    </w:tblPr>
    <w:tblStylePr w:type="firstRow">
      <w:pPr>
        <w:spacing w:before="0" w:after="0" w:line="240" w:lineRule="auto"/>
      </w:pPr>
      <w:rPr>
        <w:b/>
        <w:bCs/>
        <w:color w:val="FFFFFF" w:themeColor="background1"/>
      </w:rPr>
      <w:tblPr/>
      <w:tcPr>
        <w:shd w:val="clear" w:color="auto" w:fill="9D90A0" w:themeFill="accent6"/>
      </w:tcPr>
    </w:tblStylePr>
    <w:tblStylePr w:type="lastRow">
      <w:pPr>
        <w:spacing w:before="0" w:after="0" w:line="240" w:lineRule="auto"/>
      </w:pPr>
      <w:rPr>
        <w:b/>
        <w:bCs/>
      </w:rPr>
      <w:tblPr/>
      <w:tcPr>
        <w:tcBorders>
          <w:top w:val="double" w:sz="6" w:space="0" w:color="9D90A0" w:themeColor="accent6"/>
          <w:left w:val="single" w:sz="8" w:space="0" w:color="9D90A0" w:themeColor="accent6"/>
          <w:bottom w:val="single" w:sz="8" w:space="0" w:color="9D90A0" w:themeColor="accent6"/>
          <w:right w:val="single" w:sz="8" w:space="0" w:color="9D90A0" w:themeColor="accent6"/>
        </w:tcBorders>
      </w:tcPr>
    </w:tblStylePr>
    <w:tblStylePr w:type="firstCol">
      <w:rPr>
        <w:b/>
        <w:bCs/>
      </w:rPr>
    </w:tblStylePr>
    <w:tblStylePr w:type="lastCol">
      <w:rPr>
        <w:b/>
        <w:bCs/>
      </w:rPr>
    </w:tblStylePr>
    <w:tblStylePr w:type="band1Vert">
      <w:tblPr/>
      <w:tcPr>
        <w:tcBorders>
          <w:top w:val="single" w:sz="8" w:space="0" w:color="9D90A0" w:themeColor="accent6"/>
          <w:left w:val="single" w:sz="8" w:space="0" w:color="9D90A0" w:themeColor="accent6"/>
          <w:bottom w:val="single" w:sz="8" w:space="0" w:color="9D90A0" w:themeColor="accent6"/>
          <w:right w:val="single" w:sz="8" w:space="0" w:color="9D90A0" w:themeColor="accent6"/>
        </w:tcBorders>
      </w:tcPr>
    </w:tblStylePr>
    <w:tblStylePr w:type="band1Horz">
      <w:tblPr/>
      <w:tcPr>
        <w:tcBorders>
          <w:top w:val="single" w:sz="8" w:space="0" w:color="9D90A0" w:themeColor="accent6"/>
          <w:left w:val="single" w:sz="8" w:space="0" w:color="9D90A0" w:themeColor="accent6"/>
          <w:bottom w:val="single" w:sz="8" w:space="0" w:color="9D90A0" w:themeColor="accent6"/>
          <w:right w:val="single" w:sz="8" w:space="0" w:color="9D90A0"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A66AC" w:themeColor="accent1"/>
        <w:left w:val="single" w:sz="8" w:space="0" w:color="4A66AC" w:themeColor="accent1"/>
        <w:bottom w:val="single" w:sz="8" w:space="0" w:color="4A66AC" w:themeColor="accent1"/>
        <w:right w:val="single" w:sz="8" w:space="0" w:color="4A66AC" w:themeColor="accent1"/>
        <w:insideH w:val="single" w:sz="8" w:space="0" w:color="4A66AC" w:themeColor="accent1"/>
        <w:insideV w:val="single" w:sz="8" w:space="0" w:color="4A66AC"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A66AC" w:themeColor="accent1"/>
          <w:left w:val="single" w:sz="8" w:space="0" w:color="4A66AC" w:themeColor="accent1"/>
          <w:bottom w:val="single" w:sz="18" w:space="0" w:color="4A66AC" w:themeColor="accent1"/>
          <w:right w:val="single" w:sz="8" w:space="0" w:color="4A66AC" w:themeColor="accent1"/>
          <w:insideH w:val="nil"/>
          <w:insideV w:val="single" w:sz="8" w:space="0" w:color="4A66A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A66AC" w:themeColor="accent1"/>
          <w:left w:val="single" w:sz="8" w:space="0" w:color="4A66AC" w:themeColor="accent1"/>
          <w:bottom w:val="single" w:sz="8" w:space="0" w:color="4A66AC" w:themeColor="accent1"/>
          <w:right w:val="single" w:sz="8" w:space="0" w:color="4A66AC" w:themeColor="accent1"/>
          <w:insideH w:val="nil"/>
          <w:insideV w:val="single" w:sz="8" w:space="0" w:color="4A66A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A66AC" w:themeColor="accent1"/>
          <w:left w:val="single" w:sz="8" w:space="0" w:color="4A66AC" w:themeColor="accent1"/>
          <w:bottom w:val="single" w:sz="8" w:space="0" w:color="4A66AC" w:themeColor="accent1"/>
          <w:right w:val="single" w:sz="8" w:space="0" w:color="4A66AC" w:themeColor="accent1"/>
        </w:tcBorders>
      </w:tcPr>
    </w:tblStylePr>
    <w:tblStylePr w:type="band1Vert">
      <w:tblPr/>
      <w:tcPr>
        <w:tcBorders>
          <w:top w:val="single" w:sz="8" w:space="0" w:color="4A66AC" w:themeColor="accent1"/>
          <w:left w:val="single" w:sz="8" w:space="0" w:color="4A66AC" w:themeColor="accent1"/>
          <w:bottom w:val="single" w:sz="8" w:space="0" w:color="4A66AC" w:themeColor="accent1"/>
          <w:right w:val="single" w:sz="8" w:space="0" w:color="4A66AC" w:themeColor="accent1"/>
        </w:tcBorders>
        <w:shd w:val="clear" w:color="auto" w:fill="D1D8EB" w:themeFill="accent1" w:themeFillTint="3F"/>
      </w:tcPr>
    </w:tblStylePr>
    <w:tblStylePr w:type="band1Horz">
      <w:tblPr/>
      <w:tcPr>
        <w:tcBorders>
          <w:top w:val="single" w:sz="8" w:space="0" w:color="4A66AC" w:themeColor="accent1"/>
          <w:left w:val="single" w:sz="8" w:space="0" w:color="4A66AC" w:themeColor="accent1"/>
          <w:bottom w:val="single" w:sz="8" w:space="0" w:color="4A66AC" w:themeColor="accent1"/>
          <w:right w:val="single" w:sz="8" w:space="0" w:color="4A66AC" w:themeColor="accent1"/>
          <w:insideV w:val="single" w:sz="8" w:space="0" w:color="4A66AC" w:themeColor="accent1"/>
        </w:tcBorders>
        <w:shd w:val="clear" w:color="auto" w:fill="D1D8EB" w:themeFill="accent1" w:themeFillTint="3F"/>
      </w:tcPr>
    </w:tblStylePr>
    <w:tblStylePr w:type="band2Horz">
      <w:tblPr/>
      <w:tcPr>
        <w:tcBorders>
          <w:top w:val="single" w:sz="8" w:space="0" w:color="4A66AC" w:themeColor="accent1"/>
          <w:left w:val="single" w:sz="8" w:space="0" w:color="4A66AC" w:themeColor="accent1"/>
          <w:bottom w:val="single" w:sz="8" w:space="0" w:color="4A66AC" w:themeColor="accent1"/>
          <w:right w:val="single" w:sz="8" w:space="0" w:color="4A66AC" w:themeColor="accent1"/>
          <w:insideV w:val="single" w:sz="8" w:space="0" w:color="4A66AC"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629DD1" w:themeColor="accent2"/>
        <w:left w:val="single" w:sz="8" w:space="0" w:color="629DD1" w:themeColor="accent2"/>
        <w:bottom w:val="single" w:sz="8" w:space="0" w:color="629DD1" w:themeColor="accent2"/>
        <w:right w:val="single" w:sz="8" w:space="0" w:color="629DD1" w:themeColor="accent2"/>
        <w:insideH w:val="single" w:sz="8" w:space="0" w:color="629DD1" w:themeColor="accent2"/>
        <w:insideV w:val="single" w:sz="8" w:space="0" w:color="629DD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9DD1" w:themeColor="accent2"/>
          <w:left w:val="single" w:sz="8" w:space="0" w:color="629DD1" w:themeColor="accent2"/>
          <w:bottom w:val="single" w:sz="18" w:space="0" w:color="629DD1" w:themeColor="accent2"/>
          <w:right w:val="single" w:sz="8" w:space="0" w:color="629DD1" w:themeColor="accent2"/>
          <w:insideH w:val="nil"/>
          <w:insideV w:val="single" w:sz="8" w:space="0" w:color="629DD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9DD1" w:themeColor="accent2"/>
          <w:left w:val="single" w:sz="8" w:space="0" w:color="629DD1" w:themeColor="accent2"/>
          <w:bottom w:val="single" w:sz="8" w:space="0" w:color="629DD1" w:themeColor="accent2"/>
          <w:right w:val="single" w:sz="8" w:space="0" w:color="629DD1" w:themeColor="accent2"/>
          <w:insideH w:val="nil"/>
          <w:insideV w:val="single" w:sz="8" w:space="0" w:color="629DD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9DD1" w:themeColor="accent2"/>
          <w:left w:val="single" w:sz="8" w:space="0" w:color="629DD1" w:themeColor="accent2"/>
          <w:bottom w:val="single" w:sz="8" w:space="0" w:color="629DD1" w:themeColor="accent2"/>
          <w:right w:val="single" w:sz="8" w:space="0" w:color="629DD1" w:themeColor="accent2"/>
        </w:tcBorders>
      </w:tcPr>
    </w:tblStylePr>
    <w:tblStylePr w:type="band1Vert">
      <w:tblPr/>
      <w:tcPr>
        <w:tcBorders>
          <w:top w:val="single" w:sz="8" w:space="0" w:color="629DD1" w:themeColor="accent2"/>
          <w:left w:val="single" w:sz="8" w:space="0" w:color="629DD1" w:themeColor="accent2"/>
          <w:bottom w:val="single" w:sz="8" w:space="0" w:color="629DD1" w:themeColor="accent2"/>
          <w:right w:val="single" w:sz="8" w:space="0" w:color="629DD1" w:themeColor="accent2"/>
        </w:tcBorders>
        <w:shd w:val="clear" w:color="auto" w:fill="D8E6F3" w:themeFill="accent2" w:themeFillTint="3F"/>
      </w:tcPr>
    </w:tblStylePr>
    <w:tblStylePr w:type="band1Horz">
      <w:tblPr/>
      <w:tcPr>
        <w:tcBorders>
          <w:top w:val="single" w:sz="8" w:space="0" w:color="629DD1" w:themeColor="accent2"/>
          <w:left w:val="single" w:sz="8" w:space="0" w:color="629DD1" w:themeColor="accent2"/>
          <w:bottom w:val="single" w:sz="8" w:space="0" w:color="629DD1" w:themeColor="accent2"/>
          <w:right w:val="single" w:sz="8" w:space="0" w:color="629DD1" w:themeColor="accent2"/>
          <w:insideV w:val="single" w:sz="8" w:space="0" w:color="629DD1" w:themeColor="accent2"/>
        </w:tcBorders>
        <w:shd w:val="clear" w:color="auto" w:fill="D8E6F3" w:themeFill="accent2" w:themeFillTint="3F"/>
      </w:tcPr>
    </w:tblStylePr>
    <w:tblStylePr w:type="band2Horz">
      <w:tblPr/>
      <w:tcPr>
        <w:tcBorders>
          <w:top w:val="single" w:sz="8" w:space="0" w:color="629DD1" w:themeColor="accent2"/>
          <w:left w:val="single" w:sz="8" w:space="0" w:color="629DD1" w:themeColor="accent2"/>
          <w:bottom w:val="single" w:sz="8" w:space="0" w:color="629DD1" w:themeColor="accent2"/>
          <w:right w:val="single" w:sz="8" w:space="0" w:color="629DD1" w:themeColor="accent2"/>
          <w:insideV w:val="single" w:sz="8" w:space="0" w:color="629DD1"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297FD5" w:themeColor="accent3"/>
        <w:left w:val="single" w:sz="8" w:space="0" w:color="297FD5" w:themeColor="accent3"/>
        <w:bottom w:val="single" w:sz="8" w:space="0" w:color="297FD5" w:themeColor="accent3"/>
        <w:right w:val="single" w:sz="8" w:space="0" w:color="297FD5" w:themeColor="accent3"/>
        <w:insideH w:val="single" w:sz="8" w:space="0" w:color="297FD5" w:themeColor="accent3"/>
        <w:insideV w:val="single" w:sz="8" w:space="0" w:color="297FD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97FD5" w:themeColor="accent3"/>
          <w:left w:val="single" w:sz="8" w:space="0" w:color="297FD5" w:themeColor="accent3"/>
          <w:bottom w:val="single" w:sz="18" w:space="0" w:color="297FD5" w:themeColor="accent3"/>
          <w:right w:val="single" w:sz="8" w:space="0" w:color="297FD5" w:themeColor="accent3"/>
          <w:insideH w:val="nil"/>
          <w:insideV w:val="single" w:sz="8" w:space="0" w:color="297FD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97FD5" w:themeColor="accent3"/>
          <w:left w:val="single" w:sz="8" w:space="0" w:color="297FD5" w:themeColor="accent3"/>
          <w:bottom w:val="single" w:sz="8" w:space="0" w:color="297FD5" w:themeColor="accent3"/>
          <w:right w:val="single" w:sz="8" w:space="0" w:color="297FD5" w:themeColor="accent3"/>
          <w:insideH w:val="nil"/>
          <w:insideV w:val="single" w:sz="8" w:space="0" w:color="297FD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97FD5" w:themeColor="accent3"/>
          <w:left w:val="single" w:sz="8" w:space="0" w:color="297FD5" w:themeColor="accent3"/>
          <w:bottom w:val="single" w:sz="8" w:space="0" w:color="297FD5" w:themeColor="accent3"/>
          <w:right w:val="single" w:sz="8" w:space="0" w:color="297FD5" w:themeColor="accent3"/>
        </w:tcBorders>
      </w:tcPr>
    </w:tblStylePr>
    <w:tblStylePr w:type="band1Vert">
      <w:tblPr/>
      <w:tcPr>
        <w:tcBorders>
          <w:top w:val="single" w:sz="8" w:space="0" w:color="297FD5" w:themeColor="accent3"/>
          <w:left w:val="single" w:sz="8" w:space="0" w:color="297FD5" w:themeColor="accent3"/>
          <w:bottom w:val="single" w:sz="8" w:space="0" w:color="297FD5" w:themeColor="accent3"/>
          <w:right w:val="single" w:sz="8" w:space="0" w:color="297FD5" w:themeColor="accent3"/>
        </w:tcBorders>
        <w:shd w:val="clear" w:color="auto" w:fill="C9DFF4" w:themeFill="accent3" w:themeFillTint="3F"/>
      </w:tcPr>
    </w:tblStylePr>
    <w:tblStylePr w:type="band1Horz">
      <w:tblPr/>
      <w:tcPr>
        <w:tcBorders>
          <w:top w:val="single" w:sz="8" w:space="0" w:color="297FD5" w:themeColor="accent3"/>
          <w:left w:val="single" w:sz="8" w:space="0" w:color="297FD5" w:themeColor="accent3"/>
          <w:bottom w:val="single" w:sz="8" w:space="0" w:color="297FD5" w:themeColor="accent3"/>
          <w:right w:val="single" w:sz="8" w:space="0" w:color="297FD5" w:themeColor="accent3"/>
          <w:insideV w:val="single" w:sz="8" w:space="0" w:color="297FD5" w:themeColor="accent3"/>
        </w:tcBorders>
        <w:shd w:val="clear" w:color="auto" w:fill="C9DFF4" w:themeFill="accent3" w:themeFillTint="3F"/>
      </w:tcPr>
    </w:tblStylePr>
    <w:tblStylePr w:type="band2Horz">
      <w:tblPr/>
      <w:tcPr>
        <w:tcBorders>
          <w:top w:val="single" w:sz="8" w:space="0" w:color="297FD5" w:themeColor="accent3"/>
          <w:left w:val="single" w:sz="8" w:space="0" w:color="297FD5" w:themeColor="accent3"/>
          <w:bottom w:val="single" w:sz="8" w:space="0" w:color="297FD5" w:themeColor="accent3"/>
          <w:right w:val="single" w:sz="8" w:space="0" w:color="297FD5" w:themeColor="accent3"/>
          <w:insideV w:val="single" w:sz="8" w:space="0" w:color="297FD5"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7F8FA9" w:themeColor="accent4"/>
        <w:left w:val="single" w:sz="8" w:space="0" w:color="7F8FA9" w:themeColor="accent4"/>
        <w:bottom w:val="single" w:sz="8" w:space="0" w:color="7F8FA9" w:themeColor="accent4"/>
        <w:right w:val="single" w:sz="8" w:space="0" w:color="7F8FA9" w:themeColor="accent4"/>
        <w:insideH w:val="single" w:sz="8" w:space="0" w:color="7F8FA9" w:themeColor="accent4"/>
        <w:insideV w:val="single" w:sz="8" w:space="0" w:color="7F8FA9"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F8FA9" w:themeColor="accent4"/>
          <w:left w:val="single" w:sz="8" w:space="0" w:color="7F8FA9" w:themeColor="accent4"/>
          <w:bottom w:val="single" w:sz="18" w:space="0" w:color="7F8FA9" w:themeColor="accent4"/>
          <w:right w:val="single" w:sz="8" w:space="0" w:color="7F8FA9" w:themeColor="accent4"/>
          <w:insideH w:val="nil"/>
          <w:insideV w:val="single" w:sz="8" w:space="0" w:color="7F8FA9"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F8FA9" w:themeColor="accent4"/>
          <w:left w:val="single" w:sz="8" w:space="0" w:color="7F8FA9" w:themeColor="accent4"/>
          <w:bottom w:val="single" w:sz="8" w:space="0" w:color="7F8FA9" w:themeColor="accent4"/>
          <w:right w:val="single" w:sz="8" w:space="0" w:color="7F8FA9" w:themeColor="accent4"/>
          <w:insideH w:val="nil"/>
          <w:insideV w:val="single" w:sz="8" w:space="0" w:color="7F8FA9"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F8FA9" w:themeColor="accent4"/>
          <w:left w:val="single" w:sz="8" w:space="0" w:color="7F8FA9" w:themeColor="accent4"/>
          <w:bottom w:val="single" w:sz="8" w:space="0" w:color="7F8FA9" w:themeColor="accent4"/>
          <w:right w:val="single" w:sz="8" w:space="0" w:color="7F8FA9" w:themeColor="accent4"/>
        </w:tcBorders>
      </w:tcPr>
    </w:tblStylePr>
    <w:tblStylePr w:type="band1Vert">
      <w:tblPr/>
      <w:tcPr>
        <w:tcBorders>
          <w:top w:val="single" w:sz="8" w:space="0" w:color="7F8FA9" w:themeColor="accent4"/>
          <w:left w:val="single" w:sz="8" w:space="0" w:color="7F8FA9" w:themeColor="accent4"/>
          <w:bottom w:val="single" w:sz="8" w:space="0" w:color="7F8FA9" w:themeColor="accent4"/>
          <w:right w:val="single" w:sz="8" w:space="0" w:color="7F8FA9" w:themeColor="accent4"/>
        </w:tcBorders>
        <w:shd w:val="clear" w:color="auto" w:fill="DFE3E9" w:themeFill="accent4" w:themeFillTint="3F"/>
      </w:tcPr>
    </w:tblStylePr>
    <w:tblStylePr w:type="band1Horz">
      <w:tblPr/>
      <w:tcPr>
        <w:tcBorders>
          <w:top w:val="single" w:sz="8" w:space="0" w:color="7F8FA9" w:themeColor="accent4"/>
          <w:left w:val="single" w:sz="8" w:space="0" w:color="7F8FA9" w:themeColor="accent4"/>
          <w:bottom w:val="single" w:sz="8" w:space="0" w:color="7F8FA9" w:themeColor="accent4"/>
          <w:right w:val="single" w:sz="8" w:space="0" w:color="7F8FA9" w:themeColor="accent4"/>
          <w:insideV w:val="single" w:sz="8" w:space="0" w:color="7F8FA9" w:themeColor="accent4"/>
        </w:tcBorders>
        <w:shd w:val="clear" w:color="auto" w:fill="DFE3E9" w:themeFill="accent4" w:themeFillTint="3F"/>
      </w:tcPr>
    </w:tblStylePr>
    <w:tblStylePr w:type="band2Horz">
      <w:tblPr/>
      <w:tcPr>
        <w:tcBorders>
          <w:top w:val="single" w:sz="8" w:space="0" w:color="7F8FA9" w:themeColor="accent4"/>
          <w:left w:val="single" w:sz="8" w:space="0" w:color="7F8FA9" w:themeColor="accent4"/>
          <w:bottom w:val="single" w:sz="8" w:space="0" w:color="7F8FA9" w:themeColor="accent4"/>
          <w:right w:val="single" w:sz="8" w:space="0" w:color="7F8FA9" w:themeColor="accent4"/>
          <w:insideV w:val="single" w:sz="8" w:space="0" w:color="7F8FA9"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5AA2AE" w:themeColor="accent5"/>
        <w:left w:val="single" w:sz="8" w:space="0" w:color="5AA2AE" w:themeColor="accent5"/>
        <w:bottom w:val="single" w:sz="8" w:space="0" w:color="5AA2AE" w:themeColor="accent5"/>
        <w:right w:val="single" w:sz="8" w:space="0" w:color="5AA2AE" w:themeColor="accent5"/>
        <w:insideH w:val="single" w:sz="8" w:space="0" w:color="5AA2AE" w:themeColor="accent5"/>
        <w:insideV w:val="single" w:sz="8" w:space="0" w:color="5AA2AE"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AA2AE" w:themeColor="accent5"/>
          <w:left w:val="single" w:sz="8" w:space="0" w:color="5AA2AE" w:themeColor="accent5"/>
          <w:bottom w:val="single" w:sz="18" w:space="0" w:color="5AA2AE" w:themeColor="accent5"/>
          <w:right w:val="single" w:sz="8" w:space="0" w:color="5AA2AE" w:themeColor="accent5"/>
          <w:insideH w:val="nil"/>
          <w:insideV w:val="single" w:sz="8" w:space="0" w:color="5AA2AE"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AA2AE" w:themeColor="accent5"/>
          <w:left w:val="single" w:sz="8" w:space="0" w:color="5AA2AE" w:themeColor="accent5"/>
          <w:bottom w:val="single" w:sz="8" w:space="0" w:color="5AA2AE" w:themeColor="accent5"/>
          <w:right w:val="single" w:sz="8" w:space="0" w:color="5AA2AE" w:themeColor="accent5"/>
          <w:insideH w:val="nil"/>
          <w:insideV w:val="single" w:sz="8" w:space="0" w:color="5AA2AE"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AA2AE" w:themeColor="accent5"/>
          <w:left w:val="single" w:sz="8" w:space="0" w:color="5AA2AE" w:themeColor="accent5"/>
          <w:bottom w:val="single" w:sz="8" w:space="0" w:color="5AA2AE" w:themeColor="accent5"/>
          <w:right w:val="single" w:sz="8" w:space="0" w:color="5AA2AE" w:themeColor="accent5"/>
        </w:tcBorders>
      </w:tcPr>
    </w:tblStylePr>
    <w:tblStylePr w:type="band1Vert">
      <w:tblPr/>
      <w:tcPr>
        <w:tcBorders>
          <w:top w:val="single" w:sz="8" w:space="0" w:color="5AA2AE" w:themeColor="accent5"/>
          <w:left w:val="single" w:sz="8" w:space="0" w:color="5AA2AE" w:themeColor="accent5"/>
          <w:bottom w:val="single" w:sz="8" w:space="0" w:color="5AA2AE" w:themeColor="accent5"/>
          <w:right w:val="single" w:sz="8" w:space="0" w:color="5AA2AE" w:themeColor="accent5"/>
        </w:tcBorders>
        <w:shd w:val="clear" w:color="auto" w:fill="D6E7EB" w:themeFill="accent5" w:themeFillTint="3F"/>
      </w:tcPr>
    </w:tblStylePr>
    <w:tblStylePr w:type="band1Horz">
      <w:tblPr/>
      <w:tcPr>
        <w:tcBorders>
          <w:top w:val="single" w:sz="8" w:space="0" w:color="5AA2AE" w:themeColor="accent5"/>
          <w:left w:val="single" w:sz="8" w:space="0" w:color="5AA2AE" w:themeColor="accent5"/>
          <w:bottom w:val="single" w:sz="8" w:space="0" w:color="5AA2AE" w:themeColor="accent5"/>
          <w:right w:val="single" w:sz="8" w:space="0" w:color="5AA2AE" w:themeColor="accent5"/>
          <w:insideV w:val="single" w:sz="8" w:space="0" w:color="5AA2AE" w:themeColor="accent5"/>
        </w:tcBorders>
        <w:shd w:val="clear" w:color="auto" w:fill="D6E7EB" w:themeFill="accent5" w:themeFillTint="3F"/>
      </w:tcPr>
    </w:tblStylePr>
    <w:tblStylePr w:type="band2Horz">
      <w:tblPr/>
      <w:tcPr>
        <w:tcBorders>
          <w:top w:val="single" w:sz="8" w:space="0" w:color="5AA2AE" w:themeColor="accent5"/>
          <w:left w:val="single" w:sz="8" w:space="0" w:color="5AA2AE" w:themeColor="accent5"/>
          <w:bottom w:val="single" w:sz="8" w:space="0" w:color="5AA2AE" w:themeColor="accent5"/>
          <w:right w:val="single" w:sz="8" w:space="0" w:color="5AA2AE" w:themeColor="accent5"/>
          <w:insideV w:val="single" w:sz="8" w:space="0" w:color="5AA2AE"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9D90A0" w:themeColor="accent6"/>
        <w:left w:val="single" w:sz="8" w:space="0" w:color="9D90A0" w:themeColor="accent6"/>
        <w:bottom w:val="single" w:sz="8" w:space="0" w:color="9D90A0" w:themeColor="accent6"/>
        <w:right w:val="single" w:sz="8" w:space="0" w:color="9D90A0" w:themeColor="accent6"/>
        <w:insideH w:val="single" w:sz="8" w:space="0" w:color="9D90A0" w:themeColor="accent6"/>
        <w:insideV w:val="single" w:sz="8" w:space="0" w:color="9D90A0"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D90A0" w:themeColor="accent6"/>
          <w:left w:val="single" w:sz="8" w:space="0" w:color="9D90A0" w:themeColor="accent6"/>
          <w:bottom w:val="single" w:sz="18" w:space="0" w:color="9D90A0" w:themeColor="accent6"/>
          <w:right w:val="single" w:sz="8" w:space="0" w:color="9D90A0" w:themeColor="accent6"/>
          <w:insideH w:val="nil"/>
          <w:insideV w:val="single" w:sz="8" w:space="0" w:color="9D90A0"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D90A0" w:themeColor="accent6"/>
          <w:left w:val="single" w:sz="8" w:space="0" w:color="9D90A0" w:themeColor="accent6"/>
          <w:bottom w:val="single" w:sz="8" w:space="0" w:color="9D90A0" w:themeColor="accent6"/>
          <w:right w:val="single" w:sz="8" w:space="0" w:color="9D90A0" w:themeColor="accent6"/>
          <w:insideH w:val="nil"/>
          <w:insideV w:val="single" w:sz="8" w:space="0" w:color="9D90A0"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D90A0" w:themeColor="accent6"/>
          <w:left w:val="single" w:sz="8" w:space="0" w:color="9D90A0" w:themeColor="accent6"/>
          <w:bottom w:val="single" w:sz="8" w:space="0" w:color="9D90A0" w:themeColor="accent6"/>
          <w:right w:val="single" w:sz="8" w:space="0" w:color="9D90A0" w:themeColor="accent6"/>
        </w:tcBorders>
      </w:tcPr>
    </w:tblStylePr>
    <w:tblStylePr w:type="band1Vert">
      <w:tblPr/>
      <w:tcPr>
        <w:tcBorders>
          <w:top w:val="single" w:sz="8" w:space="0" w:color="9D90A0" w:themeColor="accent6"/>
          <w:left w:val="single" w:sz="8" w:space="0" w:color="9D90A0" w:themeColor="accent6"/>
          <w:bottom w:val="single" w:sz="8" w:space="0" w:color="9D90A0" w:themeColor="accent6"/>
          <w:right w:val="single" w:sz="8" w:space="0" w:color="9D90A0" w:themeColor="accent6"/>
        </w:tcBorders>
        <w:shd w:val="clear" w:color="auto" w:fill="E6E3E7" w:themeFill="accent6" w:themeFillTint="3F"/>
      </w:tcPr>
    </w:tblStylePr>
    <w:tblStylePr w:type="band1Horz">
      <w:tblPr/>
      <w:tcPr>
        <w:tcBorders>
          <w:top w:val="single" w:sz="8" w:space="0" w:color="9D90A0" w:themeColor="accent6"/>
          <w:left w:val="single" w:sz="8" w:space="0" w:color="9D90A0" w:themeColor="accent6"/>
          <w:bottom w:val="single" w:sz="8" w:space="0" w:color="9D90A0" w:themeColor="accent6"/>
          <w:right w:val="single" w:sz="8" w:space="0" w:color="9D90A0" w:themeColor="accent6"/>
          <w:insideV w:val="single" w:sz="8" w:space="0" w:color="9D90A0" w:themeColor="accent6"/>
        </w:tcBorders>
        <w:shd w:val="clear" w:color="auto" w:fill="E6E3E7" w:themeFill="accent6" w:themeFillTint="3F"/>
      </w:tcPr>
    </w:tblStylePr>
    <w:tblStylePr w:type="band2Horz">
      <w:tblPr/>
      <w:tcPr>
        <w:tcBorders>
          <w:top w:val="single" w:sz="8" w:space="0" w:color="9D90A0" w:themeColor="accent6"/>
          <w:left w:val="single" w:sz="8" w:space="0" w:color="9D90A0" w:themeColor="accent6"/>
          <w:bottom w:val="single" w:sz="8" w:space="0" w:color="9D90A0" w:themeColor="accent6"/>
          <w:right w:val="single" w:sz="8" w:space="0" w:color="9D90A0" w:themeColor="accent6"/>
          <w:insideV w:val="single" w:sz="8" w:space="0" w:color="9D90A0"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48AC3" w:themeColor="accent1" w:themeTint="BF"/>
        <w:left w:val="single" w:sz="8" w:space="0" w:color="748AC3" w:themeColor="accent1" w:themeTint="BF"/>
        <w:bottom w:val="single" w:sz="8" w:space="0" w:color="748AC3" w:themeColor="accent1" w:themeTint="BF"/>
        <w:right w:val="single" w:sz="8" w:space="0" w:color="748AC3" w:themeColor="accent1" w:themeTint="BF"/>
        <w:insideH w:val="single" w:sz="8" w:space="0" w:color="748AC3" w:themeColor="accent1" w:themeTint="BF"/>
      </w:tblBorders>
    </w:tblPr>
    <w:tblStylePr w:type="firstRow">
      <w:pPr>
        <w:spacing w:before="0" w:after="0" w:line="240" w:lineRule="auto"/>
      </w:pPr>
      <w:rPr>
        <w:b/>
        <w:bCs/>
        <w:color w:val="FFFFFF" w:themeColor="background1"/>
      </w:rPr>
      <w:tblPr/>
      <w:tcPr>
        <w:tcBorders>
          <w:top w:val="single" w:sz="8" w:space="0" w:color="748AC3" w:themeColor="accent1" w:themeTint="BF"/>
          <w:left w:val="single" w:sz="8" w:space="0" w:color="748AC3" w:themeColor="accent1" w:themeTint="BF"/>
          <w:bottom w:val="single" w:sz="8" w:space="0" w:color="748AC3" w:themeColor="accent1" w:themeTint="BF"/>
          <w:right w:val="single" w:sz="8" w:space="0" w:color="748AC3" w:themeColor="accent1" w:themeTint="BF"/>
          <w:insideH w:val="nil"/>
          <w:insideV w:val="nil"/>
        </w:tcBorders>
        <w:shd w:val="clear" w:color="auto" w:fill="4A66AC" w:themeFill="accent1"/>
      </w:tcPr>
    </w:tblStylePr>
    <w:tblStylePr w:type="lastRow">
      <w:pPr>
        <w:spacing w:before="0" w:after="0" w:line="240" w:lineRule="auto"/>
      </w:pPr>
      <w:rPr>
        <w:b/>
        <w:bCs/>
      </w:rPr>
      <w:tblPr/>
      <w:tcPr>
        <w:tcBorders>
          <w:top w:val="double" w:sz="6" w:space="0" w:color="748AC3" w:themeColor="accent1" w:themeTint="BF"/>
          <w:left w:val="single" w:sz="8" w:space="0" w:color="748AC3" w:themeColor="accent1" w:themeTint="BF"/>
          <w:bottom w:val="single" w:sz="8" w:space="0" w:color="748AC3" w:themeColor="accent1" w:themeTint="BF"/>
          <w:right w:val="single" w:sz="8" w:space="0" w:color="748AC3" w:themeColor="accent1" w:themeTint="BF"/>
          <w:insideH w:val="nil"/>
          <w:insideV w:val="nil"/>
        </w:tcBorders>
      </w:tcPr>
    </w:tblStylePr>
    <w:tblStylePr w:type="firstCol">
      <w:rPr>
        <w:b/>
        <w:bCs/>
      </w:rPr>
    </w:tblStylePr>
    <w:tblStylePr w:type="lastCol">
      <w:rPr>
        <w:b/>
        <w:bCs/>
      </w:rPr>
    </w:tblStylePr>
    <w:tblStylePr w:type="band1Vert">
      <w:tblPr/>
      <w:tcPr>
        <w:shd w:val="clear" w:color="auto" w:fill="D1D8EB" w:themeFill="accent1" w:themeFillTint="3F"/>
      </w:tcPr>
    </w:tblStylePr>
    <w:tblStylePr w:type="band1Horz">
      <w:tblPr/>
      <w:tcPr>
        <w:tcBorders>
          <w:insideH w:val="nil"/>
          <w:insideV w:val="nil"/>
        </w:tcBorders>
        <w:shd w:val="clear" w:color="auto" w:fill="D1D8EB"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89B5DC" w:themeColor="accent2" w:themeTint="BF"/>
        <w:left w:val="single" w:sz="8" w:space="0" w:color="89B5DC" w:themeColor="accent2" w:themeTint="BF"/>
        <w:bottom w:val="single" w:sz="8" w:space="0" w:color="89B5DC" w:themeColor="accent2" w:themeTint="BF"/>
        <w:right w:val="single" w:sz="8" w:space="0" w:color="89B5DC" w:themeColor="accent2" w:themeTint="BF"/>
        <w:insideH w:val="single" w:sz="8" w:space="0" w:color="89B5DC" w:themeColor="accent2" w:themeTint="BF"/>
      </w:tblBorders>
    </w:tblPr>
    <w:tblStylePr w:type="firstRow">
      <w:pPr>
        <w:spacing w:before="0" w:after="0" w:line="240" w:lineRule="auto"/>
      </w:pPr>
      <w:rPr>
        <w:b/>
        <w:bCs/>
        <w:color w:val="FFFFFF" w:themeColor="background1"/>
      </w:rPr>
      <w:tblPr/>
      <w:tcPr>
        <w:tcBorders>
          <w:top w:val="single" w:sz="8" w:space="0" w:color="89B5DC" w:themeColor="accent2" w:themeTint="BF"/>
          <w:left w:val="single" w:sz="8" w:space="0" w:color="89B5DC" w:themeColor="accent2" w:themeTint="BF"/>
          <w:bottom w:val="single" w:sz="8" w:space="0" w:color="89B5DC" w:themeColor="accent2" w:themeTint="BF"/>
          <w:right w:val="single" w:sz="8" w:space="0" w:color="89B5DC" w:themeColor="accent2" w:themeTint="BF"/>
          <w:insideH w:val="nil"/>
          <w:insideV w:val="nil"/>
        </w:tcBorders>
        <w:shd w:val="clear" w:color="auto" w:fill="629DD1" w:themeFill="accent2"/>
      </w:tcPr>
    </w:tblStylePr>
    <w:tblStylePr w:type="lastRow">
      <w:pPr>
        <w:spacing w:before="0" w:after="0" w:line="240" w:lineRule="auto"/>
      </w:pPr>
      <w:rPr>
        <w:b/>
        <w:bCs/>
      </w:rPr>
      <w:tblPr/>
      <w:tcPr>
        <w:tcBorders>
          <w:top w:val="double" w:sz="6" w:space="0" w:color="89B5DC" w:themeColor="accent2" w:themeTint="BF"/>
          <w:left w:val="single" w:sz="8" w:space="0" w:color="89B5DC" w:themeColor="accent2" w:themeTint="BF"/>
          <w:bottom w:val="single" w:sz="8" w:space="0" w:color="89B5DC" w:themeColor="accent2" w:themeTint="BF"/>
          <w:right w:val="single" w:sz="8" w:space="0" w:color="89B5DC" w:themeColor="accent2" w:themeTint="BF"/>
          <w:insideH w:val="nil"/>
          <w:insideV w:val="nil"/>
        </w:tcBorders>
      </w:tcPr>
    </w:tblStylePr>
    <w:tblStylePr w:type="firstCol">
      <w:rPr>
        <w:b/>
        <w:bCs/>
      </w:rPr>
    </w:tblStylePr>
    <w:tblStylePr w:type="lastCol">
      <w:rPr>
        <w:b/>
        <w:bCs/>
      </w:rPr>
    </w:tblStylePr>
    <w:tblStylePr w:type="band1Vert">
      <w:tblPr/>
      <w:tcPr>
        <w:shd w:val="clear" w:color="auto" w:fill="D8E6F3" w:themeFill="accent2" w:themeFillTint="3F"/>
      </w:tcPr>
    </w:tblStylePr>
    <w:tblStylePr w:type="band1Horz">
      <w:tblPr/>
      <w:tcPr>
        <w:tcBorders>
          <w:insideH w:val="nil"/>
          <w:insideV w:val="nil"/>
        </w:tcBorders>
        <w:shd w:val="clear" w:color="auto" w:fill="D8E6F3"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5D9EE0" w:themeColor="accent3" w:themeTint="BF"/>
        <w:left w:val="single" w:sz="8" w:space="0" w:color="5D9EE0" w:themeColor="accent3" w:themeTint="BF"/>
        <w:bottom w:val="single" w:sz="8" w:space="0" w:color="5D9EE0" w:themeColor="accent3" w:themeTint="BF"/>
        <w:right w:val="single" w:sz="8" w:space="0" w:color="5D9EE0" w:themeColor="accent3" w:themeTint="BF"/>
        <w:insideH w:val="single" w:sz="8" w:space="0" w:color="5D9EE0" w:themeColor="accent3" w:themeTint="BF"/>
      </w:tblBorders>
    </w:tblPr>
    <w:tblStylePr w:type="firstRow">
      <w:pPr>
        <w:spacing w:before="0" w:after="0" w:line="240" w:lineRule="auto"/>
      </w:pPr>
      <w:rPr>
        <w:b/>
        <w:bCs/>
        <w:color w:val="FFFFFF" w:themeColor="background1"/>
      </w:rPr>
      <w:tblPr/>
      <w:tcPr>
        <w:tcBorders>
          <w:top w:val="single" w:sz="8" w:space="0" w:color="5D9EE0" w:themeColor="accent3" w:themeTint="BF"/>
          <w:left w:val="single" w:sz="8" w:space="0" w:color="5D9EE0" w:themeColor="accent3" w:themeTint="BF"/>
          <w:bottom w:val="single" w:sz="8" w:space="0" w:color="5D9EE0" w:themeColor="accent3" w:themeTint="BF"/>
          <w:right w:val="single" w:sz="8" w:space="0" w:color="5D9EE0" w:themeColor="accent3" w:themeTint="BF"/>
          <w:insideH w:val="nil"/>
          <w:insideV w:val="nil"/>
        </w:tcBorders>
        <w:shd w:val="clear" w:color="auto" w:fill="297FD5" w:themeFill="accent3"/>
      </w:tcPr>
    </w:tblStylePr>
    <w:tblStylePr w:type="lastRow">
      <w:pPr>
        <w:spacing w:before="0" w:after="0" w:line="240" w:lineRule="auto"/>
      </w:pPr>
      <w:rPr>
        <w:b/>
        <w:bCs/>
      </w:rPr>
      <w:tblPr/>
      <w:tcPr>
        <w:tcBorders>
          <w:top w:val="double" w:sz="6" w:space="0" w:color="5D9EE0" w:themeColor="accent3" w:themeTint="BF"/>
          <w:left w:val="single" w:sz="8" w:space="0" w:color="5D9EE0" w:themeColor="accent3" w:themeTint="BF"/>
          <w:bottom w:val="single" w:sz="8" w:space="0" w:color="5D9EE0" w:themeColor="accent3" w:themeTint="BF"/>
          <w:right w:val="single" w:sz="8" w:space="0" w:color="5D9EE0" w:themeColor="accent3" w:themeTint="BF"/>
          <w:insideH w:val="nil"/>
          <w:insideV w:val="nil"/>
        </w:tcBorders>
      </w:tcPr>
    </w:tblStylePr>
    <w:tblStylePr w:type="firstCol">
      <w:rPr>
        <w:b/>
        <w:bCs/>
      </w:rPr>
    </w:tblStylePr>
    <w:tblStylePr w:type="lastCol">
      <w:rPr>
        <w:b/>
        <w:bCs/>
      </w:rPr>
    </w:tblStylePr>
    <w:tblStylePr w:type="band1Vert">
      <w:tblPr/>
      <w:tcPr>
        <w:shd w:val="clear" w:color="auto" w:fill="C9DFF4" w:themeFill="accent3" w:themeFillTint="3F"/>
      </w:tcPr>
    </w:tblStylePr>
    <w:tblStylePr w:type="band1Horz">
      <w:tblPr/>
      <w:tcPr>
        <w:tcBorders>
          <w:insideH w:val="nil"/>
          <w:insideV w:val="nil"/>
        </w:tcBorders>
        <w:shd w:val="clear" w:color="auto" w:fill="C9DFF4"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ABBE" w:themeColor="accent4" w:themeTint="BF"/>
        <w:left w:val="single" w:sz="8" w:space="0" w:color="9FABBE" w:themeColor="accent4" w:themeTint="BF"/>
        <w:bottom w:val="single" w:sz="8" w:space="0" w:color="9FABBE" w:themeColor="accent4" w:themeTint="BF"/>
        <w:right w:val="single" w:sz="8" w:space="0" w:color="9FABBE" w:themeColor="accent4" w:themeTint="BF"/>
        <w:insideH w:val="single" w:sz="8" w:space="0" w:color="9FABBE" w:themeColor="accent4" w:themeTint="BF"/>
      </w:tblBorders>
    </w:tblPr>
    <w:tblStylePr w:type="firstRow">
      <w:pPr>
        <w:spacing w:before="0" w:after="0" w:line="240" w:lineRule="auto"/>
      </w:pPr>
      <w:rPr>
        <w:b/>
        <w:bCs/>
        <w:color w:val="FFFFFF" w:themeColor="background1"/>
      </w:rPr>
      <w:tblPr/>
      <w:tcPr>
        <w:tcBorders>
          <w:top w:val="single" w:sz="8" w:space="0" w:color="9FABBE" w:themeColor="accent4" w:themeTint="BF"/>
          <w:left w:val="single" w:sz="8" w:space="0" w:color="9FABBE" w:themeColor="accent4" w:themeTint="BF"/>
          <w:bottom w:val="single" w:sz="8" w:space="0" w:color="9FABBE" w:themeColor="accent4" w:themeTint="BF"/>
          <w:right w:val="single" w:sz="8" w:space="0" w:color="9FABBE" w:themeColor="accent4" w:themeTint="BF"/>
          <w:insideH w:val="nil"/>
          <w:insideV w:val="nil"/>
        </w:tcBorders>
        <w:shd w:val="clear" w:color="auto" w:fill="7F8FA9" w:themeFill="accent4"/>
      </w:tcPr>
    </w:tblStylePr>
    <w:tblStylePr w:type="lastRow">
      <w:pPr>
        <w:spacing w:before="0" w:after="0" w:line="240" w:lineRule="auto"/>
      </w:pPr>
      <w:rPr>
        <w:b/>
        <w:bCs/>
      </w:rPr>
      <w:tblPr/>
      <w:tcPr>
        <w:tcBorders>
          <w:top w:val="double" w:sz="6" w:space="0" w:color="9FABBE" w:themeColor="accent4" w:themeTint="BF"/>
          <w:left w:val="single" w:sz="8" w:space="0" w:color="9FABBE" w:themeColor="accent4" w:themeTint="BF"/>
          <w:bottom w:val="single" w:sz="8" w:space="0" w:color="9FABBE" w:themeColor="accent4" w:themeTint="BF"/>
          <w:right w:val="single" w:sz="8" w:space="0" w:color="9FABBE"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E3E9" w:themeFill="accent4" w:themeFillTint="3F"/>
      </w:tcPr>
    </w:tblStylePr>
    <w:tblStylePr w:type="band1Horz">
      <w:tblPr/>
      <w:tcPr>
        <w:tcBorders>
          <w:insideH w:val="nil"/>
          <w:insideV w:val="nil"/>
        </w:tcBorders>
        <w:shd w:val="clear" w:color="auto" w:fill="DFE3E9"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83B9C2" w:themeColor="accent5" w:themeTint="BF"/>
        <w:left w:val="single" w:sz="8" w:space="0" w:color="83B9C2" w:themeColor="accent5" w:themeTint="BF"/>
        <w:bottom w:val="single" w:sz="8" w:space="0" w:color="83B9C2" w:themeColor="accent5" w:themeTint="BF"/>
        <w:right w:val="single" w:sz="8" w:space="0" w:color="83B9C2" w:themeColor="accent5" w:themeTint="BF"/>
        <w:insideH w:val="single" w:sz="8" w:space="0" w:color="83B9C2" w:themeColor="accent5" w:themeTint="BF"/>
      </w:tblBorders>
    </w:tblPr>
    <w:tblStylePr w:type="firstRow">
      <w:pPr>
        <w:spacing w:before="0" w:after="0" w:line="240" w:lineRule="auto"/>
      </w:pPr>
      <w:rPr>
        <w:b/>
        <w:bCs/>
        <w:color w:val="FFFFFF" w:themeColor="background1"/>
      </w:rPr>
      <w:tblPr/>
      <w:tcPr>
        <w:tcBorders>
          <w:top w:val="single" w:sz="8" w:space="0" w:color="83B9C2" w:themeColor="accent5" w:themeTint="BF"/>
          <w:left w:val="single" w:sz="8" w:space="0" w:color="83B9C2" w:themeColor="accent5" w:themeTint="BF"/>
          <w:bottom w:val="single" w:sz="8" w:space="0" w:color="83B9C2" w:themeColor="accent5" w:themeTint="BF"/>
          <w:right w:val="single" w:sz="8" w:space="0" w:color="83B9C2" w:themeColor="accent5" w:themeTint="BF"/>
          <w:insideH w:val="nil"/>
          <w:insideV w:val="nil"/>
        </w:tcBorders>
        <w:shd w:val="clear" w:color="auto" w:fill="5AA2AE" w:themeFill="accent5"/>
      </w:tcPr>
    </w:tblStylePr>
    <w:tblStylePr w:type="lastRow">
      <w:pPr>
        <w:spacing w:before="0" w:after="0" w:line="240" w:lineRule="auto"/>
      </w:pPr>
      <w:rPr>
        <w:b/>
        <w:bCs/>
      </w:rPr>
      <w:tblPr/>
      <w:tcPr>
        <w:tcBorders>
          <w:top w:val="double" w:sz="6" w:space="0" w:color="83B9C2" w:themeColor="accent5" w:themeTint="BF"/>
          <w:left w:val="single" w:sz="8" w:space="0" w:color="83B9C2" w:themeColor="accent5" w:themeTint="BF"/>
          <w:bottom w:val="single" w:sz="8" w:space="0" w:color="83B9C2" w:themeColor="accent5" w:themeTint="BF"/>
          <w:right w:val="single" w:sz="8" w:space="0" w:color="83B9C2"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7EB" w:themeFill="accent5" w:themeFillTint="3F"/>
      </w:tcPr>
    </w:tblStylePr>
    <w:tblStylePr w:type="band1Horz">
      <w:tblPr/>
      <w:tcPr>
        <w:tcBorders>
          <w:insideH w:val="nil"/>
          <w:insideV w:val="nil"/>
        </w:tcBorders>
        <w:shd w:val="clear" w:color="auto" w:fill="D6E7E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B5ABB7" w:themeColor="accent6" w:themeTint="BF"/>
        <w:left w:val="single" w:sz="8" w:space="0" w:color="B5ABB7" w:themeColor="accent6" w:themeTint="BF"/>
        <w:bottom w:val="single" w:sz="8" w:space="0" w:color="B5ABB7" w:themeColor="accent6" w:themeTint="BF"/>
        <w:right w:val="single" w:sz="8" w:space="0" w:color="B5ABB7" w:themeColor="accent6" w:themeTint="BF"/>
        <w:insideH w:val="single" w:sz="8" w:space="0" w:color="B5ABB7" w:themeColor="accent6" w:themeTint="BF"/>
      </w:tblBorders>
    </w:tblPr>
    <w:tblStylePr w:type="firstRow">
      <w:pPr>
        <w:spacing w:before="0" w:after="0" w:line="240" w:lineRule="auto"/>
      </w:pPr>
      <w:rPr>
        <w:b/>
        <w:bCs/>
        <w:color w:val="FFFFFF" w:themeColor="background1"/>
      </w:rPr>
      <w:tblPr/>
      <w:tcPr>
        <w:tcBorders>
          <w:top w:val="single" w:sz="8" w:space="0" w:color="B5ABB7" w:themeColor="accent6" w:themeTint="BF"/>
          <w:left w:val="single" w:sz="8" w:space="0" w:color="B5ABB7" w:themeColor="accent6" w:themeTint="BF"/>
          <w:bottom w:val="single" w:sz="8" w:space="0" w:color="B5ABB7" w:themeColor="accent6" w:themeTint="BF"/>
          <w:right w:val="single" w:sz="8" w:space="0" w:color="B5ABB7" w:themeColor="accent6" w:themeTint="BF"/>
          <w:insideH w:val="nil"/>
          <w:insideV w:val="nil"/>
        </w:tcBorders>
        <w:shd w:val="clear" w:color="auto" w:fill="9D90A0" w:themeFill="accent6"/>
      </w:tcPr>
    </w:tblStylePr>
    <w:tblStylePr w:type="lastRow">
      <w:pPr>
        <w:spacing w:before="0" w:after="0" w:line="240" w:lineRule="auto"/>
      </w:pPr>
      <w:rPr>
        <w:b/>
        <w:bCs/>
      </w:rPr>
      <w:tblPr/>
      <w:tcPr>
        <w:tcBorders>
          <w:top w:val="double" w:sz="6" w:space="0" w:color="B5ABB7" w:themeColor="accent6" w:themeTint="BF"/>
          <w:left w:val="single" w:sz="8" w:space="0" w:color="B5ABB7" w:themeColor="accent6" w:themeTint="BF"/>
          <w:bottom w:val="single" w:sz="8" w:space="0" w:color="B5ABB7" w:themeColor="accent6" w:themeTint="BF"/>
          <w:right w:val="single" w:sz="8" w:space="0" w:color="B5ABB7" w:themeColor="accent6" w:themeTint="BF"/>
          <w:insideH w:val="nil"/>
          <w:insideV w:val="nil"/>
        </w:tcBorders>
      </w:tcPr>
    </w:tblStylePr>
    <w:tblStylePr w:type="firstCol">
      <w:rPr>
        <w:b/>
        <w:bCs/>
      </w:rPr>
    </w:tblStylePr>
    <w:tblStylePr w:type="lastCol">
      <w:rPr>
        <w:b/>
        <w:bCs/>
      </w:rPr>
    </w:tblStylePr>
    <w:tblStylePr w:type="band1Vert">
      <w:tblPr/>
      <w:tcPr>
        <w:shd w:val="clear" w:color="auto" w:fill="E6E3E7" w:themeFill="accent6" w:themeFillTint="3F"/>
      </w:tcPr>
    </w:tblStylePr>
    <w:tblStylePr w:type="band1Horz">
      <w:tblPr/>
      <w:tcPr>
        <w:tcBorders>
          <w:insideH w:val="nil"/>
          <w:insideV w:val="nil"/>
        </w:tcBorders>
        <w:shd w:val="clear" w:color="auto" w:fill="E6E3E7"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A66AC"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A66AC" w:themeFill="accent1"/>
      </w:tcPr>
    </w:tblStylePr>
    <w:tblStylePr w:type="lastCol">
      <w:rPr>
        <w:b/>
        <w:bCs/>
        <w:color w:val="FFFFFF" w:themeColor="background1"/>
      </w:rPr>
      <w:tblPr/>
      <w:tcPr>
        <w:tcBorders>
          <w:left w:val="nil"/>
          <w:right w:val="nil"/>
          <w:insideH w:val="nil"/>
          <w:insideV w:val="nil"/>
        </w:tcBorders>
        <w:shd w:val="clear" w:color="auto" w:fill="4A66A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9DD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629DD1" w:themeFill="accent2"/>
      </w:tcPr>
    </w:tblStylePr>
    <w:tblStylePr w:type="lastCol">
      <w:rPr>
        <w:b/>
        <w:bCs/>
        <w:color w:val="FFFFFF" w:themeColor="background1"/>
      </w:rPr>
      <w:tblPr/>
      <w:tcPr>
        <w:tcBorders>
          <w:left w:val="nil"/>
          <w:right w:val="nil"/>
          <w:insideH w:val="nil"/>
          <w:insideV w:val="nil"/>
        </w:tcBorders>
        <w:shd w:val="clear" w:color="auto" w:fill="629DD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97FD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297FD5" w:themeFill="accent3"/>
      </w:tcPr>
    </w:tblStylePr>
    <w:tblStylePr w:type="lastCol">
      <w:rPr>
        <w:b/>
        <w:bCs/>
        <w:color w:val="FFFFFF" w:themeColor="background1"/>
      </w:rPr>
      <w:tblPr/>
      <w:tcPr>
        <w:tcBorders>
          <w:left w:val="nil"/>
          <w:right w:val="nil"/>
          <w:insideH w:val="nil"/>
          <w:insideV w:val="nil"/>
        </w:tcBorders>
        <w:shd w:val="clear" w:color="auto" w:fill="297FD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F8FA9"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F8FA9" w:themeFill="accent4"/>
      </w:tcPr>
    </w:tblStylePr>
    <w:tblStylePr w:type="lastCol">
      <w:rPr>
        <w:b/>
        <w:bCs/>
        <w:color w:val="FFFFFF" w:themeColor="background1"/>
      </w:rPr>
      <w:tblPr/>
      <w:tcPr>
        <w:tcBorders>
          <w:left w:val="nil"/>
          <w:right w:val="nil"/>
          <w:insideH w:val="nil"/>
          <w:insideV w:val="nil"/>
        </w:tcBorders>
        <w:shd w:val="clear" w:color="auto" w:fill="7F8FA9"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AA2AE"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AA2AE" w:themeFill="accent5"/>
      </w:tcPr>
    </w:tblStylePr>
    <w:tblStylePr w:type="lastCol">
      <w:rPr>
        <w:b/>
        <w:bCs/>
        <w:color w:val="FFFFFF" w:themeColor="background1"/>
      </w:rPr>
      <w:tblPr/>
      <w:tcPr>
        <w:tcBorders>
          <w:left w:val="nil"/>
          <w:right w:val="nil"/>
          <w:insideH w:val="nil"/>
          <w:insideV w:val="nil"/>
        </w:tcBorders>
        <w:shd w:val="clear" w:color="auto" w:fill="5AA2AE"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D90A0"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D90A0" w:themeFill="accent6"/>
      </w:tcPr>
    </w:tblStylePr>
    <w:tblStylePr w:type="lastCol">
      <w:rPr>
        <w:b/>
        <w:bCs/>
        <w:color w:val="FFFFFF" w:themeColor="background1"/>
      </w:rPr>
      <w:tblPr/>
      <w:tcPr>
        <w:tcBorders>
          <w:left w:val="nil"/>
          <w:right w:val="nil"/>
          <w:insideH w:val="nil"/>
          <w:insideV w:val="nil"/>
        </w:tcBorders>
        <w:shd w:val="clear" w:color="auto" w:fill="9D90A0"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42852"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A66AC" w:themeColor="accent1"/>
        <w:bottom w:val="single" w:sz="8" w:space="0" w:color="4A66AC" w:themeColor="accent1"/>
      </w:tblBorders>
    </w:tblPr>
    <w:tblStylePr w:type="firstRow">
      <w:rPr>
        <w:rFonts w:asciiTheme="majorHAnsi" w:eastAsiaTheme="majorEastAsia" w:hAnsiTheme="majorHAnsi" w:cstheme="majorBidi"/>
      </w:rPr>
      <w:tblPr/>
      <w:tcPr>
        <w:tcBorders>
          <w:top w:val="nil"/>
          <w:bottom w:val="single" w:sz="8" w:space="0" w:color="4A66AC" w:themeColor="accent1"/>
        </w:tcBorders>
      </w:tcPr>
    </w:tblStylePr>
    <w:tblStylePr w:type="lastRow">
      <w:rPr>
        <w:b/>
        <w:bCs/>
        <w:color w:val="242852" w:themeColor="text2"/>
      </w:rPr>
      <w:tblPr/>
      <w:tcPr>
        <w:tcBorders>
          <w:top w:val="single" w:sz="8" w:space="0" w:color="4A66AC" w:themeColor="accent1"/>
          <w:bottom w:val="single" w:sz="8" w:space="0" w:color="4A66AC" w:themeColor="accent1"/>
        </w:tcBorders>
      </w:tcPr>
    </w:tblStylePr>
    <w:tblStylePr w:type="firstCol">
      <w:rPr>
        <w:b/>
        <w:bCs/>
      </w:rPr>
    </w:tblStylePr>
    <w:tblStylePr w:type="lastCol">
      <w:rPr>
        <w:b/>
        <w:bCs/>
      </w:rPr>
      <w:tblPr/>
      <w:tcPr>
        <w:tcBorders>
          <w:top w:val="single" w:sz="8" w:space="0" w:color="4A66AC" w:themeColor="accent1"/>
          <w:bottom w:val="single" w:sz="8" w:space="0" w:color="4A66AC" w:themeColor="accent1"/>
        </w:tcBorders>
      </w:tcPr>
    </w:tblStylePr>
    <w:tblStylePr w:type="band1Vert">
      <w:tblPr/>
      <w:tcPr>
        <w:shd w:val="clear" w:color="auto" w:fill="D1D8EB" w:themeFill="accent1" w:themeFillTint="3F"/>
      </w:tcPr>
    </w:tblStylePr>
    <w:tblStylePr w:type="band1Horz">
      <w:tblPr/>
      <w:tcPr>
        <w:shd w:val="clear" w:color="auto" w:fill="D1D8EB"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629DD1" w:themeColor="accent2"/>
        <w:bottom w:val="single" w:sz="8" w:space="0" w:color="629DD1" w:themeColor="accent2"/>
      </w:tblBorders>
    </w:tblPr>
    <w:tblStylePr w:type="firstRow">
      <w:rPr>
        <w:rFonts w:asciiTheme="majorHAnsi" w:eastAsiaTheme="majorEastAsia" w:hAnsiTheme="majorHAnsi" w:cstheme="majorBidi"/>
      </w:rPr>
      <w:tblPr/>
      <w:tcPr>
        <w:tcBorders>
          <w:top w:val="nil"/>
          <w:bottom w:val="single" w:sz="8" w:space="0" w:color="629DD1" w:themeColor="accent2"/>
        </w:tcBorders>
      </w:tcPr>
    </w:tblStylePr>
    <w:tblStylePr w:type="lastRow">
      <w:rPr>
        <w:b/>
        <w:bCs/>
        <w:color w:val="242852" w:themeColor="text2"/>
      </w:rPr>
      <w:tblPr/>
      <w:tcPr>
        <w:tcBorders>
          <w:top w:val="single" w:sz="8" w:space="0" w:color="629DD1" w:themeColor="accent2"/>
          <w:bottom w:val="single" w:sz="8" w:space="0" w:color="629DD1" w:themeColor="accent2"/>
        </w:tcBorders>
      </w:tcPr>
    </w:tblStylePr>
    <w:tblStylePr w:type="firstCol">
      <w:rPr>
        <w:b/>
        <w:bCs/>
      </w:rPr>
    </w:tblStylePr>
    <w:tblStylePr w:type="lastCol">
      <w:rPr>
        <w:b/>
        <w:bCs/>
      </w:rPr>
      <w:tblPr/>
      <w:tcPr>
        <w:tcBorders>
          <w:top w:val="single" w:sz="8" w:space="0" w:color="629DD1" w:themeColor="accent2"/>
          <w:bottom w:val="single" w:sz="8" w:space="0" w:color="629DD1" w:themeColor="accent2"/>
        </w:tcBorders>
      </w:tcPr>
    </w:tblStylePr>
    <w:tblStylePr w:type="band1Vert">
      <w:tblPr/>
      <w:tcPr>
        <w:shd w:val="clear" w:color="auto" w:fill="D8E6F3" w:themeFill="accent2" w:themeFillTint="3F"/>
      </w:tcPr>
    </w:tblStylePr>
    <w:tblStylePr w:type="band1Horz">
      <w:tblPr/>
      <w:tcPr>
        <w:shd w:val="clear" w:color="auto" w:fill="D8E6F3"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297FD5" w:themeColor="accent3"/>
        <w:bottom w:val="single" w:sz="8" w:space="0" w:color="297FD5" w:themeColor="accent3"/>
      </w:tblBorders>
    </w:tblPr>
    <w:tblStylePr w:type="firstRow">
      <w:rPr>
        <w:rFonts w:asciiTheme="majorHAnsi" w:eastAsiaTheme="majorEastAsia" w:hAnsiTheme="majorHAnsi" w:cstheme="majorBidi"/>
      </w:rPr>
      <w:tblPr/>
      <w:tcPr>
        <w:tcBorders>
          <w:top w:val="nil"/>
          <w:bottom w:val="single" w:sz="8" w:space="0" w:color="297FD5" w:themeColor="accent3"/>
        </w:tcBorders>
      </w:tcPr>
    </w:tblStylePr>
    <w:tblStylePr w:type="lastRow">
      <w:rPr>
        <w:b/>
        <w:bCs/>
        <w:color w:val="242852" w:themeColor="text2"/>
      </w:rPr>
      <w:tblPr/>
      <w:tcPr>
        <w:tcBorders>
          <w:top w:val="single" w:sz="8" w:space="0" w:color="297FD5" w:themeColor="accent3"/>
          <w:bottom w:val="single" w:sz="8" w:space="0" w:color="297FD5" w:themeColor="accent3"/>
        </w:tcBorders>
      </w:tcPr>
    </w:tblStylePr>
    <w:tblStylePr w:type="firstCol">
      <w:rPr>
        <w:b/>
        <w:bCs/>
      </w:rPr>
    </w:tblStylePr>
    <w:tblStylePr w:type="lastCol">
      <w:rPr>
        <w:b/>
        <w:bCs/>
      </w:rPr>
      <w:tblPr/>
      <w:tcPr>
        <w:tcBorders>
          <w:top w:val="single" w:sz="8" w:space="0" w:color="297FD5" w:themeColor="accent3"/>
          <w:bottom w:val="single" w:sz="8" w:space="0" w:color="297FD5" w:themeColor="accent3"/>
        </w:tcBorders>
      </w:tcPr>
    </w:tblStylePr>
    <w:tblStylePr w:type="band1Vert">
      <w:tblPr/>
      <w:tcPr>
        <w:shd w:val="clear" w:color="auto" w:fill="C9DFF4" w:themeFill="accent3" w:themeFillTint="3F"/>
      </w:tcPr>
    </w:tblStylePr>
    <w:tblStylePr w:type="band1Horz">
      <w:tblPr/>
      <w:tcPr>
        <w:shd w:val="clear" w:color="auto" w:fill="C9DFF4"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7F8FA9" w:themeColor="accent4"/>
        <w:bottom w:val="single" w:sz="8" w:space="0" w:color="7F8FA9" w:themeColor="accent4"/>
      </w:tblBorders>
    </w:tblPr>
    <w:tblStylePr w:type="firstRow">
      <w:rPr>
        <w:rFonts w:asciiTheme="majorHAnsi" w:eastAsiaTheme="majorEastAsia" w:hAnsiTheme="majorHAnsi" w:cstheme="majorBidi"/>
      </w:rPr>
      <w:tblPr/>
      <w:tcPr>
        <w:tcBorders>
          <w:top w:val="nil"/>
          <w:bottom w:val="single" w:sz="8" w:space="0" w:color="7F8FA9" w:themeColor="accent4"/>
        </w:tcBorders>
      </w:tcPr>
    </w:tblStylePr>
    <w:tblStylePr w:type="lastRow">
      <w:rPr>
        <w:b/>
        <w:bCs/>
        <w:color w:val="242852" w:themeColor="text2"/>
      </w:rPr>
      <w:tblPr/>
      <w:tcPr>
        <w:tcBorders>
          <w:top w:val="single" w:sz="8" w:space="0" w:color="7F8FA9" w:themeColor="accent4"/>
          <w:bottom w:val="single" w:sz="8" w:space="0" w:color="7F8FA9" w:themeColor="accent4"/>
        </w:tcBorders>
      </w:tcPr>
    </w:tblStylePr>
    <w:tblStylePr w:type="firstCol">
      <w:rPr>
        <w:b/>
        <w:bCs/>
      </w:rPr>
    </w:tblStylePr>
    <w:tblStylePr w:type="lastCol">
      <w:rPr>
        <w:b/>
        <w:bCs/>
      </w:rPr>
      <w:tblPr/>
      <w:tcPr>
        <w:tcBorders>
          <w:top w:val="single" w:sz="8" w:space="0" w:color="7F8FA9" w:themeColor="accent4"/>
          <w:bottom w:val="single" w:sz="8" w:space="0" w:color="7F8FA9" w:themeColor="accent4"/>
        </w:tcBorders>
      </w:tcPr>
    </w:tblStylePr>
    <w:tblStylePr w:type="band1Vert">
      <w:tblPr/>
      <w:tcPr>
        <w:shd w:val="clear" w:color="auto" w:fill="DFE3E9" w:themeFill="accent4" w:themeFillTint="3F"/>
      </w:tcPr>
    </w:tblStylePr>
    <w:tblStylePr w:type="band1Horz">
      <w:tblPr/>
      <w:tcPr>
        <w:shd w:val="clear" w:color="auto" w:fill="DFE3E9"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5AA2AE" w:themeColor="accent5"/>
        <w:bottom w:val="single" w:sz="8" w:space="0" w:color="5AA2AE" w:themeColor="accent5"/>
      </w:tblBorders>
    </w:tblPr>
    <w:tblStylePr w:type="firstRow">
      <w:rPr>
        <w:rFonts w:asciiTheme="majorHAnsi" w:eastAsiaTheme="majorEastAsia" w:hAnsiTheme="majorHAnsi" w:cstheme="majorBidi"/>
      </w:rPr>
      <w:tblPr/>
      <w:tcPr>
        <w:tcBorders>
          <w:top w:val="nil"/>
          <w:bottom w:val="single" w:sz="8" w:space="0" w:color="5AA2AE" w:themeColor="accent5"/>
        </w:tcBorders>
      </w:tcPr>
    </w:tblStylePr>
    <w:tblStylePr w:type="lastRow">
      <w:rPr>
        <w:b/>
        <w:bCs/>
        <w:color w:val="242852" w:themeColor="text2"/>
      </w:rPr>
      <w:tblPr/>
      <w:tcPr>
        <w:tcBorders>
          <w:top w:val="single" w:sz="8" w:space="0" w:color="5AA2AE" w:themeColor="accent5"/>
          <w:bottom w:val="single" w:sz="8" w:space="0" w:color="5AA2AE" w:themeColor="accent5"/>
        </w:tcBorders>
      </w:tcPr>
    </w:tblStylePr>
    <w:tblStylePr w:type="firstCol">
      <w:rPr>
        <w:b/>
        <w:bCs/>
      </w:rPr>
    </w:tblStylePr>
    <w:tblStylePr w:type="lastCol">
      <w:rPr>
        <w:b/>
        <w:bCs/>
      </w:rPr>
      <w:tblPr/>
      <w:tcPr>
        <w:tcBorders>
          <w:top w:val="single" w:sz="8" w:space="0" w:color="5AA2AE" w:themeColor="accent5"/>
          <w:bottom w:val="single" w:sz="8" w:space="0" w:color="5AA2AE" w:themeColor="accent5"/>
        </w:tcBorders>
      </w:tcPr>
    </w:tblStylePr>
    <w:tblStylePr w:type="band1Vert">
      <w:tblPr/>
      <w:tcPr>
        <w:shd w:val="clear" w:color="auto" w:fill="D6E7EB" w:themeFill="accent5" w:themeFillTint="3F"/>
      </w:tcPr>
    </w:tblStylePr>
    <w:tblStylePr w:type="band1Horz">
      <w:tblPr/>
      <w:tcPr>
        <w:shd w:val="clear" w:color="auto" w:fill="D6E7EB"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9D90A0" w:themeColor="accent6"/>
        <w:bottom w:val="single" w:sz="8" w:space="0" w:color="9D90A0" w:themeColor="accent6"/>
      </w:tblBorders>
    </w:tblPr>
    <w:tblStylePr w:type="firstRow">
      <w:rPr>
        <w:rFonts w:asciiTheme="majorHAnsi" w:eastAsiaTheme="majorEastAsia" w:hAnsiTheme="majorHAnsi" w:cstheme="majorBidi"/>
      </w:rPr>
      <w:tblPr/>
      <w:tcPr>
        <w:tcBorders>
          <w:top w:val="nil"/>
          <w:bottom w:val="single" w:sz="8" w:space="0" w:color="9D90A0" w:themeColor="accent6"/>
        </w:tcBorders>
      </w:tcPr>
    </w:tblStylePr>
    <w:tblStylePr w:type="lastRow">
      <w:rPr>
        <w:b/>
        <w:bCs/>
        <w:color w:val="242852" w:themeColor="text2"/>
      </w:rPr>
      <w:tblPr/>
      <w:tcPr>
        <w:tcBorders>
          <w:top w:val="single" w:sz="8" w:space="0" w:color="9D90A0" w:themeColor="accent6"/>
          <w:bottom w:val="single" w:sz="8" w:space="0" w:color="9D90A0" w:themeColor="accent6"/>
        </w:tcBorders>
      </w:tcPr>
    </w:tblStylePr>
    <w:tblStylePr w:type="firstCol">
      <w:rPr>
        <w:b/>
        <w:bCs/>
      </w:rPr>
    </w:tblStylePr>
    <w:tblStylePr w:type="lastCol">
      <w:rPr>
        <w:b/>
        <w:bCs/>
      </w:rPr>
      <w:tblPr/>
      <w:tcPr>
        <w:tcBorders>
          <w:top w:val="single" w:sz="8" w:space="0" w:color="9D90A0" w:themeColor="accent6"/>
          <w:bottom w:val="single" w:sz="8" w:space="0" w:color="9D90A0" w:themeColor="accent6"/>
        </w:tcBorders>
      </w:tcPr>
    </w:tblStylePr>
    <w:tblStylePr w:type="band1Vert">
      <w:tblPr/>
      <w:tcPr>
        <w:shd w:val="clear" w:color="auto" w:fill="E6E3E7" w:themeFill="accent6" w:themeFillTint="3F"/>
      </w:tcPr>
    </w:tblStylePr>
    <w:tblStylePr w:type="band1Horz">
      <w:tblPr/>
      <w:tcPr>
        <w:shd w:val="clear" w:color="auto" w:fill="E6E3E7"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A66AC" w:themeColor="accent1"/>
        <w:left w:val="single" w:sz="8" w:space="0" w:color="4A66AC" w:themeColor="accent1"/>
        <w:bottom w:val="single" w:sz="8" w:space="0" w:color="4A66AC" w:themeColor="accent1"/>
        <w:right w:val="single" w:sz="8" w:space="0" w:color="4A66AC" w:themeColor="accent1"/>
      </w:tblBorders>
    </w:tblPr>
    <w:tblStylePr w:type="firstRow">
      <w:rPr>
        <w:sz w:val="24"/>
        <w:szCs w:val="24"/>
      </w:rPr>
      <w:tblPr/>
      <w:tcPr>
        <w:tcBorders>
          <w:top w:val="nil"/>
          <w:left w:val="nil"/>
          <w:bottom w:val="single" w:sz="24" w:space="0" w:color="4A66AC" w:themeColor="accent1"/>
          <w:right w:val="nil"/>
          <w:insideH w:val="nil"/>
          <w:insideV w:val="nil"/>
        </w:tcBorders>
        <w:shd w:val="clear" w:color="auto" w:fill="FFFFFF" w:themeFill="background1"/>
      </w:tcPr>
    </w:tblStylePr>
    <w:tblStylePr w:type="lastRow">
      <w:tblPr/>
      <w:tcPr>
        <w:tcBorders>
          <w:top w:val="single" w:sz="8" w:space="0" w:color="4A66AC"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A66AC" w:themeColor="accent1"/>
          <w:insideH w:val="nil"/>
          <w:insideV w:val="nil"/>
        </w:tcBorders>
        <w:shd w:val="clear" w:color="auto" w:fill="FFFFFF" w:themeFill="background1"/>
      </w:tcPr>
    </w:tblStylePr>
    <w:tblStylePr w:type="lastCol">
      <w:tblPr/>
      <w:tcPr>
        <w:tcBorders>
          <w:top w:val="nil"/>
          <w:left w:val="single" w:sz="8" w:space="0" w:color="4A66AC"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1D8EB" w:themeFill="accent1" w:themeFillTint="3F"/>
      </w:tcPr>
    </w:tblStylePr>
    <w:tblStylePr w:type="band1Horz">
      <w:tblPr/>
      <w:tcPr>
        <w:tcBorders>
          <w:top w:val="nil"/>
          <w:bottom w:val="nil"/>
          <w:insideH w:val="nil"/>
          <w:insideV w:val="nil"/>
        </w:tcBorders>
        <w:shd w:val="clear" w:color="auto" w:fill="D1D8EB"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9DD1" w:themeColor="accent2"/>
        <w:left w:val="single" w:sz="8" w:space="0" w:color="629DD1" w:themeColor="accent2"/>
        <w:bottom w:val="single" w:sz="8" w:space="0" w:color="629DD1" w:themeColor="accent2"/>
        <w:right w:val="single" w:sz="8" w:space="0" w:color="629DD1" w:themeColor="accent2"/>
      </w:tblBorders>
    </w:tblPr>
    <w:tblStylePr w:type="firstRow">
      <w:rPr>
        <w:sz w:val="24"/>
        <w:szCs w:val="24"/>
      </w:rPr>
      <w:tblPr/>
      <w:tcPr>
        <w:tcBorders>
          <w:top w:val="nil"/>
          <w:left w:val="nil"/>
          <w:bottom w:val="single" w:sz="24" w:space="0" w:color="629DD1" w:themeColor="accent2"/>
          <w:right w:val="nil"/>
          <w:insideH w:val="nil"/>
          <w:insideV w:val="nil"/>
        </w:tcBorders>
        <w:shd w:val="clear" w:color="auto" w:fill="FFFFFF" w:themeFill="background1"/>
      </w:tcPr>
    </w:tblStylePr>
    <w:tblStylePr w:type="lastRow">
      <w:tblPr/>
      <w:tcPr>
        <w:tcBorders>
          <w:top w:val="single" w:sz="8" w:space="0" w:color="629DD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9DD1" w:themeColor="accent2"/>
          <w:insideH w:val="nil"/>
          <w:insideV w:val="nil"/>
        </w:tcBorders>
        <w:shd w:val="clear" w:color="auto" w:fill="FFFFFF" w:themeFill="background1"/>
      </w:tcPr>
    </w:tblStylePr>
    <w:tblStylePr w:type="lastCol">
      <w:tblPr/>
      <w:tcPr>
        <w:tcBorders>
          <w:top w:val="nil"/>
          <w:left w:val="single" w:sz="8" w:space="0" w:color="629DD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E6F3" w:themeFill="accent2" w:themeFillTint="3F"/>
      </w:tcPr>
    </w:tblStylePr>
    <w:tblStylePr w:type="band1Horz">
      <w:tblPr/>
      <w:tcPr>
        <w:tcBorders>
          <w:top w:val="nil"/>
          <w:bottom w:val="nil"/>
          <w:insideH w:val="nil"/>
          <w:insideV w:val="nil"/>
        </w:tcBorders>
        <w:shd w:val="clear" w:color="auto" w:fill="D8E6F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97FD5" w:themeColor="accent3"/>
        <w:left w:val="single" w:sz="8" w:space="0" w:color="297FD5" w:themeColor="accent3"/>
        <w:bottom w:val="single" w:sz="8" w:space="0" w:color="297FD5" w:themeColor="accent3"/>
        <w:right w:val="single" w:sz="8" w:space="0" w:color="297FD5" w:themeColor="accent3"/>
      </w:tblBorders>
    </w:tblPr>
    <w:tblStylePr w:type="firstRow">
      <w:rPr>
        <w:sz w:val="24"/>
        <w:szCs w:val="24"/>
      </w:rPr>
      <w:tblPr/>
      <w:tcPr>
        <w:tcBorders>
          <w:top w:val="nil"/>
          <w:left w:val="nil"/>
          <w:bottom w:val="single" w:sz="24" w:space="0" w:color="297FD5" w:themeColor="accent3"/>
          <w:right w:val="nil"/>
          <w:insideH w:val="nil"/>
          <w:insideV w:val="nil"/>
        </w:tcBorders>
        <w:shd w:val="clear" w:color="auto" w:fill="FFFFFF" w:themeFill="background1"/>
      </w:tcPr>
    </w:tblStylePr>
    <w:tblStylePr w:type="lastRow">
      <w:tblPr/>
      <w:tcPr>
        <w:tcBorders>
          <w:top w:val="single" w:sz="8" w:space="0" w:color="297FD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97FD5" w:themeColor="accent3"/>
          <w:insideH w:val="nil"/>
          <w:insideV w:val="nil"/>
        </w:tcBorders>
        <w:shd w:val="clear" w:color="auto" w:fill="FFFFFF" w:themeFill="background1"/>
      </w:tcPr>
    </w:tblStylePr>
    <w:tblStylePr w:type="lastCol">
      <w:tblPr/>
      <w:tcPr>
        <w:tcBorders>
          <w:top w:val="nil"/>
          <w:left w:val="single" w:sz="8" w:space="0" w:color="297FD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9DFF4" w:themeFill="accent3" w:themeFillTint="3F"/>
      </w:tcPr>
    </w:tblStylePr>
    <w:tblStylePr w:type="band1Horz">
      <w:tblPr/>
      <w:tcPr>
        <w:tcBorders>
          <w:top w:val="nil"/>
          <w:bottom w:val="nil"/>
          <w:insideH w:val="nil"/>
          <w:insideV w:val="nil"/>
        </w:tcBorders>
        <w:shd w:val="clear" w:color="auto" w:fill="C9DFF4"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F8FA9" w:themeColor="accent4"/>
        <w:left w:val="single" w:sz="8" w:space="0" w:color="7F8FA9" w:themeColor="accent4"/>
        <w:bottom w:val="single" w:sz="8" w:space="0" w:color="7F8FA9" w:themeColor="accent4"/>
        <w:right w:val="single" w:sz="8" w:space="0" w:color="7F8FA9" w:themeColor="accent4"/>
      </w:tblBorders>
    </w:tblPr>
    <w:tblStylePr w:type="firstRow">
      <w:rPr>
        <w:sz w:val="24"/>
        <w:szCs w:val="24"/>
      </w:rPr>
      <w:tblPr/>
      <w:tcPr>
        <w:tcBorders>
          <w:top w:val="nil"/>
          <w:left w:val="nil"/>
          <w:bottom w:val="single" w:sz="24" w:space="0" w:color="7F8FA9" w:themeColor="accent4"/>
          <w:right w:val="nil"/>
          <w:insideH w:val="nil"/>
          <w:insideV w:val="nil"/>
        </w:tcBorders>
        <w:shd w:val="clear" w:color="auto" w:fill="FFFFFF" w:themeFill="background1"/>
      </w:tcPr>
    </w:tblStylePr>
    <w:tblStylePr w:type="lastRow">
      <w:tblPr/>
      <w:tcPr>
        <w:tcBorders>
          <w:top w:val="single" w:sz="8" w:space="0" w:color="7F8FA9"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F8FA9" w:themeColor="accent4"/>
          <w:insideH w:val="nil"/>
          <w:insideV w:val="nil"/>
        </w:tcBorders>
        <w:shd w:val="clear" w:color="auto" w:fill="FFFFFF" w:themeFill="background1"/>
      </w:tcPr>
    </w:tblStylePr>
    <w:tblStylePr w:type="lastCol">
      <w:tblPr/>
      <w:tcPr>
        <w:tcBorders>
          <w:top w:val="nil"/>
          <w:left w:val="single" w:sz="8" w:space="0" w:color="7F8FA9"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E3E9" w:themeFill="accent4" w:themeFillTint="3F"/>
      </w:tcPr>
    </w:tblStylePr>
    <w:tblStylePr w:type="band1Horz">
      <w:tblPr/>
      <w:tcPr>
        <w:tcBorders>
          <w:top w:val="nil"/>
          <w:bottom w:val="nil"/>
          <w:insideH w:val="nil"/>
          <w:insideV w:val="nil"/>
        </w:tcBorders>
        <w:shd w:val="clear" w:color="auto" w:fill="DFE3E9"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AA2AE" w:themeColor="accent5"/>
        <w:left w:val="single" w:sz="8" w:space="0" w:color="5AA2AE" w:themeColor="accent5"/>
        <w:bottom w:val="single" w:sz="8" w:space="0" w:color="5AA2AE" w:themeColor="accent5"/>
        <w:right w:val="single" w:sz="8" w:space="0" w:color="5AA2AE" w:themeColor="accent5"/>
      </w:tblBorders>
    </w:tblPr>
    <w:tblStylePr w:type="firstRow">
      <w:rPr>
        <w:sz w:val="24"/>
        <w:szCs w:val="24"/>
      </w:rPr>
      <w:tblPr/>
      <w:tcPr>
        <w:tcBorders>
          <w:top w:val="nil"/>
          <w:left w:val="nil"/>
          <w:bottom w:val="single" w:sz="24" w:space="0" w:color="5AA2AE" w:themeColor="accent5"/>
          <w:right w:val="nil"/>
          <w:insideH w:val="nil"/>
          <w:insideV w:val="nil"/>
        </w:tcBorders>
        <w:shd w:val="clear" w:color="auto" w:fill="FFFFFF" w:themeFill="background1"/>
      </w:tcPr>
    </w:tblStylePr>
    <w:tblStylePr w:type="lastRow">
      <w:tblPr/>
      <w:tcPr>
        <w:tcBorders>
          <w:top w:val="single" w:sz="8" w:space="0" w:color="5AA2AE"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AA2AE" w:themeColor="accent5"/>
          <w:insideH w:val="nil"/>
          <w:insideV w:val="nil"/>
        </w:tcBorders>
        <w:shd w:val="clear" w:color="auto" w:fill="FFFFFF" w:themeFill="background1"/>
      </w:tcPr>
    </w:tblStylePr>
    <w:tblStylePr w:type="lastCol">
      <w:tblPr/>
      <w:tcPr>
        <w:tcBorders>
          <w:top w:val="nil"/>
          <w:left w:val="single" w:sz="8" w:space="0" w:color="5AA2AE"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7EB" w:themeFill="accent5" w:themeFillTint="3F"/>
      </w:tcPr>
    </w:tblStylePr>
    <w:tblStylePr w:type="band1Horz">
      <w:tblPr/>
      <w:tcPr>
        <w:tcBorders>
          <w:top w:val="nil"/>
          <w:bottom w:val="nil"/>
          <w:insideH w:val="nil"/>
          <w:insideV w:val="nil"/>
        </w:tcBorders>
        <w:shd w:val="clear" w:color="auto" w:fill="D6E7E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D90A0" w:themeColor="accent6"/>
        <w:left w:val="single" w:sz="8" w:space="0" w:color="9D90A0" w:themeColor="accent6"/>
        <w:bottom w:val="single" w:sz="8" w:space="0" w:color="9D90A0" w:themeColor="accent6"/>
        <w:right w:val="single" w:sz="8" w:space="0" w:color="9D90A0" w:themeColor="accent6"/>
      </w:tblBorders>
    </w:tblPr>
    <w:tblStylePr w:type="firstRow">
      <w:rPr>
        <w:sz w:val="24"/>
        <w:szCs w:val="24"/>
      </w:rPr>
      <w:tblPr/>
      <w:tcPr>
        <w:tcBorders>
          <w:top w:val="nil"/>
          <w:left w:val="nil"/>
          <w:bottom w:val="single" w:sz="24" w:space="0" w:color="9D90A0" w:themeColor="accent6"/>
          <w:right w:val="nil"/>
          <w:insideH w:val="nil"/>
          <w:insideV w:val="nil"/>
        </w:tcBorders>
        <w:shd w:val="clear" w:color="auto" w:fill="FFFFFF" w:themeFill="background1"/>
      </w:tcPr>
    </w:tblStylePr>
    <w:tblStylePr w:type="lastRow">
      <w:tblPr/>
      <w:tcPr>
        <w:tcBorders>
          <w:top w:val="single" w:sz="8" w:space="0" w:color="9D90A0"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D90A0" w:themeColor="accent6"/>
          <w:insideH w:val="nil"/>
          <w:insideV w:val="nil"/>
        </w:tcBorders>
        <w:shd w:val="clear" w:color="auto" w:fill="FFFFFF" w:themeFill="background1"/>
      </w:tcPr>
    </w:tblStylePr>
    <w:tblStylePr w:type="lastCol">
      <w:tblPr/>
      <w:tcPr>
        <w:tcBorders>
          <w:top w:val="nil"/>
          <w:left w:val="single" w:sz="8" w:space="0" w:color="9D90A0"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3E7" w:themeFill="accent6" w:themeFillTint="3F"/>
      </w:tcPr>
    </w:tblStylePr>
    <w:tblStylePr w:type="band1Horz">
      <w:tblPr/>
      <w:tcPr>
        <w:tcBorders>
          <w:top w:val="nil"/>
          <w:bottom w:val="nil"/>
          <w:insideH w:val="nil"/>
          <w:insideV w:val="nil"/>
        </w:tcBorders>
        <w:shd w:val="clear" w:color="auto" w:fill="E6E3E7"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48AC3" w:themeColor="accent1" w:themeTint="BF"/>
        <w:left w:val="single" w:sz="8" w:space="0" w:color="748AC3" w:themeColor="accent1" w:themeTint="BF"/>
        <w:bottom w:val="single" w:sz="8" w:space="0" w:color="748AC3" w:themeColor="accent1" w:themeTint="BF"/>
        <w:right w:val="single" w:sz="8" w:space="0" w:color="748AC3" w:themeColor="accent1" w:themeTint="BF"/>
        <w:insideH w:val="single" w:sz="8" w:space="0" w:color="748AC3" w:themeColor="accent1" w:themeTint="BF"/>
        <w:insideV w:val="single" w:sz="8" w:space="0" w:color="748AC3" w:themeColor="accent1" w:themeTint="BF"/>
      </w:tblBorders>
    </w:tblPr>
    <w:tcPr>
      <w:shd w:val="clear" w:color="auto" w:fill="D1D8EB" w:themeFill="accent1" w:themeFillTint="3F"/>
    </w:tcPr>
    <w:tblStylePr w:type="firstRow">
      <w:rPr>
        <w:b/>
        <w:bCs/>
      </w:rPr>
    </w:tblStylePr>
    <w:tblStylePr w:type="lastRow">
      <w:rPr>
        <w:b/>
        <w:bCs/>
      </w:rPr>
      <w:tblPr/>
      <w:tcPr>
        <w:tcBorders>
          <w:top w:val="single" w:sz="18" w:space="0" w:color="748AC3" w:themeColor="accent1" w:themeTint="BF"/>
        </w:tcBorders>
      </w:tcPr>
    </w:tblStylePr>
    <w:tblStylePr w:type="firstCol">
      <w:rPr>
        <w:b/>
        <w:bCs/>
      </w:rPr>
    </w:tblStylePr>
    <w:tblStylePr w:type="lastCol">
      <w:rPr>
        <w:b/>
        <w:bCs/>
      </w:rPr>
    </w:tblStylePr>
    <w:tblStylePr w:type="band1Vert">
      <w:tblPr/>
      <w:tcPr>
        <w:shd w:val="clear" w:color="auto" w:fill="A2B1D7" w:themeFill="accent1" w:themeFillTint="7F"/>
      </w:tcPr>
    </w:tblStylePr>
    <w:tblStylePr w:type="band1Horz">
      <w:tblPr/>
      <w:tcPr>
        <w:shd w:val="clear" w:color="auto" w:fill="A2B1D7"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89B5DC" w:themeColor="accent2" w:themeTint="BF"/>
        <w:left w:val="single" w:sz="8" w:space="0" w:color="89B5DC" w:themeColor="accent2" w:themeTint="BF"/>
        <w:bottom w:val="single" w:sz="8" w:space="0" w:color="89B5DC" w:themeColor="accent2" w:themeTint="BF"/>
        <w:right w:val="single" w:sz="8" w:space="0" w:color="89B5DC" w:themeColor="accent2" w:themeTint="BF"/>
        <w:insideH w:val="single" w:sz="8" w:space="0" w:color="89B5DC" w:themeColor="accent2" w:themeTint="BF"/>
        <w:insideV w:val="single" w:sz="8" w:space="0" w:color="89B5DC" w:themeColor="accent2" w:themeTint="BF"/>
      </w:tblBorders>
    </w:tblPr>
    <w:tcPr>
      <w:shd w:val="clear" w:color="auto" w:fill="D8E6F3" w:themeFill="accent2" w:themeFillTint="3F"/>
    </w:tcPr>
    <w:tblStylePr w:type="firstRow">
      <w:rPr>
        <w:b/>
        <w:bCs/>
      </w:rPr>
    </w:tblStylePr>
    <w:tblStylePr w:type="lastRow">
      <w:rPr>
        <w:b/>
        <w:bCs/>
      </w:rPr>
      <w:tblPr/>
      <w:tcPr>
        <w:tcBorders>
          <w:top w:val="single" w:sz="18" w:space="0" w:color="89B5DC" w:themeColor="accent2" w:themeTint="BF"/>
        </w:tcBorders>
      </w:tcPr>
    </w:tblStylePr>
    <w:tblStylePr w:type="firstCol">
      <w:rPr>
        <w:b/>
        <w:bCs/>
      </w:rPr>
    </w:tblStylePr>
    <w:tblStylePr w:type="lastCol">
      <w:rPr>
        <w:b/>
        <w:bCs/>
      </w:rPr>
    </w:tblStylePr>
    <w:tblStylePr w:type="band1Vert">
      <w:tblPr/>
      <w:tcPr>
        <w:shd w:val="clear" w:color="auto" w:fill="B0CDE8" w:themeFill="accent2" w:themeFillTint="7F"/>
      </w:tcPr>
    </w:tblStylePr>
    <w:tblStylePr w:type="band1Horz">
      <w:tblPr/>
      <w:tcPr>
        <w:shd w:val="clear" w:color="auto" w:fill="B0CDE8"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5D9EE0" w:themeColor="accent3" w:themeTint="BF"/>
        <w:left w:val="single" w:sz="8" w:space="0" w:color="5D9EE0" w:themeColor="accent3" w:themeTint="BF"/>
        <w:bottom w:val="single" w:sz="8" w:space="0" w:color="5D9EE0" w:themeColor="accent3" w:themeTint="BF"/>
        <w:right w:val="single" w:sz="8" w:space="0" w:color="5D9EE0" w:themeColor="accent3" w:themeTint="BF"/>
        <w:insideH w:val="single" w:sz="8" w:space="0" w:color="5D9EE0" w:themeColor="accent3" w:themeTint="BF"/>
        <w:insideV w:val="single" w:sz="8" w:space="0" w:color="5D9EE0" w:themeColor="accent3" w:themeTint="BF"/>
      </w:tblBorders>
    </w:tblPr>
    <w:tcPr>
      <w:shd w:val="clear" w:color="auto" w:fill="C9DFF4" w:themeFill="accent3" w:themeFillTint="3F"/>
    </w:tcPr>
    <w:tblStylePr w:type="firstRow">
      <w:rPr>
        <w:b/>
        <w:bCs/>
      </w:rPr>
    </w:tblStylePr>
    <w:tblStylePr w:type="lastRow">
      <w:rPr>
        <w:b/>
        <w:bCs/>
      </w:rPr>
      <w:tblPr/>
      <w:tcPr>
        <w:tcBorders>
          <w:top w:val="single" w:sz="18" w:space="0" w:color="5D9EE0" w:themeColor="accent3" w:themeTint="BF"/>
        </w:tcBorders>
      </w:tcPr>
    </w:tblStylePr>
    <w:tblStylePr w:type="firstCol">
      <w:rPr>
        <w:b/>
        <w:bCs/>
      </w:rPr>
    </w:tblStylePr>
    <w:tblStylePr w:type="lastCol">
      <w:rPr>
        <w:b/>
        <w:bCs/>
      </w:rPr>
    </w:tblStylePr>
    <w:tblStylePr w:type="band1Vert">
      <w:tblPr/>
      <w:tcPr>
        <w:shd w:val="clear" w:color="auto" w:fill="93BEEA" w:themeFill="accent3" w:themeFillTint="7F"/>
      </w:tcPr>
    </w:tblStylePr>
    <w:tblStylePr w:type="band1Horz">
      <w:tblPr/>
      <w:tcPr>
        <w:shd w:val="clear" w:color="auto" w:fill="93BEEA"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ABBE" w:themeColor="accent4" w:themeTint="BF"/>
        <w:left w:val="single" w:sz="8" w:space="0" w:color="9FABBE" w:themeColor="accent4" w:themeTint="BF"/>
        <w:bottom w:val="single" w:sz="8" w:space="0" w:color="9FABBE" w:themeColor="accent4" w:themeTint="BF"/>
        <w:right w:val="single" w:sz="8" w:space="0" w:color="9FABBE" w:themeColor="accent4" w:themeTint="BF"/>
        <w:insideH w:val="single" w:sz="8" w:space="0" w:color="9FABBE" w:themeColor="accent4" w:themeTint="BF"/>
        <w:insideV w:val="single" w:sz="8" w:space="0" w:color="9FABBE" w:themeColor="accent4" w:themeTint="BF"/>
      </w:tblBorders>
    </w:tblPr>
    <w:tcPr>
      <w:shd w:val="clear" w:color="auto" w:fill="DFE3E9" w:themeFill="accent4" w:themeFillTint="3F"/>
    </w:tcPr>
    <w:tblStylePr w:type="firstRow">
      <w:rPr>
        <w:b/>
        <w:bCs/>
      </w:rPr>
    </w:tblStylePr>
    <w:tblStylePr w:type="lastRow">
      <w:rPr>
        <w:b/>
        <w:bCs/>
      </w:rPr>
      <w:tblPr/>
      <w:tcPr>
        <w:tcBorders>
          <w:top w:val="single" w:sz="18" w:space="0" w:color="9FABBE" w:themeColor="accent4" w:themeTint="BF"/>
        </w:tcBorders>
      </w:tcPr>
    </w:tblStylePr>
    <w:tblStylePr w:type="firstCol">
      <w:rPr>
        <w:b/>
        <w:bCs/>
      </w:rPr>
    </w:tblStylePr>
    <w:tblStylePr w:type="lastCol">
      <w:rPr>
        <w:b/>
        <w:bCs/>
      </w:rPr>
    </w:tblStylePr>
    <w:tblStylePr w:type="band1Vert">
      <w:tblPr/>
      <w:tcPr>
        <w:shd w:val="clear" w:color="auto" w:fill="BFC7D4" w:themeFill="accent4" w:themeFillTint="7F"/>
      </w:tcPr>
    </w:tblStylePr>
    <w:tblStylePr w:type="band1Horz">
      <w:tblPr/>
      <w:tcPr>
        <w:shd w:val="clear" w:color="auto" w:fill="BFC7D4"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83B9C2" w:themeColor="accent5" w:themeTint="BF"/>
        <w:left w:val="single" w:sz="8" w:space="0" w:color="83B9C2" w:themeColor="accent5" w:themeTint="BF"/>
        <w:bottom w:val="single" w:sz="8" w:space="0" w:color="83B9C2" w:themeColor="accent5" w:themeTint="BF"/>
        <w:right w:val="single" w:sz="8" w:space="0" w:color="83B9C2" w:themeColor="accent5" w:themeTint="BF"/>
        <w:insideH w:val="single" w:sz="8" w:space="0" w:color="83B9C2" w:themeColor="accent5" w:themeTint="BF"/>
        <w:insideV w:val="single" w:sz="8" w:space="0" w:color="83B9C2" w:themeColor="accent5" w:themeTint="BF"/>
      </w:tblBorders>
    </w:tblPr>
    <w:tcPr>
      <w:shd w:val="clear" w:color="auto" w:fill="D6E7EB" w:themeFill="accent5" w:themeFillTint="3F"/>
    </w:tcPr>
    <w:tblStylePr w:type="firstRow">
      <w:rPr>
        <w:b/>
        <w:bCs/>
      </w:rPr>
    </w:tblStylePr>
    <w:tblStylePr w:type="lastRow">
      <w:rPr>
        <w:b/>
        <w:bCs/>
      </w:rPr>
      <w:tblPr/>
      <w:tcPr>
        <w:tcBorders>
          <w:top w:val="single" w:sz="18" w:space="0" w:color="83B9C2" w:themeColor="accent5" w:themeTint="BF"/>
        </w:tcBorders>
      </w:tcPr>
    </w:tblStylePr>
    <w:tblStylePr w:type="firstCol">
      <w:rPr>
        <w:b/>
        <w:bCs/>
      </w:rPr>
    </w:tblStylePr>
    <w:tblStylePr w:type="lastCol">
      <w:rPr>
        <w:b/>
        <w:bCs/>
      </w:rPr>
    </w:tblStylePr>
    <w:tblStylePr w:type="band1Vert">
      <w:tblPr/>
      <w:tcPr>
        <w:shd w:val="clear" w:color="auto" w:fill="ACD0D6" w:themeFill="accent5" w:themeFillTint="7F"/>
      </w:tcPr>
    </w:tblStylePr>
    <w:tblStylePr w:type="band1Horz">
      <w:tblPr/>
      <w:tcPr>
        <w:shd w:val="clear" w:color="auto" w:fill="ACD0D6"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B5ABB7" w:themeColor="accent6" w:themeTint="BF"/>
        <w:left w:val="single" w:sz="8" w:space="0" w:color="B5ABB7" w:themeColor="accent6" w:themeTint="BF"/>
        <w:bottom w:val="single" w:sz="8" w:space="0" w:color="B5ABB7" w:themeColor="accent6" w:themeTint="BF"/>
        <w:right w:val="single" w:sz="8" w:space="0" w:color="B5ABB7" w:themeColor="accent6" w:themeTint="BF"/>
        <w:insideH w:val="single" w:sz="8" w:space="0" w:color="B5ABB7" w:themeColor="accent6" w:themeTint="BF"/>
        <w:insideV w:val="single" w:sz="8" w:space="0" w:color="B5ABB7" w:themeColor="accent6" w:themeTint="BF"/>
      </w:tblBorders>
    </w:tblPr>
    <w:tcPr>
      <w:shd w:val="clear" w:color="auto" w:fill="E6E3E7" w:themeFill="accent6" w:themeFillTint="3F"/>
    </w:tcPr>
    <w:tblStylePr w:type="firstRow">
      <w:rPr>
        <w:b/>
        <w:bCs/>
      </w:rPr>
    </w:tblStylePr>
    <w:tblStylePr w:type="lastRow">
      <w:rPr>
        <w:b/>
        <w:bCs/>
      </w:rPr>
      <w:tblPr/>
      <w:tcPr>
        <w:tcBorders>
          <w:top w:val="single" w:sz="18" w:space="0" w:color="B5ABB7" w:themeColor="accent6" w:themeTint="BF"/>
        </w:tcBorders>
      </w:tcPr>
    </w:tblStylePr>
    <w:tblStylePr w:type="firstCol">
      <w:rPr>
        <w:b/>
        <w:bCs/>
      </w:rPr>
    </w:tblStylePr>
    <w:tblStylePr w:type="lastCol">
      <w:rPr>
        <w:b/>
        <w:bCs/>
      </w:rPr>
    </w:tblStylePr>
    <w:tblStylePr w:type="band1Vert">
      <w:tblPr/>
      <w:tcPr>
        <w:shd w:val="clear" w:color="auto" w:fill="CEC7CF" w:themeFill="accent6" w:themeFillTint="7F"/>
      </w:tcPr>
    </w:tblStylePr>
    <w:tblStylePr w:type="band1Horz">
      <w:tblPr/>
      <w:tcPr>
        <w:shd w:val="clear" w:color="auto" w:fill="CEC7CF"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A66AC" w:themeColor="accent1"/>
        <w:left w:val="single" w:sz="8" w:space="0" w:color="4A66AC" w:themeColor="accent1"/>
        <w:bottom w:val="single" w:sz="8" w:space="0" w:color="4A66AC" w:themeColor="accent1"/>
        <w:right w:val="single" w:sz="8" w:space="0" w:color="4A66AC" w:themeColor="accent1"/>
        <w:insideH w:val="single" w:sz="8" w:space="0" w:color="4A66AC" w:themeColor="accent1"/>
        <w:insideV w:val="single" w:sz="8" w:space="0" w:color="4A66AC" w:themeColor="accent1"/>
      </w:tblBorders>
    </w:tblPr>
    <w:tcPr>
      <w:shd w:val="clear" w:color="auto" w:fill="D1D8EB" w:themeFill="accent1" w:themeFillTint="3F"/>
    </w:tcPr>
    <w:tblStylePr w:type="firstRow">
      <w:rPr>
        <w:b/>
        <w:bCs/>
        <w:color w:val="000000" w:themeColor="text1"/>
      </w:rPr>
      <w:tblPr/>
      <w:tcPr>
        <w:shd w:val="clear" w:color="auto" w:fill="ECEFF7"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DFEF" w:themeFill="accent1" w:themeFillTint="33"/>
      </w:tcPr>
    </w:tblStylePr>
    <w:tblStylePr w:type="band1Vert">
      <w:tblPr/>
      <w:tcPr>
        <w:shd w:val="clear" w:color="auto" w:fill="A2B1D7" w:themeFill="accent1" w:themeFillTint="7F"/>
      </w:tcPr>
    </w:tblStylePr>
    <w:tblStylePr w:type="band1Horz">
      <w:tblPr/>
      <w:tcPr>
        <w:tcBorders>
          <w:insideH w:val="single" w:sz="6" w:space="0" w:color="4A66AC" w:themeColor="accent1"/>
          <w:insideV w:val="single" w:sz="6" w:space="0" w:color="4A66AC" w:themeColor="accent1"/>
        </w:tcBorders>
        <w:shd w:val="clear" w:color="auto" w:fill="A2B1D7"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9DD1" w:themeColor="accent2"/>
        <w:left w:val="single" w:sz="8" w:space="0" w:color="629DD1" w:themeColor="accent2"/>
        <w:bottom w:val="single" w:sz="8" w:space="0" w:color="629DD1" w:themeColor="accent2"/>
        <w:right w:val="single" w:sz="8" w:space="0" w:color="629DD1" w:themeColor="accent2"/>
        <w:insideH w:val="single" w:sz="8" w:space="0" w:color="629DD1" w:themeColor="accent2"/>
        <w:insideV w:val="single" w:sz="8" w:space="0" w:color="629DD1" w:themeColor="accent2"/>
      </w:tblBorders>
    </w:tblPr>
    <w:tcPr>
      <w:shd w:val="clear" w:color="auto" w:fill="D8E6F3" w:themeFill="accent2" w:themeFillTint="3F"/>
    </w:tcPr>
    <w:tblStylePr w:type="firstRow">
      <w:rPr>
        <w:b/>
        <w:bCs/>
        <w:color w:val="000000" w:themeColor="text1"/>
      </w:rPr>
      <w:tblPr/>
      <w:tcPr>
        <w:shd w:val="clear" w:color="auto" w:fill="EFF5F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EBF5" w:themeFill="accent2" w:themeFillTint="33"/>
      </w:tcPr>
    </w:tblStylePr>
    <w:tblStylePr w:type="band1Vert">
      <w:tblPr/>
      <w:tcPr>
        <w:shd w:val="clear" w:color="auto" w:fill="B0CDE8" w:themeFill="accent2" w:themeFillTint="7F"/>
      </w:tcPr>
    </w:tblStylePr>
    <w:tblStylePr w:type="band1Horz">
      <w:tblPr/>
      <w:tcPr>
        <w:tcBorders>
          <w:insideH w:val="single" w:sz="6" w:space="0" w:color="629DD1" w:themeColor="accent2"/>
          <w:insideV w:val="single" w:sz="6" w:space="0" w:color="629DD1" w:themeColor="accent2"/>
        </w:tcBorders>
        <w:shd w:val="clear" w:color="auto" w:fill="B0CDE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97FD5" w:themeColor="accent3"/>
        <w:left w:val="single" w:sz="8" w:space="0" w:color="297FD5" w:themeColor="accent3"/>
        <w:bottom w:val="single" w:sz="8" w:space="0" w:color="297FD5" w:themeColor="accent3"/>
        <w:right w:val="single" w:sz="8" w:space="0" w:color="297FD5" w:themeColor="accent3"/>
        <w:insideH w:val="single" w:sz="8" w:space="0" w:color="297FD5" w:themeColor="accent3"/>
        <w:insideV w:val="single" w:sz="8" w:space="0" w:color="297FD5" w:themeColor="accent3"/>
      </w:tblBorders>
    </w:tblPr>
    <w:tcPr>
      <w:shd w:val="clear" w:color="auto" w:fill="C9DFF4" w:themeFill="accent3" w:themeFillTint="3F"/>
    </w:tcPr>
    <w:tblStylePr w:type="firstRow">
      <w:rPr>
        <w:b/>
        <w:bCs/>
        <w:color w:val="000000" w:themeColor="text1"/>
      </w:rPr>
      <w:tblPr/>
      <w:tcPr>
        <w:shd w:val="clear" w:color="auto" w:fill="E9F2FB"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3E5F6" w:themeFill="accent3" w:themeFillTint="33"/>
      </w:tcPr>
    </w:tblStylePr>
    <w:tblStylePr w:type="band1Vert">
      <w:tblPr/>
      <w:tcPr>
        <w:shd w:val="clear" w:color="auto" w:fill="93BEEA" w:themeFill="accent3" w:themeFillTint="7F"/>
      </w:tcPr>
    </w:tblStylePr>
    <w:tblStylePr w:type="band1Horz">
      <w:tblPr/>
      <w:tcPr>
        <w:tcBorders>
          <w:insideH w:val="single" w:sz="6" w:space="0" w:color="297FD5" w:themeColor="accent3"/>
          <w:insideV w:val="single" w:sz="6" w:space="0" w:color="297FD5" w:themeColor="accent3"/>
        </w:tcBorders>
        <w:shd w:val="clear" w:color="auto" w:fill="93BEEA"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F8FA9" w:themeColor="accent4"/>
        <w:left w:val="single" w:sz="8" w:space="0" w:color="7F8FA9" w:themeColor="accent4"/>
        <w:bottom w:val="single" w:sz="8" w:space="0" w:color="7F8FA9" w:themeColor="accent4"/>
        <w:right w:val="single" w:sz="8" w:space="0" w:color="7F8FA9" w:themeColor="accent4"/>
        <w:insideH w:val="single" w:sz="8" w:space="0" w:color="7F8FA9" w:themeColor="accent4"/>
        <w:insideV w:val="single" w:sz="8" w:space="0" w:color="7F8FA9" w:themeColor="accent4"/>
      </w:tblBorders>
    </w:tblPr>
    <w:tcPr>
      <w:shd w:val="clear" w:color="auto" w:fill="DFE3E9" w:themeFill="accent4" w:themeFillTint="3F"/>
    </w:tcPr>
    <w:tblStylePr w:type="firstRow">
      <w:rPr>
        <w:b/>
        <w:bCs/>
        <w:color w:val="000000" w:themeColor="text1"/>
      </w:rPr>
      <w:tblPr/>
      <w:tcPr>
        <w:shd w:val="clear" w:color="auto" w:fill="F2F3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E8ED" w:themeFill="accent4" w:themeFillTint="33"/>
      </w:tcPr>
    </w:tblStylePr>
    <w:tblStylePr w:type="band1Vert">
      <w:tblPr/>
      <w:tcPr>
        <w:shd w:val="clear" w:color="auto" w:fill="BFC7D4" w:themeFill="accent4" w:themeFillTint="7F"/>
      </w:tcPr>
    </w:tblStylePr>
    <w:tblStylePr w:type="band1Horz">
      <w:tblPr/>
      <w:tcPr>
        <w:tcBorders>
          <w:insideH w:val="single" w:sz="6" w:space="0" w:color="7F8FA9" w:themeColor="accent4"/>
          <w:insideV w:val="single" w:sz="6" w:space="0" w:color="7F8FA9" w:themeColor="accent4"/>
        </w:tcBorders>
        <w:shd w:val="clear" w:color="auto" w:fill="BFC7D4"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AA2AE" w:themeColor="accent5"/>
        <w:left w:val="single" w:sz="8" w:space="0" w:color="5AA2AE" w:themeColor="accent5"/>
        <w:bottom w:val="single" w:sz="8" w:space="0" w:color="5AA2AE" w:themeColor="accent5"/>
        <w:right w:val="single" w:sz="8" w:space="0" w:color="5AA2AE" w:themeColor="accent5"/>
        <w:insideH w:val="single" w:sz="8" w:space="0" w:color="5AA2AE" w:themeColor="accent5"/>
        <w:insideV w:val="single" w:sz="8" w:space="0" w:color="5AA2AE" w:themeColor="accent5"/>
      </w:tblBorders>
    </w:tblPr>
    <w:tcPr>
      <w:shd w:val="clear" w:color="auto" w:fill="D6E7EB" w:themeFill="accent5" w:themeFillTint="3F"/>
    </w:tcPr>
    <w:tblStylePr w:type="firstRow">
      <w:rPr>
        <w:b/>
        <w:bCs/>
        <w:color w:val="000000" w:themeColor="text1"/>
      </w:rPr>
      <w:tblPr/>
      <w:tcPr>
        <w:shd w:val="clear" w:color="auto" w:fill="EEF5F7"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DECEE" w:themeFill="accent5" w:themeFillTint="33"/>
      </w:tcPr>
    </w:tblStylePr>
    <w:tblStylePr w:type="band1Vert">
      <w:tblPr/>
      <w:tcPr>
        <w:shd w:val="clear" w:color="auto" w:fill="ACD0D6" w:themeFill="accent5" w:themeFillTint="7F"/>
      </w:tcPr>
    </w:tblStylePr>
    <w:tblStylePr w:type="band1Horz">
      <w:tblPr/>
      <w:tcPr>
        <w:tcBorders>
          <w:insideH w:val="single" w:sz="6" w:space="0" w:color="5AA2AE" w:themeColor="accent5"/>
          <w:insideV w:val="single" w:sz="6" w:space="0" w:color="5AA2AE" w:themeColor="accent5"/>
        </w:tcBorders>
        <w:shd w:val="clear" w:color="auto" w:fill="ACD0D6"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D90A0" w:themeColor="accent6"/>
        <w:left w:val="single" w:sz="8" w:space="0" w:color="9D90A0" w:themeColor="accent6"/>
        <w:bottom w:val="single" w:sz="8" w:space="0" w:color="9D90A0" w:themeColor="accent6"/>
        <w:right w:val="single" w:sz="8" w:space="0" w:color="9D90A0" w:themeColor="accent6"/>
        <w:insideH w:val="single" w:sz="8" w:space="0" w:color="9D90A0" w:themeColor="accent6"/>
        <w:insideV w:val="single" w:sz="8" w:space="0" w:color="9D90A0" w:themeColor="accent6"/>
      </w:tblBorders>
    </w:tblPr>
    <w:tcPr>
      <w:shd w:val="clear" w:color="auto" w:fill="E6E3E7" w:themeFill="accent6" w:themeFillTint="3F"/>
    </w:tcPr>
    <w:tblStylePr w:type="firstRow">
      <w:rPr>
        <w:b/>
        <w:bCs/>
        <w:color w:val="000000" w:themeColor="text1"/>
      </w:rPr>
      <w:tblPr/>
      <w:tcPr>
        <w:shd w:val="clear" w:color="auto" w:fill="F5F4F5"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8EC" w:themeFill="accent6" w:themeFillTint="33"/>
      </w:tcPr>
    </w:tblStylePr>
    <w:tblStylePr w:type="band1Vert">
      <w:tblPr/>
      <w:tcPr>
        <w:shd w:val="clear" w:color="auto" w:fill="CEC7CF" w:themeFill="accent6" w:themeFillTint="7F"/>
      </w:tcPr>
    </w:tblStylePr>
    <w:tblStylePr w:type="band1Horz">
      <w:tblPr/>
      <w:tcPr>
        <w:tcBorders>
          <w:insideH w:val="single" w:sz="6" w:space="0" w:color="9D90A0" w:themeColor="accent6"/>
          <w:insideV w:val="single" w:sz="6" w:space="0" w:color="9D90A0" w:themeColor="accent6"/>
        </w:tcBorders>
        <w:shd w:val="clear" w:color="auto" w:fill="CEC7CF"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1D8EB"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A66AC"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A66AC"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A66AC"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A66AC"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2B1D7"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2B1D7"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E6F3"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9DD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9DD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9DD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9DD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CDE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CDE8"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9DFF4"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97FD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97FD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97FD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97FD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3BEEA"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3BEEA"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E3E9"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F8FA9"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F8FA9"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F8FA9"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F8FA9"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C7D4"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C7D4"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7E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AA2AE"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AA2AE"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AA2AE"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AA2AE"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CD0D6"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CD0D6"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3E7"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D90A0"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D90A0"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D90A0"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D90A0"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EC7CF"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EC7CF"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A66AC"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25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74C8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74C80" w:themeFill="accent1" w:themeFillShade="BF"/>
      </w:tcPr>
    </w:tblStylePr>
    <w:tblStylePr w:type="band1Vert">
      <w:tblPr/>
      <w:tcPr>
        <w:tcBorders>
          <w:top w:val="nil"/>
          <w:left w:val="nil"/>
          <w:bottom w:val="nil"/>
          <w:right w:val="nil"/>
          <w:insideH w:val="nil"/>
          <w:insideV w:val="nil"/>
        </w:tcBorders>
        <w:shd w:val="clear" w:color="auto" w:fill="374C80" w:themeFill="accent1" w:themeFillShade="BF"/>
      </w:tcPr>
    </w:tblStylePr>
    <w:tblStylePr w:type="band1Horz">
      <w:tblPr/>
      <w:tcPr>
        <w:tcBorders>
          <w:top w:val="nil"/>
          <w:left w:val="nil"/>
          <w:bottom w:val="nil"/>
          <w:right w:val="nil"/>
          <w:insideH w:val="nil"/>
          <w:insideV w:val="nil"/>
        </w:tcBorders>
        <w:shd w:val="clear" w:color="auto" w:fill="374C80"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629DD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24E7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3476B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3476B1" w:themeFill="accent2" w:themeFillShade="BF"/>
      </w:tcPr>
    </w:tblStylePr>
    <w:tblStylePr w:type="band1Vert">
      <w:tblPr/>
      <w:tcPr>
        <w:tcBorders>
          <w:top w:val="nil"/>
          <w:left w:val="nil"/>
          <w:bottom w:val="nil"/>
          <w:right w:val="nil"/>
          <w:insideH w:val="nil"/>
          <w:insideV w:val="nil"/>
        </w:tcBorders>
        <w:shd w:val="clear" w:color="auto" w:fill="3476B1" w:themeFill="accent2" w:themeFillShade="BF"/>
      </w:tcPr>
    </w:tblStylePr>
    <w:tblStylePr w:type="band1Horz">
      <w:tblPr/>
      <w:tcPr>
        <w:tcBorders>
          <w:top w:val="nil"/>
          <w:left w:val="nil"/>
          <w:bottom w:val="nil"/>
          <w:right w:val="nil"/>
          <w:insideH w:val="nil"/>
          <w:insideV w:val="nil"/>
        </w:tcBorders>
        <w:shd w:val="clear" w:color="auto" w:fill="3476B1"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297FD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43E69"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E5E9F"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E5E9F" w:themeFill="accent3" w:themeFillShade="BF"/>
      </w:tcPr>
    </w:tblStylePr>
    <w:tblStylePr w:type="band1Vert">
      <w:tblPr/>
      <w:tcPr>
        <w:tcBorders>
          <w:top w:val="nil"/>
          <w:left w:val="nil"/>
          <w:bottom w:val="nil"/>
          <w:right w:val="nil"/>
          <w:insideH w:val="nil"/>
          <w:insideV w:val="nil"/>
        </w:tcBorders>
        <w:shd w:val="clear" w:color="auto" w:fill="1E5E9F" w:themeFill="accent3" w:themeFillShade="BF"/>
      </w:tcPr>
    </w:tblStylePr>
    <w:tblStylePr w:type="band1Horz">
      <w:tblPr/>
      <w:tcPr>
        <w:tcBorders>
          <w:top w:val="nil"/>
          <w:left w:val="nil"/>
          <w:bottom w:val="nil"/>
          <w:right w:val="nil"/>
          <w:insideH w:val="nil"/>
          <w:insideV w:val="nil"/>
        </w:tcBorders>
        <w:shd w:val="clear" w:color="auto" w:fill="1E5E9F"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7F8FA9"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B4658"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96984"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96984" w:themeFill="accent4" w:themeFillShade="BF"/>
      </w:tcPr>
    </w:tblStylePr>
    <w:tblStylePr w:type="band1Vert">
      <w:tblPr/>
      <w:tcPr>
        <w:tcBorders>
          <w:top w:val="nil"/>
          <w:left w:val="nil"/>
          <w:bottom w:val="nil"/>
          <w:right w:val="nil"/>
          <w:insideH w:val="nil"/>
          <w:insideV w:val="nil"/>
        </w:tcBorders>
        <w:shd w:val="clear" w:color="auto" w:fill="596984" w:themeFill="accent4" w:themeFillShade="BF"/>
      </w:tcPr>
    </w:tblStylePr>
    <w:tblStylePr w:type="band1Horz">
      <w:tblPr/>
      <w:tcPr>
        <w:tcBorders>
          <w:top w:val="nil"/>
          <w:left w:val="nil"/>
          <w:bottom w:val="nil"/>
          <w:right w:val="nil"/>
          <w:insideH w:val="nil"/>
          <w:insideV w:val="nil"/>
        </w:tcBorders>
        <w:shd w:val="clear" w:color="auto" w:fill="596984"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5AA2AE"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B515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417A84"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417A84" w:themeFill="accent5" w:themeFillShade="BF"/>
      </w:tcPr>
    </w:tblStylePr>
    <w:tblStylePr w:type="band1Vert">
      <w:tblPr/>
      <w:tcPr>
        <w:tcBorders>
          <w:top w:val="nil"/>
          <w:left w:val="nil"/>
          <w:bottom w:val="nil"/>
          <w:right w:val="nil"/>
          <w:insideH w:val="nil"/>
          <w:insideV w:val="nil"/>
        </w:tcBorders>
        <w:shd w:val="clear" w:color="auto" w:fill="417A84" w:themeFill="accent5" w:themeFillShade="BF"/>
      </w:tcPr>
    </w:tblStylePr>
    <w:tblStylePr w:type="band1Horz">
      <w:tblPr/>
      <w:tcPr>
        <w:tcBorders>
          <w:top w:val="nil"/>
          <w:left w:val="nil"/>
          <w:bottom w:val="nil"/>
          <w:right w:val="nil"/>
          <w:insideH w:val="nil"/>
          <w:insideV w:val="nil"/>
        </w:tcBorders>
        <w:shd w:val="clear" w:color="auto" w:fill="417A84"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9D90A0"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4551"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7697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7697A" w:themeFill="accent6" w:themeFillShade="BF"/>
      </w:tcPr>
    </w:tblStylePr>
    <w:tblStylePr w:type="band1Vert">
      <w:tblPr/>
      <w:tcPr>
        <w:tcBorders>
          <w:top w:val="nil"/>
          <w:left w:val="nil"/>
          <w:bottom w:val="nil"/>
          <w:right w:val="nil"/>
          <w:insideH w:val="nil"/>
          <w:insideV w:val="nil"/>
        </w:tcBorders>
        <w:shd w:val="clear" w:color="auto" w:fill="77697A" w:themeFill="accent6" w:themeFillShade="BF"/>
      </w:tcPr>
    </w:tblStylePr>
    <w:tblStylePr w:type="band1Horz">
      <w:tblPr/>
      <w:tcPr>
        <w:tcBorders>
          <w:top w:val="nil"/>
          <w:left w:val="nil"/>
          <w:bottom w:val="nil"/>
          <w:right w:val="nil"/>
          <w:insideH w:val="nil"/>
          <w:insideV w:val="nil"/>
        </w:tcBorders>
        <w:shd w:val="clear" w:color="auto" w:fill="77697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629DD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629DD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629DD1" w:themeColor="accent2"/>
        <w:left w:val="single" w:sz="4" w:space="0" w:color="4A66AC" w:themeColor="accent1"/>
        <w:bottom w:val="single" w:sz="4" w:space="0" w:color="4A66AC" w:themeColor="accent1"/>
        <w:right w:val="single" w:sz="4" w:space="0" w:color="4A66AC" w:themeColor="accent1"/>
        <w:insideH w:val="single" w:sz="4" w:space="0" w:color="FFFFFF" w:themeColor="background1"/>
        <w:insideV w:val="single" w:sz="4" w:space="0" w:color="FFFFFF" w:themeColor="background1"/>
      </w:tblBorders>
    </w:tblPr>
    <w:tcPr>
      <w:shd w:val="clear" w:color="auto" w:fill="ECEFF7" w:themeFill="accent1" w:themeFillTint="19"/>
    </w:tcPr>
    <w:tblStylePr w:type="firstRow">
      <w:rPr>
        <w:b/>
        <w:bCs/>
      </w:rPr>
      <w:tblPr/>
      <w:tcPr>
        <w:tcBorders>
          <w:top w:val="nil"/>
          <w:left w:val="nil"/>
          <w:bottom w:val="single" w:sz="24" w:space="0" w:color="629DD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3C66" w:themeFill="accent1" w:themeFillShade="99"/>
      </w:tcPr>
    </w:tblStylePr>
    <w:tblStylePr w:type="firstCol">
      <w:rPr>
        <w:color w:val="FFFFFF" w:themeColor="background1"/>
      </w:rPr>
      <w:tblPr/>
      <w:tcPr>
        <w:tcBorders>
          <w:top w:val="nil"/>
          <w:left w:val="nil"/>
          <w:bottom w:val="nil"/>
          <w:right w:val="nil"/>
          <w:insideH w:val="single" w:sz="4" w:space="0" w:color="2C3C66" w:themeColor="accent1" w:themeShade="99"/>
          <w:insideV w:val="nil"/>
        </w:tcBorders>
        <w:shd w:val="clear" w:color="auto" w:fill="2C3C66"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3C66" w:themeFill="accent1" w:themeFillShade="99"/>
      </w:tcPr>
    </w:tblStylePr>
    <w:tblStylePr w:type="band1Vert">
      <w:tblPr/>
      <w:tcPr>
        <w:shd w:val="clear" w:color="auto" w:fill="B5C0DF" w:themeFill="accent1" w:themeFillTint="66"/>
      </w:tcPr>
    </w:tblStylePr>
    <w:tblStylePr w:type="band1Horz">
      <w:tblPr/>
      <w:tcPr>
        <w:shd w:val="clear" w:color="auto" w:fill="A2B1D7"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629DD1" w:themeColor="accent2"/>
        <w:left w:val="single" w:sz="4" w:space="0" w:color="629DD1" w:themeColor="accent2"/>
        <w:bottom w:val="single" w:sz="4" w:space="0" w:color="629DD1" w:themeColor="accent2"/>
        <w:right w:val="single" w:sz="4" w:space="0" w:color="629DD1" w:themeColor="accent2"/>
        <w:insideH w:val="single" w:sz="4" w:space="0" w:color="FFFFFF" w:themeColor="background1"/>
        <w:insideV w:val="single" w:sz="4" w:space="0" w:color="FFFFFF" w:themeColor="background1"/>
      </w:tblBorders>
    </w:tblPr>
    <w:tcPr>
      <w:shd w:val="clear" w:color="auto" w:fill="EFF5FA" w:themeFill="accent2" w:themeFillTint="19"/>
    </w:tcPr>
    <w:tblStylePr w:type="firstRow">
      <w:rPr>
        <w:b/>
        <w:bCs/>
      </w:rPr>
      <w:tblPr/>
      <w:tcPr>
        <w:tcBorders>
          <w:top w:val="nil"/>
          <w:left w:val="nil"/>
          <w:bottom w:val="single" w:sz="24" w:space="0" w:color="629DD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95E8E" w:themeFill="accent2" w:themeFillShade="99"/>
      </w:tcPr>
    </w:tblStylePr>
    <w:tblStylePr w:type="firstCol">
      <w:rPr>
        <w:color w:val="FFFFFF" w:themeColor="background1"/>
      </w:rPr>
      <w:tblPr/>
      <w:tcPr>
        <w:tcBorders>
          <w:top w:val="nil"/>
          <w:left w:val="nil"/>
          <w:bottom w:val="nil"/>
          <w:right w:val="nil"/>
          <w:insideH w:val="single" w:sz="4" w:space="0" w:color="295E8E" w:themeColor="accent2" w:themeShade="99"/>
          <w:insideV w:val="nil"/>
        </w:tcBorders>
        <w:shd w:val="clear" w:color="auto" w:fill="295E8E"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295E8E" w:themeFill="accent2" w:themeFillShade="99"/>
      </w:tcPr>
    </w:tblStylePr>
    <w:tblStylePr w:type="band1Vert">
      <w:tblPr/>
      <w:tcPr>
        <w:shd w:val="clear" w:color="auto" w:fill="C0D7EC" w:themeFill="accent2" w:themeFillTint="66"/>
      </w:tcPr>
    </w:tblStylePr>
    <w:tblStylePr w:type="band1Horz">
      <w:tblPr/>
      <w:tcPr>
        <w:shd w:val="clear" w:color="auto" w:fill="B0CDE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7F8FA9" w:themeColor="accent4"/>
        <w:left w:val="single" w:sz="4" w:space="0" w:color="297FD5" w:themeColor="accent3"/>
        <w:bottom w:val="single" w:sz="4" w:space="0" w:color="297FD5" w:themeColor="accent3"/>
        <w:right w:val="single" w:sz="4" w:space="0" w:color="297FD5" w:themeColor="accent3"/>
        <w:insideH w:val="single" w:sz="4" w:space="0" w:color="FFFFFF" w:themeColor="background1"/>
        <w:insideV w:val="single" w:sz="4" w:space="0" w:color="FFFFFF" w:themeColor="background1"/>
      </w:tblBorders>
    </w:tblPr>
    <w:tcPr>
      <w:shd w:val="clear" w:color="auto" w:fill="E9F2FB" w:themeFill="accent3" w:themeFillTint="19"/>
    </w:tcPr>
    <w:tblStylePr w:type="firstRow">
      <w:rPr>
        <w:b/>
        <w:bCs/>
      </w:rPr>
      <w:tblPr/>
      <w:tcPr>
        <w:tcBorders>
          <w:top w:val="nil"/>
          <w:left w:val="nil"/>
          <w:bottom w:val="single" w:sz="24" w:space="0" w:color="7F8FA9"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84B7F" w:themeFill="accent3" w:themeFillShade="99"/>
      </w:tcPr>
    </w:tblStylePr>
    <w:tblStylePr w:type="firstCol">
      <w:rPr>
        <w:color w:val="FFFFFF" w:themeColor="background1"/>
      </w:rPr>
      <w:tblPr/>
      <w:tcPr>
        <w:tcBorders>
          <w:top w:val="nil"/>
          <w:left w:val="nil"/>
          <w:bottom w:val="nil"/>
          <w:right w:val="nil"/>
          <w:insideH w:val="single" w:sz="4" w:space="0" w:color="184B7F" w:themeColor="accent3" w:themeShade="99"/>
          <w:insideV w:val="nil"/>
        </w:tcBorders>
        <w:shd w:val="clear" w:color="auto" w:fill="184B7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184B7F" w:themeFill="accent3" w:themeFillShade="99"/>
      </w:tcPr>
    </w:tblStylePr>
    <w:tblStylePr w:type="band1Vert">
      <w:tblPr/>
      <w:tcPr>
        <w:shd w:val="clear" w:color="auto" w:fill="A8CBEE" w:themeFill="accent3" w:themeFillTint="66"/>
      </w:tcPr>
    </w:tblStylePr>
    <w:tblStylePr w:type="band1Horz">
      <w:tblPr/>
      <w:tcPr>
        <w:shd w:val="clear" w:color="auto" w:fill="93BEEA"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297FD5" w:themeColor="accent3"/>
        <w:left w:val="single" w:sz="4" w:space="0" w:color="7F8FA9" w:themeColor="accent4"/>
        <w:bottom w:val="single" w:sz="4" w:space="0" w:color="7F8FA9" w:themeColor="accent4"/>
        <w:right w:val="single" w:sz="4" w:space="0" w:color="7F8FA9" w:themeColor="accent4"/>
        <w:insideH w:val="single" w:sz="4" w:space="0" w:color="FFFFFF" w:themeColor="background1"/>
        <w:insideV w:val="single" w:sz="4" w:space="0" w:color="FFFFFF" w:themeColor="background1"/>
      </w:tblBorders>
    </w:tblPr>
    <w:tcPr>
      <w:shd w:val="clear" w:color="auto" w:fill="F2F3F6" w:themeFill="accent4" w:themeFillTint="19"/>
    </w:tcPr>
    <w:tblStylePr w:type="firstRow">
      <w:rPr>
        <w:b/>
        <w:bCs/>
      </w:rPr>
      <w:tblPr/>
      <w:tcPr>
        <w:tcBorders>
          <w:top w:val="nil"/>
          <w:left w:val="nil"/>
          <w:bottom w:val="single" w:sz="24" w:space="0" w:color="297FD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7546A" w:themeFill="accent4" w:themeFillShade="99"/>
      </w:tcPr>
    </w:tblStylePr>
    <w:tblStylePr w:type="firstCol">
      <w:rPr>
        <w:color w:val="FFFFFF" w:themeColor="background1"/>
      </w:rPr>
      <w:tblPr/>
      <w:tcPr>
        <w:tcBorders>
          <w:top w:val="nil"/>
          <w:left w:val="nil"/>
          <w:bottom w:val="nil"/>
          <w:right w:val="nil"/>
          <w:insideH w:val="single" w:sz="4" w:space="0" w:color="47546A" w:themeColor="accent4" w:themeShade="99"/>
          <w:insideV w:val="nil"/>
        </w:tcBorders>
        <w:shd w:val="clear" w:color="auto" w:fill="47546A"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7546A" w:themeFill="accent4" w:themeFillShade="99"/>
      </w:tcPr>
    </w:tblStylePr>
    <w:tblStylePr w:type="band1Vert">
      <w:tblPr/>
      <w:tcPr>
        <w:shd w:val="clear" w:color="auto" w:fill="CBD2DC" w:themeFill="accent4" w:themeFillTint="66"/>
      </w:tcPr>
    </w:tblStylePr>
    <w:tblStylePr w:type="band1Horz">
      <w:tblPr/>
      <w:tcPr>
        <w:shd w:val="clear" w:color="auto" w:fill="BFC7D4"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9D90A0" w:themeColor="accent6"/>
        <w:left w:val="single" w:sz="4" w:space="0" w:color="5AA2AE" w:themeColor="accent5"/>
        <w:bottom w:val="single" w:sz="4" w:space="0" w:color="5AA2AE" w:themeColor="accent5"/>
        <w:right w:val="single" w:sz="4" w:space="0" w:color="5AA2AE" w:themeColor="accent5"/>
        <w:insideH w:val="single" w:sz="4" w:space="0" w:color="FFFFFF" w:themeColor="background1"/>
        <w:insideV w:val="single" w:sz="4" w:space="0" w:color="FFFFFF" w:themeColor="background1"/>
      </w:tblBorders>
    </w:tblPr>
    <w:tcPr>
      <w:shd w:val="clear" w:color="auto" w:fill="EEF5F7" w:themeFill="accent5" w:themeFillTint="19"/>
    </w:tcPr>
    <w:tblStylePr w:type="firstRow">
      <w:rPr>
        <w:b/>
        <w:bCs/>
      </w:rPr>
      <w:tblPr/>
      <w:tcPr>
        <w:tcBorders>
          <w:top w:val="nil"/>
          <w:left w:val="nil"/>
          <w:bottom w:val="single" w:sz="24" w:space="0" w:color="9D90A0"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4626A" w:themeFill="accent5" w:themeFillShade="99"/>
      </w:tcPr>
    </w:tblStylePr>
    <w:tblStylePr w:type="firstCol">
      <w:rPr>
        <w:color w:val="FFFFFF" w:themeColor="background1"/>
      </w:rPr>
      <w:tblPr/>
      <w:tcPr>
        <w:tcBorders>
          <w:top w:val="nil"/>
          <w:left w:val="nil"/>
          <w:bottom w:val="nil"/>
          <w:right w:val="nil"/>
          <w:insideH w:val="single" w:sz="4" w:space="0" w:color="34626A" w:themeColor="accent5" w:themeShade="99"/>
          <w:insideV w:val="nil"/>
        </w:tcBorders>
        <w:shd w:val="clear" w:color="auto" w:fill="34626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34626A" w:themeFill="accent5" w:themeFillShade="99"/>
      </w:tcPr>
    </w:tblStylePr>
    <w:tblStylePr w:type="band1Vert">
      <w:tblPr/>
      <w:tcPr>
        <w:shd w:val="clear" w:color="auto" w:fill="BCD9DE" w:themeFill="accent5" w:themeFillTint="66"/>
      </w:tcPr>
    </w:tblStylePr>
    <w:tblStylePr w:type="band1Horz">
      <w:tblPr/>
      <w:tcPr>
        <w:shd w:val="clear" w:color="auto" w:fill="ACD0D6"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5AA2AE" w:themeColor="accent5"/>
        <w:left w:val="single" w:sz="4" w:space="0" w:color="9D90A0" w:themeColor="accent6"/>
        <w:bottom w:val="single" w:sz="4" w:space="0" w:color="9D90A0" w:themeColor="accent6"/>
        <w:right w:val="single" w:sz="4" w:space="0" w:color="9D90A0" w:themeColor="accent6"/>
        <w:insideH w:val="single" w:sz="4" w:space="0" w:color="FFFFFF" w:themeColor="background1"/>
        <w:insideV w:val="single" w:sz="4" w:space="0" w:color="FFFFFF" w:themeColor="background1"/>
      </w:tblBorders>
    </w:tblPr>
    <w:tcPr>
      <w:shd w:val="clear" w:color="auto" w:fill="F5F4F5" w:themeFill="accent6" w:themeFillTint="19"/>
    </w:tcPr>
    <w:tblStylePr w:type="firstRow">
      <w:rPr>
        <w:b/>
        <w:bCs/>
      </w:rPr>
      <w:tblPr/>
      <w:tcPr>
        <w:tcBorders>
          <w:top w:val="nil"/>
          <w:left w:val="nil"/>
          <w:bottom w:val="single" w:sz="24" w:space="0" w:color="5AA2AE"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5462" w:themeFill="accent6" w:themeFillShade="99"/>
      </w:tcPr>
    </w:tblStylePr>
    <w:tblStylePr w:type="firstCol">
      <w:rPr>
        <w:color w:val="FFFFFF" w:themeColor="background1"/>
      </w:rPr>
      <w:tblPr/>
      <w:tcPr>
        <w:tcBorders>
          <w:top w:val="nil"/>
          <w:left w:val="nil"/>
          <w:bottom w:val="nil"/>
          <w:right w:val="nil"/>
          <w:insideH w:val="single" w:sz="4" w:space="0" w:color="5F5462" w:themeColor="accent6" w:themeShade="99"/>
          <w:insideV w:val="nil"/>
        </w:tcBorders>
        <w:shd w:val="clear" w:color="auto" w:fill="5F5462"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F5462" w:themeFill="accent6" w:themeFillShade="99"/>
      </w:tcPr>
    </w:tblStylePr>
    <w:tblStylePr w:type="band1Vert">
      <w:tblPr/>
      <w:tcPr>
        <w:shd w:val="clear" w:color="auto" w:fill="D7D2D9" w:themeFill="accent6" w:themeFillTint="66"/>
      </w:tcPr>
    </w:tblStylePr>
    <w:tblStylePr w:type="band1Horz">
      <w:tblPr/>
      <w:tcPr>
        <w:shd w:val="clear" w:color="auto" w:fill="CEC7CF"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377EBD" w:themeFill="accent2" w:themeFillShade="CC"/>
      </w:tcPr>
    </w:tblStylePr>
    <w:tblStylePr w:type="lastRow">
      <w:rPr>
        <w:b/>
        <w:bCs/>
        <w:color w:val="377EBD"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CEFF7" w:themeFill="accent1" w:themeFillTint="19"/>
    </w:tcPr>
    <w:tblStylePr w:type="firstRow">
      <w:rPr>
        <w:b/>
        <w:bCs/>
        <w:color w:val="FFFFFF" w:themeColor="background1"/>
      </w:rPr>
      <w:tblPr/>
      <w:tcPr>
        <w:tcBorders>
          <w:bottom w:val="single" w:sz="12" w:space="0" w:color="FFFFFF" w:themeColor="background1"/>
        </w:tcBorders>
        <w:shd w:val="clear" w:color="auto" w:fill="377EBD" w:themeFill="accent2" w:themeFillShade="CC"/>
      </w:tcPr>
    </w:tblStylePr>
    <w:tblStylePr w:type="lastRow">
      <w:rPr>
        <w:b/>
        <w:bCs/>
        <w:color w:val="377EBD"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1D8EB" w:themeFill="accent1" w:themeFillTint="3F"/>
      </w:tcPr>
    </w:tblStylePr>
    <w:tblStylePr w:type="band1Horz">
      <w:tblPr/>
      <w:tcPr>
        <w:shd w:val="clear" w:color="auto" w:fill="D9DFEF"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EFF5FA" w:themeFill="accent2" w:themeFillTint="19"/>
    </w:tcPr>
    <w:tblStylePr w:type="firstRow">
      <w:rPr>
        <w:b/>
        <w:bCs/>
        <w:color w:val="FFFFFF" w:themeColor="background1"/>
      </w:rPr>
      <w:tblPr/>
      <w:tcPr>
        <w:tcBorders>
          <w:bottom w:val="single" w:sz="12" w:space="0" w:color="FFFFFF" w:themeColor="background1"/>
        </w:tcBorders>
        <w:shd w:val="clear" w:color="auto" w:fill="377EBD" w:themeFill="accent2" w:themeFillShade="CC"/>
      </w:tcPr>
    </w:tblStylePr>
    <w:tblStylePr w:type="lastRow">
      <w:rPr>
        <w:b/>
        <w:bCs/>
        <w:color w:val="377EBD"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E6F3" w:themeFill="accent2" w:themeFillTint="3F"/>
      </w:tcPr>
    </w:tblStylePr>
    <w:tblStylePr w:type="band1Horz">
      <w:tblPr/>
      <w:tcPr>
        <w:shd w:val="clear" w:color="auto" w:fill="DFEBF5"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E9F2FB" w:themeFill="accent3" w:themeFillTint="19"/>
    </w:tcPr>
    <w:tblStylePr w:type="firstRow">
      <w:rPr>
        <w:b/>
        <w:bCs/>
        <w:color w:val="FFFFFF" w:themeColor="background1"/>
      </w:rPr>
      <w:tblPr/>
      <w:tcPr>
        <w:tcBorders>
          <w:bottom w:val="single" w:sz="12" w:space="0" w:color="FFFFFF" w:themeColor="background1"/>
        </w:tcBorders>
        <w:shd w:val="clear" w:color="auto" w:fill="5F708D" w:themeFill="accent4" w:themeFillShade="CC"/>
      </w:tcPr>
    </w:tblStylePr>
    <w:tblStylePr w:type="lastRow">
      <w:rPr>
        <w:b/>
        <w:bCs/>
        <w:color w:val="5F708D"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9DFF4" w:themeFill="accent3" w:themeFillTint="3F"/>
      </w:tcPr>
    </w:tblStylePr>
    <w:tblStylePr w:type="band1Horz">
      <w:tblPr/>
      <w:tcPr>
        <w:shd w:val="clear" w:color="auto" w:fill="D3E5F6"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F3F6" w:themeFill="accent4" w:themeFillTint="19"/>
    </w:tcPr>
    <w:tblStylePr w:type="firstRow">
      <w:rPr>
        <w:b/>
        <w:bCs/>
        <w:color w:val="FFFFFF" w:themeColor="background1"/>
      </w:rPr>
      <w:tblPr/>
      <w:tcPr>
        <w:tcBorders>
          <w:bottom w:val="single" w:sz="12" w:space="0" w:color="FFFFFF" w:themeColor="background1"/>
        </w:tcBorders>
        <w:shd w:val="clear" w:color="auto" w:fill="2065AA" w:themeFill="accent3" w:themeFillShade="CC"/>
      </w:tcPr>
    </w:tblStylePr>
    <w:tblStylePr w:type="lastRow">
      <w:rPr>
        <w:b/>
        <w:bCs/>
        <w:color w:val="2065AA"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E3E9" w:themeFill="accent4" w:themeFillTint="3F"/>
      </w:tcPr>
    </w:tblStylePr>
    <w:tblStylePr w:type="band1Horz">
      <w:tblPr/>
      <w:tcPr>
        <w:shd w:val="clear" w:color="auto" w:fill="E5E8ED"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EF5F7" w:themeFill="accent5" w:themeFillTint="19"/>
    </w:tcPr>
    <w:tblStylePr w:type="firstRow">
      <w:rPr>
        <w:b/>
        <w:bCs/>
        <w:color w:val="FFFFFF" w:themeColor="background1"/>
      </w:rPr>
      <w:tblPr/>
      <w:tcPr>
        <w:tcBorders>
          <w:bottom w:val="single" w:sz="12" w:space="0" w:color="FFFFFF" w:themeColor="background1"/>
        </w:tcBorders>
        <w:shd w:val="clear" w:color="auto" w:fill="7F7082" w:themeFill="accent6" w:themeFillShade="CC"/>
      </w:tcPr>
    </w:tblStylePr>
    <w:tblStylePr w:type="lastRow">
      <w:rPr>
        <w:b/>
        <w:bCs/>
        <w:color w:val="7F7082"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7EB" w:themeFill="accent5" w:themeFillTint="3F"/>
      </w:tcPr>
    </w:tblStylePr>
    <w:tblStylePr w:type="band1Horz">
      <w:tblPr/>
      <w:tcPr>
        <w:shd w:val="clear" w:color="auto" w:fill="DDECEE"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5F4F5" w:themeFill="accent6" w:themeFillTint="19"/>
    </w:tcPr>
    <w:tblStylePr w:type="firstRow">
      <w:rPr>
        <w:b/>
        <w:bCs/>
        <w:color w:val="FFFFFF" w:themeColor="background1"/>
      </w:rPr>
      <w:tblPr/>
      <w:tcPr>
        <w:tcBorders>
          <w:bottom w:val="single" w:sz="12" w:space="0" w:color="FFFFFF" w:themeColor="background1"/>
        </w:tcBorders>
        <w:shd w:val="clear" w:color="auto" w:fill="45828D" w:themeFill="accent5" w:themeFillShade="CC"/>
      </w:tcPr>
    </w:tblStylePr>
    <w:tblStylePr w:type="lastRow">
      <w:rPr>
        <w:b/>
        <w:bCs/>
        <w:color w:val="45828D"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3E7" w:themeFill="accent6" w:themeFillTint="3F"/>
      </w:tcPr>
    </w:tblStylePr>
    <w:tblStylePr w:type="band1Horz">
      <w:tblPr/>
      <w:tcPr>
        <w:shd w:val="clear" w:color="auto" w:fill="EBE8EC"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9DFEF" w:themeFill="accent1" w:themeFillTint="33"/>
    </w:tcPr>
    <w:tblStylePr w:type="firstRow">
      <w:rPr>
        <w:b/>
        <w:bCs/>
      </w:rPr>
      <w:tblPr/>
      <w:tcPr>
        <w:shd w:val="clear" w:color="auto" w:fill="B5C0DF" w:themeFill="accent1" w:themeFillTint="66"/>
      </w:tcPr>
    </w:tblStylePr>
    <w:tblStylePr w:type="lastRow">
      <w:rPr>
        <w:b/>
        <w:bCs/>
        <w:color w:val="000000" w:themeColor="text1"/>
      </w:rPr>
      <w:tblPr/>
      <w:tcPr>
        <w:shd w:val="clear" w:color="auto" w:fill="B5C0DF" w:themeFill="accent1" w:themeFillTint="66"/>
      </w:tcPr>
    </w:tblStylePr>
    <w:tblStylePr w:type="firstCol">
      <w:rPr>
        <w:color w:val="FFFFFF" w:themeColor="background1"/>
      </w:rPr>
      <w:tblPr/>
      <w:tcPr>
        <w:shd w:val="clear" w:color="auto" w:fill="374C80" w:themeFill="accent1" w:themeFillShade="BF"/>
      </w:tcPr>
    </w:tblStylePr>
    <w:tblStylePr w:type="lastCol">
      <w:rPr>
        <w:color w:val="FFFFFF" w:themeColor="background1"/>
      </w:rPr>
      <w:tblPr/>
      <w:tcPr>
        <w:shd w:val="clear" w:color="auto" w:fill="374C80" w:themeFill="accent1" w:themeFillShade="BF"/>
      </w:tcPr>
    </w:tblStylePr>
    <w:tblStylePr w:type="band1Vert">
      <w:tblPr/>
      <w:tcPr>
        <w:shd w:val="clear" w:color="auto" w:fill="A2B1D7" w:themeFill="accent1" w:themeFillTint="7F"/>
      </w:tcPr>
    </w:tblStylePr>
    <w:tblStylePr w:type="band1Horz">
      <w:tblPr/>
      <w:tcPr>
        <w:shd w:val="clear" w:color="auto" w:fill="A2B1D7"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EBF5" w:themeFill="accent2" w:themeFillTint="33"/>
    </w:tcPr>
    <w:tblStylePr w:type="firstRow">
      <w:rPr>
        <w:b/>
        <w:bCs/>
      </w:rPr>
      <w:tblPr/>
      <w:tcPr>
        <w:shd w:val="clear" w:color="auto" w:fill="C0D7EC" w:themeFill="accent2" w:themeFillTint="66"/>
      </w:tcPr>
    </w:tblStylePr>
    <w:tblStylePr w:type="lastRow">
      <w:rPr>
        <w:b/>
        <w:bCs/>
        <w:color w:val="000000" w:themeColor="text1"/>
      </w:rPr>
      <w:tblPr/>
      <w:tcPr>
        <w:shd w:val="clear" w:color="auto" w:fill="C0D7EC" w:themeFill="accent2" w:themeFillTint="66"/>
      </w:tcPr>
    </w:tblStylePr>
    <w:tblStylePr w:type="firstCol">
      <w:rPr>
        <w:color w:val="FFFFFF" w:themeColor="background1"/>
      </w:rPr>
      <w:tblPr/>
      <w:tcPr>
        <w:shd w:val="clear" w:color="auto" w:fill="3476B1" w:themeFill="accent2" w:themeFillShade="BF"/>
      </w:tcPr>
    </w:tblStylePr>
    <w:tblStylePr w:type="lastCol">
      <w:rPr>
        <w:color w:val="FFFFFF" w:themeColor="background1"/>
      </w:rPr>
      <w:tblPr/>
      <w:tcPr>
        <w:shd w:val="clear" w:color="auto" w:fill="3476B1" w:themeFill="accent2" w:themeFillShade="BF"/>
      </w:tcPr>
    </w:tblStylePr>
    <w:tblStylePr w:type="band1Vert">
      <w:tblPr/>
      <w:tcPr>
        <w:shd w:val="clear" w:color="auto" w:fill="B0CDE8" w:themeFill="accent2" w:themeFillTint="7F"/>
      </w:tcPr>
    </w:tblStylePr>
    <w:tblStylePr w:type="band1Horz">
      <w:tblPr/>
      <w:tcPr>
        <w:shd w:val="clear" w:color="auto" w:fill="B0CDE8"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3E5F6" w:themeFill="accent3" w:themeFillTint="33"/>
    </w:tcPr>
    <w:tblStylePr w:type="firstRow">
      <w:rPr>
        <w:b/>
        <w:bCs/>
      </w:rPr>
      <w:tblPr/>
      <w:tcPr>
        <w:shd w:val="clear" w:color="auto" w:fill="A8CBEE" w:themeFill="accent3" w:themeFillTint="66"/>
      </w:tcPr>
    </w:tblStylePr>
    <w:tblStylePr w:type="lastRow">
      <w:rPr>
        <w:b/>
        <w:bCs/>
        <w:color w:val="000000" w:themeColor="text1"/>
      </w:rPr>
      <w:tblPr/>
      <w:tcPr>
        <w:shd w:val="clear" w:color="auto" w:fill="A8CBEE" w:themeFill="accent3" w:themeFillTint="66"/>
      </w:tcPr>
    </w:tblStylePr>
    <w:tblStylePr w:type="firstCol">
      <w:rPr>
        <w:color w:val="FFFFFF" w:themeColor="background1"/>
      </w:rPr>
      <w:tblPr/>
      <w:tcPr>
        <w:shd w:val="clear" w:color="auto" w:fill="1E5E9F" w:themeFill="accent3" w:themeFillShade="BF"/>
      </w:tcPr>
    </w:tblStylePr>
    <w:tblStylePr w:type="lastCol">
      <w:rPr>
        <w:color w:val="FFFFFF" w:themeColor="background1"/>
      </w:rPr>
      <w:tblPr/>
      <w:tcPr>
        <w:shd w:val="clear" w:color="auto" w:fill="1E5E9F" w:themeFill="accent3" w:themeFillShade="BF"/>
      </w:tcPr>
    </w:tblStylePr>
    <w:tblStylePr w:type="band1Vert">
      <w:tblPr/>
      <w:tcPr>
        <w:shd w:val="clear" w:color="auto" w:fill="93BEEA" w:themeFill="accent3" w:themeFillTint="7F"/>
      </w:tcPr>
    </w:tblStylePr>
    <w:tblStylePr w:type="band1Horz">
      <w:tblPr/>
      <w:tcPr>
        <w:shd w:val="clear" w:color="auto" w:fill="93BEEA"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E8ED" w:themeFill="accent4" w:themeFillTint="33"/>
    </w:tcPr>
    <w:tblStylePr w:type="firstRow">
      <w:rPr>
        <w:b/>
        <w:bCs/>
      </w:rPr>
      <w:tblPr/>
      <w:tcPr>
        <w:shd w:val="clear" w:color="auto" w:fill="CBD2DC" w:themeFill="accent4" w:themeFillTint="66"/>
      </w:tcPr>
    </w:tblStylePr>
    <w:tblStylePr w:type="lastRow">
      <w:rPr>
        <w:b/>
        <w:bCs/>
        <w:color w:val="000000" w:themeColor="text1"/>
      </w:rPr>
      <w:tblPr/>
      <w:tcPr>
        <w:shd w:val="clear" w:color="auto" w:fill="CBD2DC" w:themeFill="accent4" w:themeFillTint="66"/>
      </w:tcPr>
    </w:tblStylePr>
    <w:tblStylePr w:type="firstCol">
      <w:rPr>
        <w:color w:val="FFFFFF" w:themeColor="background1"/>
      </w:rPr>
      <w:tblPr/>
      <w:tcPr>
        <w:shd w:val="clear" w:color="auto" w:fill="596984" w:themeFill="accent4" w:themeFillShade="BF"/>
      </w:tcPr>
    </w:tblStylePr>
    <w:tblStylePr w:type="lastCol">
      <w:rPr>
        <w:color w:val="FFFFFF" w:themeColor="background1"/>
      </w:rPr>
      <w:tblPr/>
      <w:tcPr>
        <w:shd w:val="clear" w:color="auto" w:fill="596984" w:themeFill="accent4" w:themeFillShade="BF"/>
      </w:tcPr>
    </w:tblStylePr>
    <w:tblStylePr w:type="band1Vert">
      <w:tblPr/>
      <w:tcPr>
        <w:shd w:val="clear" w:color="auto" w:fill="BFC7D4" w:themeFill="accent4" w:themeFillTint="7F"/>
      </w:tcPr>
    </w:tblStylePr>
    <w:tblStylePr w:type="band1Horz">
      <w:tblPr/>
      <w:tcPr>
        <w:shd w:val="clear" w:color="auto" w:fill="BFC7D4"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DECEE" w:themeFill="accent5" w:themeFillTint="33"/>
    </w:tcPr>
    <w:tblStylePr w:type="firstRow">
      <w:rPr>
        <w:b/>
        <w:bCs/>
      </w:rPr>
      <w:tblPr/>
      <w:tcPr>
        <w:shd w:val="clear" w:color="auto" w:fill="BCD9DE" w:themeFill="accent5" w:themeFillTint="66"/>
      </w:tcPr>
    </w:tblStylePr>
    <w:tblStylePr w:type="lastRow">
      <w:rPr>
        <w:b/>
        <w:bCs/>
        <w:color w:val="000000" w:themeColor="text1"/>
      </w:rPr>
      <w:tblPr/>
      <w:tcPr>
        <w:shd w:val="clear" w:color="auto" w:fill="BCD9DE" w:themeFill="accent5" w:themeFillTint="66"/>
      </w:tcPr>
    </w:tblStylePr>
    <w:tblStylePr w:type="firstCol">
      <w:rPr>
        <w:color w:val="FFFFFF" w:themeColor="background1"/>
      </w:rPr>
      <w:tblPr/>
      <w:tcPr>
        <w:shd w:val="clear" w:color="auto" w:fill="417A84" w:themeFill="accent5" w:themeFillShade="BF"/>
      </w:tcPr>
    </w:tblStylePr>
    <w:tblStylePr w:type="lastCol">
      <w:rPr>
        <w:color w:val="FFFFFF" w:themeColor="background1"/>
      </w:rPr>
      <w:tblPr/>
      <w:tcPr>
        <w:shd w:val="clear" w:color="auto" w:fill="417A84" w:themeFill="accent5" w:themeFillShade="BF"/>
      </w:tcPr>
    </w:tblStylePr>
    <w:tblStylePr w:type="band1Vert">
      <w:tblPr/>
      <w:tcPr>
        <w:shd w:val="clear" w:color="auto" w:fill="ACD0D6" w:themeFill="accent5" w:themeFillTint="7F"/>
      </w:tcPr>
    </w:tblStylePr>
    <w:tblStylePr w:type="band1Horz">
      <w:tblPr/>
      <w:tcPr>
        <w:shd w:val="clear" w:color="auto" w:fill="ACD0D6"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BE8EC" w:themeFill="accent6" w:themeFillTint="33"/>
    </w:tcPr>
    <w:tblStylePr w:type="firstRow">
      <w:rPr>
        <w:b/>
        <w:bCs/>
      </w:rPr>
      <w:tblPr/>
      <w:tcPr>
        <w:shd w:val="clear" w:color="auto" w:fill="D7D2D9" w:themeFill="accent6" w:themeFillTint="66"/>
      </w:tcPr>
    </w:tblStylePr>
    <w:tblStylePr w:type="lastRow">
      <w:rPr>
        <w:b/>
        <w:bCs/>
        <w:color w:val="000000" w:themeColor="text1"/>
      </w:rPr>
      <w:tblPr/>
      <w:tcPr>
        <w:shd w:val="clear" w:color="auto" w:fill="D7D2D9" w:themeFill="accent6" w:themeFillTint="66"/>
      </w:tcPr>
    </w:tblStylePr>
    <w:tblStylePr w:type="firstCol">
      <w:rPr>
        <w:color w:val="FFFFFF" w:themeColor="background1"/>
      </w:rPr>
      <w:tblPr/>
      <w:tcPr>
        <w:shd w:val="clear" w:color="auto" w:fill="77697A" w:themeFill="accent6" w:themeFillShade="BF"/>
      </w:tcPr>
    </w:tblStylePr>
    <w:tblStylePr w:type="lastCol">
      <w:rPr>
        <w:color w:val="FFFFFF" w:themeColor="background1"/>
      </w:rPr>
      <w:tblPr/>
      <w:tcPr>
        <w:shd w:val="clear" w:color="auto" w:fill="77697A" w:themeFill="accent6" w:themeFillShade="BF"/>
      </w:tcPr>
    </w:tblStylePr>
    <w:tblStylePr w:type="band1Vert">
      <w:tblPr/>
      <w:tcPr>
        <w:shd w:val="clear" w:color="auto" w:fill="CEC7CF" w:themeFill="accent6" w:themeFillTint="7F"/>
      </w:tcPr>
    </w:tblStylePr>
    <w:tblStylePr w:type="band1Horz">
      <w:tblPr/>
      <w:tcPr>
        <w:shd w:val="clear" w:color="auto" w:fill="CEC7CF" w:themeFill="accent6" w:themeFillTint="7F"/>
      </w:tcPr>
    </w:tblStylePr>
  </w:style>
  <w:style w:type="paragraph" w:styleId="TOC2">
    <w:name w:val="toc 2"/>
    <w:basedOn w:val="Normal"/>
    <w:next w:val="Normal"/>
    <w:autoRedefine/>
    <w:uiPriority w:val="39"/>
    <w:unhideWhenUsed/>
    <w:rsid w:val="00863EE4"/>
    <w:pPr>
      <w:spacing w:after="100"/>
      <w:ind w:left="210"/>
    </w:pPr>
  </w:style>
  <w:style w:type="character" w:styleId="Hyperlink">
    <w:name w:val="Hyperlink"/>
    <w:basedOn w:val="DefaultParagraphFont"/>
    <w:uiPriority w:val="99"/>
    <w:unhideWhenUsed/>
    <w:rsid w:val="00863EE4"/>
    <w:rPr>
      <w:color w:val="9454C3" w:themeColor="hyperlink"/>
      <w:u w:val="single"/>
    </w:rPr>
  </w:style>
  <w:style w:type="paragraph" w:styleId="TOC1">
    <w:name w:val="toc 1"/>
    <w:basedOn w:val="Normal"/>
    <w:next w:val="Normal"/>
    <w:autoRedefine/>
    <w:uiPriority w:val="39"/>
    <w:unhideWhenUsed/>
    <w:rsid w:val="00E41894"/>
    <w:pPr>
      <w:spacing w:after="100"/>
    </w:pPr>
  </w:style>
  <w:style w:type="character" w:styleId="UnresolvedMention">
    <w:name w:val="Unresolved Mention"/>
    <w:basedOn w:val="DefaultParagraphFont"/>
    <w:uiPriority w:val="99"/>
    <w:semiHidden/>
    <w:unhideWhenUsed/>
    <w:rsid w:val="00CF1275"/>
    <w:rPr>
      <w:color w:val="605E5C"/>
      <w:shd w:val="clear" w:color="auto" w:fill="E1DFDD"/>
    </w:rPr>
  </w:style>
  <w:style w:type="paragraph" w:styleId="NormalWeb">
    <w:name w:val="Normal (Web)"/>
    <w:basedOn w:val="Normal"/>
    <w:uiPriority w:val="99"/>
    <w:semiHidden/>
    <w:unhideWhenUsed/>
    <w:rsid w:val="002635B0"/>
    <w:rPr>
      <w:rFonts w:ascii="Times New Roman" w:hAnsi="Times New Roman" w:cs="Times New Roman"/>
      <w:szCs w:val="24"/>
    </w:rPr>
  </w:style>
  <w:style w:type="table" w:styleId="GridTable5Dark-Accent3">
    <w:name w:val="Grid Table 5 Dark Accent 3"/>
    <w:basedOn w:val="TableNormal"/>
    <w:uiPriority w:val="50"/>
    <w:rsid w:val="00B50D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3E5F6"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97FD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97FD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97FD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97FD5" w:themeFill="accent3"/>
      </w:tcPr>
    </w:tblStylePr>
    <w:tblStylePr w:type="band1Vert">
      <w:tblPr/>
      <w:tcPr>
        <w:shd w:val="clear" w:color="auto" w:fill="A8CBEE" w:themeFill="accent3" w:themeFillTint="66"/>
      </w:tcPr>
    </w:tblStylePr>
    <w:tblStylePr w:type="band1Horz">
      <w:tblPr/>
      <w:tcPr>
        <w:shd w:val="clear" w:color="auto" w:fill="A8CBEE"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 TargetMode="External"/><Relationship Id="rId2" Type="http://schemas.openxmlformats.org/officeDocument/2006/relationships/numbering" Target="numbering.xml"/><Relationship Id="rId16" Type="http://schemas.openxmlformats.org/officeDocument/2006/relationships/hyperlink" Target="https://www.mintel.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hofstede-insights.com/country-comparison/" TargetMode="External"/><Relationship Id="rId10" Type="http://schemas.openxmlformats.org/officeDocument/2006/relationships/image" Target="media/image3.sv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6869</Words>
  <Characters>39156</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45934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Radoslav Nikolov (2118366)</cp:lastModifiedBy>
  <cp:revision>210</cp:revision>
  <dcterms:created xsi:type="dcterms:W3CDTF">2025-09-20T09:26:00Z</dcterms:created>
  <dcterms:modified xsi:type="dcterms:W3CDTF">2025-11-11T00:14:00Z</dcterms:modified>
  <cp:category/>
</cp:coreProperties>
</file>