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CB747" w14:textId="77777777" w:rsidR="00A504C9" w:rsidRPr="00491CC8" w:rsidRDefault="00A504C9" w:rsidP="00A504C9">
      <w:pPr>
        <w:rPr>
          <w:b/>
          <w:u w:val="single"/>
          <w:lang w:val="en-US"/>
        </w:rPr>
      </w:pPr>
      <w:r w:rsidRPr="00491CC8">
        <w:rPr>
          <w:b/>
          <w:u w:val="single"/>
          <w:lang w:val="en-US"/>
        </w:rPr>
        <w:t>Name: Chloe Hitchings</w:t>
      </w:r>
    </w:p>
    <w:p w14:paraId="0CBFFA6F" w14:textId="77777777" w:rsidR="00A504C9" w:rsidRPr="00491CC8" w:rsidRDefault="00A504C9" w:rsidP="00A504C9">
      <w:pPr>
        <w:rPr>
          <w:b/>
          <w:u w:val="single"/>
          <w:lang w:val="en-US"/>
        </w:rPr>
      </w:pPr>
      <w:r w:rsidRPr="00491CC8">
        <w:rPr>
          <w:b/>
          <w:u w:val="single"/>
          <w:lang w:val="en-US"/>
        </w:rPr>
        <w:t>CIPD Number:</w:t>
      </w:r>
      <w:r w:rsidR="001C3FA3">
        <w:rPr>
          <w:b/>
          <w:u w:val="single"/>
          <w:lang w:val="en-US"/>
        </w:rPr>
        <w:t xml:space="preserve"> 88554053</w:t>
      </w:r>
    </w:p>
    <w:p w14:paraId="3BF72D6C" w14:textId="77777777" w:rsidR="00A504C9" w:rsidRPr="00491CC8" w:rsidRDefault="00A504C9" w:rsidP="00A504C9">
      <w:pPr>
        <w:rPr>
          <w:b/>
          <w:u w:val="single"/>
          <w:lang w:val="en-US"/>
        </w:rPr>
      </w:pPr>
      <w:r w:rsidRPr="00491CC8">
        <w:rPr>
          <w:b/>
          <w:u w:val="single"/>
          <w:lang w:val="en-US"/>
        </w:rPr>
        <w:t>Word Count:</w:t>
      </w:r>
      <w:r>
        <w:rPr>
          <w:b/>
          <w:u w:val="single"/>
          <w:lang w:val="en-US"/>
        </w:rPr>
        <w:t xml:space="preserve"> </w:t>
      </w:r>
      <w:r w:rsidR="001C3FA3">
        <w:rPr>
          <w:b/>
          <w:u w:val="single"/>
          <w:lang w:val="en-US"/>
        </w:rPr>
        <w:t>1649</w:t>
      </w:r>
    </w:p>
    <w:p w14:paraId="14964B73" w14:textId="77777777" w:rsidR="00A504C9" w:rsidRDefault="00A504C9" w:rsidP="00A504C9">
      <w:pPr>
        <w:rPr>
          <w:b/>
          <w:bCs/>
          <w:u w:val="single"/>
          <w:lang w:val="en-US"/>
        </w:rPr>
      </w:pPr>
    </w:p>
    <w:p w14:paraId="64D92BA1" w14:textId="77777777" w:rsidR="00A504C9" w:rsidRDefault="00A504C9" w:rsidP="00A504C9">
      <w:pPr>
        <w:rPr>
          <w:b/>
          <w:bCs/>
          <w:u w:val="single"/>
          <w:lang w:val="en-US"/>
        </w:rPr>
      </w:pPr>
      <w:r>
        <w:rPr>
          <w:b/>
          <w:bCs/>
          <w:u w:val="single"/>
          <w:lang w:val="en-US"/>
        </w:rPr>
        <w:t>Do Quest Report</w:t>
      </w:r>
    </w:p>
    <w:p w14:paraId="7A6BA9CF" w14:textId="77777777" w:rsidR="00A504C9" w:rsidRDefault="00A504C9" w:rsidP="00A504C9">
      <w:pPr>
        <w:rPr>
          <w:b/>
          <w:bCs/>
          <w:u w:val="single"/>
          <w:lang w:val="en-US"/>
        </w:rPr>
      </w:pPr>
    </w:p>
    <w:p w14:paraId="0F5E60BD" w14:textId="77777777" w:rsidR="00A504C9" w:rsidRDefault="00A504C9" w:rsidP="00A504C9">
      <w:pPr>
        <w:rPr>
          <w:b/>
          <w:bCs/>
          <w:u w:val="single"/>
          <w:lang w:val="en-US"/>
        </w:rPr>
      </w:pPr>
      <w:r>
        <w:rPr>
          <w:b/>
          <w:bCs/>
          <w:u w:val="single"/>
          <w:lang w:val="en-US"/>
        </w:rPr>
        <w:t>Employee Voice and Engagement (AC 1.1)</w:t>
      </w:r>
    </w:p>
    <w:p w14:paraId="32B1F3ED" w14:textId="77777777" w:rsidR="00A504C9" w:rsidRDefault="00A504C9" w:rsidP="00A504C9">
      <w:r>
        <w:t>It is crucial for organisations to have an engaged workforce, they are committed to the organisation and feel positive about their job (Truss et al, 2006). Engagement is complex to define, but Alfes et al (2010) believe that engagement has three separate areas – intellectual, affective and social engagement. Another theory suggests that employees express their engagement depending on the output and resource that they receive, otherwise known as the social exchange theory (Saks, 2006). Engaged employees have the opportunity and platform to use their ‘Employee Voice’, employees can express their opinions and concerns enabling them to influence certain decisions that directly affect them (CIPD, 2019).</w:t>
      </w:r>
    </w:p>
    <w:p w14:paraId="6FE78697" w14:textId="77777777" w:rsidR="00A504C9" w:rsidRDefault="00A504C9" w:rsidP="00A504C9">
      <w:r>
        <w:t xml:space="preserve">Since </w:t>
      </w:r>
      <w:r w:rsidR="007C178F">
        <w:t xml:space="preserve">the </w:t>
      </w:r>
      <w:r>
        <w:t>pandemic, the workplace has evolved with social technolog</w:t>
      </w:r>
      <w:r w:rsidR="007C178F">
        <w:t>ies</w:t>
      </w:r>
      <w:r>
        <w:t xml:space="preserve"> such as Microsoft Teams to replace face to face meetings and </w:t>
      </w:r>
      <w:r w:rsidR="007C178F">
        <w:t>hybrid</w:t>
      </w:r>
      <w:r>
        <w:t xml:space="preserve"> working (CIPD, 2024a). These advancements allow employees to maintain their voice as they can communicate from</w:t>
      </w:r>
      <w:r w:rsidR="007C178F">
        <w:t xml:space="preserve"> anywhere</w:t>
      </w:r>
      <w:r>
        <w:t>. Communication is key with hybrid working practices, if managers are not leading</w:t>
      </w:r>
      <w:r w:rsidR="007C178F">
        <w:t>,</w:t>
      </w:r>
      <w:r>
        <w:t xml:space="preserve"> it can cause ineffective team working and a lack of information flow (CIPD, 2024b). </w:t>
      </w:r>
      <w:r w:rsidR="007C178F">
        <w:t>Some employees</w:t>
      </w:r>
      <w:r>
        <w:t xml:space="preserve"> feel disconnected and </w:t>
      </w:r>
      <w:r w:rsidR="007C178F">
        <w:t>do not want to</w:t>
      </w:r>
      <w:r>
        <w:t xml:space="preserve"> participate in meetings or online forums </w:t>
      </w:r>
      <w:r w:rsidR="007C178F">
        <w:t>due to</w:t>
      </w:r>
      <w:r>
        <w:t xml:space="preserve"> negative consequences online (CIPD, 2022). This lead</w:t>
      </w:r>
      <w:r w:rsidR="007C178F">
        <w:t>s</w:t>
      </w:r>
      <w:r>
        <w:t xml:space="preserve"> to employee silence and dissatisfaction, organisations should focus on those that are silent and allow channels to express their feelings such as anonymous online surveys. </w:t>
      </w:r>
    </w:p>
    <w:p w14:paraId="2023313D" w14:textId="77777777" w:rsidR="00A504C9" w:rsidRDefault="00A504C9" w:rsidP="00A504C9">
      <w:r>
        <w:t xml:space="preserve">Another emerging development for employee voice is the use of whistleblowing and disclosing any malicious behaviour within the workplace (CIPD, 2024c). Employers should implement policies allowing for a ‘speak up culture’, alongside of a whistleblowing policy they could include other policies such as diversity and inclusion, harassment and bulling and a grievance policy. These enable employees to raise important issues that are occurring in the workplace without having the fear of being reprimanded. The whistleblowing legislation in the Public Interest Disclosure Act (1998) covers that employees cannot treated differently by their employer for whistleblowing, evidence of this could be brought forth in an employment tribunal. </w:t>
      </w:r>
    </w:p>
    <w:p w14:paraId="0124B7AC" w14:textId="77777777" w:rsidR="00A504C9" w:rsidRDefault="00A504C9" w:rsidP="00A504C9"/>
    <w:p w14:paraId="78A6F209" w14:textId="77777777" w:rsidR="00A504C9" w:rsidRPr="00A504C9" w:rsidRDefault="00A504C9" w:rsidP="00A504C9">
      <w:pPr>
        <w:rPr>
          <w:b/>
          <w:u w:val="single"/>
        </w:rPr>
      </w:pPr>
      <w:r w:rsidRPr="00A504C9">
        <w:rPr>
          <w:b/>
          <w:u w:val="single"/>
        </w:rPr>
        <w:t>Employee Involvement and participation (AC 1.2)</w:t>
      </w:r>
    </w:p>
    <w:p w14:paraId="37A03816" w14:textId="77777777" w:rsidR="00A504C9" w:rsidRDefault="00A504C9" w:rsidP="00A504C9">
      <w:r>
        <w:t xml:space="preserve">There are many levels of employee voice within an organisation, but these can be split into direct and indirect employee voice. Employee involvement is unitarist approach and type of direct employee voice that allows employees to have a direct line of communication with senior management and with those that make decisions (Armstrong &amp; Taylor, 2020, p.555). Employees are actively encouraged to share their thoughts and ideas and have some level of influence and contribution to the organisations’ decision-making process. On the other hand, employee participation involves a pluralist view of the employment relationship and is a level of indirect employee voice through the use of representatives and consultation methods such as collective </w:t>
      </w:r>
      <w:r>
        <w:lastRenderedPageBreak/>
        <w:t xml:space="preserve">bargaining (Armstrong &amp; Taylor, 2020, p.556). Employees are still given the opportunity to express their opinions but this is being put forth by third party involvement in a collective way using employee representatives and trade unions (CIPD, 2024a). </w:t>
      </w:r>
    </w:p>
    <w:p w14:paraId="189469E7" w14:textId="77777777" w:rsidR="00A504C9" w:rsidRDefault="00A504C9" w:rsidP="00A504C9">
      <w:r>
        <w:t xml:space="preserve">By providing these platforms for employee voice, organisations are building trusting relationships with their employees and allowing them to contribute to organisational improvement (CIPD, 2024a). Both types of employee voice provide employees with more autonomy over their working conditions creating a positive workplace culture and a tailored working environment for employees. However, those in decisions making roles need to actively listen to the concerns and opinions brought forth by employees, especially to make a consultation process successful (Townsend &amp; Loudoun, 2016). If employees feel valued and ‘heard’ then they will be more engaged with the organisation and they will also be invested about the success of the organisation (Linkedin, 2023). Research also shows that when employees are empowered to share their true thoughts and feelings, it can improve rates of retention and job satisfaction (Gallup, 2024). </w:t>
      </w:r>
    </w:p>
    <w:p w14:paraId="10AF8874" w14:textId="77777777" w:rsidR="00A504C9" w:rsidRDefault="00A504C9" w:rsidP="00A504C9"/>
    <w:p w14:paraId="39129332" w14:textId="77777777" w:rsidR="00A504C9" w:rsidRPr="00A504C9" w:rsidRDefault="00A504C9" w:rsidP="00A504C9">
      <w:pPr>
        <w:rPr>
          <w:b/>
          <w:u w:val="single"/>
        </w:rPr>
      </w:pPr>
      <w:r w:rsidRPr="00A504C9">
        <w:rPr>
          <w:b/>
          <w:u w:val="single"/>
        </w:rPr>
        <w:t>Driving Engagement (AC 1.3)</w:t>
      </w:r>
    </w:p>
    <w:p w14:paraId="18A5C2D4" w14:textId="77777777" w:rsidR="00A504C9" w:rsidRDefault="007C178F" w:rsidP="00A504C9">
      <w:r>
        <w:t>Meetings are an</w:t>
      </w:r>
      <w:r w:rsidR="00A504C9">
        <w:t xml:space="preserve"> effective way for employees to address their concerns in an informal or formal way (CIPD 2023). Employees can build trusting relationships with their peers and share their expertise to assist with work-related issues (CIPD, 2023). However, research shows that </w:t>
      </w:r>
      <w:r>
        <w:t>un</w:t>
      </w:r>
      <w:r w:rsidR="00A504C9">
        <w:t>structured</w:t>
      </w:r>
      <w:r>
        <w:t xml:space="preserve"> meetings</w:t>
      </w:r>
      <w:r w:rsidR="00A504C9">
        <w:t xml:space="preserve"> can be counterproductive which negatively effects employee voice (Allen et al, 2015). </w:t>
      </w:r>
      <w:r>
        <w:t xml:space="preserve">Do Quest can also utilise employee surveys, they </w:t>
      </w:r>
      <w:r w:rsidR="00A504C9">
        <w:t xml:space="preserve">can be easily distributed on the intranet or social media and can provide a large amount of data </w:t>
      </w:r>
      <w:r>
        <w:t xml:space="preserve">and </w:t>
      </w:r>
      <w:r w:rsidR="00A504C9">
        <w:t>assess</w:t>
      </w:r>
      <w:r>
        <w:t>es</w:t>
      </w:r>
      <w:r w:rsidR="00A504C9">
        <w:t xml:space="preserve"> the effect of change </w:t>
      </w:r>
      <w:r>
        <w:t>with</w:t>
      </w:r>
      <w:r w:rsidR="00A504C9">
        <w:t xml:space="preserve">in the workplace (Armstrong &amp; Taylor, 2020, p.555). However, </w:t>
      </w:r>
      <w:r>
        <w:t xml:space="preserve">surveys </w:t>
      </w:r>
      <w:r w:rsidR="00A504C9">
        <w:t xml:space="preserve">can be difficult to analyse and timely which </w:t>
      </w:r>
      <w:r>
        <w:t>will</w:t>
      </w:r>
      <w:r w:rsidR="00A504C9">
        <w:t xml:space="preserve"> not provide real time feedback (CIPD, 2013). Do Quest could use newer technologies and introduce an employee app</w:t>
      </w:r>
      <w:r>
        <w:t xml:space="preserve"> to help with those that are working from home. </w:t>
      </w:r>
      <w:r w:rsidR="00A504C9">
        <w:t>By implementing an app, Do Quest could share important information to users quickly allowing collaboration between teams as this can be accessed on any device (CIPD, 2023). Employees have a direct line of contact with senior management and can receive immediate responses, they can also access a plethora of information needed for their role (Armstrong &amp; Taylor, 2020, p.556). Due to individual differences, employee voice cannot be expressed through on</w:t>
      </w:r>
      <w:r>
        <w:t xml:space="preserve">ly </w:t>
      </w:r>
      <w:r w:rsidR="00A504C9">
        <w:t xml:space="preserve">one platform as some employees </w:t>
      </w:r>
      <w:r>
        <w:t>could</w:t>
      </w:r>
      <w:r w:rsidR="00A504C9">
        <w:t xml:space="preserve"> struggle </w:t>
      </w:r>
      <w:r>
        <w:t>using</w:t>
      </w:r>
      <w:r w:rsidR="00A504C9">
        <w:t xml:space="preserve"> an app (CIPD, 2024a). </w:t>
      </w:r>
    </w:p>
    <w:p w14:paraId="2A2FF471" w14:textId="77777777" w:rsidR="00A504C9" w:rsidRDefault="00A504C9" w:rsidP="00A504C9">
      <w:r>
        <w:t>In addition, Do Quest could also focus on drivers to engage employees further. According to Macleod and Clarke (2009), line managers play a crucial part to engage employees by providing role clarity, support and showing appreciation. If an employee has an ineffective line manager, it could lead to disengagement and affect employee voice. Further training should be provided to</w:t>
      </w:r>
      <w:r w:rsidR="007C178F">
        <w:t xml:space="preserve"> </w:t>
      </w:r>
      <w:r>
        <w:t xml:space="preserve">managers to ensure that they have the skills to lead effectively, this investment could further develop managers </w:t>
      </w:r>
      <w:r w:rsidR="007C178F">
        <w:t>and promote</w:t>
      </w:r>
      <w:r>
        <w:t xml:space="preserve"> a positive culture (People Management, 2022). Another approach is providing further opportunity for progression. Providing development opportunities contributes to improving skill and confidence </w:t>
      </w:r>
      <w:r w:rsidR="007C178F">
        <w:t>and</w:t>
      </w:r>
      <w:r>
        <w:t xml:space="preserve"> provides a pathway for growth (Armstrong &amp; Taylor, 2020, p.274). This could be through internal promotions, responsibility, training or performance management. However, the effectiveness of this also circles back to the capabilities </w:t>
      </w:r>
      <w:r w:rsidR="007C178F">
        <w:t xml:space="preserve">and competencies </w:t>
      </w:r>
      <w:r>
        <w:t>of the manager</w:t>
      </w:r>
      <w:r w:rsidR="007C178F">
        <w:t xml:space="preserve"> </w:t>
      </w:r>
      <w:r>
        <w:t>(Armstrong &amp; Taylor, 2020, p.277).</w:t>
      </w:r>
    </w:p>
    <w:p w14:paraId="0CC15A16" w14:textId="77777777" w:rsidR="007C178F" w:rsidRDefault="007C178F" w:rsidP="00A504C9"/>
    <w:p w14:paraId="70A9B8F5" w14:textId="77777777" w:rsidR="007C178F" w:rsidRDefault="007C178F" w:rsidP="00A504C9"/>
    <w:p w14:paraId="3A298D55" w14:textId="77777777" w:rsidR="007C178F" w:rsidRDefault="007C178F" w:rsidP="00A504C9"/>
    <w:p w14:paraId="671FD94F" w14:textId="77777777" w:rsidR="00A504C9" w:rsidRPr="007C178F" w:rsidRDefault="007C178F" w:rsidP="00A504C9">
      <w:pPr>
        <w:rPr>
          <w:b/>
          <w:u w:val="single"/>
        </w:rPr>
      </w:pPr>
      <w:r w:rsidRPr="007C178F">
        <w:rPr>
          <w:b/>
          <w:u w:val="single"/>
        </w:rPr>
        <w:lastRenderedPageBreak/>
        <w:t>Employee Voice and Organisational Performance (AC 1.4)</w:t>
      </w:r>
    </w:p>
    <w:p w14:paraId="4BE086F6" w14:textId="77777777" w:rsidR="007C178F" w:rsidRDefault="007C178F" w:rsidP="007C178F">
      <w:r>
        <w:t>Providing employees with a platform to express their employee voice creates a reciprocal relationship between employee and employer and can improve the trust and loyalty to the employer (Armstrong &amp; Taylor, 2020, p.278). According to the CIPD, employee voice can improve performance within organisations as employees can communicate ways in which operations can be improved (CIPD, 2024a).</w:t>
      </w:r>
      <w:r w:rsidRPr="00614F0A">
        <w:t xml:space="preserve"> </w:t>
      </w:r>
      <w:r>
        <w:t xml:space="preserve">Employees that are involved with the decision-making process positively influences organisational performance (Boxall &amp; Purcell, 2022). Offering multiple ‘employee voice’ platforms creates more positive attitudes in the workplace which in turn demonstrates higher levels of performance (Purcell et al, 2004). </w:t>
      </w:r>
    </w:p>
    <w:p w14:paraId="7FA66E58" w14:textId="77777777" w:rsidR="007C178F" w:rsidRDefault="007C178F" w:rsidP="007C178F">
      <w:r>
        <w:t xml:space="preserve">However, most of the literature focuses more on the relationship between employee voice and engagement rather than with performance (Lawler and Worley, 2006; Boxall and Purcell, 2022; Rees et al, 2013). The relationship between employee voice and organisational performance is complex as it is hard to measure the direct relationship between these variables due to external factors and it is hard to show direct causation. Other factors could affect performance or employee voice, such as benefits packages (Mowbray et al, 2020). It is also difficult to measure both employee voice and performance as the measures used are normally qualitative, this is subject to individual differences and these biases may not report accurate results and could sway research (Aczel et al, 2015). </w:t>
      </w:r>
    </w:p>
    <w:p w14:paraId="2EE42426" w14:textId="77777777" w:rsidR="007C178F" w:rsidRDefault="007C178F" w:rsidP="007C178F">
      <w:r>
        <w:t xml:space="preserve">However, research has demonstrated that there could be a negative relationship between employee voice and low performance ratings (Milliken et al, 2003). Voicing negative concerns to other managers could improve organisational performance but it might not advantage the person that has voiced them (Detert et al, 2013), this could create issues within teams and lower the individuals’ performance. Employees may also withhold their opinions and are ‘silent’ due to recipients potentially perceiving their opinions as negative or threatening (Detert et al, 2010). In a hierarchical business, employees do not want to express their true feelings to management, providing a distorted view of performance and senior leaders do not understand the bigger picture (Tourish &amp; Robson, 2006). </w:t>
      </w:r>
    </w:p>
    <w:p w14:paraId="014B9B27" w14:textId="77777777" w:rsidR="00A504C9" w:rsidRDefault="00A504C9" w:rsidP="00A504C9"/>
    <w:p w14:paraId="4C8BD65F" w14:textId="77777777" w:rsidR="007C178F" w:rsidRPr="007C178F" w:rsidRDefault="007C178F" w:rsidP="00A504C9">
      <w:pPr>
        <w:rPr>
          <w:b/>
          <w:u w:val="single"/>
        </w:rPr>
      </w:pPr>
      <w:r w:rsidRPr="007C178F">
        <w:rPr>
          <w:b/>
          <w:u w:val="single"/>
        </w:rPr>
        <w:t>Better Working Lives (AC 1.5)</w:t>
      </w:r>
    </w:p>
    <w:p w14:paraId="2BABE4FD" w14:textId="77777777" w:rsidR="007C178F" w:rsidRDefault="007C178F" w:rsidP="007C178F">
      <w:r>
        <w:t>It is easy for employees to become overwhelmed so it is important for employees to have a healthy relationship with work and to have a good work-life balance. The CIPD’s Good Work Index (2024d) survey measures ‘good work’ and job quality, referring to a workplace being supportive, creating motivated and productive organisations with strong economies. According to the survey, there are seven key factors that contribute to ‘good work’ which are; pay and benefits, contracts, work-life balance, job design, relationships, employee voice and health and well-being (CIPD, 2024d). Do Quest could benefit by focusing on some of these key areas so that they can promote ‘good work’ within their organisation.</w:t>
      </w:r>
    </w:p>
    <w:p w14:paraId="7C7C811E" w14:textId="77777777" w:rsidR="007C178F" w:rsidRDefault="007C178F" w:rsidP="007C178F">
      <w:r>
        <w:t xml:space="preserve">Health and wellbeing should be regarded as a priority and is a core part of positive employee engagement and high performance (CIPD, 2024d). Employers have a duty of care to its employees and should ensure to support employee’s health and wellbeing including their mental health (ACAS, 2023). It was also reported that there was an increase in long term sickness and stress levels of employees. Do Quest could implement wellbeing initiatives to provide support for employees to prevent them from ‘burn out’, such as implementing a policy to support mental health and wellbeing, one to ones with managers and providing support (Mind, ND). </w:t>
      </w:r>
    </w:p>
    <w:p w14:paraId="4F72597A" w14:textId="77777777" w:rsidR="007C178F" w:rsidRDefault="007C178F" w:rsidP="007C178F">
      <w:r>
        <w:lastRenderedPageBreak/>
        <w:t>Relationships at work and creating trusting relationships has relations to positive attitudes in the workplace such as commitment to the organisation, job satisfaction and retention (Aryee et al, 2002). The Good Work Index (CIPD, 2024d) had a big focus on conflicts within organisations and those who reported conflicts reported lower satisfaction in their role and no loyalty to their organisation. Do Quest should stay ahead of this and work on solidifying and building trusting relationships to engage their employees. They could invest in management training to identify and fix workplace conflicts and to make more efficient processes to reduce overwhelm and ‘burnout’ (CIPD, 2024d).</w:t>
      </w:r>
    </w:p>
    <w:p w14:paraId="70DF87A4" w14:textId="77777777" w:rsidR="00A504C9" w:rsidRDefault="00A504C9" w:rsidP="00A504C9"/>
    <w:p w14:paraId="4A63951D" w14:textId="77777777" w:rsidR="00A504C9" w:rsidRPr="00A504C9" w:rsidRDefault="00A504C9" w:rsidP="00A504C9">
      <w:pPr>
        <w:rPr>
          <w:b/>
          <w:u w:val="single"/>
        </w:rPr>
      </w:pPr>
      <w:r w:rsidRPr="00A504C9">
        <w:rPr>
          <w:b/>
          <w:u w:val="single"/>
        </w:rPr>
        <w:t>References</w:t>
      </w:r>
    </w:p>
    <w:p w14:paraId="695C6129" w14:textId="77777777" w:rsidR="001C3FA3" w:rsidRDefault="001C3FA3" w:rsidP="001C3FA3">
      <w:pPr>
        <w:spacing w:after="0" w:line="240" w:lineRule="auto"/>
        <w:rPr>
          <w:rFonts w:ascii="Times New Roman" w:eastAsia="Times New Roman" w:hAnsi="Times New Roman" w:cs="Times New Roman"/>
          <w:kern w:val="0"/>
          <w:sz w:val="24"/>
          <w:szCs w:val="24"/>
          <w14:ligatures w14:val="none"/>
        </w:rPr>
      </w:pPr>
    </w:p>
    <w:p w14:paraId="180843C1" w14:textId="77777777" w:rsidR="001C3FA3" w:rsidRPr="001C3FA3" w:rsidRDefault="001C3FA3" w:rsidP="001C3FA3">
      <w:pPr>
        <w:pStyle w:val="ListParagraph"/>
        <w:numPr>
          <w:ilvl w:val="0"/>
          <w:numId w:val="1"/>
        </w:numPr>
        <w:spacing w:line="276" w:lineRule="auto"/>
      </w:pPr>
      <w:r w:rsidRPr="001C3FA3">
        <w:rPr>
          <w:rFonts w:eastAsia="Times New Roman" w:cs="Times New Roman"/>
          <w:kern w:val="0"/>
          <w14:ligatures w14:val="none"/>
        </w:rPr>
        <w:t xml:space="preserve">ACAS (2023) </w:t>
      </w:r>
      <w:r w:rsidRPr="001C3FA3">
        <w:rPr>
          <w:rFonts w:eastAsia="Times New Roman" w:cs="Times New Roman"/>
          <w:i/>
          <w:kern w:val="0"/>
          <w14:ligatures w14:val="none"/>
        </w:rPr>
        <w:t xml:space="preserve">Supporting Mental Health in the Workplace. </w:t>
      </w:r>
      <w:r w:rsidRPr="001C3FA3">
        <w:rPr>
          <w:rFonts w:eastAsia="Times New Roman" w:cs="Times New Roman"/>
          <w:kern w:val="0"/>
          <w14:ligatures w14:val="none"/>
        </w:rPr>
        <w:t xml:space="preserve">Available at: </w:t>
      </w:r>
      <w:hyperlink r:id="rId5" w:history="1">
        <w:r w:rsidRPr="001C3FA3">
          <w:rPr>
            <w:rStyle w:val="Hyperlink"/>
          </w:rPr>
          <w:t>https://www.acas.org.uk/supporting-mental-health-workplace ACAS 2023</w:t>
        </w:r>
      </w:hyperlink>
      <w:r w:rsidRPr="001C3FA3">
        <w:t xml:space="preserve"> (Accessed 24th June 2024). </w:t>
      </w:r>
    </w:p>
    <w:p w14:paraId="101BFF22" w14:textId="77777777" w:rsidR="001C3FA3" w:rsidRPr="001C3FA3" w:rsidRDefault="001C3FA3" w:rsidP="001C3FA3">
      <w:pPr>
        <w:pStyle w:val="ListParagraph"/>
        <w:numPr>
          <w:ilvl w:val="0"/>
          <w:numId w:val="1"/>
        </w:numPr>
        <w:spacing w:after="0" w:line="276" w:lineRule="auto"/>
        <w:rPr>
          <w:rFonts w:eastAsia="Times New Roman" w:cstheme="minorHAnsi"/>
          <w:kern w:val="0"/>
          <w14:ligatures w14:val="none"/>
        </w:rPr>
      </w:pPr>
      <w:r w:rsidRPr="001C3FA3">
        <w:rPr>
          <w:rFonts w:eastAsia="Times New Roman" w:cs="Arial"/>
          <w:color w:val="222222"/>
          <w:kern w:val="0"/>
          <w:shd w:val="clear" w:color="auto" w:fill="FFFFFF"/>
          <w14:ligatures w14:val="none"/>
        </w:rPr>
        <w:t>Aczel, B., Bago, B., Szollosi, A., Foldes, A. and Lukacs, B. (2015) Measuring individual differences in decision biases: Methodological considerations. </w:t>
      </w:r>
      <w:r w:rsidRPr="001C3FA3">
        <w:rPr>
          <w:rFonts w:eastAsia="Times New Roman" w:cs="Arial"/>
          <w:i/>
          <w:iCs/>
          <w:color w:val="222222"/>
          <w:kern w:val="0"/>
          <w14:ligatures w14:val="none"/>
        </w:rPr>
        <w:t>Frontiers in psychology</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6</w:t>
      </w:r>
      <w:r w:rsidRPr="001C3FA3">
        <w:rPr>
          <w:rFonts w:eastAsia="Times New Roman" w:cs="Arial"/>
          <w:color w:val="222222"/>
          <w:kern w:val="0"/>
          <w:shd w:val="clear" w:color="auto" w:fill="FFFFFF"/>
          <w14:ligatures w14:val="none"/>
        </w:rPr>
        <w:t>, p.1770.</w:t>
      </w:r>
    </w:p>
    <w:p w14:paraId="1D1781C9" w14:textId="77777777" w:rsidR="001C3FA3" w:rsidRPr="001C3FA3" w:rsidRDefault="001C3FA3" w:rsidP="001C3FA3">
      <w:pPr>
        <w:pStyle w:val="ListParagraph"/>
        <w:numPr>
          <w:ilvl w:val="0"/>
          <w:numId w:val="1"/>
        </w:numPr>
        <w:spacing w:line="276" w:lineRule="auto"/>
      </w:pPr>
      <w:r w:rsidRPr="001C3FA3">
        <w:t xml:space="preserve">Alfes, K., Truss, C., Soane, E.C., Rees, C. and Gatenby, M. (2010) </w:t>
      </w:r>
      <w:r w:rsidRPr="001C3FA3">
        <w:rPr>
          <w:i/>
        </w:rPr>
        <w:t xml:space="preserve">Creating an Engaged Workforce, </w:t>
      </w:r>
      <w:r w:rsidRPr="001C3FA3">
        <w:t xml:space="preserve">London, CIPD. </w:t>
      </w:r>
    </w:p>
    <w:p w14:paraId="29DACBF8" w14:textId="77777777" w:rsidR="001C3FA3" w:rsidRPr="001C3FA3" w:rsidRDefault="001C3FA3" w:rsidP="001C3FA3">
      <w:pPr>
        <w:pStyle w:val="ListParagraph"/>
        <w:numPr>
          <w:ilvl w:val="0"/>
          <w:numId w:val="1"/>
        </w:numPr>
        <w:spacing w:line="276" w:lineRule="auto"/>
        <w:rPr>
          <w:i/>
        </w:rPr>
      </w:pPr>
      <w:r w:rsidRPr="001C3FA3">
        <w:t xml:space="preserve">Allen, J.A., Yoerger, M.A., Lehmann-Willenbrock, N., and Jones, J. (2015) ‘Would you please stop that!? The relationship between counterproductive meeting behaviors, employee voice, and trust’, </w:t>
      </w:r>
      <w:r w:rsidRPr="001C3FA3">
        <w:rPr>
          <w:i/>
        </w:rPr>
        <w:t xml:space="preserve">Journal of Management Development, </w:t>
      </w:r>
      <w:r w:rsidRPr="001C3FA3">
        <w:t xml:space="preserve">34(10), pp.1272-1287. Available at: </w:t>
      </w:r>
      <w:hyperlink r:id="rId6" w:history="1">
        <w:r w:rsidRPr="001C3FA3">
          <w:rPr>
            <w:rStyle w:val="Hyperlink"/>
          </w:rPr>
          <w:t>https://doi.org/10.1108/JMD-02-2015-0032</w:t>
        </w:r>
      </w:hyperlink>
    </w:p>
    <w:p w14:paraId="49CFBBAA"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Times New Roman"/>
          <w:color w:val="232323"/>
          <w:kern w:val="0"/>
          <w:shd w:val="clear" w:color="auto" w:fill="FFFFFF"/>
          <w14:ligatures w14:val="none"/>
        </w:rPr>
        <w:t>Armstrong, M., &amp; Taylor, S. (2020). Armstrong’s Handbook of Human Resource Management Practice. London: Kogan Page Publishers.</w:t>
      </w:r>
    </w:p>
    <w:p w14:paraId="415F490A"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Aryee, S., Budhwar, P.S. and Chen, Z.X. (2002) Trust as a mediator of the relationship between organizational justice and work outcomes: Test of a social exchange model. </w:t>
      </w:r>
      <w:r w:rsidRPr="001C3FA3">
        <w:rPr>
          <w:rFonts w:eastAsia="Times New Roman" w:cs="Arial"/>
          <w:i/>
          <w:iCs/>
          <w:color w:val="222222"/>
          <w:kern w:val="0"/>
          <w14:ligatures w14:val="none"/>
        </w:rPr>
        <w:t>Journal of Organizational Behavior: The International Journal of Industrial, Occupational and Organizational Psychology and Behavior</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23</w:t>
      </w:r>
      <w:r w:rsidRPr="001C3FA3">
        <w:rPr>
          <w:rFonts w:eastAsia="Times New Roman" w:cs="Arial"/>
          <w:color w:val="222222"/>
          <w:kern w:val="0"/>
          <w:shd w:val="clear" w:color="auto" w:fill="FFFFFF"/>
          <w14:ligatures w14:val="none"/>
        </w:rPr>
        <w:t>(3), pp.267-285.</w:t>
      </w:r>
    </w:p>
    <w:p w14:paraId="7F81EE21"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Boxall, P. and Purcell, J. (2022) </w:t>
      </w:r>
      <w:r w:rsidRPr="001C3FA3">
        <w:rPr>
          <w:rFonts w:eastAsia="Times New Roman" w:cs="Arial"/>
          <w:i/>
          <w:iCs/>
          <w:color w:val="222222"/>
          <w:kern w:val="0"/>
          <w14:ligatures w14:val="none"/>
        </w:rPr>
        <w:t>Strategy and human resource management</w:t>
      </w:r>
      <w:r w:rsidRPr="001C3FA3">
        <w:rPr>
          <w:rFonts w:eastAsia="Times New Roman" w:cs="Arial"/>
          <w:color w:val="222222"/>
          <w:kern w:val="0"/>
          <w:shd w:val="clear" w:color="auto" w:fill="FFFFFF"/>
          <w14:ligatures w14:val="none"/>
        </w:rPr>
        <w:t>. Bloomsbury Publishing.</w:t>
      </w:r>
    </w:p>
    <w:p w14:paraId="36995E9A" w14:textId="77777777" w:rsidR="001C3FA3" w:rsidRPr="001C3FA3" w:rsidRDefault="001C3FA3" w:rsidP="001C3FA3">
      <w:pPr>
        <w:pStyle w:val="ListParagraph"/>
        <w:numPr>
          <w:ilvl w:val="0"/>
          <w:numId w:val="1"/>
        </w:numPr>
        <w:spacing w:line="276" w:lineRule="auto"/>
      </w:pPr>
      <w:r w:rsidRPr="001C3FA3">
        <w:t xml:space="preserve">CIPD (2013) </w:t>
      </w:r>
      <w:r w:rsidRPr="001C3FA3">
        <w:rPr>
          <w:i/>
        </w:rPr>
        <w:t xml:space="preserve">Social media and employee voice. </w:t>
      </w:r>
      <w:r w:rsidRPr="001C3FA3">
        <w:t xml:space="preserve">Available at: </w:t>
      </w:r>
      <w:hyperlink r:id="rId7" w:history="1">
        <w:r w:rsidRPr="001C3FA3">
          <w:rPr>
            <w:rStyle w:val="Hyperlink"/>
          </w:rPr>
          <w:t>https://www.cipd.org/en/knowledge/reports/employee-voice-report/</w:t>
        </w:r>
      </w:hyperlink>
      <w:r w:rsidRPr="001C3FA3">
        <w:t xml:space="preserve"> (Accessed 24</w:t>
      </w:r>
      <w:r w:rsidRPr="001C3FA3">
        <w:rPr>
          <w:vertAlign w:val="superscript"/>
        </w:rPr>
        <w:t>th</w:t>
      </w:r>
      <w:r w:rsidRPr="001C3FA3">
        <w:t xml:space="preserve"> June 2024)</w:t>
      </w:r>
    </w:p>
    <w:p w14:paraId="34CF021A" w14:textId="77777777" w:rsidR="001C3FA3" w:rsidRPr="001C3FA3" w:rsidRDefault="001C3FA3" w:rsidP="001C3FA3">
      <w:pPr>
        <w:pStyle w:val="ListParagraph"/>
        <w:numPr>
          <w:ilvl w:val="0"/>
          <w:numId w:val="1"/>
        </w:numPr>
        <w:spacing w:line="276" w:lineRule="auto"/>
      </w:pPr>
      <w:r w:rsidRPr="001C3FA3">
        <w:t xml:space="preserve">CIPD (2019) </w:t>
      </w:r>
      <w:r w:rsidRPr="001C3FA3">
        <w:rPr>
          <w:i/>
        </w:rPr>
        <w:t>Talking about voice: Employees’ experiences</w:t>
      </w:r>
      <w:r w:rsidRPr="001C3FA3">
        <w:t xml:space="preserve">. Available at: </w:t>
      </w:r>
      <w:hyperlink r:id="rId8" w:history="1">
        <w:r w:rsidRPr="001C3FA3">
          <w:rPr>
            <w:rStyle w:val="Hyperlink"/>
          </w:rPr>
          <w:t>https://www.cipd.org/uk/knowledge/reports/employee-experiences/</w:t>
        </w:r>
      </w:hyperlink>
      <w:r w:rsidRPr="001C3FA3">
        <w:t xml:space="preserve">  (Accessed: June 20</w:t>
      </w:r>
      <w:r w:rsidRPr="001C3FA3">
        <w:rPr>
          <w:vertAlign w:val="superscript"/>
        </w:rPr>
        <w:t>th</w:t>
      </w:r>
      <w:r w:rsidRPr="001C3FA3">
        <w:t xml:space="preserve"> 2024).</w:t>
      </w:r>
    </w:p>
    <w:p w14:paraId="04907637" w14:textId="77777777" w:rsidR="001C3FA3" w:rsidRPr="001C3FA3" w:rsidRDefault="001C3FA3" w:rsidP="001C3FA3">
      <w:pPr>
        <w:pStyle w:val="ListParagraph"/>
        <w:numPr>
          <w:ilvl w:val="0"/>
          <w:numId w:val="1"/>
        </w:numPr>
        <w:spacing w:line="276" w:lineRule="auto"/>
      </w:pPr>
      <w:r w:rsidRPr="001C3FA3">
        <w:t xml:space="preserve">CIPD (2022) </w:t>
      </w:r>
      <w:r w:rsidRPr="001C3FA3">
        <w:rPr>
          <w:i/>
        </w:rPr>
        <w:t xml:space="preserve">Maximising employee voice in a hybrid working world. </w:t>
      </w:r>
      <w:r w:rsidRPr="001C3FA3">
        <w:t xml:space="preserve">Available at: </w:t>
      </w:r>
      <w:hyperlink r:id="rId9" w:history="1">
        <w:r w:rsidRPr="001C3FA3">
          <w:rPr>
            <w:rStyle w:val="Hyperlink"/>
          </w:rPr>
          <w:t>https://www.cipd.org/uk/views-and-insights/thought-leadership/people-profession/employee-voice/</w:t>
        </w:r>
      </w:hyperlink>
      <w:r w:rsidRPr="001C3FA3">
        <w:t xml:space="preserve"> (Accessed: 22</w:t>
      </w:r>
      <w:r w:rsidRPr="001C3FA3">
        <w:rPr>
          <w:vertAlign w:val="superscript"/>
        </w:rPr>
        <w:t>nd</w:t>
      </w:r>
      <w:r w:rsidRPr="001C3FA3">
        <w:t xml:space="preserve"> June 2024).</w:t>
      </w:r>
    </w:p>
    <w:p w14:paraId="3513DC7F" w14:textId="77777777" w:rsidR="001C3FA3" w:rsidRPr="001C3FA3" w:rsidRDefault="001C3FA3" w:rsidP="001C3FA3">
      <w:pPr>
        <w:pStyle w:val="ListParagraph"/>
        <w:numPr>
          <w:ilvl w:val="0"/>
          <w:numId w:val="1"/>
        </w:numPr>
        <w:spacing w:line="276" w:lineRule="auto"/>
      </w:pPr>
      <w:r w:rsidRPr="001C3FA3">
        <w:t xml:space="preserve">CIPD (2023) </w:t>
      </w:r>
      <w:r w:rsidRPr="001C3FA3">
        <w:rPr>
          <w:i/>
        </w:rPr>
        <w:t>Group voice channels: Guide for people professionals.</w:t>
      </w:r>
      <w:r w:rsidRPr="001C3FA3">
        <w:t xml:space="preserve"> Available at: </w:t>
      </w:r>
      <w:hyperlink r:id="rId10" w:history="1">
        <w:r w:rsidRPr="001C3FA3">
          <w:rPr>
            <w:rStyle w:val="Hyperlink"/>
          </w:rPr>
          <w:t>https://www.cipd.org/uk/knowledge/guides/employee-voice-guide/</w:t>
        </w:r>
      </w:hyperlink>
      <w:r w:rsidRPr="001C3FA3">
        <w:t xml:space="preserve"> (Accessed 24</w:t>
      </w:r>
      <w:r w:rsidRPr="001C3FA3">
        <w:rPr>
          <w:vertAlign w:val="superscript"/>
        </w:rPr>
        <w:t>th</w:t>
      </w:r>
      <w:r w:rsidRPr="001C3FA3">
        <w:t xml:space="preserve"> June 2024)</w:t>
      </w:r>
    </w:p>
    <w:p w14:paraId="55FEB6AC" w14:textId="77777777" w:rsidR="001C3FA3" w:rsidRPr="001C3FA3" w:rsidRDefault="001C3FA3" w:rsidP="001C3FA3">
      <w:pPr>
        <w:pStyle w:val="ListParagraph"/>
        <w:numPr>
          <w:ilvl w:val="0"/>
          <w:numId w:val="1"/>
        </w:numPr>
        <w:spacing w:line="276" w:lineRule="auto"/>
      </w:pPr>
      <w:r w:rsidRPr="001C3FA3">
        <w:lastRenderedPageBreak/>
        <w:t xml:space="preserve">CIPD (2024a) </w:t>
      </w:r>
      <w:r w:rsidRPr="001C3FA3">
        <w:rPr>
          <w:i/>
        </w:rPr>
        <w:t>Employee Voice</w:t>
      </w:r>
      <w:r w:rsidRPr="001C3FA3">
        <w:t xml:space="preserve">. Available at: </w:t>
      </w:r>
      <w:hyperlink r:id="rId11" w:anchor="Whatis" w:history="1">
        <w:r w:rsidRPr="001C3FA3">
          <w:rPr>
            <w:rStyle w:val="Hyperlink"/>
          </w:rPr>
          <w:t>https://www.cipd.org/uk/knowledge/factsheets/voice-factsheet/#Whatis</w:t>
        </w:r>
      </w:hyperlink>
      <w:r w:rsidRPr="001C3FA3">
        <w:t xml:space="preserve"> (Accessed: June 20</w:t>
      </w:r>
      <w:r w:rsidRPr="001C3FA3">
        <w:rPr>
          <w:vertAlign w:val="superscript"/>
        </w:rPr>
        <w:t>th</w:t>
      </w:r>
      <w:r w:rsidRPr="001C3FA3">
        <w:t xml:space="preserve"> 2024). </w:t>
      </w:r>
    </w:p>
    <w:p w14:paraId="27B2C9B7" w14:textId="77777777" w:rsidR="001C3FA3" w:rsidRPr="001C3FA3" w:rsidRDefault="001C3FA3" w:rsidP="001C3FA3">
      <w:pPr>
        <w:pStyle w:val="ListParagraph"/>
        <w:numPr>
          <w:ilvl w:val="0"/>
          <w:numId w:val="1"/>
        </w:numPr>
        <w:spacing w:line="276" w:lineRule="auto"/>
      </w:pPr>
      <w:r w:rsidRPr="001C3FA3">
        <w:t xml:space="preserve">CIPD (2024b) Hybrid working: Guidance for people professionals. Available at: </w:t>
      </w:r>
      <w:hyperlink r:id="rId12" w:history="1">
        <w:r w:rsidRPr="001C3FA3">
          <w:rPr>
            <w:rStyle w:val="Hyperlink"/>
          </w:rPr>
          <w:t>https://www.cipd.org/uk/knowledge/guides/planning-hybrid-working/</w:t>
        </w:r>
      </w:hyperlink>
      <w:r w:rsidRPr="001C3FA3">
        <w:t xml:space="preserve"> (Accessed: 22</w:t>
      </w:r>
      <w:r w:rsidRPr="001C3FA3">
        <w:rPr>
          <w:vertAlign w:val="superscript"/>
        </w:rPr>
        <w:t>nd</w:t>
      </w:r>
      <w:r w:rsidRPr="001C3FA3">
        <w:t xml:space="preserve"> June 2024)</w:t>
      </w:r>
    </w:p>
    <w:p w14:paraId="10F1342B" w14:textId="77777777" w:rsidR="001C3FA3" w:rsidRPr="001C3FA3" w:rsidRDefault="001C3FA3" w:rsidP="001C3FA3">
      <w:pPr>
        <w:pStyle w:val="ListParagraph"/>
        <w:numPr>
          <w:ilvl w:val="0"/>
          <w:numId w:val="1"/>
        </w:numPr>
        <w:spacing w:line="276" w:lineRule="auto"/>
      </w:pPr>
      <w:r w:rsidRPr="001C3FA3">
        <w:t xml:space="preserve">CIPD (2024c) </w:t>
      </w:r>
      <w:r w:rsidRPr="001C3FA3">
        <w:rPr>
          <w:i/>
        </w:rPr>
        <w:t>Whistleblowing: UK employment law.</w:t>
      </w:r>
      <w:r w:rsidRPr="001C3FA3">
        <w:t xml:space="preserve"> Available at: </w:t>
      </w:r>
      <w:hyperlink r:id="rId13" w:history="1">
        <w:r w:rsidRPr="001C3FA3">
          <w:rPr>
            <w:rStyle w:val="Hyperlink"/>
          </w:rPr>
          <w:t>https://www.cipd.org/uk/knowledge/employment-law/whistleblowing/</w:t>
        </w:r>
      </w:hyperlink>
      <w:r w:rsidRPr="001C3FA3">
        <w:t xml:space="preserve"> (Accessed: 22</w:t>
      </w:r>
      <w:r w:rsidRPr="001C3FA3">
        <w:rPr>
          <w:vertAlign w:val="superscript"/>
        </w:rPr>
        <w:t>nd</w:t>
      </w:r>
      <w:r w:rsidRPr="001C3FA3">
        <w:t xml:space="preserve"> June 2024). </w:t>
      </w:r>
    </w:p>
    <w:p w14:paraId="106B226D"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Times New Roman"/>
          <w:kern w:val="0"/>
          <w14:ligatures w14:val="none"/>
        </w:rPr>
        <w:t xml:space="preserve">CIPD (2024d) </w:t>
      </w:r>
      <w:r w:rsidRPr="001C3FA3">
        <w:rPr>
          <w:rFonts w:eastAsia="Times New Roman" w:cs="Times New Roman"/>
          <w:i/>
          <w:kern w:val="0"/>
          <w14:ligatures w14:val="none"/>
        </w:rPr>
        <w:t xml:space="preserve">CIPD Good Work Index. </w:t>
      </w:r>
      <w:r w:rsidRPr="001C3FA3">
        <w:rPr>
          <w:rFonts w:eastAsia="Times New Roman" w:cs="Times New Roman"/>
          <w:kern w:val="0"/>
          <w14:ligatures w14:val="none"/>
        </w:rPr>
        <w:t xml:space="preserve">Available at: </w:t>
      </w:r>
      <w:hyperlink r:id="rId14" w:history="1">
        <w:r w:rsidRPr="001C3FA3">
          <w:rPr>
            <w:rStyle w:val="Hyperlink"/>
            <w:rFonts w:eastAsia="Times New Roman" w:cs="Times New Roman"/>
            <w:kern w:val="0"/>
            <w14:ligatures w14:val="none"/>
          </w:rPr>
          <w:t>https://www.cipd.org/uk/knowledge/reports/goodwork/</w:t>
        </w:r>
      </w:hyperlink>
      <w:r w:rsidRPr="001C3FA3">
        <w:rPr>
          <w:rFonts w:eastAsia="Times New Roman" w:cs="Times New Roman"/>
          <w:kern w:val="0"/>
          <w14:ligatures w14:val="none"/>
        </w:rPr>
        <w:t xml:space="preserve"> (Accessed 24</w:t>
      </w:r>
      <w:r w:rsidRPr="001C3FA3">
        <w:rPr>
          <w:rFonts w:eastAsia="Times New Roman" w:cs="Times New Roman"/>
          <w:kern w:val="0"/>
          <w:vertAlign w:val="superscript"/>
          <w14:ligatures w14:val="none"/>
        </w:rPr>
        <w:t>th</w:t>
      </w:r>
      <w:r w:rsidRPr="001C3FA3">
        <w:rPr>
          <w:rFonts w:eastAsia="Times New Roman" w:cs="Times New Roman"/>
          <w:kern w:val="0"/>
          <w14:ligatures w14:val="none"/>
        </w:rPr>
        <w:t xml:space="preserve"> June 2024).</w:t>
      </w:r>
    </w:p>
    <w:p w14:paraId="79146A0A"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Detert, J.R. and Treviño, L.K. (2010) Speaking up to higher-ups: How supervisors and skip-level leaders influence employee voice. </w:t>
      </w:r>
      <w:r w:rsidRPr="001C3FA3">
        <w:rPr>
          <w:rFonts w:eastAsia="Times New Roman" w:cs="Arial"/>
          <w:i/>
          <w:iCs/>
          <w:color w:val="222222"/>
          <w:kern w:val="0"/>
          <w14:ligatures w14:val="none"/>
        </w:rPr>
        <w:t>Organization Science</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21</w:t>
      </w:r>
      <w:r w:rsidRPr="001C3FA3">
        <w:rPr>
          <w:rFonts w:eastAsia="Times New Roman" w:cs="Arial"/>
          <w:color w:val="222222"/>
          <w:kern w:val="0"/>
          <w:shd w:val="clear" w:color="auto" w:fill="FFFFFF"/>
          <w14:ligatures w14:val="none"/>
        </w:rPr>
        <w:t>(1), pp.249-270.</w:t>
      </w:r>
    </w:p>
    <w:p w14:paraId="1F34F58D"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Detert, J.R., Burris, E.R., Harrison, D.A. and Martin, S.R. (2013) Voice flows to and around leaders: Understanding when units are helped or hurt by employee voice. </w:t>
      </w:r>
      <w:r w:rsidRPr="001C3FA3">
        <w:rPr>
          <w:rFonts w:eastAsia="Times New Roman" w:cs="Arial"/>
          <w:i/>
          <w:iCs/>
          <w:color w:val="222222"/>
          <w:kern w:val="0"/>
          <w14:ligatures w14:val="none"/>
        </w:rPr>
        <w:t>Administrative Science Quarterly</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58</w:t>
      </w:r>
      <w:r w:rsidRPr="001C3FA3">
        <w:rPr>
          <w:rFonts w:eastAsia="Times New Roman" w:cs="Arial"/>
          <w:color w:val="222222"/>
          <w:kern w:val="0"/>
          <w:shd w:val="clear" w:color="auto" w:fill="FFFFFF"/>
          <w14:ligatures w14:val="none"/>
        </w:rPr>
        <w:t>(4), pp.624-668.</w:t>
      </w:r>
    </w:p>
    <w:p w14:paraId="4DBCD5B3" w14:textId="77777777" w:rsidR="001C3FA3" w:rsidRPr="001C3FA3" w:rsidRDefault="001C3FA3" w:rsidP="001C3FA3">
      <w:pPr>
        <w:pStyle w:val="ListParagraph"/>
        <w:numPr>
          <w:ilvl w:val="0"/>
          <w:numId w:val="1"/>
        </w:numPr>
        <w:spacing w:line="276" w:lineRule="auto"/>
      </w:pPr>
      <w:r w:rsidRPr="001C3FA3">
        <w:t xml:space="preserve">Harter, J. and Mann, Annamarie. (2024) ‘The Right Culture: Not Just About Employee Satisfaction’, </w:t>
      </w:r>
      <w:r w:rsidRPr="001C3FA3">
        <w:rPr>
          <w:i/>
        </w:rPr>
        <w:t>Gallup</w:t>
      </w:r>
      <w:r w:rsidRPr="001C3FA3">
        <w:t xml:space="preserve">. Available at: </w:t>
      </w:r>
      <w:hyperlink r:id="rId15" w:history="1">
        <w:r w:rsidRPr="001C3FA3">
          <w:rPr>
            <w:rStyle w:val="Hyperlink"/>
          </w:rPr>
          <w:t>https://www.gallup.com/workplace/231602/right-culture-not-employee-satisfaction.aspx?trk=article-ssr-frontend-pulse_little-text-block</w:t>
        </w:r>
      </w:hyperlink>
    </w:p>
    <w:p w14:paraId="605F05B3" w14:textId="77777777" w:rsidR="001C3FA3" w:rsidRPr="001C3FA3" w:rsidRDefault="001C3FA3" w:rsidP="001C3FA3">
      <w:pPr>
        <w:pStyle w:val="ListParagraph"/>
        <w:numPr>
          <w:ilvl w:val="0"/>
          <w:numId w:val="1"/>
        </w:numPr>
        <w:spacing w:line="276" w:lineRule="auto"/>
        <w:rPr>
          <w:i/>
        </w:rPr>
      </w:pPr>
      <w:r w:rsidRPr="001C3FA3">
        <w:t xml:space="preserve">Linkedin (2023) The Power of Employee Voice: Fostering a Culture of Engagement and Retention. Available at: </w:t>
      </w:r>
      <w:hyperlink r:id="rId16" w:history="1">
        <w:r w:rsidRPr="001C3FA3">
          <w:rPr>
            <w:rStyle w:val="Hyperlink"/>
          </w:rPr>
          <w:t>https://www.linkedin.com/pulse/power-employee-voice-fostering-culture-engagement-retention-godden-tpvoe</w:t>
        </w:r>
      </w:hyperlink>
      <w:r w:rsidRPr="001C3FA3">
        <w:t xml:space="preserve"> (Accessed at: 23</w:t>
      </w:r>
      <w:r w:rsidRPr="001C3FA3">
        <w:rPr>
          <w:vertAlign w:val="superscript"/>
        </w:rPr>
        <w:t>rd</w:t>
      </w:r>
      <w:r w:rsidRPr="001C3FA3">
        <w:t xml:space="preserve"> June 2024).</w:t>
      </w:r>
    </w:p>
    <w:p w14:paraId="386A7D6B" w14:textId="77777777" w:rsidR="001C3FA3" w:rsidRPr="001C3FA3" w:rsidRDefault="001C3FA3" w:rsidP="001C3FA3">
      <w:pPr>
        <w:pStyle w:val="ListParagraph"/>
        <w:numPr>
          <w:ilvl w:val="0"/>
          <w:numId w:val="1"/>
        </w:numPr>
        <w:spacing w:line="276" w:lineRule="auto"/>
        <w:rPr>
          <w:i/>
        </w:rPr>
      </w:pPr>
      <w:r w:rsidRPr="001C3FA3">
        <w:t xml:space="preserve">Loudoun, R. and Townsend, K. (2016) Chapter 3: Anchoring qualitative methods for longitudinal studies. In </w:t>
      </w:r>
      <w:r w:rsidRPr="001C3FA3">
        <w:rPr>
          <w:i/>
        </w:rPr>
        <w:t>Handbook of Qualitative Research Methods on Human Resource Management</w:t>
      </w:r>
      <w:r w:rsidRPr="001C3FA3">
        <w:t xml:space="preserve">. United Kingdom: Edward Elgar Publishing. </w:t>
      </w:r>
    </w:p>
    <w:p w14:paraId="685A4018"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MacLeod, D. and Clarke, N., (2009) Engaging for success: enhancing performance through employee engagement: a report to government.</w:t>
      </w:r>
    </w:p>
    <w:p w14:paraId="6959CAD5" w14:textId="77777777" w:rsidR="001C3FA3" w:rsidRPr="001C3FA3" w:rsidRDefault="001C3FA3" w:rsidP="001C3FA3">
      <w:pPr>
        <w:pStyle w:val="NormalWeb"/>
        <w:numPr>
          <w:ilvl w:val="0"/>
          <w:numId w:val="1"/>
        </w:numPr>
        <w:spacing w:line="276" w:lineRule="auto"/>
        <w:rPr>
          <w:rFonts w:asciiTheme="minorHAnsi" w:hAnsiTheme="minorHAnsi" w:cstheme="minorHAnsi"/>
          <w:sz w:val="22"/>
          <w:szCs w:val="22"/>
        </w:rPr>
      </w:pPr>
      <w:r w:rsidRPr="001C3FA3">
        <w:rPr>
          <w:rFonts w:asciiTheme="minorHAnsi" w:hAnsiTheme="minorHAnsi" w:cstheme="minorHAnsi"/>
          <w:sz w:val="22"/>
          <w:szCs w:val="22"/>
        </w:rPr>
        <w:t xml:space="preserve">Milliken, F. J., Morrison, E.W., and Hewlin, P.F. (2003) An exploratory study of employee silence: Issues that employees don’t communicate upward and why? </w:t>
      </w:r>
      <w:r w:rsidRPr="001C3FA3">
        <w:rPr>
          <w:rFonts w:asciiTheme="minorHAnsi" w:hAnsiTheme="minorHAnsi" w:cstheme="minorHAnsi"/>
          <w:i/>
          <w:sz w:val="22"/>
          <w:szCs w:val="22"/>
        </w:rPr>
        <w:t>J. Management Stud</w:t>
      </w:r>
      <w:r w:rsidRPr="001C3FA3">
        <w:rPr>
          <w:rFonts w:asciiTheme="minorHAnsi" w:hAnsiTheme="minorHAnsi" w:cstheme="minorHAnsi"/>
          <w:sz w:val="22"/>
          <w:szCs w:val="22"/>
        </w:rPr>
        <w:t xml:space="preserve">. 40(6) 1453–1476. </w:t>
      </w:r>
    </w:p>
    <w:p w14:paraId="34C73FB8" w14:textId="77777777" w:rsidR="001C3FA3" w:rsidRPr="001C3FA3" w:rsidRDefault="001C3FA3" w:rsidP="001C3FA3">
      <w:pPr>
        <w:pStyle w:val="ListParagraph"/>
        <w:numPr>
          <w:ilvl w:val="0"/>
          <w:numId w:val="1"/>
        </w:numPr>
        <w:spacing w:line="276" w:lineRule="auto"/>
      </w:pPr>
      <w:r w:rsidRPr="001C3FA3">
        <w:rPr>
          <w:rFonts w:eastAsia="Times New Roman" w:cs="Times New Roman"/>
          <w:kern w:val="0"/>
          <w14:ligatures w14:val="none"/>
        </w:rPr>
        <w:t xml:space="preserve">Mind (ND) </w:t>
      </w:r>
      <w:r w:rsidRPr="001C3FA3">
        <w:rPr>
          <w:rFonts w:eastAsia="Times New Roman" w:cs="Times New Roman"/>
          <w:i/>
          <w:kern w:val="0"/>
          <w14:ligatures w14:val="none"/>
        </w:rPr>
        <w:t xml:space="preserve">How to promote wellbeing and tackle the causes of work-related stress. </w:t>
      </w:r>
      <w:r w:rsidRPr="001C3FA3">
        <w:rPr>
          <w:rFonts w:eastAsia="Times New Roman" w:cs="Times New Roman"/>
          <w:kern w:val="0"/>
          <w14:ligatures w14:val="none"/>
        </w:rPr>
        <w:t xml:space="preserve">Available at: </w:t>
      </w:r>
      <w:hyperlink r:id="rId17" w:history="1">
        <w:r w:rsidRPr="001C3FA3">
          <w:rPr>
            <w:rStyle w:val="Hyperlink"/>
          </w:rPr>
          <w:t>https://www.mind.org.uk/media-a/4662/resource3_howtopromotewellbeingfinal.pdf</w:t>
        </w:r>
      </w:hyperlink>
      <w:r w:rsidRPr="001C3FA3">
        <w:t xml:space="preserve"> (Accessed 25th June 2024). </w:t>
      </w:r>
    </w:p>
    <w:p w14:paraId="5AE456BA"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Mowbray, P.K., Wilkinson, A. and Tse, H.H. (2021) High-performance work systems and employee voice behaviour: an integrated model and research agenda. </w:t>
      </w:r>
      <w:r w:rsidRPr="001C3FA3">
        <w:rPr>
          <w:rFonts w:eastAsia="Times New Roman" w:cs="Arial"/>
          <w:i/>
          <w:iCs/>
          <w:color w:val="222222"/>
          <w:kern w:val="0"/>
          <w14:ligatures w14:val="none"/>
        </w:rPr>
        <w:t>Personnel review</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50</w:t>
      </w:r>
      <w:r w:rsidRPr="001C3FA3">
        <w:rPr>
          <w:rFonts w:eastAsia="Times New Roman" w:cs="Arial"/>
          <w:color w:val="222222"/>
          <w:kern w:val="0"/>
          <w:shd w:val="clear" w:color="auto" w:fill="FFFFFF"/>
          <w14:ligatures w14:val="none"/>
        </w:rPr>
        <w:t>(6), pp.1530-1543.</w:t>
      </w:r>
    </w:p>
    <w:p w14:paraId="04DFF218" w14:textId="77777777" w:rsidR="001C3FA3" w:rsidRPr="001C3FA3" w:rsidRDefault="001C3FA3" w:rsidP="001C3FA3">
      <w:pPr>
        <w:pStyle w:val="ListParagraph"/>
        <w:numPr>
          <w:ilvl w:val="0"/>
          <w:numId w:val="1"/>
        </w:numPr>
        <w:spacing w:line="276" w:lineRule="auto"/>
      </w:pPr>
      <w:r w:rsidRPr="001C3FA3">
        <w:t xml:space="preserve">PeopleManagement (2022) </w:t>
      </w:r>
      <w:r w:rsidRPr="001C3FA3">
        <w:rPr>
          <w:i/>
        </w:rPr>
        <w:t xml:space="preserve">Employees are three times more engaged when they feel supported by managers. </w:t>
      </w:r>
      <w:r w:rsidRPr="001C3FA3">
        <w:t xml:space="preserve">Available at: </w:t>
      </w:r>
      <w:hyperlink r:id="rId18" w:history="1">
        <w:r w:rsidRPr="001C3FA3">
          <w:rPr>
            <w:rStyle w:val="Hyperlink"/>
          </w:rPr>
          <w:t>https://www.peoplemanagement.co.uk/article/1806097/employees-three-times-engaged-when-feel-supported-managers-study-shows</w:t>
        </w:r>
      </w:hyperlink>
      <w:r w:rsidRPr="001C3FA3">
        <w:t xml:space="preserve"> (Accessed 24th June 2024).</w:t>
      </w:r>
    </w:p>
    <w:p w14:paraId="1E573200" w14:textId="77777777" w:rsidR="001C3FA3" w:rsidRPr="001C3FA3" w:rsidRDefault="001C3FA3" w:rsidP="001C3FA3">
      <w:pPr>
        <w:pStyle w:val="ListParagraph"/>
        <w:numPr>
          <w:ilvl w:val="0"/>
          <w:numId w:val="1"/>
        </w:numPr>
        <w:spacing w:line="276" w:lineRule="auto"/>
      </w:pPr>
      <w:r w:rsidRPr="001C3FA3">
        <w:rPr>
          <w:i/>
        </w:rPr>
        <w:t xml:space="preserve">Public Interest Disclosure Act 1998, c.23. </w:t>
      </w:r>
      <w:r w:rsidRPr="001C3FA3">
        <w:t>Available at: https://www.legislation.gov.uk/ukpga/1998/23/contents</w:t>
      </w:r>
    </w:p>
    <w:p w14:paraId="1225F515"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Purcell, J. (2004) Business strategies and human resource management: Uneasy bedfellows or strategic partners. </w:t>
      </w:r>
      <w:r w:rsidRPr="001C3FA3">
        <w:rPr>
          <w:rFonts w:eastAsia="Times New Roman" w:cs="Arial"/>
          <w:i/>
          <w:iCs/>
          <w:color w:val="222222"/>
          <w:kern w:val="0"/>
          <w14:ligatures w14:val="none"/>
        </w:rPr>
        <w:t>Lecture, Bath University</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138</w:t>
      </w:r>
      <w:r w:rsidRPr="001C3FA3">
        <w:rPr>
          <w:rFonts w:eastAsia="Times New Roman" w:cs="Arial"/>
          <w:color w:val="222222"/>
          <w:kern w:val="0"/>
          <w:shd w:val="clear" w:color="auto" w:fill="FFFFFF"/>
          <w14:ligatures w14:val="none"/>
        </w:rPr>
        <w:t>, pp.1-49.</w:t>
      </w:r>
    </w:p>
    <w:p w14:paraId="5537DA41"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lastRenderedPageBreak/>
        <w:t>Rees, C., Alfes, K. and Gatenby, M., (2013) Employee voice and engagement: connections and consequences. </w:t>
      </w:r>
      <w:r w:rsidRPr="001C3FA3">
        <w:rPr>
          <w:rFonts w:eastAsia="Times New Roman" w:cs="Arial"/>
          <w:i/>
          <w:iCs/>
          <w:color w:val="222222"/>
          <w:kern w:val="0"/>
          <w14:ligatures w14:val="none"/>
        </w:rPr>
        <w:t>The International Journal of Human Resource Management</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24</w:t>
      </w:r>
      <w:r w:rsidRPr="001C3FA3">
        <w:rPr>
          <w:rFonts w:eastAsia="Times New Roman" w:cs="Arial"/>
          <w:color w:val="222222"/>
          <w:kern w:val="0"/>
          <w:shd w:val="clear" w:color="auto" w:fill="FFFFFF"/>
          <w14:ligatures w14:val="none"/>
        </w:rPr>
        <w:t>(14), pp.2780-2798.</w:t>
      </w:r>
    </w:p>
    <w:p w14:paraId="5ABCCF38" w14:textId="77777777" w:rsidR="001C3FA3" w:rsidRPr="001C3FA3" w:rsidRDefault="001C3FA3" w:rsidP="001C3FA3">
      <w:pPr>
        <w:pStyle w:val="ListParagraph"/>
        <w:numPr>
          <w:ilvl w:val="0"/>
          <w:numId w:val="1"/>
        </w:numPr>
        <w:spacing w:line="276" w:lineRule="auto"/>
      </w:pPr>
      <w:r w:rsidRPr="001C3FA3">
        <w:t xml:space="preserve">Saks, A M. (2006) Antecedents and consequences of employee engagement, </w:t>
      </w:r>
      <w:r w:rsidRPr="001C3FA3">
        <w:rPr>
          <w:i/>
        </w:rPr>
        <w:t xml:space="preserve">Journal of Managerial Psychology, </w:t>
      </w:r>
      <w:r w:rsidRPr="001C3FA3">
        <w:t>21 (6), pp 600-19.</w:t>
      </w:r>
    </w:p>
    <w:p w14:paraId="18668EDB"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Tourish, D. and Robson, P. (2006) Sensemaking and the distortion of critical upward communication in organizations. </w:t>
      </w:r>
      <w:r w:rsidRPr="001C3FA3">
        <w:rPr>
          <w:rFonts w:eastAsia="Times New Roman" w:cs="Arial"/>
          <w:i/>
          <w:iCs/>
          <w:color w:val="222222"/>
          <w:kern w:val="0"/>
          <w14:ligatures w14:val="none"/>
        </w:rPr>
        <w:t>Journal of Management Studies</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43</w:t>
      </w:r>
      <w:r w:rsidRPr="001C3FA3">
        <w:rPr>
          <w:rFonts w:eastAsia="Times New Roman" w:cs="Arial"/>
          <w:color w:val="222222"/>
          <w:kern w:val="0"/>
          <w:shd w:val="clear" w:color="auto" w:fill="FFFFFF"/>
          <w14:ligatures w14:val="none"/>
        </w:rPr>
        <w:t>(4), pp.711-730.</w:t>
      </w:r>
    </w:p>
    <w:p w14:paraId="31833689" w14:textId="77777777" w:rsidR="001C3FA3" w:rsidRPr="001C3FA3" w:rsidRDefault="001C3FA3" w:rsidP="001C3FA3">
      <w:pPr>
        <w:pStyle w:val="ListParagraph"/>
        <w:numPr>
          <w:ilvl w:val="0"/>
          <w:numId w:val="1"/>
        </w:numPr>
        <w:spacing w:line="276" w:lineRule="auto"/>
      </w:pPr>
      <w:r w:rsidRPr="001C3FA3">
        <w:t xml:space="preserve">Truss, C., Soane, E., Edwards, C., Wisdom, K., Croll, A. and Burnett, J. (2006). </w:t>
      </w:r>
      <w:r w:rsidRPr="001C3FA3">
        <w:rPr>
          <w:i/>
        </w:rPr>
        <w:t>Working Life: Employee attitudes and engagement</w:t>
      </w:r>
      <w:r w:rsidRPr="001C3FA3">
        <w:t xml:space="preserve">, London, CIPD. </w:t>
      </w:r>
    </w:p>
    <w:p w14:paraId="11CFEA7B" w14:textId="77777777" w:rsidR="001C3FA3" w:rsidRPr="001C3FA3" w:rsidRDefault="001C3FA3" w:rsidP="001C3FA3">
      <w:pPr>
        <w:pStyle w:val="ListParagraph"/>
        <w:numPr>
          <w:ilvl w:val="0"/>
          <w:numId w:val="1"/>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Worley, C.G., and Lawler, E.E. (2006) Designing Organizations as if Change Matters.</w:t>
      </w:r>
    </w:p>
    <w:p w14:paraId="706339D0"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29ADC531"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0A72C08C"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6F5162DE"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204ADEB4"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734E6333"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21408421"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4319AF58"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4B689624"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0654AE63"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79B2AE21"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56CF2199"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6348BCED"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7884C1D6"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180D249B"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4B421D82"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4272DDD7"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4BB5643C"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08D3378E"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2A06E953"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6631EB78"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24233E07"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770F4770" w14:textId="77777777" w:rsidR="000D6171" w:rsidRDefault="000D6171" w:rsidP="000D6171">
      <w:pPr>
        <w:spacing w:after="0" w:line="240" w:lineRule="auto"/>
        <w:ind w:left="360"/>
        <w:rPr>
          <w:rFonts w:ascii="Times New Roman" w:eastAsia="Times New Roman" w:hAnsi="Times New Roman" w:cs="Times New Roman"/>
          <w:kern w:val="0"/>
          <w:sz w:val="24"/>
          <w:szCs w:val="24"/>
          <w14:ligatures w14:val="none"/>
        </w:rPr>
      </w:pPr>
    </w:p>
    <w:p w14:paraId="20349D09"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1D7913CD"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48F9556C"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204EE1AF"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0D34BB10"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3AF9090A"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7EDC8F42"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6E70D3E1"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797D5725"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588522BF"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0692E06B"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4BB812FB"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6FBD042B"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4155CF6C"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140327FF" w14:textId="77777777" w:rsidR="001C3FA3" w:rsidRDefault="001C3FA3" w:rsidP="000D6171">
      <w:pPr>
        <w:spacing w:after="0" w:line="240" w:lineRule="auto"/>
        <w:ind w:left="360"/>
        <w:rPr>
          <w:rFonts w:ascii="Times New Roman" w:eastAsia="Times New Roman" w:hAnsi="Times New Roman" w:cs="Times New Roman"/>
          <w:kern w:val="0"/>
          <w:sz w:val="24"/>
          <w:szCs w:val="24"/>
          <w14:ligatures w14:val="none"/>
        </w:rPr>
      </w:pPr>
    </w:p>
    <w:p w14:paraId="5822193B" w14:textId="77777777" w:rsidR="000802D6" w:rsidRDefault="000802D6" w:rsidP="000D6171">
      <w:pPr>
        <w:spacing w:after="0" w:line="240" w:lineRule="auto"/>
        <w:rPr>
          <w:rFonts w:ascii="Times New Roman" w:eastAsia="Times New Roman" w:hAnsi="Times New Roman" w:cs="Times New Roman"/>
          <w:kern w:val="0"/>
          <w:sz w:val="24"/>
          <w:szCs w:val="24"/>
          <w14:ligatures w14:val="none"/>
        </w:rPr>
      </w:pPr>
    </w:p>
    <w:p w14:paraId="2F2EE418" w14:textId="77777777" w:rsidR="000D6171" w:rsidRDefault="000D6171" w:rsidP="000D6171">
      <w:pPr>
        <w:spacing w:after="0" w:line="240" w:lineRule="auto"/>
        <w:rPr>
          <w:rFonts w:eastAsia="Times New Roman" w:cstheme="minorHAnsi"/>
          <w:b/>
          <w:kern w:val="0"/>
          <w:szCs w:val="24"/>
          <w:u w:val="single"/>
          <w14:ligatures w14:val="none"/>
        </w:rPr>
      </w:pPr>
      <w:r w:rsidRPr="000D6171">
        <w:rPr>
          <w:rFonts w:eastAsia="Times New Roman" w:cstheme="minorHAnsi"/>
          <w:b/>
          <w:kern w:val="0"/>
          <w:szCs w:val="24"/>
          <w:u w:val="single"/>
          <w14:ligatures w14:val="none"/>
        </w:rPr>
        <w:lastRenderedPageBreak/>
        <w:t>Section Two</w:t>
      </w:r>
    </w:p>
    <w:p w14:paraId="34F149A1" w14:textId="77777777" w:rsidR="001C3FA3" w:rsidRDefault="001C3FA3" w:rsidP="000D6171">
      <w:pPr>
        <w:spacing w:after="0" w:line="240" w:lineRule="auto"/>
        <w:rPr>
          <w:rFonts w:eastAsia="Times New Roman" w:cstheme="minorHAnsi"/>
          <w:b/>
          <w:kern w:val="0"/>
          <w:szCs w:val="24"/>
          <w:u w:val="single"/>
          <w14:ligatures w14:val="none"/>
        </w:rPr>
      </w:pPr>
    </w:p>
    <w:p w14:paraId="27A28852" w14:textId="77777777" w:rsidR="001C3FA3" w:rsidRPr="000D6171" w:rsidRDefault="001C3FA3" w:rsidP="000D6171">
      <w:pPr>
        <w:spacing w:after="0" w:line="240" w:lineRule="auto"/>
        <w:rPr>
          <w:rFonts w:eastAsia="Times New Roman" w:cstheme="minorHAnsi"/>
          <w:b/>
          <w:kern w:val="0"/>
          <w:szCs w:val="24"/>
          <w:u w:val="single"/>
          <w14:ligatures w14:val="none"/>
        </w:rPr>
      </w:pPr>
      <w:r>
        <w:rPr>
          <w:rFonts w:eastAsia="Times New Roman" w:cstheme="minorHAnsi"/>
          <w:b/>
          <w:kern w:val="0"/>
          <w:szCs w:val="24"/>
          <w:u w:val="single"/>
          <w14:ligatures w14:val="none"/>
        </w:rPr>
        <w:t>Word Count: 2629</w:t>
      </w:r>
    </w:p>
    <w:p w14:paraId="21547BAC" w14:textId="77777777" w:rsidR="000D6171" w:rsidRDefault="000D6171" w:rsidP="000D6171">
      <w:pPr>
        <w:spacing w:after="0" w:line="240" w:lineRule="auto"/>
        <w:ind w:left="360"/>
        <w:rPr>
          <w:rFonts w:eastAsia="Times New Roman" w:cstheme="minorHAnsi"/>
          <w:b/>
          <w:kern w:val="0"/>
          <w:szCs w:val="24"/>
          <w:u w:val="single"/>
          <w14:ligatures w14:val="none"/>
        </w:rPr>
      </w:pPr>
    </w:p>
    <w:p w14:paraId="41192CB5" w14:textId="77777777" w:rsidR="000D6171" w:rsidRDefault="000D6171" w:rsidP="000D6171">
      <w:pPr>
        <w:spacing w:after="0" w:line="240" w:lineRule="auto"/>
        <w:ind w:left="360"/>
        <w:rPr>
          <w:rFonts w:eastAsia="Times New Roman" w:cstheme="minorHAnsi"/>
          <w:b/>
          <w:kern w:val="0"/>
          <w:szCs w:val="24"/>
          <w:u w:val="single"/>
          <w14:ligatures w14:val="none"/>
        </w:rPr>
      </w:pPr>
    </w:p>
    <w:p w14:paraId="7DD4F092" w14:textId="77777777" w:rsidR="001C3FA3" w:rsidRPr="000D6171" w:rsidRDefault="001C3FA3" w:rsidP="000D6171">
      <w:pPr>
        <w:spacing w:after="0" w:line="240" w:lineRule="auto"/>
        <w:ind w:left="360"/>
        <w:rPr>
          <w:rFonts w:eastAsia="Times New Roman" w:cstheme="minorHAnsi"/>
          <w:b/>
          <w:kern w:val="0"/>
          <w:szCs w:val="24"/>
          <w:u w:val="single"/>
          <w14:ligatures w14:val="none"/>
        </w:rPr>
      </w:pPr>
    </w:p>
    <w:p w14:paraId="6D1E028E" w14:textId="77777777" w:rsidR="000D6171" w:rsidRPr="000D6171" w:rsidRDefault="000D6171" w:rsidP="000D6171">
      <w:pPr>
        <w:spacing w:after="0" w:line="240" w:lineRule="auto"/>
        <w:rPr>
          <w:rFonts w:eastAsia="Times New Roman" w:cstheme="minorHAnsi"/>
          <w:b/>
          <w:kern w:val="0"/>
          <w:szCs w:val="24"/>
          <w:u w:val="single"/>
          <w14:ligatures w14:val="none"/>
        </w:rPr>
      </w:pPr>
      <w:r w:rsidRPr="000D6171">
        <w:rPr>
          <w:rFonts w:eastAsia="Times New Roman" w:cstheme="minorHAnsi"/>
          <w:b/>
          <w:kern w:val="0"/>
          <w:szCs w:val="24"/>
          <w:u w:val="single"/>
          <w14:ligatures w14:val="none"/>
        </w:rPr>
        <w:t>Organisational Conflict and Misbehaviour (AC 2.1)</w:t>
      </w:r>
    </w:p>
    <w:p w14:paraId="3354E29F" w14:textId="77777777" w:rsidR="000D6171" w:rsidRDefault="000D6171" w:rsidP="000D6171">
      <w:pPr>
        <w:spacing w:after="0" w:line="240" w:lineRule="auto"/>
        <w:rPr>
          <w:rFonts w:ascii="Times New Roman" w:eastAsia="Times New Roman" w:hAnsi="Times New Roman" w:cs="Times New Roman"/>
          <w:kern w:val="0"/>
          <w:sz w:val="24"/>
          <w:szCs w:val="24"/>
          <w14:ligatures w14:val="none"/>
        </w:rPr>
      </w:pPr>
    </w:p>
    <w:p w14:paraId="5A86A9EE" w14:textId="77777777" w:rsidR="000D6171" w:rsidRDefault="000D6171" w:rsidP="000D6171">
      <w:r>
        <w:t>Organisational conflict occurs due to adjustments and compromises between employees and employers (Armstrong &amp; Taylor, 2020, p.720), it could be positive or negative due to the workplace being a diverse place with differing opinions (CIPD, 2020</w:t>
      </w:r>
      <w:r w:rsidR="005977BA">
        <w:t>a</w:t>
      </w:r>
      <w:r>
        <w:t>). On the other hand, if an employee decides to take individual action that opposes the values of the organisation then this would be employee misbehaviour (David et al, 2009), examples of this include theft and fraud. If either of these types of disputes are not resolved, it could lead to official or unofficial industrial action.</w:t>
      </w:r>
    </w:p>
    <w:p w14:paraId="7B31E3D4" w14:textId="77777777" w:rsidR="000D6171" w:rsidRDefault="000D6171" w:rsidP="000D6171">
      <w:r>
        <w:t>Informal conflicts occur between teams due to disagreements and clashes of personality. These should be dealt with internally and at a fast response so that disputes can be resolved and reduces escalation (CIPD, 2022). Go Quest should ensure that their managers have the skills to deal with workplace disputes so that they can repair relationships through mediation instead of needing formal intervention. Formal conflict occurs when all efforts have been taken to solve a dispute or when behaviours occur which go against policy and procedure (CIPD, 2023a), these behaviours could also be potentially unlawful and could affect the organisation’s reputation such as going against the Equality Act (2010). This usually involves the HR team as a more investigative process is needed due to policies and procedures of misbehaviours.</w:t>
      </w:r>
    </w:p>
    <w:p w14:paraId="43FE2A16" w14:textId="77777777" w:rsidR="000D6171" w:rsidRDefault="000D6171" w:rsidP="000D6171"/>
    <w:p w14:paraId="08A16164" w14:textId="77777777" w:rsidR="000D6171" w:rsidRPr="000D6171" w:rsidRDefault="000D6171" w:rsidP="000D6171">
      <w:pPr>
        <w:rPr>
          <w:b/>
          <w:u w:val="single"/>
        </w:rPr>
      </w:pPr>
      <w:r w:rsidRPr="000D6171">
        <w:rPr>
          <w:b/>
          <w:u w:val="single"/>
        </w:rPr>
        <w:t>Unofficial and Official Action (AC 2.2)</w:t>
      </w:r>
    </w:p>
    <w:p w14:paraId="3221F32D" w14:textId="77777777" w:rsidR="000D6171" w:rsidRDefault="000D6171" w:rsidP="000D6171">
      <w:r>
        <w:t xml:space="preserve">Although the use of trade unions is in decline, if workplace conflict continues and negotiations have been unsuccessful, it could lead employees to take industrial action through the union (ACAS, 2024a). There are two types of industrial action which are official and unofficial action. </w:t>
      </w:r>
    </w:p>
    <w:p w14:paraId="5B7AC184" w14:textId="77777777" w:rsidR="000D6171" w:rsidRDefault="000D6171" w:rsidP="000D6171">
      <w:r>
        <w:t>When employees take unofficial action, this has not been authorised by a trade union and is therefore unlawful (ACAS, 2024a). This applies if the trade union has not abided by the rules and the law for the industrial action. Those partaking in unofficial action have less legal protection and have no claim to unfair dismissal claims from their employer if they are dismissed whilst striking – unless they were dismissed against protected circumstances (CIPD, 2024). Employers also have the right to withhold pay from those partaking in an unofficial action (People management, 2022).</w:t>
      </w:r>
    </w:p>
    <w:p w14:paraId="0F5EB953" w14:textId="77777777" w:rsidR="000D6171" w:rsidRDefault="000D6171" w:rsidP="000D6171">
      <w:r>
        <w:t>If employees take official action it has to be in line with the organisations’ expectations and has to be approved by a trade union that abides by the law, the action will therefore be protected by the Trade Union Act (2016). As employees are protected, they cannot be unfairly dismissed by their employer for taking strike action for at least 12 weeks</w:t>
      </w:r>
      <w:r w:rsidRPr="001128D9">
        <w:t xml:space="preserve"> </w:t>
      </w:r>
      <w:r>
        <w:t>(ACAS, 2024a). To be official, a ballot has to occur to allow employees to decide upon the industrial action that they will be undertaking and a majority vote has to be achieved before commencing.</w:t>
      </w:r>
    </w:p>
    <w:p w14:paraId="3FF86CDC" w14:textId="77777777" w:rsidR="000D6171" w:rsidRDefault="000D6171" w:rsidP="000D6171"/>
    <w:p w14:paraId="3875073E" w14:textId="77777777" w:rsidR="001C3FA3" w:rsidRDefault="001C3FA3" w:rsidP="000D6171"/>
    <w:p w14:paraId="7CA3AEC2" w14:textId="77777777" w:rsidR="001C3FA3" w:rsidRDefault="001C3FA3" w:rsidP="000D6171"/>
    <w:p w14:paraId="2E74557E" w14:textId="77777777" w:rsidR="000D6171" w:rsidRPr="000D6171" w:rsidRDefault="000D6171" w:rsidP="000D6171">
      <w:pPr>
        <w:rPr>
          <w:b/>
          <w:u w:val="single"/>
        </w:rPr>
      </w:pPr>
      <w:r w:rsidRPr="000D6171">
        <w:rPr>
          <w:b/>
          <w:u w:val="single"/>
        </w:rPr>
        <w:lastRenderedPageBreak/>
        <w:t>Conflict and Industrial Sanction Trends (AC 2.3)</w:t>
      </w:r>
    </w:p>
    <w:p w14:paraId="400096EB" w14:textId="77777777" w:rsidR="000D6171" w:rsidRDefault="000D6171" w:rsidP="000D6171">
      <w:r>
        <w:t xml:space="preserve">Workplace disputes and industrial sanctions are everchanging with new legislations and are shaped by strategies. It is important for Go Quest to research current trends to stay informed and adapt their strategy to avoid disputes. </w:t>
      </w:r>
    </w:p>
    <w:p w14:paraId="71AA8E88" w14:textId="77777777" w:rsidR="000D6171" w:rsidRDefault="0027691B" w:rsidP="000D6171">
      <w:r>
        <w:t>The</w:t>
      </w:r>
      <w:r w:rsidR="000D6171">
        <w:t xml:space="preserve"> UK experienced an increase in strike action </w:t>
      </w:r>
      <w:r>
        <w:t xml:space="preserve">in 2022 </w:t>
      </w:r>
      <w:r w:rsidR="000D6171">
        <w:t>compared to previous years in the education, transport and health sectors (ONS, 2023). The strikes were related to inflation and the rising cost of living.</w:t>
      </w:r>
      <w:r>
        <w:t xml:space="preserve"> T</w:t>
      </w:r>
      <w:r w:rsidR="000D6171">
        <w:t xml:space="preserve">he Strike Act (2023) legislation was introduced to reduce the disruption of strike action on the general public so that </w:t>
      </w:r>
      <w:r>
        <w:t>employees</w:t>
      </w:r>
      <w:r w:rsidR="000D6171">
        <w:t xml:space="preserve"> can still exercise their right to strike. If trade unions fail to comply with these rules</w:t>
      </w:r>
      <w:r>
        <w:t>,</w:t>
      </w:r>
      <w:r w:rsidR="000D6171">
        <w:t xml:space="preserve"> the strike will be marked as unlawful. </w:t>
      </w:r>
    </w:p>
    <w:p w14:paraId="372AFD74" w14:textId="77777777" w:rsidR="000D6171" w:rsidRDefault="000D6171" w:rsidP="000D6171">
      <w:r>
        <w:t>However, ACAS (2024</w:t>
      </w:r>
      <w:r w:rsidR="001C3FA3">
        <w:t>b</w:t>
      </w:r>
      <w:r>
        <w:t xml:space="preserve">) highlighted an increase of individual complex cases going to an employment tribunal over collective disputes. The relationship between trade unions and employers has </w:t>
      </w:r>
      <w:r w:rsidR="0027691B">
        <w:t>changed</w:t>
      </w:r>
      <w:r>
        <w:t xml:space="preserve"> and employers are partnering with unions to seek resolutions (CIPD, 2023b). Current reported cases are related to whistleblowing and discrimination claims and managers seeking advice regarding grievances, dismissals and disciplining (ACAS, 2024b). These conflict</w:t>
      </w:r>
      <w:r w:rsidR="0027691B">
        <w:t>s</w:t>
      </w:r>
      <w:r>
        <w:t xml:space="preserve"> rely on policy and process to address their issues and effective reporting channels for </w:t>
      </w:r>
      <w:r w:rsidR="0027691B">
        <w:t>employees</w:t>
      </w:r>
      <w:r>
        <w:t xml:space="preserve"> to address their issues. </w:t>
      </w:r>
      <w:r w:rsidR="0027691B">
        <w:t>M</w:t>
      </w:r>
      <w:r>
        <w:t>anagement training is crucial to provide early intervention to mediate and resolve the conflict instead of it escalating to a more formal process (ACAS, 2024b).</w:t>
      </w:r>
    </w:p>
    <w:p w14:paraId="074A2356" w14:textId="77777777" w:rsidR="000D6171" w:rsidRDefault="000D6171" w:rsidP="000D6171"/>
    <w:p w14:paraId="423A45B3" w14:textId="77777777" w:rsidR="000D6171" w:rsidRPr="000D6171" w:rsidRDefault="000D6171" w:rsidP="000D6171">
      <w:pPr>
        <w:rPr>
          <w:b/>
          <w:u w:val="single"/>
        </w:rPr>
      </w:pPr>
      <w:r w:rsidRPr="000D6171">
        <w:rPr>
          <w:b/>
          <w:u w:val="single"/>
        </w:rPr>
        <w:t>Conciliation, Mediation and Arbitration (AC 2.4)</w:t>
      </w:r>
    </w:p>
    <w:p w14:paraId="5090CB5A" w14:textId="77777777" w:rsidR="000D6171" w:rsidRDefault="000D6171" w:rsidP="000D6171">
      <w:r>
        <w:t>Mediation is used to resolve workplace disputes privately and informally at any point of the dispute (CIPD, 2023</w:t>
      </w:r>
      <w:r w:rsidR="001C3FA3">
        <w:t>a</w:t>
      </w:r>
      <w:r>
        <w:t>). This method seeks to mend relationships by facilitating and encouraging healthy communication by exploring both sides of the dispute to find a reso</w:t>
      </w:r>
      <w:r w:rsidR="005977BA">
        <w:t>lution</w:t>
      </w:r>
      <w:r>
        <w:t>. The mediator stays impartial throughout this process and only oversees it so that both parties can reach a fair resolution, the resolution is usually an agreement which is not legally binding (CIPD, 2023</w:t>
      </w:r>
      <w:r w:rsidR="001C3FA3">
        <w:t>a</w:t>
      </w:r>
      <w:r>
        <w:t>)</w:t>
      </w:r>
      <w:r w:rsidR="005977BA">
        <w:t>.</w:t>
      </w:r>
      <w:r>
        <w:t xml:space="preserve"> </w:t>
      </w:r>
    </w:p>
    <w:p w14:paraId="5DD6280A" w14:textId="77777777" w:rsidR="000D6171" w:rsidRDefault="000D6171" w:rsidP="000D6171">
      <w:r>
        <w:t xml:space="preserve">Conciliation is similar to mediation, </w:t>
      </w:r>
      <w:r w:rsidR="0027691B">
        <w:t xml:space="preserve">but </w:t>
      </w:r>
      <w:r>
        <w:t>the conciliator acts as a go-between</w:t>
      </w:r>
      <w:r w:rsidR="005977BA">
        <w:t xml:space="preserve"> and encourages both parties to reach a solution by explaining the legal</w:t>
      </w:r>
      <w:r w:rsidR="0027691B">
        <w:t xml:space="preserve">ities </w:t>
      </w:r>
      <w:r>
        <w:t xml:space="preserve">(Armstrong </w:t>
      </w:r>
      <w:r w:rsidR="005977BA">
        <w:t xml:space="preserve">&amp; Taylor, 2020, </w:t>
      </w:r>
      <w:r>
        <w:t>p</w:t>
      </w:r>
      <w:r w:rsidR="005977BA">
        <w:t>.</w:t>
      </w:r>
      <w:r>
        <w:t>550). This can be used before or after a claim is made to an employment tribunal and both parties need to agree to take part (GOV,</w:t>
      </w:r>
      <w:r w:rsidR="005977BA">
        <w:t xml:space="preserve"> </w:t>
      </w:r>
      <w:r>
        <w:t>ND</w:t>
      </w:r>
      <w:r w:rsidR="001C3FA3">
        <w:t>a</w:t>
      </w:r>
      <w:r>
        <w:t xml:space="preserve">). </w:t>
      </w:r>
      <w:r w:rsidR="005977BA">
        <w:t>C</w:t>
      </w:r>
      <w:r>
        <w:t>onciliat</w:t>
      </w:r>
      <w:r w:rsidR="005977BA">
        <w:t>ion has more involvement</w:t>
      </w:r>
      <w:r>
        <w:t xml:space="preserve"> as </w:t>
      </w:r>
      <w:r w:rsidR="005977BA">
        <w:t>they advise</w:t>
      </w:r>
      <w:r>
        <w:t xml:space="preserve"> and can intervene </w:t>
      </w:r>
      <w:r w:rsidR="0027691B">
        <w:t>to</w:t>
      </w:r>
      <w:r>
        <w:t xml:space="preserve"> recommend solutions or settlements, those participating can accept their advice but ultimately, the decision lies with both parties (ACAS, 2022</w:t>
      </w:r>
      <w:r w:rsidR="005977BA">
        <w:t>a</w:t>
      </w:r>
      <w:r>
        <w:t xml:space="preserve">). </w:t>
      </w:r>
    </w:p>
    <w:p w14:paraId="7BCAFA7F" w14:textId="77777777" w:rsidR="000D6171" w:rsidRDefault="000D6171" w:rsidP="000D6171">
      <w:r>
        <w:t xml:space="preserve">Lastly, Arbitration is a structured process where a third party ‘arbitrator’ considers both sides of the dispute and actively </w:t>
      </w:r>
      <w:r w:rsidR="005977BA">
        <w:t>decide</w:t>
      </w:r>
      <w:r>
        <w:t xml:space="preserve"> to resolve the matter (ACAS, 2022</w:t>
      </w:r>
      <w:r w:rsidR="005977BA">
        <w:t>b</w:t>
      </w:r>
      <w:r>
        <w:t>). The arbitrator is impartial and bases their decision on the information presented to them at the hearing that is presented by each party. The outcome of arbitration is legally binding, such as the employment tribunal decision, and both parties must agree to accept the arbitrator’s decision before proceeding with arbitration (ACAS, 2022</w:t>
      </w:r>
      <w:r w:rsidR="005977BA">
        <w:t>b</w:t>
      </w:r>
      <w:r>
        <w:t>).</w:t>
      </w:r>
    </w:p>
    <w:p w14:paraId="34F8C56F" w14:textId="77777777" w:rsidR="005977BA" w:rsidRDefault="005977BA" w:rsidP="000D6171"/>
    <w:p w14:paraId="46BB115C" w14:textId="77777777" w:rsidR="001C3FA3" w:rsidRDefault="001C3FA3" w:rsidP="000D6171"/>
    <w:p w14:paraId="1195CEB1" w14:textId="77777777" w:rsidR="001C3FA3" w:rsidRDefault="001C3FA3" w:rsidP="000D6171"/>
    <w:p w14:paraId="3B270EBA" w14:textId="77777777" w:rsidR="001C3FA3" w:rsidRDefault="001C3FA3" w:rsidP="000D6171"/>
    <w:p w14:paraId="646CD8C6" w14:textId="77777777" w:rsidR="001C3FA3" w:rsidRDefault="001C3FA3" w:rsidP="000D6171"/>
    <w:p w14:paraId="3EC510A7" w14:textId="77777777" w:rsidR="005977BA" w:rsidRPr="005977BA" w:rsidRDefault="005977BA" w:rsidP="000D6171">
      <w:pPr>
        <w:rPr>
          <w:b/>
          <w:u w:val="single"/>
        </w:rPr>
      </w:pPr>
      <w:r w:rsidRPr="005977BA">
        <w:rPr>
          <w:b/>
          <w:u w:val="single"/>
        </w:rPr>
        <w:lastRenderedPageBreak/>
        <w:t>Unfair Dismissal Legislation (AC 3.1)</w:t>
      </w:r>
    </w:p>
    <w:p w14:paraId="291C9FA6" w14:textId="77777777" w:rsidR="005977BA" w:rsidRDefault="005977BA" w:rsidP="005977BA">
      <w:r>
        <w:t>The Employment Rights Act (1996) addresses rights to avoid unfair dismissal, however, this could occur under certain circumstances; less than two years of continuous service or they are not a</w:t>
      </w:r>
      <w:r w:rsidR="0027691B">
        <w:t>n</w:t>
      </w:r>
      <w:r>
        <w:t xml:space="preserve"> employee. This </w:t>
      </w:r>
      <w:r w:rsidR="0027691B">
        <w:t>could</w:t>
      </w:r>
      <w:r>
        <w:t xml:space="preserve"> change under </w:t>
      </w:r>
      <w:r w:rsidR="0027691B">
        <w:t xml:space="preserve">the </w:t>
      </w:r>
      <w:r>
        <w:t>Labour government as they proposed changes to these rights (</w:t>
      </w:r>
      <w:r w:rsidR="001C3FA3">
        <w:t>Labour, 2022</w:t>
      </w:r>
      <w:r>
        <w:t>). If an employee has been dismissed unfairly, they can take it to an Employment Tribunal.</w:t>
      </w:r>
    </w:p>
    <w:p w14:paraId="4A2579FF" w14:textId="77777777" w:rsidR="005977BA" w:rsidRDefault="005977BA" w:rsidP="005977BA">
      <w:r>
        <w:t>Misconduct dismissals are possible according to the Employment Rights Act (1996) but the employer needs to ensure that they follow a fair process. Organisations usually have a misconduct policy that sets rules that employees need to follow. A fair procedure provides the opportunity for employees to explain their behaviours and have reasonable time to improve, if it is not an extreme case of misconduct. Employees must also have the chance to appeal the decision and a thorough investigation should take place (GOV, ND</w:t>
      </w:r>
      <w:r w:rsidR="001C3FA3">
        <w:t>b</w:t>
      </w:r>
      <w:r>
        <w:t xml:space="preserve">). </w:t>
      </w:r>
    </w:p>
    <w:p w14:paraId="1AC60B8C" w14:textId="77777777" w:rsidR="005977BA" w:rsidRDefault="005977BA" w:rsidP="005977BA">
      <w:r>
        <w:t>If an employer wishes to dismiss on grounds of capability, the</w:t>
      </w:r>
      <w:r w:rsidR="0027691B">
        <w:t xml:space="preserve"> </w:t>
      </w:r>
      <w:r>
        <w:t xml:space="preserve">Equality Act (2010) </w:t>
      </w:r>
      <w:r w:rsidR="0027691B">
        <w:t xml:space="preserve">should be considers </w:t>
      </w:r>
      <w:r>
        <w:t xml:space="preserve">which protects employees with protected characteristics. </w:t>
      </w:r>
      <w:r w:rsidR="0027691B">
        <w:t>E</w:t>
      </w:r>
      <w:r>
        <w:t>mployees cannot be dismissed due to disability or be forced to resign (ACAS,2023). Employers must ensure to look after the employee’s wellbeing and make reasonable adjustments</w:t>
      </w:r>
      <w:r w:rsidR="0027691B">
        <w:t>, i</w:t>
      </w:r>
      <w:r>
        <w:t xml:space="preserve">f this is not possible then </w:t>
      </w:r>
      <w:r w:rsidR="0027691B">
        <w:t xml:space="preserve">it’s </w:t>
      </w:r>
      <w:r>
        <w:t xml:space="preserve">possible to dismiss due to capability by following a structured procedure and seeking legal advice (ACAS, 2023). </w:t>
      </w:r>
      <w:r w:rsidR="001C3FA3">
        <w:t>‘</w:t>
      </w:r>
      <w:r>
        <w:t>DB Schenker Rail Ltd v Doolan</w:t>
      </w:r>
      <w:r w:rsidR="001C3FA3">
        <w:t>’</w:t>
      </w:r>
      <w:r>
        <w:t xml:space="preserve"> (2011) outlined the issues when dismissing an employee without taking the reasonable steps to understand the employees’ condition</w:t>
      </w:r>
      <w:r w:rsidR="0027691B">
        <w:t>.</w:t>
      </w:r>
    </w:p>
    <w:p w14:paraId="3AB5C084" w14:textId="77777777" w:rsidR="005977BA" w:rsidRDefault="005977BA" w:rsidP="000D6171"/>
    <w:p w14:paraId="69A76CCE" w14:textId="77777777" w:rsidR="005977BA" w:rsidRPr="005977BA" w:rsidRDefault="005977BA" w:rsidP="000D6171">
      <w:pPr>
        <w:rPr>
          <w:b/>
          <w:u w:val="single"/>
        </w:rPr>
      </w:pPr>
      <w:r w:rsidRPr="005977BA">
        <w:rPr>
          <w:b/>
          <w:u w:val="single"/>
        </w:rPr>
        <w:t>Employee Grievances (AC 3.2)</w:t>
      </w:r>
    </w:p>
    <w:p w14:paraId="57060768" w14:textId="77777777" w:rsidR="005977BA" w:rsidRDefault="005977BA" w:rsidP="005977BA">
      <w:r>
        <w:t>A grievance is a formal complaint procedure where an employee raises issues that they have experienced (ACAS, 2024c). This usually occurs after an informal approach or to address a serious issue. Most organisations have a grievance policy in place to follow</w:t>
      </w:r>
      <w:r w:rsidR="0027691B">
        <w:t xml:space="preserve"> a</w:t>
      </w:r>
      <w:r>
        <w:t xml:space="preserve"> thorough process, </w:t>
      </w:r>
      <w:r w:rsidR="0027691B">
        <w:t>alternatively the</w:t>
      </w:r>
      <w:r>
        <w:t xml:space="preserve"> ACAS Code of Practice should be followed (ACAS, 2015). </w:t>
      </w:r>
    </w:p>
    <w:p w14:paraId="1D570231" w14:textId="77777777" w:rsidR="005977BA" w:rsidRDefault="005977BA" w:rsidP="005977BA">
      <w:r>
        <w:t xml:space="preserve">The causes of grievances vary between industries but a recent report showed that the top reasons were bullying and harassment and </w:t>
      </w:r>
      <w:r w:rsidR="0027691B">
        <w:t xml:space="preserve">workplace </w:t>
      </w:r>
      <w:r>
        <w:t>relationship</w:t>
      </w:r>
      <w:r w:rsidR="0027691B">
        <w:t xml:space="preserve">s </w:t>
      </w:r>
      <w:r>
        <w:t xml:space="preserve">(Personnel Today, 2023). Workplaces have evolved providing flexibility through remote and hybrid working, however, managers are failing to identify toxic behaviours (Fox and Partners, 2022). The report highlighted new patterns of bullying on these platforms which are not being addressed and are creating a negative culture. Those who are working remotely have limited opportunity to speak to their co-workers informally, this is affecting their relationships and makes it difficult for new employees to establish relationships due to the lack of normal socialisation (Hales et al, 2021). </w:t>
      </w:r>
    </w:p>
    <w:p w14:paraId="2DFBCA60" w14:textId="77777777" w:rsidR="005977BA" w:rsidRDefault="005977BA" w:rsidP="005977BA">
      <w:r>
        <w:t>The quality of management has effects on bullying within teams, some managers fail to address bullying when it is presented (Holten et al, 2017). Organisations should introduce technologies that can improve employee voice and provide a platform to talk through their problems (Alexander, 2019).  Employers should also provide adequate training to provide managers with the skills to deal with to prevent the dissolution of relationships and future grievances (CIPD, 2020</w:t>
      </w:r>
      <w:r w:rsidR="001C3FA3">
        <w:t>a</w:t>
      </w:r>
      <w:r>
        <w:t xml:space="preserve">). </w:t>
      </w:r>
    </w:p>
    <w:p w14:paraId="2F8F7DAC" w14:textId="77777777" w:rsidR="005977BA" w:rsidRDefault="005977BA" w:rsidP="000D6171"/>
    <w:p w14:paraId="2ED4FD30" w14:textId="77777777" w:rsidR="001C3FA3" w:rsidRDefault="001C3FA3" w:rsidP="000D6171"/>
    <w:p w14:paraId="3C01DBC7" w14:textId="77777777" w:rsidR="001C3FA3" w:rsidRDefault="001C3FA3" w:rsidP="000D6171"/>
    <w:p w14:paraId="2E5923C1" w14:textId="77777777" w:rsidR="005977BA" w:rsidRPr="005977BA" w:rsidRDefault="005977BA" w:rsidP="000D6171">
      <w:pPr>
        <w:rPr>
          <w:b/>
          <w:u w:val="single"/>
        </w:rPr>
      </w:pPr>
      <w:r w:rsidRPr="005977BA">
        <w:rPr>
          <w:b/>
          <w:u w:val="single"/>
        </w:rPr>
        <w:lastRenderedPageBreak/>
        <w:t>Skills for Discipline-handling Procedures (AC 3.3)</w:t>
      </w:r>
    </w:p>
    <w:p w14:paraId="2CBD8160" w14:textId="77777777" w:rsidR="005977BA" w:rsidRDefault="005977BA" w:rsidP="005977BA">
      <w:r>
        <w:t>Discipline-handling procedures can be difficult to navigate and require certain skills to be effective and avoid negative outcomes for the organisation. Individuals must be effective communicators including showing empathy, decisiveness and actively listening (Indeed, 2023). Employees should be encouraged to share their voice and they need to be actively listened to so that they feel ‘heard’. Do Quest need to ensure that its managers are being impartial and empathetic to understand why the individual behaves in a certain way.</w:t>
      </w:r>
    </w:p>
    <w:p w14:paraId="7D1906AE" w14:textId="77777777" w:rsidR="005977BA" w:rsidRDefault="005977BA" w:rsidP="005977BA">
      <w:r>
        <w:t>Organisation and staying in control of the situation are important skills (ACAS, 2014)</w:t>
      </w:r>
      <w:r w:rsidR="0027691B">
        <w:t>, d</w:t>
      </w:r>
      <w:r>
        <w:t xml:space="preserve">isciplinaries and grievances involve certain procedures which need to be </w:t>
      </w:r>
      <w:r w:rsidR="0027691B">
        <w:t xml:space="preserve">followed to </w:t>
      </w:r>
      <w:r>
        <w:t xml:space="preserve">provide employees with a fair and consistent process. Those dealing with these procedures need to ensure that they have a plan for the meeting and that they have their evidence ready to relate back to such as company policies. It can be an emotional process so those leading the process need to be firm and professional to achieve an outcome (ACAS, 2014). </w:t>
      </w:r>
    </w:p>
    <w:p w14:paraId="44223400" w14:textId="77777777" w:rsidR="005977BA" w:rsidRDefault="005977BA" w:rsidP="005977BA">
      <w:r>
        <w:t xml:space="preserve">Lastly, problem solving is a beneficial skill as the direction of the meeting can change rapidly. Professionals need to establish the root of the cause and then decide upon the next course of action based on the evidence presented (Armstrong &amp; Taylor, 2020, p.721). This can be difficult by having to think on the spot and ensuring fairness and consistency towards the employee and the outcome of the meeting. </w:t>
      </w:r>
    </w:p>
    <w:p w14:paraId="6F31C854" w14:textId="77777777" w:rsidR="005977BA" w:rsidRPr="000802D6" w:rsidRDefault="005977BA" w:rsidP="000D6171"/>
    <w:p w14:paraId="63DF20AB" w14:textId="77777777" w:rsidR="000D6171" w:rsidRPr="000802D6" w:rsidRDefault="005977BA" w:rsidP="000D6171">
      <w:pPr>
        <w:rPr>
          <w:b/>
          <w:u w:val="single"/>
        </w:rPr>
      </w:pPr>
      <w:r w:rsidRPr="000802D6">
        <w:rPr>
          <w:b/>
          <w:u w:val="single"/>
        </w:rPr>
        <w:t>Handling Grievances (AC 3.4)</w:t>
      </w:r>
    </w:p>
    <w:p w14:paraId="01F53E87" w14:textId="77777777" w:rsidR="000802D6" w:rsidRPr="000802D6" w:rsidRDefault="000802D6" w:rsidP="000802D6">
      <w:pPr>
        <w:rPr>
          <w:rFonts w:cs="Arial"/>
          <w:color w:val="202020"/>
          <w:shd w:val="clear" w:color="auto" w:fill="FFFFFF"/>
        </w:rPr>
      </w:pPr>
      <w:r w:rsidRPr="000802D6">
        <w:rPr>
          <w:rFonts w:cs="Arial"/>
          <w:color w:val="202020"/>
          <w:shd w:val="clear" w:color="auto" w:fill="FFFFFF"/>
        </w:rPr>
        <w:t xml:space="preserve">The grievance procedure ensures a fairness and consistency with employees need to be dealt with in a timely manner (CIPD, 2023d). A procedure or policy ensures that employees are adhering with legislation and it outlines the reporting procedure for employees. </w:t>
      </w:r>
      <w:r>
        <w:rPr>
          <w:rFonts w:cs="Arial"/>
          <w:color w:val="202020"/>
          <w:shd w:val="clear" w:color="auto" w:fill="FFFFFF"/>
        </w:rPr>
        <w:t>P</w:t>
      </w:r>
      <w:r w:rsidRPr="000802D6">
        <w:rPr>
          <w:rFonts w:cs="Arial"/>
          <w:color w:val="202020"/>
          <w:shd w:val="clear" w:color="auto" w:fill="FFFFFF"/>
        </w:rPr>
        <w:t>roviding platform</w:t>
      </w:r>
      <w:r>
        <w:rPr>
          <w:rFonts w:cs="Arial"/>
          <w:color w:val="202020"/>
          <w:shd w:val="clear" w:color="auto" w:fill="FFFFFF"/>
        </w:rPr>
        <w:t>s</w:t>
      </w:r>
      <w:r w:rsidRPr="000802D6">
        <w:rPr>
          <w:rFonts w:cs="Arial"/>
          <w:color w:val="202020"/>
          <w:shd w:val="clear" w:color="auto" w:fill="FFFFFF"/>
        </w:rPr>
        <w:t xml:space="preserve"> to share concerns helps with employee engagement and morale as employees feel that they have been listened to (Balamurugan et al, 2016). Handling grievances effectively strengthens the relationship between employees and employers and helps to maintain a productive and positive culture (Gomathi, 2014). </w:t>
      </w:r>
    </w:p>
    <w:p w14:paraId="386C84EE" w14:textId="77777777" w:rsidR="000802D6" w:rsidRPr="000802D6" w:rsidRDefault="000802D6" w:rsidP="000802D6">
      <w:pPr>
        <w:rPr>
          <w:rFonts w:cs="Arial"/>
          <w:color w:val="202020"/>
          <w:shd w:val="clear" w:color="auto" w:fill="FFFFFF"/>
        </w:rPr>
      </w:pPr>
      <w:r w:rsidRPr="000802D6">
        <w:rPr>
          <w:rFonts w:cs="Arial"/>
          <w:color w:val="202020"/>
          <w:shd w:val="clear" w:color="auto" w:fill="FFFFFF"/>
        </w:rPr>
        <w:t>There are detrimental risks of mishandling grievances which can be costly, ACAS (2015) reported over £360 million of costs were spent on grievances (Kitney, 2023). This fails to include the costs of an Employment Tribunal if the issue was not handled correctly. The Blackburn V Aldi Stores Ltd (2013) case highlighted that the grievance was not dealt with correctly and therefore the employee resigned and claimed constructive unfair dismissal, the court sided with the employee. The grievance process should be handled with in a timely manner as this can have effects on the employee’s mental health and wellbeing, employers need to safeguard their employees by dealing with grievances and finding a solution promptly (CIPD, 2023d). This could impact not only the employee but the team’s performance as it can causes frustrations and withdrawal in the workplace, it could also lead to an employee's resignation such as the Blackburn v Aldi case.</w:t>
      </w:r>
    </w:p>
    <w:p w14:paraId="363467AB" w14:textId="77777777" w:rsidR="000802D6" w:rsidRDefault="000802D6" w:rsidP="000802D6">
      <w:pPr>
        <w:rPr>
          <w:rFonts w:cs="Arial"/>
          <w:color w:val="202020"/>
          <w:shd w:val="clear" w:color="auto" w:fill="FFFFFF"/>
        </w:rPr>
      </w:pPr>
    </w:p>
    <w:p w14:paraId="1379E75C" w14:textId="77777777" w:rsidR="001C3FA3" w:rsidRDefault="001C3FA3" w:rsidP="000802D6">
      <w:pPr>
        <w:rPr>
          <w:rFonts w:cs="Arial"/>
          <w:color w:val="202020"/>
          <w:shd w:val="clear" w:color="auto" w:fill="FFFFFF"/>
        </w:rPr>
      </w:pPr>
    </w:p>
    <w:p w14:paraId="46AD7EE7" w14:textId="77777777" w:rsidR="001C3FA3" w:rsidRDefault="001C3FA3" w:rsidP="000802D6">
      <w:pPr>
        <w:rPr>
          <w:rFonts w:cs="Arial"/>
          <w:color w:val="202020"/>
          <w:shd w:val="clear" w:color="auto" w:fill="FFFFFF"/>
        </w:rPr>
      </w:pPr>
    </w:p>
    <w:p w14:paraId="08EA2C87" w14:textId="77777777" w:rsidR="001C3FA3" w:rsidRPr="000802D6" w:rsidRDefault="001C3FA3" w:rsidP="000802D6">
      <w:pPr>
        <w:rPr>
          <w:rFonts w:cs="Arial"/>
          <w:color w:val="202020"/>
          <w:shd w:val="clear" w:color="auto" w:fill="FFFFFF"/>
        </w:rPr>
      </w:pPr>
    </w:p>
    <w:p w14:paraId="1ABAEAE5" w14:textId="77777777" w:rsidR="000802D6" w:rsidRPr="000802D6" w:rsidRDefault="000802D6" w:rsidP="000802D6">
      <w:pPr>
        <w:rPr>
          <w:rFonts w:cs="Arial"/>
          <w:b/>
          <w:color w:val="202020"/>
          <w:u w:val="single"/>
          <w:shd w:val="clear" w:color="auto" w:fill="FFFFFF"/>
        </w:rPr>
      </w:pPr>
      <w:r w:rsidRPr="000802D6">
        <w:rPr>
          <w:rFonts w:cs="Arial"/>
          <w:b/>
          <w:color w:val="202020"/>
          <w:u w:val="single"/>
          <w:shd w:val="clear" w:color="auto" w:fill="FFFFFF"/>
        </w:rPr>
        <w:lastRenderedPageBreak/>
        <w:t>Collective Employment Law (AC 4.1)</w:t>
      </w:r>
    </w:p>
    <w:p w14:paraId="0FD22158" w14:textId="77777777" w:rsidR="000802D6" w:rsidRPr="000802D6" w:rsidRDefault="000802D6" w:rsidP="000802D6">
      <w:pPr>
        <w:rPr>
          <w:rFonts w:cs="Arial"/>
          <w:color w:val="202020"/>
          <w:shd w:val="clear" w:color="auto" w:fill="FFFFFF"/>
        </w:rPr>
      </w:pPr>
      <w:r w:rsidRPr="000802D6">
        <w:rPr>
          <w:rFonts w:cs="Arial"/>
          <w:color w:val="202020"/>
          <w:shd w:val="clear" w:color="auto" w:fill="FFFFFF"/>
        </w:rPr>
        <w:t xml:space="preserve">Collection Employment law in the UK is a branch of legislation </w:t>
      </w:r>
      <w:r>
        <w:rPr>
          <w:rFonts w:cs="Arial"/>
          <w:color w:val="202020"/>
          <w:shd w:val="clear" w:color="auto" w:fill="FFFFFF"/>
        </w:rPr>
        <w:t>that p</w:t>
      </w:r>
      <w:r w:rsidRPr="000802D6">
        <w:rPr>
          <w:rFonts w:cs="Arial"/>
          <w:color w:val="202020"/>
          <w:shd w:val="clear" w:color="auto" w:fill="FFFFFF"/>
        </w:rPr>
        <w:t>rovides protections to trade unions</w:t>
      </w:r>
      <w:r>
        <w:rPr>
          <w:rFonts w:cs="Arial"/>
          <w:color w:val="202020"/>
          <w:shd w:val="clear" w:color="auto" w:fill="FFFFFF"/>
        </w:rPr>
        <w:t xml:space="preserve">, </w:t>
      </w:r>
      <w:r w:rsidRPr="000802D6">
        <w:rPr>
          <w:rFonts w:cs="Arial"/>
          <w:color w:val="202020"/>
          <w:shd w:val="clear" w:color="auto" w:fill="FFFFFF"/>
        </w:rPr>
        <w:t>allow</w:t>
      </w:r>
      <w:r>
        <w:rPr>
          <w:rFonts w:cs="Arial"/>
          <w:color w:val="202020"/>
          <w:shd w:val="clear" w:color="auto" w:fill="FFFFFF"/>
        </w:rPr>
        <w:t>ing</w:t>
      </w:r>
      <w:r w:rsidRPr="000802D6">
        <w:rPr>
          <w:rFonts w:cs="Arial"/>
          <w:color w:val="202020"/>
          <w:shd w:val="clear" w:color="auto" w:fill="FFFFFF"/>
        </w:rPr>
        <w:t xml:space="preserve"> employees to have the right to actively join trade unions and participate in activities without their employer interfering (</w:t>
      </w:r>
      <w:r>
        <w:rPr>
          <w:rFonts w:cs="Arial"/>
          <w:color w:val="202020"/>
          <w:shd w:val="clear" w:color="auto" w:fill="FFFFFF"/>
        </w:rPr>
        <w:t>Taylor &amp; Woodhams, 2016,</w:t>
      </w:r>
      <w:r w:rsidRPr="000802D6">
        <w:rPr>
          <w:rFonts w:cs="Arial"/>
          <w:color w:val="202020"/>
          <w:shd w:val="clear" w:color="auto" w:fill="FFFFFF"/>
        </w:rPr>
        <w:t xml:space="preserve"> p</w:t>
      </w:r>
      <w:r>
        <w:rPr>
          <w:rFonts w:cs="Arial"/>
          <w:color w:val="202020"/>
          <w:shd w:val="clear" w:color="auto" w:fill="FFFFFF"/>
        </w:rPr>
        <w:t>.</w:t>
      </w:r>
      <w:r w:rsidRPr="000802D6">
        <w:rPr>
          <w:rFonts w:cs="Arial"/>
          <w:color w:val="202020"/>
          <w:shd w:val="clear" w:color="auto" w:fill="FFFFFF"/>
        </w:rPr>
        <w:t>45). According the Trade Union and Labour Relations Act (TULRA, 1992) it is unlawful to refuse employment, dismiss or an employer acting on detriment towards an employee if they are a part of a trade union or if they refuse to be a part of a trade union (</w:t>
      </w:r>
      <w:r>
        <w:rPr>
          <w:rFonts w:cs="Arial"/>
          <w:color w:val="202020"/>
          <w:shd w:val="clear" w:color="auto" w:fill="FFFFFF"/>
        </w:rPr>
        <w:t>Daniels, 2022, p.158-160)</w:t>
      </w:r>
      <w:r w:rsidRPr="000802D6">
        <w:rPr>
          <w:rFonts w:cs="Arial"/>
          <w:color w:val="202020"/>
          <w:shd w:val="clear" w:color="auto" w:fill="FFFFFF"/>
        </w:rPr>
        <w:t xml:space="preserve">. </w:t>
      </w:r>
    </w:p>
    <w:p w14:paraId="0B55F1C2" w14:textId="77777777" w:rsidR="000802D6" w:rsidRPr="000802D6" w:rsidRDefault="000802D6" w:rsidP="000802D6">
      <w:pPr>
        <w:rPr>
          <w:rFonts w:cs="Arial"/>
          <w:color w:val="202020"/>
          <w:shd w:val="clear" w:color="auto" w:fill="FFFFFF"/>
        </w:rPr>
      </w:pPr>
      <w:r w:rsidRPr="000802D6">
        <w:rPr>
          <w:rFonts w:cs="Arial"/>
          <w:color w:val="202020"/>
          <w:shd w:val="clear" w:color="auto" w:fill="FFFFFF"/>
        </w:rPr>
        <w:t>Collective employment laws protect employee rights and trade unions negotiate with employers regarding subjects that are covered by collective bargaining (</w:t>
      </w:r>
      <w:r>
        <w:rPr>
          <w:rFonts w:cs="Arial"/>
          <w:color w:val="202020"/>
          <w:shd w:val="clear" w:color="auto" w:fill="FFFFFF"/>
        </w:rPr>
        <w:t>Daniels, 2022, p219</w:t>
      </w:r>
      <w:r w:rsidRPr="000802D6">
        <w:rPr>
          <w:rFonts w:cs="Arial"/>
          <w:color w:val="202020"/>
          <w:shd w:val="clear" w:color="auto" w:fill="FFFFFF"/>
        </w:rPr>
        <w:t>). Collective bargaining refers to the negotiation of terms and employers must disclose the required information (G</w:t>
      </w:r>
      <w:r>
        <w:rPr>
          <w:rFonts w:cs="Arial"/>
          <w:color w:val="202020"/>
          <w:shd w:val="clear" w:color="auto" w:fill="FFFFFF"/>
        </w:rPr>
        <w:t>OV</w:t>
      </w:r>
      <w:r w:rsidRPr="000802D6">
        <w:rPr>
          <w:rFonts w:cs="Arial"/>
          <w:color w:val="202020"/>
          <w:shd w:val="clear" w:color="auto" w:fill="FFFFFF"/>
        </w:rPr>
        <w:t>, ND</w:t>
      </w:r>
      <w:r w:rsidR="001C3FA3">
        <w:rPr>
          <w:rFonts w:cs="Arial"/>
          <w:color w:val="202020"/>
          <w:shd w:val="clear" w:color="auto" w:fill="FFFFFF"/>
        </w:rPr>
        <w:t>c</w:t>
      </w:r>
      <w:r w:rsidRPr="000802D6">
        <w:rPr>
          <w:rFonts w:cs="Arial"/>
          <w:color w:val="202020"/>
          <w:shd w:val="clear" w:color="auto" w:fill="FFFFFF"/>
        </w:rPr>
        <w:t xml:space="preserve">). Before </w:t>
      </w:r>
      <w:r w:rsidR="0027691B">
        <w:rPr>
          <w:rFonts w:cs="Arial"/>
          <w:color w:val="202020"/>
          <w:shd w:val="clear" w:color="auto" w:fill="FFFFFF"/>
        </w:rPr>
        <w:t>negotiations</w:t>
      </w:r>
      <w:r w:rsidRPr="000802D6">
        <w:rPr>
          <w:rFonts w:cs="Arial"/>
          <w:color w:val="202020"/>
          <w:shd w:val="clear" w:color="auto" w:fill="FFFFFF"/>
        </w:rPr>
        <w:t xml:space="preserve">, trade unions must be recognised by the employer </w:t>
      </w:r>
      <w:r w:rsidR="0027691B">
        <w:rPr>
          <w:rFonts w:cs="Arial"/>
          <w:color w:val="202020"/>
          <w:shd w:val="clear" w:color="auto" w:fill="FFFFFF"/>
        </w:rPr>
        <w:t xml:space="preserve">and </w:t>
      </w:r>
      <w:r w:rsidRPr="000802D6">
        <w:rPr>
          <w:rFonts w:cs="Arial"/>
          <w:color w:val="202020"/>
          <w:shd w:val="clear" w:color="auto" w:fill="FFFFFF"/>
        </w:rPr>
        <w:t xml:space="preserve">must make the request under TULRA (1992). Employers can accept or deny this request and use ACAS to assist, if a decision cannot be agreed then the union can apply for statutory recognition through the </w:t>
      </w:r>
      <w:r>
        <w:rPr>
          <w:rFonts w:cs="Arial"/>
          <w:color w:val="202020"/>
          <w:shd w:val="clear" w:color="auto" w:fill="FFFFFF"/>
        </w:rPr>
        <w:t>C</w:t>
      </w:r>
      <w:r w:rsidRPr="000802D6">
        <w:rPr>
          <w:rFonts w:cs="Arial"/>
          <w:color w:val="202020"/>
          <w:shd w:val="clear" w:color="auto" w:fill="FFFFFF"/>
        </w:rPr>
        <w:t>entral Arbitration Committee (CAC).</w:t>
      </w:r>
    </w:p>
    <w:p w14:paraId="7B284935" w14:textId="77777777" w:rsidR="000802D6" w:rsidRDefault="000802D6" w:rsidP="000802D6">
      <w:pPr>
        <w:rPr>
          <w:rFonts w:cs="Arial"/>
          <w:color w:val="202020"/>
          <w:shd w:val="clear" w:color="auto" w:fill="FFFFFF"/>
        </w:rPr>
      </w:pPr>
      <w:r w:rsidRPr="000802D6">
        <w:rPr>
          <w:rFonts w:cs="Arial"/>
          <w:color w:val="202020"/>
          <w:shd w:val="clear" w:color="auto" w:fill="FFFFFF"/>
        </w:rPr>
        <w:t>Other provisions of collective employment law include industrial action and picketing. Industrial action that is official is protected by industrial action laws (ACAS, 2024</w:t>
      </w:r>
      <w:r w:rsidR="001C3FA3">
        <w:rPr>
          <w:rFonts w:cs="Arial"/>
          <w:color w:val="202020"/>
          <w:shd w:val="clear" w:color="auto" w:fill="FFFFFF"/>
        </w:rPr>
        <w:t>a</w:t>
      </w:r>
      <w:r w:rsidRPr="000802D6">
        <w:rPr>
          <w:rFonts w:cs="Arial"/>
          <w:color w:val="202020"/>
          <w:shd w:val="clear" w:color="auto" w:fill="FFFFFF"/>
        </w:rPr>
        <w:t>). If industrial action unofficial, the trade union has failed to uphold the rules of industrial action and it break industrial action law. Employees taking part in unofficial industrial action could be subject to dismissal (</w:t>
      </w:r>
      <w:r>
        <w:rPr>
          <w:rFonts w:cs="Arial"/>
          <w:color w:val="202020"/>
          <w:shd w:val="clear" w:color="auto" w:fill="FFFFFF"/>
        </w:rPr>
        <w:t>GOV</w:t>
      </w:r>
      <w:r w:rsidRPr="000802D6">
        <w:rPr>
          <w:rFonts w:cs="Arial"/>
          <w:color w:val="202020"/>
          <w:shd w:val="clear" w:color="auto" w:fill="FFFFFF"/>
        </w:rPr>
        <w:t>, N.D).</w:t>
      </w:r>
    </w:p>
    <w:p w14:paraId="538D7D20" w14:textId="77777777" w:rsidR="000802D6" w:rsidRDefault="000802D6" w:rsidP="000802D6">
      <w:pPr>
        <w:rPr>
          <w:rFonts w:cs="Arial"/>
          <w:color w:val="202020"/>
          <w:shd w:val="clear" w:color="auto" w:fill="FFFFFF"/>
        </w:rPr>
      </w:pPr>
    </w:p>
    <w:p w14:paraId="76060CAA" w14:textId="77777777" w:rsidR="000802D6" w:rsidRPr="000802D6" w:rsidRDefault="000802D6" w:rsidP="000802D6">
      <w:pPr>
        <w:rPr>
          <w:rFonts w:cs="Arial"/>
          <w:b/>
          <w:color w:val="202020"/>
          <w:u w:val="single"/>
          <w:shd w:val="clear" w:color="auto" w:fill="FFFFFF"/>
        </w:rPr>
      </w:pPr>
      <w:r w:rsidRPr="000802D6">
        <w:rPr>
          <w:rFonts w:cs="Arial"/>
          <w:b/>
          <w:color w:val="202020"/>
          <w:u w:val="single"/>
          <w:shd w:val="clear" w:color="auto" w:fill="FFFFFF"/>
        </w:rPr>
        <w:t>Employee Representation (AC 4.2)</w:t>
      </w:r>
    </w:p>
    <w:p w14:paraId="6120C001" w14:textId="77777777" w:rsidR="000802D6" w:rsidRPr="000802D6" w:rsidRDefault="000802D6" w:rsidP="000802D6">
      <w:pPr>
        <w:rPr>
          <w:rFonts w:cs="Arial"/>
          <w:color w:val="202020"/>
          <w:shd w:val="clear" w:color="auto" w:fill="FFFFFF"/>
        </w:rPr>
      </w:pPr>
      <w:r w:rsidRPr="000802D6">
        <w:rPr>
          <w:rFonts w:cs="Arial"/>
          <w:color w:val="202020"/>
          <w:shd w:val="clear" w:color="auto" w:fill="FFFFFF"/>
        </w:rPr>
        <w:t>Employee representation is crucial for employee voice and there are numerous employee bodies in the form of unions, work council, employee committees and individual consultation (</w:t>
      </w:r>
      <w:r>
        <w:rPr>
          <w:rFonts w:cs="Arial"/>
          <w:color w:val="202020"/>
          <w:shd w:val="clear" w:color="auto" w:fill="FFFFFF"/>
        </w:rPr>
        <w:t>L</w:t>
      </w:r>
      <w:r w:rsidRPr="000802D6">
        <w:rPr>
          <w:rFonts w:cs="Arial"/>
          <w:color w:val="202020"/>
          <w:shd w:val="clear" w:color="auto" w:fill="FFFFFF"/>
        </w:rPr>
        <w:t>inkedin, 2024). These are unionised and non-unionised groups and even though they have their differences, both provide a platform for employees to have a voice and they act on behalf of the employee to fight to improve their rights.</w:t>
      </w:r>
    </w:p>
    <w:p w14:paraId="4072D615" w14:textId="77777777" w:rsidR="000802D6" w:rsidRPr="000802D6" w:rsidRDefault="000802D6" w:rsidP="000802D6">
      <w:pPr>
        <w:rPr>
          <w:rFonts w:cs="Arial"/>
          <w:color w:val="202020"/>
          <w:shd w:val="clear" w:color="auto" w:fill="FFFFFF"/>
        </w:rPr>
      </w:pPr>
      <w:r w:rsidRPr="000802D6">
        <w:rPr>
          <w:rFonts w:cs="Arial"/>
          <w:color w:val="202020"/>
          <w:shd w:val="clear" w:color="auto" w:fill="FFFFFF"/>
        </w:rPr>
        <w:t xml:space="preserve">Unions </w:t>
      </w:r>
      <w:r>
        <w:rPr>
          <w:rFonts w:cs="Arial"/>
          <w:color w:val="202020"/>
          <w:shd w:val="clear" w:color="auto" w:fill="FFFFFF"/>
        </w:rPr>
        <w:t>appoint</w:t>
      </w:r>
      <w:r w:rsidRPr="000802D6">
        <w:rPr>
          <w:rFonts w:cs="Arial"/>
          <w:color w:val="202020"/>
          <w:shd w:val="clear" w:color="auto" w:fill="FFFFFF"/>
        </w:rPr>
        <w:t xml:space="preserve"> representatives </w:t>
      </w:r>
      <w:r>
        <w:rPr>
          <w:rFonts w:cs="Arial"/>
          <w:color w:val="202020"/>
          <w:shd w:val="clear" w:color="auto" w:fill="FFFFFF"/>
        </w:rPr>
        <w:t>through</w:t>
      </w:r>
      <w:r w:rsidRPr="000802D6">
        <w:rPr>
          <w:rFonts w:cs="Arial"/>
          <w:color w:val="202020"/>
          <w:shd w:val="clear" w:color="auto" w:fill="FFFFFF"/>
        </w:rPr>
        <w:t xml:space="preserve"> an independent union and employers recognise the union which enables them to complete collective bargaining (ACAS, 2014</w:t>
      </w:r>
      <w:r>
        <w:rPr>
          <w:rFonts w:cs="Arial"/>
          <w:color w:val="202020"/>
          <w:shd w:val="clear" w:color="auto" w:fill="FFFFFF"/>
        </w:rPr>
        <w:t>a</w:t>
      </w:r>
      <w:r w:rsidRPr="000802D6">
        <w:rPr>
          <w:rFonts w:cs="Arial"/>
          <w:color w:val="202020"/>
          <w:shd w:val="clear" w:color="auto" w:fill="FFFFFF"/>
        </w:rPr>
        <w:t>), the union negotiates with the employer to reach an agreement</w:t>
      </w:r>
      <w:r>
        <w:rPr>
          <w:rFonts w:cs="Arial"/>
          <w:color w:val="202020"/>
          <w:shd w:val="clear" w:color="auto" w:fill="FFFFFF"/>
        </w:rPr>
        <w:t xml:space="preserve"> </w:t>
      </w:r>
      <w:r w:rsidRPr="000802D6">
        <w:rPr>
          <w:rFonts w:cs="Arial"/>
          <w:color w:val="202020"/>
          <w:shd w:val="clear" w:color="auto" w:fill="FFFFFF"/>
        </w:rPr>
        <w:t>(Unison, ND). They can also take official industrial action if they cannot reach an agreement. Unions are covered by legislations including the Trade Union and Labour Relations (Consolidation) Act (1992) and Employment Rights Act (1996) which protects those involved from unfair dismissal and detriment relating to union activities. It also allows for paid time off for members for duties relating to the union and for training opportunities (ACAS, 2014</w:t>
      </w:r>
      <w:r>
        <w:rPr>
          <w:rFonts w:cs="Arial"/>
          <w:color w:val="202020"/>
          <w:shd w:val="clear" w:color="auto" w:fill="FFFFFF"/>
        </w:rPr>
        <w:t>a</w:t>
      </w:r>
      <w:r w:rsidRPr="000802D6">
        <w:rPr>
          <w:rFonts w:cs="Arial"/>
          <w:color w:val="202020"/>
          <w:shd w:val="clear" w:color="auto" w:fill="FFFFFF"/>
        </w:rPr>
        <w:t xml:space="preserve">). </w:t>
      </w:r>
    </w:p>
    <w:p w14:paraId="108BB6CD" w14:textId="77777777" w:rsidR="000802D6" w:rsidRDefault="000802D6" w:rsidP="000802D6">
      <w:pPr>
        <w:rPr>
          <w:rFonts w:cs="Arial"/>
          <w:color w:val="202020"/>
          <w:shd w:val="clear" w:color="auto" w:fill="FFFFFF"/>
        </w:rPr>
      </w:pPr>
      <w:r w:rsidRPr="000802D6">
        <w:rPr>
          <w:rFonts w:cs="Arial"/>
          <w:color w:val="202020"/>
          <w:shd w:val="clear" w:color="auto" w:fill="FFFFFF"/>
        </w:rPr>
        <w:t xml:space="preserve">Non-Unionised groups such as employee forums and works councils are usually complied with volunteers from those who work internally at the organisation and is a type of unofficial action (Indeed, </w:t>
      </w:r>
      <w:r>
        <w:rPr>
          <w:rFonts w:cs="Arial"/>
          <w:color w:val="202020"/>
          <w:shd w:val="clear" w:color="auto" w:fill="FFFFFF"/>
        </w:rPr>
        <w:t>2022</w:t>
      </w:r>
      <w:r w:rsidRPr="000802D6">
        <w:rPr>
          <w:rFonts w:cs="Arial"/>
          <w:color w:val="202020"/>
          <w:shd w:val="clear" w:color="auto" w:fill="FFFFFF"/>
        </w:rPr>
        <w:t>). Non-Union group not only look at collective matters, they also deal with individual matters such as grievance and disciplinary matters (ACAS, 2014</w:t>
      </w:r>
      <w:r>
        <w:rPr>
          <w:rFonts w:cs="Arial"/>
          <w:color w:val="202020"/>
          <w:shd w:val="clear" w:color="auto" w:fill="FFFFFF"/>
        </w:rPr>
        <w:t>b</w:t>
      </w:r>
      <w:r w:rsidRPr="000802D6">
        <w:rPr>
          <w:rFonts w:cs="Arial"/>
          <w:color w:val="202020"/>
          <w:shd w:val="clear" w:color="auto" w:fill="FFFFFF"/>
        </w:rPr>
        <w:t xml:space="preserve">). They have no enforceable rights to reach an agreement and to be paid to attend related activities and training. </w:t>
      </w:r>
    </w:p>
    <w:p w14:paraId="5AF0A1C6" w14:textId="77777777" w:rsidR="000802D6" w:rsidRDefault="000802D6" w:rsidP="000802D6">
      <w:pPr>
        <w:rPr>
          <w:rFonts w:cs="Arial"/>
          <w:color w:val="202020"/>
          <w:shd w:val="clear" w:color="auto" w:fill="FFFFFF"/>
        </w:rPr>
      </w:pPr>
    </w:p>
    <w:p w14:paraId="5C7B17D2" w14:textId="77777777" w:rsidR="001C3FA3" w:rsidRDefault="001C3FA3" w:rsidP="000802D6">
      <w:pPr>
        <w:rPr>
          <w:rFonts w:cs="Arial"/>
          <w:color w:val="202020"/>
          <w:shd w:val="clear" w:color="auto" w:fill="FFFFFF"/>
        </w:rPr>
      </w:pPr>
    </w:p>
    <w:p w14:paraId="794DCCE5" w14:textId="77777777" w:rsidR="001C3FA3" w:rsidRDefault="001C3FA3" w:rsidP="000802D6">
      <w:pPr>
        <w:rPr>
          <w:rFonts w:cs="Arial"/>
          <w:color w:val="202020"/>
          <w:shd w:val="clear" w:color="auto" w:fill="FFFFFF"/>
        </w:rPr>
      </w:pPr>
    </w:p>
    <w:p w14:paraId="38BA65D4" w14:textId="77777777" w:rsidR="000802D6" w:rsidRPr="000802D6" w:rsidRDefault="000802D6" w:rsidP="000802D6">
      <w:pPr>
        <w:rPr>
          <w:rFonts w:cs="Arial"/>
          <w:b/>
          <w:color w:val="202020"/>
          <w:u w:val="single"/>
          <w:shd w:val="clear" w:color="auto" w:fill="FFFFFF"/>
        </w:rPr>
      </w:pPr>
      <w:r w:rsidRPr="000802D6">
        <w:rPr>
          <w:rFonts w:cs="Arial"/>
          <w:b/>
          <w:color w:val="202020"/>
          <w:u w:val="single"/>
          <w:shd w:val="clear" w:color="auto" w:fill="FFFFFF"/>
        </w:rPr>
        <w:lastRenderedPageBreak/>
        <w:t>Collective Bargaining (AC 4.3)</w:t>
      </w:r>
    </w:p>
    <w:p w14:paraId="61E13A93" w14:textId="77777777" w:rsidR="000802D6" w:rsidRPr="000802D6" w:rsidRDefault="000802D6" w:rsidP="000802D6">
      <w:pPr>
        <w:rPr>
          <w:rFonts w:cs="Arial"/>
          <w:color w:val="202020"/>
          <w:shd w:val="clear" w:color="auto" w:fill="FFFFFF"/>
        </w:rPr>
      </w:pPr>
      <w:r w:rsidRPr="000802D6">
        <w:rPr>
          <w:rFonts w:cs="Arial"/>
          <w:color w:val="202020"/>
          <w:shd w:val="clear" w:color="auto" w:fill="FFFFFF"/>
        </w:rPr>
        <w:t xml:space="preserve">Trade unions discuss changes to employees’ terms and conditions, this process of negotiation is called collective bargaining (GOV, </w:t>
      </w:r>
      <w:r>
        <w:rPr>
          <w:rFonts w:cs="Arial"/>
          <w:color w:val="202020"/>
          <w:shd w:val="clear" w:color="auto" w:fill="FFFFFF"/>
        </w:rPr>
        <w:t>ND</w:t>
      </w:r>
      <w:r w:rsidR="001C3FA3">
        <w:rPr>
          <w:rFonts w:cs="Arial"/>
          <w:color w:val="202020"/>
          <w:shd w:val="clear" w:color="auto" w:fill="FFFFFF"/>
        </w:rPr>
        <w:t>e</w:t>
      </w:r>
      <w:r w:rsidRPr="000802D6">
        <w:rPr>
          <w:rFonts w:cs="Arial"/>
          <w:color w:val="202020"/>
          <w:shd w:val="clear" w:color="auto" w:fill="FFFFFF"/>
        </w:rPr>
        <w:t xml:space="preserve">). Once a union is recognised by an organisation, they usually agree the scope of the negotiations that can take place which could </w:t>
      </w:r>
      <w:r>
        <w:rPr>
          <w:rFonts w:cs="Arial"/>
          <w:color w:val="202020"/>
          <w:shd w:val="clear" w:color="auto" w:fill="FFFFFF"/>
        </w:rPr>
        <w:t>certain groups of employees</w:t>
      </w:r>
      <w:r w:rsidRPr="000802D6">
        <w:rPr>
          <w:rFonts w:cs="Arial"/>
          <w:color w:val="202020"/>
          <w:shd w:val="clear" w:color="auto" w:fill="FFFFFF"/>
        </w:rPr>
        <w:t xml:space="preserve"> (CIPD, 2024). </w:t>
      </w:r>
      <w:r>
        <w:rPr>
          <w:rFonts w:cs="Arial"/>
          <w:color w:val="202020"/>
          <w:shd w:val="clear" w:color="auto" w:fill="FFFFFF"/>
        </w:rPr>
        <w:t>T</w:t>
      </w:r>
      <w:r w:rsidRPr="000802D6">
        <w:rPr>
          <w:rFonts w:cs="Arial"/>
          <w:color w:val="202020"/>
          <w:shd w:val="clear" w:color="auto" w:fill="FFFFFF"/>
        </w:rPr>
        <w:t xml:space="preserve">he aim of collective bargaining is to reach a proper negotiation that has not been discouraged in any way to </w:t>
      </w:r>
      <w:r>
        <w:rPr>
          <w:rFonts w:cs="Arial"/>
          <w:color w:val="202020"/>
          <w:shd w:val="clear" w:color="auto" w:fill="FFFFFF"/>
        </w:rPr>
        <w:t xml:space="preserve">an </w:t>
      </w:r>
      <w:r w:rsidRPr="000802D6">
        <w:rPr>
          <w:rFonts w:cs="Arial"/>
          <w:color w:val="202020"/>
          <w:shd w:val="clear" w:color="auto" w:fill="FFFFFF"/>
        </w:rPr>
        <w:t>employee’s detriment or mistreatment (CIPD, 2024</w:t>
      </w:r>
      <w:r w:rsidR="001C3FA3">
        <w:rPr>
          <w:rFonts w:cs="Arial"/>
          <w:color w:val="202020"/>
          <w:shd w:val="clear" w:color="auto" w:fill="FFFFFF"/>
        </w:rPr>
        <w:t>a</w:t>
      </w:r>
      <w:r w:rsidRPr="000802D6">
        <w:rPr>
          <w:rFonts w:cs="Arial"/>
          <w:color w:val="202020"/>
          <w:shd w:val="clear" w:color="auto" w:fill="FFFFFF"/>
        </w:rPr>
        <w:t xml:space="preserve">). </w:t>
      </w:r>
    </w:p>
    <w:p w14:paraId="1890FAF6" w14:textId="77777777" w:rsidR="000802D6" w:rsidRDefault="000802D6" w:rsidP="000802D6">
      <w:pPr>
        <w:rPr>
          <w:rFonts w:cs="Arial"/>
          <w:color w:val="202020"/>
          <w:shd w:val="clear" w:color="auto" w:fill="FFFFFF"/>
        </w:rPr>
      </w:pPr>
      <w:r>
        <w:rPr>
          <w:rFonts w:cs="Arial"/>
          <w:color w:val="202020"/>
          <w:shd w:val="clear" w:color="auto" w:fill="FFFFFF"/>
        </w:rPr>
        <w:t>It is</w:t>
      </w:r>
      <w:r w:rsidRPr="000802D6">
        <w:rPr>
          <w:rFonts w:cs="Arial"/>
          <w:color w:val="202020"/>
          <w:shd w:val="clear" w:color="auto" w:fill="FFFFFF"/>
        </w:rPr>
        <w:t xml:space="preserve"> an effective way to solve workplace disputes and to improv</w:t>
      </w:r>
      <w:r>
        <w:rPr>
          <w:rFonts w:cs="Arial"/>
          <w:color w:val="202020"/>
          <w:shd w:val="clear" w:color="auto" w:fill="FFFFFF"/>
        </w:rPr>
        <w:t>e</w:t>
      </w:r>
      <w:r w:rsidRPr="000802D6">
        <w:rPr>
          <w:rFonts w:cs="Arial"/>
          <w:color w:val="202020"/>
          <w:shd w:val="clear" w:color="auto" w:fill="FFFFFF"/>
        </w:rPr>
        <w:t xml:space="preserve"> an employee’s terms and conditions (TUC, 2024). It is harder for employees to fight for change as they may not have a platform to do so, the use of trade unions </w:t>
      </w:r>
      <w:r>
        <w:rPr>
          <w:rFonts w:cs="Arial"/>
          <w:color w:val="202020"/>
          <w:shd w:val="clear" w:color="auto" w:fill="FFFFFF"/>
        </w:rPr>
        <w:t>using the</w:t>
      </w:r>
      <w:r w:rsidRPr="000802D6">
        <w:rPr>
          <w:rFonts w:cs="Arial"/>
          <w:color w:val="202020"/>
          <w:shd w:val="clear" w:color="auto" w:fill="FFFFFF"/>
        </w:rPr>
        <w:t xml:space="preserve"> collective bargaining process helps to fight</w:t>
      </w:r>
      <w:r>
        <w:rPr>
          <w:rFonts w:cs="Arial"/>
          <w:color w:val="202020"/>
          <w:shd w:val="clear" w:color="auto" w:fill="FFFFFF"/>
        </w:rPr>
        <w:t xml:space="preserve"> </w:t>
      </w:r>
      <w:r w:rsidRPr="000802D6">
        <w:rPr>
          <w:rFonts w:cs="Arial"/>
          <w:color w:val="202020"/>
          <w:shd w:val="clear" w:color="auto" w:fill="FFFFFF"/>
        </w:rPr>
        <w:t xml:space="preserve">on behalf of union members (Joba, 2024). Collective bargaining achieves increased economic outcomes for union members, however, most of </w:t>
      </w:r>
      <w:r>
        <w:rPr>
          <w:rFonts w:cs="Arial"/>
          <w:color w:val="202020"/>
          <w:shd w:val="clear" w:color="auto" w:fill="FFFFFF"/>
        </w:rPr>
        <w:t>the research</w:t>
      </w:r>
      <w:r w:rsidRPr="000802D6">
        <w:rPr>
          <w:rFonts w:cs="Arial"/>
          <w:color w:val="202020"/>
          <w:shd w:val="clear" w:color="auto" w:fill="FFFFFF"/>
        </w:rPr>
        <w:t xml:space="preserve"> is from the 1970s and 1980s (Aidt et al, 200</w:t>
      </w:r>
      <w:r>
        <w:rPr>
          <w:rFonts w:cs="Arial"/>
          <w:color w:val="202020"/>
          <w:shd w:val="clear" w:color="auto" w:fill="FFFFFF"/>
        </w:rPr>
        <w:t>8</w:t>
      </w:r>
      <w:r w:rsidRPr="000802D6">
        <w:rPr>
          <w:rFonts w:cs="Arial"/>
          <w:color w:val="202020"/>
          <w:shd w:val="clear" w:color="auto" w:fill="FFFFFF"/>
        </w:rPr>
        <w:t xml:space="preserve">). </w:t>
      </w:r>
    </w:p>
    <w:p w14:paraId="0CF875E1" w14:textId="77777777" w:rsidR="000802D6" w:rsidRDefault="000802D6" w:rsidP="000D6171">
      <w:pPr>
        <w:rPr>
          <w:rFonts w:cs="Arial"/>
          <w:color w:val="202020"/>
          <w:shd w:val="clear" w:color="auto" w:fill="FFFFFF"/>
        </w:rPr>
      </w:pPr>
      <w:r>
        <w:rPr>
          <w:rFonts w:cs="Arial"/>
          <w:color w:val="202020"/>
          <w:shd w:val="clear" w:color="auto" w:fill="FFFFFF"/>
        </w:rPr>
        <w:t>C</w:t>
      </w:r>
      <w:r w:rsidRPr="000802D6">
        <w:rPr>
          <w:rFonts w:cs="Arial"/>
          <w:color w:val="202020"/>
          <w:shd w:val="clear" w:color="auto" w:fill="FFFFFF"/>
        </w:rPr>
        <w:t>ollective bargaining can be lengthy and create</w:t>
      </w:r>
      <w:r>
        <w:rPr>
          <w:rFonts w:cs="Arial"/>
          <w:color w:val="202020"/>
          <w:shd w:val="clear" w:color="auto" w:fill="FFFFFF"/>
        </w:rPr>
        <w:t>s</w:t>
      </w:r>
      <w:r w:rsidRPr="000802D6">
        <w:rPr>
          <w:rFonts w:cs="Arial"/>
          <w:color w:val="202020"/>
          <w:shd w:val="clear" w:color="auto" w:fill="FFFFFF"/>
        </w:rPr>
        <w:t xml:space="preserve"> uncertainty if it leads to industrial action, </w:t>
      </w:r>
      <w:r w:rsidR="0027691B">
        <w:rPr>
          <w:rFonts w:cs="Arial"/>
          <w:color w:val="202020"/>
          <w:shd w:val="clear" w:color="auto" w:fill="FFFFFF"/>
        </w:rPr>
        <w:t xml:space="preserve">its is viewed </w:t>
      </w:r>
      <w:r w:rsidRPr="000802D6">
        <w:rPr>
          <w:rFonts w:cs="Arial"/>
          <w:color w:val="202020"/>
          <w:shd w:val="clear" w:color="auto" w:fill="FFFFFF"/>
        </w:rPr>
        <w:t>as a volatile tactic</w:t>
      </w:r>
      <w:r w:rsidR="0027691B">
        <w:rPr>
          <w:rFonts w:cs="Arial"/>
          <w:color w:val="202020"/>
          <w:shd w:val="clear" w:color="auto" w:fill="FFFFFF"/>
        </w:rPr>
        <w:t xml:space="preserve"> </w:t>
      </w:r>
      <w:r w:rsidRPr="000802D6">
        <w:rPr>
          <w:rFonts w:cs="Arial"/>
          <w:color w:val="202020"/>
          <w:shd w:val="clear" w:color="auto" w:fill="FFFFFF"/>
        </w:rPr>
        <w:t>forc</w:t>
      </w:r>
      <w:r w:rsidR="0027691B">
        <w:rPr>
          <w:rFonts w:cs="Arial"/>
          <w:color w:val="202020"/>
          <w:shd w:val="clear" w:color="auto" w:fill="FFFFFF"/>
        </w:rPr>
        <w:t>ing</w:t>
      </w:r>
      <w:r w:rsidRPr="000802D6">
        <w:rPr>
          <w:rFonts w:cs="Arial"/>
          <w:color w:val="202020"/>
          <w:shd w:val="clear" w:color="auto" w:fill="FFFFFF"/>
        </w:rPr>
        <w:t xml:space="preserve"> the employer to react impulsive</w:t>
      </w:r>
      <w:r>
        <w:rPr>
          <w:rFonts w:cs="Arial"/>
          <w:color w:val="202020"/>
          <w:shd w:val="clear" w:color="auto" w:fill="FFFFFF"/>
        </w:rPr>
        <w:t>ly</w:t>
      </w:r>
      <w:r w:rsidRPr="000802D6">
        <w:rPr>
          <w:rFonts w:cs="Arial"/>
          <w:color w:val="202020"/>
          <w:shd w:val="clear" w:color="auto" w:fill="FFFFFF"/>
        </w:rPr>
        <w:t>, increas</w:t>
      </w:r>
      <w:r>
        <w:rPr>
          <w:rFonts w:cs="Arial"/>
          <w:color w:val="202020"/>
          <w:shd w:val="clear" w:color="auto" w:fill="FFFFFF"/>
        </w:rPr>
        <w:t>ing</w:t>
      </w:r>
      <w:r w:rsidRPr="000802D6">
        <w:rPr>
          <w:rFonts w:cs="Arial"/>
          <w:color w:val="202020"/>
          <w:shd w:val="clear" w:color="auto" w:fill="FFFFFF"/>
        </w:rPr>
        <w:t xml:space="preserve"> the likelihood that an agreement will not be reached (Kochan et al, 1998). However, the need for collective bargaining has declined since the</w:t>
      </w:r>
      <w:r w:rsidR="0027691B">
        <w:rPr>
          <w:rFonts w:cs="Arial"/>
          <w:color w:val="202020"/>
          <w:shd w:val="clear" w:color="auto" w:fill="FFFFFF"/>
        </w:rPr>
        <w:t xml:space="preserve"> </w:t>
      </w:r>
      <w:r w:rsidRPr="000802D6">
        <w:rPr>
          <w:rFonts w:cs="Arial"/>
          <w:color w:val="202020"/>
          <w:shd w:val="clear" w:color="auto" w:fill="FFFFFF"/>
        </w:rPr>
        <w:t xml:space="preserve">90s which could be due to the introduction of legislation that benefits the employee such as the National Minimum </w:t>
      </w:r>
      <w:r>
        <w:rPr>
          <w:rFonts w:cs="Arial"/>
          <w:color w:val="202020"/>
          <w:shd w:val="clear" w:color="auto" w:fill="FFFFFF"/>
        </w:rPr>
        <w:t>W</w:t>
      </w:r>
      <w:r w:rsidRPr="000802D6">
        <w:rPr>
          <w:rFonts w:cs="Arial"/>
          <w:color w:val="202020"/>
          <w:shd w:val="clear" w:color="auto" w:fill="FFFFFF"/>
        </w:rPr>
        <w:t xml:space="preserve">age </w:t>
      </w:r>
      <w:r>
        <w:rPr>
          <w:rFonts w:cs="Arial"/>
          <w:color w:val="202020"/>
          <w:shd w:val="clear" w:color="auto" w:fill="FFFFFF"/>
        </w:rPr>
        <w:t>Act (1998)</w:t>
      </w:r>
      <w:r w:rsidRPr="000802D6">
        <w:rPr>
          <w:rFonts w:cs="Arial"/>
          <w:color w:val="202020"/>
          <w:shd w:val="clear" w:color="auto" w:fill="FFFFFF"/>
        </w:rPr>
        <w:t xml:space="preserve">, the Employment Rights Act (1996) and the Equality Act (2010). </w:t>
      </w:r>
    </w:p>
    <w:p w14:paraId="32CEE94B" w14:textId="77777777" w:rsidR="001C3FA3" w:rsidRDefault="001C3FA3" w:rsidP="000D6171">
      <w:pPr>
        <w:rPr>
          <w:rFonts w:cs="Arial"/>
          <w:color w:val="202020"/>
          <w:shd w:val="clear" w:color="auto" w:fill="FFFFFF"/>
        </w:rPr>
      </w:pPr>
    </w:p>
    <w:p w14:paraId="46D8B0B2" w14:textId="77777777" w:rsidR="001C3FA3" w:rsidRPr="0027691B" w:rsidRDefault="001C3FA3" w:rsidP="000D6171">
      <w:pPr>
        <w:rPr>
          <w:rFonts w:cs="Arial"/>
          <w:color w:val="202020"/>
          <w:shd w:val="clear" w:color="auto" w:fill="FFFFFF"/>
        </w:rPr>
      </w:pPr>
    </w:p>
    <w:p w14:paraId="01FF7D53" w14:textId="77777777" w:rsidR="001C3FA3" w:rsidRDefault="000D6171" w:rsidP="001C3FA3">
      <w:pPr>
        <w:rPr>
          <w:b/>
          <w:u w:val="single"/>
        </w:rPr>
      </w:pPr>
      <w:r w:rsidRPr="000D6171">
        <w:rPr>
          <w:b/>
          <w:u w:val="single"/>
        </w:rPr>
        <w:t>References</w:t>
      </w:r>
    </w:p>
    <w:p w14:paraId="417798C4" w14:textId="77777777" w:rsidR="001C3FA3" w:rsidRPr="001C3FA3" w:rsidRDefault="001C3FA3" w:rsidP="001C3FA3">
      <w:pPr>
        <w:rPr>
          <w:b/>
          <w:u w:val="single"/>
        </w:rPr>
      </w:pPr>
      <w:r w:rsidRPr="001C3FA3">
        <w:t xml:space="preserve"> </w:t>
      </w:r>
    </w:p>
    <w:p w14:paraId="242C7937"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t xml:space="preserve">‘Blackburn v Aldi Stores Ltd’ (2013) UKEAT, 0185/12, </w:t>
      </w:r>
      <w:r w:rsidRPr="001C3FA3">
        <w:rPr>
          <w:i/>
        </w:rPr>
        <w:t>GOV.UK.</w:t>
      </w:r>
      <w:r w:rsidRPr="001C3FA3">
        <w:t xml:space="preserve"> Available at: </w:t>
      </w:r>
      <w:hyperlink r:id="rId19" w:history="1">
        <w:r w:rsidRPr="001C3FA3">
          <w:rPr>
            <w:rStyle w:val="Hyperlink"/>
            <w:rFonts w:eastAsia="Times New Roman" w:cs="Times New Roman"/>
            <w:kern w:val="0"/>
            <w14:ligatures w14:val="none"/>
          </w:rPr>
          <w:t>https://www.gov.uk/employment-appeal-tribunal-decisions/mr-d-blackburn-v-aldi-stores-ltd-ukeat-0185-12-joj</w:t>
        </w:r>
      </w:hyperlink>
      <w:r w:rsidRPr="001C3FA3">
        <w:rPr>
          <w:rFonts w:eastAsia="Times New Roman" w:cs="Times New Roman"/>
          <w:kern w:val="0"/>
          <w14:ligatures w14:val="none"/>
        </w:rPr>
        <w:t xml:space="preserve"> (Accessed 9</w:t>
      </w:r>
      <w:r w:rsidRPr="001C3FA3">
        <w:rPr>
          <w:rFonts w:eastAsia="Times New Roman" w:cs="Times New Roman"/>
          <w:kern w:val="0"/>
          <w:vertAlign w:val="superscript"/>
          <w14:ligatures w14:val="none"/>
        </w:rPr>
        <w:t>th</w:t>
      </w:r>
      <w:r w:rsidRPr="001C3FA3">
        <w:rPr>
          <w:rFonts w:eastAsia="Times New Roman" w:cs="Times New Roman"/>
          <w:kern w:val="0"/>
          <w14:ligatures w14:val="none"/>
        </w:rPr>
        <w:t xml:space="preserve"> July 2024). </w:t>
      </w:r>
    </w:p>
    <w:p w14:paraId="5932ED93" w14:textId="77777777" w:rsidR="001C3FA3" w:rsidRPr="001C3FA3" w:rsidRDefault="001C3FA3" w:rsidP="001C3FA3">
      <w:pPr>
        <w:pStyle w:val="ListParagraph"/>
        <w:numPr>
          <w:ilvl w:val="0"/>
          <w:numId w:val="4"/>
        </w:numPr>
        <w:spacing w:line="276" w:lineRule="auto"/>
      </w:pPr>
      <w:r w:rsidRPr="001C3FA3">
        <w:t xml:space="preserve">‘DB Schenker Rail (UK) Ltd v Doolan’ (2004) UKEATS, 0053/09, </w:t>
      </w:r>
      <w:r w:rsidRPr="001C3FA3">
        <w:rPr>
          <w:i/>
        </w:rPr>
        <w:t>Employment Cases Update</w:t>
      </w:r>
      <w:r w:rsidRPr="001C3FA3">
        <w:t xml:space="preserve">. Available at </w:t>
      </w:r>
      <w:hyperlink r:id="rId20" w:history="1">
        <w:r w:rsidRPr="001C3FA3">
          <w:rPr>
            <w:rStyle w:val="Hyperlink"/>
          </w:rPr>
          <w:t>https://www.acas.org.uk/dispute-in-the-workplace-a-story-of-change-and-complexity</w:t>
        </w:r>
      </w:hyperlink>
      <w:r w:rsidRPr="001C3FA3">
        <w:t xml:space="preserve"> (Accessed 3rd July 2024). </w:t>
      </w:r>
    </w:p>
    <w:p w14:paraId="11D0FBE5" w14:textId="77777777" w:rsidR="001C3FA3" w:rsidRPr="001C3FA3" w:rsidRDefault="001C3FA3" w:rsidP="001C3FA3">
      <w:pPr>
        <w:pStyle w:val="ListParagraph"/>
        <w:numPr>
          <w:ilvl w:val="0"/>
          <w:numId w:val="4"/>
        </w:numPr>
        <w:spacing w:line="276" w:lineRule="auto"/>
        <w:rPr>
          <w:rFonts w:cs="Arial"/>
          <w:color w:val="202020"/>
          <w:shd w:val="clear" w:color="auto" w:fill="FFFFFF"/>
        </w:rPr>
      </w:pPr>
      <w:r w:rsidRPr="001C3FA3">
        <w:t xml:space="preserve">ACAS (2014a) </w:t>
      </w:r>
      <w:r w:rsidRPr="001C3FA3">
        <w:rPr>
          <w:i/>
        </w:rPr>
        <w:t>Union Representation in the workplace</w:t>
      </w:r>
      <w:r w:rsidRPr="001C3FA3">
        <w:t xml:space="preserve">. Available at: </w:t>
      </w:r>
      <w:hyperlink r:id="rId21" w:history="1">
        <w:r w:rsidRPr="001C3FA3">
          <w:rPr>
            <w:rStyle w:val="Hyperlink"/>
            <w:rFonts w:cs="Arial"/>
            <w:shd w:val="clear" w:color="auto" w:fill="FFFFFF"/>
          </w:rPr>
          <w:t>https://www.acas.org.uk/sites/default/files/2021-03/trade-union-representation-in-the-workplace.pdf</w:t>
        </w:r>
      </w:hyperlink>
      <w:r w:rsidRPr="001C3FA3">
        <w:rPr>
          <w:rFonts w:cs="Arial"/>
          <w:color w:val="202020"/>
          <w:shd w:val="clear" w:color="auto" w:fill="FFFFFF"/>
        </w:rPr>
        <w:t xml:space="preserve"> (Accessed 12</w:t>
      </w:r>
      <w:r w:rsidRPr="001C3FA3">
        <w:rPr>
          <w:rFonts w:cs="Arial"/>
          <w:color w:val="202020"/>
          <w:shd w:val="clear" w:color="auto" w:fill="FFFFFF"/>
          <w:vertAlign w:val="superscript"/>
        </w:rPr>
        <w:t>th</w:t>
      </w:r>
      <w:r w:rsidRPr="001C3FA3">
        <w:rPr>
          <w:rFonts w:cs="Arial"/>
          <w:color w:val="202020"/>
          <w:shd w:val="clear" w:color="auto" w:fill="FFFFFF"/>
        </w:rPr>
        <w:t xml:space="preserve"> July 2024).</w:t>
      </w:r>
    </w:p>
    <w:p w14:paraId="195C2B5A" w14:textId="77777777" w:rsidR="001C3FA3" w:rsidRPr="001C3FA3" w:rsidRDefault="001C3FA3" w:rsidP="001C3FA3">
      <w:pPr>
        <w:pStyle w:val="ListParagraph"/>
        <w:numPr>
          <w:ilvl w:val="0"/>
          <w:numId w:val="4"/>
        </w:numPr>
        <w:spacing w:line="276" w:lineRule="auto"/>
        <w:rPr>
          <w:rFonts w:cs="Arial"/>
          <w:color w:val="202020"/>
          <w:shd w:val="clear" w:color="auto" w:fill="FFFFFF"/>
        </w:rPr>
      </w:pPr>
      <w:r w:rsidRPr="001C3FA3">
        <w:t xml:space="preserve">ACAS (2014b) </w:t>
      </w:r>
      <w:r w:rsidRPr="001C3FA3">
        <w:rPr>
          <w:i/>
        </w:rPr>
        <w:t xml:space="preserve">Non-Union Representation in the Workplace. </w:t>
      </w:r>
      <w:r w:rsidRPr="001C3FA3">
        <w:t xml:space="preserve">Available at: </w:t>
      </w:r>
      <w:hyperlink r:id="rId22" w:history="1">
        <w:r w:rsidRPr="001C3FA3">
          <w:rPr>
            <w:rStyle w:val="Hyperlink"/>
            <w:rFonts w:cs="Arial"/>
            <w:shd w:val="clear" w:color="auto" w:fill="FFFFFF"/>
          </w:rPr>
          <w:t>https://www.acas.org.uk/sites/default/files/2021-03/non-union-representation-in-the-workplace.pdf</w:t>
        </w:r>
      </w:hyperlink>
      <w:r w:rsidRPr="001C3FA3">
        <w:rPr>
          <w:rFonts w:cs="Arial"/>
          <w:color w:val="202020"/>
          <w:shd w:val="clear" w:color="auto" w:fill="FFFFFF"/>
        </w:rPr>
        <w:t xml:space="preserve"> (Accessed 12</w:t>
      </w:r>
      <w:r w:rsidRPr="001C3FA3">
        <w:rPr>
          <w:rFonts w:cs="Arial"/>
          <w:color w:val="202020"/>
          <w:shd w:val="clear" w:color="auto" w:fill="FFFFFF"/>
          <w:vertAlign w:val="superscript"/>
        </w:rPr>
        <w:t>th</w:t>
      </w:r>
      <w:r w:rsidRPr="001C3FA3">
        <w:rPr>
          <w:rFonts w:cs="Arial"/>
          <w:color w:val="202020"/>
          <w:shd w:val="clear" w:color="auto" w:fill="FFFFFF"/>
        </w:rPr>
        <w:t xml:space="preserve"> July 2024).</w:t>
      </w:r>
    </w:p>
    <w:p w14:paraId="7FF7E725" w14:textId="77777777" w:rsidR="001C3FA3" w:rsidRPr="001C3FA3" w:rsidRDefault="001C3FA3" w:rsidP="001C3FA3">
      <w:pPr>
        <w:pStyle w:val="ListParagraph"/>
        <w:numPr>
          <w:ilvl w:val="0"/>
          <w:numId w:val="4"/>
        </w:numPr>
        <w:spacing w:line="276" w:lineRule="auto"/>
      </w:pPr>
      <w:r w:rsidRPr="001C3FA3">
        <w:t xml:space="preserve"> ACAS (2015) </w:t>
      </w:r>
      <w:r w:rsidRPr="001C3FA3">
        <w:rPr>
          <w:i/>
        </w:rPr>
        <w:t xml:space="preserve">Acas Code of Practice on disciplinary and grievance procedures. </w:t>
      </w:r>
      <w:r w:rsidRPr="001C3FA3">
        <w:t xml:space="preserve">Available at: </w:t>
      </w:r>
      <w:hyperlink r:id="rId23" w:history="1">
        <w:r w:rsidRPr="001C3FA3">
          <w:rPr>
            <w:rStyle w:val="Hyperlink"/>
          </w:rPr>
          <w:t>https://www.acas.org.uk/acas-code-of-practice-on-disciplinary-and-grievance-procedures ACAS 2015</w:t>
        </w:r>
      </w:hyperlink>
      <w:r w:rsidRPr="001C3FA3">
        <w:t xml:space="preserve"> (Accessed 5</w:t>
      </w:r>
      <w:r w:rsidRPr="001C3FA3">
        <w:rPr>
          <w:vertAlign w:val="superscript"/>
        </w:rPr>
        <w:t>th</w:t>
      </w:r>
      <w:r w:rsidRPr="001C3FA3">
        <w:t xml:space="preserve"> July 2024). </w:t>
      </w:r>
    </w:p>
    <w:p w14:paraId="646B7345" w14:textId="77777777" w:rsidR="001C3FA3" w:rsidRPr="001C3FA3" w:rsidRDefault="001C3FA3" w:rsidP="001C3FA3">
      <w:pPr>
        <w:pStyle w:val="ListParagraph"/>
        <w:numPr>
          <w:ilvl w:val="0"/>
          <w:numId w:val="4"/>
        </w:numPr>
        <w:spacing w:line="276" w:lineRule="auto"/>
        <w:rPr>
          <w:rFonts w:cs="Arial"/>
          <w:color w:val="202020"/>
          <w:shd w:val="clear" w:color="auto" w:fill="FFFFFF"/>
        </w:rPr>
      </w:pPr>
      <w:r w:rsidRPr="001C3FA3">
        <w:t xml:space="preserve">ACAS (2021) </w:t>
      </w:r>
      <w:r w:rsidRPr="001C3FA3">
        <w:rPr>
          <w:i/>
        </w:rPr>
        <w:t xml:space="preserve">Challenging conversations and how to manage them. </w:t>
      </w:r>
      <w:r w:rsidRPr="001C3FA3">
        <w:t>Available at:</w:t>
      </w:r>
      <w:r w:rsidRPr="001C3FA3">
        <w:rPr>
          <w:rFonts w:cs="Arial"/>
          <w:color w:val="202020"/>
          <w:shd w:val="clear" w:color="auto" w:fill="FFFFFF"/>
        </w:rPr>
        <w:t xml:space="preserve"> </w:t>
      </w:r>
      <w:hyperlink r:id="rId24" w:history="1">
        <w:r w:rsidRPr="001C3FA3">
          <w:rPr>
            <w:rStyle w:val="Hyperlink"/>
            <w:rFonts w:cs="Arial"/>
            <w:shd w:val="clear" w:color="auto" w:fill="FFFFFF"/>
          </w:rPr>
          <w:t>https://www.acas.org.uk/sites/default/files/2021-04/challenging-conversations-and-how-to-manage-them.pdf</w:t>
        </w:r>
      </w:hyperlink>
      <w:r w:rsidRPr="001C3FA3">
        <w:rPr>
          <w:rFonts w:cs="Arial"/>
          <w:color w:val="202020"/>
          <w:shd w:val="clear" w:color="auto" w:fill="FFFFFF"/>
        </w:rPr>
        <w:t xml:space="preserve"> (Accessed 9</w:t>
      </w:r>
      <w:r w:rsidRPr="001C3FA3">
        <w:rPr>
          <w:rFonts w:cs="Arial"/>
          <w:color w:val="202020"/>
          <w:shd w:val="clear" w:color="auto" w:fill="FFFFFF"/>
          <w:vertAlign w:val="superscript"/>
        </w:rPr>
        <w:t>th</w:t>
      </w:r>
      <w:r w:rsidRPr="001C3FA3">
        <w:rPr>
          <w:rFonts w:cs="Arial"/>
          <w:color w:val="202020"/>
          <w:shd w:val="clear" w:color="auto" w:fill="FFFFFF"/>
        </w:rPr>
        <w:t xml:space="preserve"> July 2024). </w:t>
      </w:r>
    </w:p>
    <w:p w14:paraId="09320F96" w14:textId="77777777" w:rsidR="001C3FA3" w:rsidRPr="001C3FA3" w:rsidRDefault="001C3FA3" w:rsidP="001C3FA3">
      <w:pPr>
        <w:pStyle w:val="ListParagraph"/>
        <w:numPr>
          <w:ilvl w:val="0"/>
          <w:numId w:val="4"/>
        </w:numPr>
        <w:spacing w:line="276" w:lineRule="auto"/>
      </w:pPr>
      <w:r w:rsidRPr="001C3FA3">
        <w:t xml:space="preserve">ACAS (2022a) </w:t>
      </w:r>
      <w:r w:rsidRPr="001C3FA3">
        <w:rPr>
          <w:i/>
        </w:rPr>
        <w:t xml:space="preserve">Early conciliation: If you want to make a claim. </w:t>
      </w:r>
      <w:r w:rsidRPr="001C3FA3">
        <w:t xml:space="preserve">Available at: </w:t>
      </w:r>
      <w:hyperlink r:id="rId25" w:history="1">
        <w:r w:rsidRPr="001C3FA3">
          <w:rPr>
            <w:rStyle w:val="Hyperlink"/>
          </w:rPr>
          <w:t>https://www.acas.org.uk/early-conciliation</w:t>
        </w:r>
      </w:hyperlink>
      <w:r w:rsidRPr="001C3FA3">
        <w:t xml:space="preserve"> (Accessed 29</w:t>
      </w:r>
      <w:r w:rsidRPr="001C3FA3">
        <w:rPr>
          <w:vertAlign w:val="superscript"/>
        </w:rPr>
        <w:t>th</w:t>
      </w:r>
      <w:r w:rsidRPr="001C3FA3">
        <w:t xml:space="preserve"> June 2024). </w:t>
      </w:r>
    </w:p>
    <w:p w14:paraId="608CA816" w14:textId="77777777" w:rsidR="001C3FA3" w:rsidRPr="001C3FA3" w:rsidRDefault="001C3FA3" w:rsidP="001C3FA3">
      <w:pPr>
        <w:pStyle w:val="ListParagraph"/>
        <w:numPr>
          <w:ilvl w:val="0"/>
          <w:numId w:val="4"/>
        </w:numPr>
        <w:spacing w:line="276" w:lineRule="auto"/>
      </w:pPr>
      <w:r w:rsidRPr="001C3FA3">
        <w:lastRenderedPageBreak/>
        <w:t xml:space="preserve">ACAS (2022b) </w:t>
      </w:r>
      <w:r w:rsidRPr="001C3FA3">
        <w:rPr>
          <w:i/>
        </w:rPr>
        <w:t xml:space="preserve">Arbitration. </w:t>
      </w:r>
      <w:r w:rsidRPr="001C3FA3">
        <w:t xml:space="preserve">Available at: </w:t>
      </w:r>
      <w:hyperlink r:id="rId26" w:history="1">
        <w:r w:rsidRPr="001C3FA3">
          <w:rPr>
            <w:rStyle w:val="Hyperlink"/>
          </w:rPr>
          <w:t>https://www.acas.org.uk/arbitration</w:t>
        </w:r>
      </w:hyperlink>
      <w:r w:rsidRPr="001C3FA3">
        <w:t xml:space="preserve"> (Accessed 29</w:t>
      </w:r>
      <w:r w:rsidRPr="001C3FA3">
        <w:rPr>
          <w:vertAlign w:val="superscript"/>
        </w:rPr>
        <w:t>th</w:t>
      </w:r>
      <w:r w:rsidRPr="001C3FA3">
        <w:t xml:space="preserve"> June 2024). </w:t>
      </w:r>
    </w:p>
    <w:p w14:paraId="0F192F7C" w14:textId="77777777" w:rsidR="001C3FA3" w:rsidRPr="001C3FA3" w:rsidRDefault="001C3FA3" w:rsidP="001C3FA3">
      <w:pPr>
        <w:pStyle w:val="ListParagraph"/>
        <w:numPr>
          <w:ilvl w:val="0"/>
          <w:numId w:val="4"/>
        </w:numPr>
        <w:spacing w:line="276" w:lineRule="auto"/>
      </w:pPr>
      <w:r w:rsidRPr="001C3FA3">
        <w:t xml:space="preserve">ACAS (2023) </w:t>
      </w:r>
      <w:r w:rsidRPr="001C3FA3">
        <w:rPr>
          <w:i/>
        </w:rPr>
        <w:t xml:space="preserve">Supporting disabled people at work: Talking about disability. </w:t>
      </w:r>
      <w:r w:rsidRPr="001C3FA3">
        <w:t xml:space="preserve">Available at: </w:t>
      </w:r>
      <w:hyperlink r:id="rId27" w:history="1">
        <w:r w:rsidRPr="001C3FA3">
          <w:rPr>
            <w:rStyle w:val="Hyperlink"/>
          </w:rPr>
          <w:t>https://www.acas.org.uk/supporting-disabled-people/capability-and-performance-when-someone-is-disabled ACAS 2023</w:t>
        </w:r>
      </w:hyperlink>
      <w:r w:rsidRPr="001C3FA3">
        <w:t xml:space="preserve"> (Accessed 3</w:t>
      </w:r>
      <w:r w:rsidRPr="001C3FA3">
        <w:rPr>
          <w:vertAlign w:val="superscript"/>
        </w:rPr>
        <w:t>rd</w:t>
      </w:r>
      <w:r w:rsidRPr="001C3FA3">
        <w:t xml:space="preserve"> July 2024). </w:t>
      </w:r>
    </w:p>
    <w:p w14:paraId="543F5334" w14:textId="77777777" w:rsidR="001C3FA3" w:rsidRPr="001C3FA3" w:rsidRDefault="001C3FA3" w:rsidP="001C3FA3">
      <w:pPr>
        <w:pStyle w:val="ListParagraph"/>
        <w:numPr>
          <w:ilvl w:val="0"/>
          <w:numId w:val="4"/>
        </w:numPr>
        <w:spacing w:line="276" w:lineRule="auto"/>
      </w:pPr>
      <w:r w:rsidRPr="001C3FA3">
        <w:t xml:space="preserve">ACAS (2024a) </w:t>
      </w:r>
      <w:r w:rsidRPr="001C3FA3">
        <w:rPr>
          <w:i/>
        </w:rPr>
        <w:t>Strikes and Industrial Action: Strikes.</w:t>
      </w:r>
      <w:r w:rsidRPr="001C3FA3">
        <w:t xml:space="preserve"> Available at: </w:t>
      </w:r>
      <w:hyperlink r:id="rId28" w:history="1">
        <w:r w:rsidRPr="001C3FA3">
          <w:rPr>
            <w:rStyle w:val="Hyperlink"/>
          </w:rPr>
          <w:t>https://www.acas.org.uk/strikes-and-industrial-action/strikes</w:t>
        </w:r>
      </w:hyperlink>
      <w:r w:rsidRPr="001C3FA3">
        <w:rPr>
          <w:rStyle w:val="Hyperlink"/>
        </w:rPr>
        <w:t xml:space="preserve"> </w:t>
      </w:r>
      <w:r w:rsidRPr="001C3FA3">
        <w:t>(Accessed 27</w:t>
      </w:r>
      <w:r w:rsidRPr="001C3FA3">
        <w:rPr>
          <w:vertAlign w:val="superscript"/>
        </w:rPr>
        <w:t>th</w:t>
      </w:r>
      <w:r w:rsidRPr="001C3FA3">
        <w:t xml:space="preserve"> June 2024).</w:t>
      </w:r>
    </w:p>
    <w:p w14:paraId="1C67E3B6" w14:textId="77777777" w:rsidR="001C3FA3" w:rsidRPr="001C3FA3" w:rsidRDefault="001C3FA3" w:rsidP="001C3FA3">
      <w:pPr>
        <w:pStyle w:val="ListParagraph"/>
        <w:numPr>
          <w:ilvl w:val="0"/>
          <w:numId w:val="4"/>
        </w:numPr>
        <w:spacing w:line="276" w:lineRule="auto"/>
      </w:pPr>
      <w:r w:rsidRPr="001C3FA3">
        <w:t xml:space="preserve">ACAS (2024b) </w:t>
      </w:r>
      <w:r w:rsidRPr="001C3FA3">
        <w:rPr>
          <w:i/>
        </w:rPr>
        <w:t xml:space="preserve">Dispute in the workplace: A story of change and complexity. </w:t>
      </w:r>
      <w:r w:rsidRPr="001C3FA3">
        <w:t xml:space="preserve">Available at: </w:t>
      </w:r>
      <w:hyperlink r:id="rId29" w:history="1">
        <w:r w:rsidRPr="001C3FA3">
          <w:rPr>
            <w:rStyle w:val="Hyperlink"/>
          </w:rPr>
          <w:t>https://www.acas.org.uk/dispute-in-the-workplace-a-story-of-change-and-complexity</w:t>
        </w:r>
      </w:hyperlink>
      <w:r w:rsidRPr="001C3FA3">
        <w:t xml:space="preserve"> (Accessed 28th June 2024). </w:t>
      </w:r>
    </w:p>
    <w:p w14:paraId="58976D38" w14:textId="77777777" w:rsidR="001C3FA3" w:rsidRPr="001C3FA3" w:rsidRDefault="001C3FA3" w:rsidP="001C3FA3">
      <w:pPr>
        <w:pStyle w:val="ListParagraph"/>
        <w:numPr>
          <w:ilvl w:val="0"/>
          <w:numId w:val="4"/>
        </w:numPr>
        <w:spacing w:line="276" w:lineRule="auto"/>
      </w:pPr>
      <w:r w:rsidRPr="001C3FA3">
        <w:t xml:space="preserve">ACAS (2024c) </w:t>
      </w:r>
      <w:r w:rsidRPr="001C3FA3">
        <w:rPr>
          <w:i/>
        </w:rPr>
        <w:t xml:space="preserve">Formal Grievance procedure: Step 1: Understanding the options. </w:t>
      </w:r>
      <w:r w:rsidRPr="001C3FA3">
        <w:t xml:space="preserve">Available at: </w:t>
      </w:r>
      <w:hyperlink r:id="rId30" w:history="1">
        <w:r w:rsidRPr="001C3FA3">
          <w:rPr>
            <w:rStyle w:val="Hyperlink"/>
          </w:rPr>
          <w:t>https://www.acas.org.uk/grievance-procedure-step-by-step</w:t>
        </w:r>
      </w:hyperlink>
      <w:r w:rsidRPr="001C3FA3">
        <w:t xml:space="preserve"> (Accessed 5th July 2024).</w:t>
      </w:r>
    </w:p>
    <w:p w14:paraId="4445EEB6"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Aidt, T.S., and Tzannatos, Z. (2008) Trade unions, collective bargaining and macroeconomic performance: a review. </w:t>
      </w:r>
      <w:r w:rsidRPr="001C3FA3">
        <w:rPr>
          <w:rFonts w:eastAsia="Times New Roman" w:cs="Arial"/>
          <w:i/>
          <w:iCs/>
          <w:color w:val="222222"/>
          <w:kern w:val="0"/>
          <w14:ligatures w14:val="none"/>
        </w:rPr>
        <w:t>Industrial relations journal</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39</w:t>
      </w:r>
      <w:r w:rsidRPr="001C3FA3">
        <w:rPr>
          <w:rFonts w:eastAsia="Times New Roman" w:cs="Arial"/>
          <w:color w:val="222222"/>
          <w:kern w:val="0"/>
          <w:shd w:val="clear" w:color="auto" w:fill="FFFFFF"/>
          <w14:ligatures w14:val="none"/>
        </w:rPr>
        <w:t>(4), pp.258-295.</w:t>
      </w:r>
    </w:p>
    <w:p w14:paraId="49E38F23" w14:textId="77777777" w:rsidR="001C3FA3" w:rsidRPr="001C3FA3" w:rsidRDefault="001C3FA3" w:rsidP="001C3FA3">
      <w:pPr>
        <w:pStyle w:val="ListParagraph"/>
        <w:numPr>
          <w:ilvl w:val="0"/>
          <w:numId w:val="4"/>
        </w:numPr>
        <w:spacing w:line="276" w:lineRule="auto"/>
      </w:pPr>
      <w:r w:rsidRPr="001C3FA3">
        <w:t xml:space="preserve">Alexander, C. (2020) ‘Raising Sexual Harassment Claims Using the Personal Grievance Process: What Needs to Change?’, </w:t>
      </w:r>
      <w:r w:rsidRPr="001C3FA3">
        <w:rPr>
          <w:i/>
        </w:rPr>
        <w:t>Victoria University of Wellington Legal Research Paper,</w:t>
      </w:r>
      <w:r w:rsidRPr="001C3FA3">
        <w:t xml:space="preserve"> (2). Available at: </w:t>
      </w:r>
      <w:hyperlink r:id="rId31" w:history="1">
        <w:r w:rsidRPr="001C3FA3">
          <w:rPr>
            <w:rStyle w:val="Hyperlink"/>
          </w:rPr>
          <w:t>https://dx.doi.org/10.213</w:t>
        </w:r>
      </w:hyperlink>
    </w:p>
    <w:p w14:paraId="39F71572"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rPr>
          <w:rFonts w:eastAsia="Times New Roman" w:cs="Times New Roman"/>
          <w:color w:val="232323"/>
          <w:kern w:val="0"/>
          <w:shd w:val="clear" w:color="auto" w:fill="FFFFFF"/>
          <w14:ligatures w14:val="none"/>
        </w:rPr>
        <w:t>Armstrong, M., &amp; Taylor, S. (2020). Armstrong’s Handbook of Human Resource Management Practice. London: Kogan Page Publishers.</w:t>
      </w:r>
    </w:p>
    <w:p w14:paraId="56FE8730"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Balamurugan, T., and Aravinthan, M., (2023) Impact of social networking sites among college students with special reference to rural areas in India. In </w:t>
      </w:r>
      <w:r w:rsidRPr="001C3FA3">
        <w:rPr>
          <w:rFonts w:eastAsia="Times New Roman" w:cs="Arial"/>
          <w:i/>
          <w:iCs/>
          <w:color w:val="222222"/>
          <w:kern w:val="0"/>
          <w14:ligatures w14:val="none"/>
        </w:rPr>
        <w:t>Research Anthology on Applying Social Networking Strategies to Classrooms and Libraries</w:t>
      </w:r>
      <w:r w:rsidRPr="001C3FA3">
        <w:rPr>
          <w:rFonts w:eastAsia="Times New Roman" w:cs="Arial"/>
          <w:color w:val="222222"/>
          <w:kern w:val="0"/>
          <w:shd w:val="clear" w:color="auto" w:fill="FFFFFF"/>
          <w14:ligatures w14:val="none"/>
        </w:rPr>
        <w:t> (pp. 1763-1785). IGI Global.</w:t>
      </w:r>
    </w:p>
    <w:p w14:paraId="7D950EEE" w14:textId="77777777" w:rsidR="001C3FA3" w:rsidRPr="001C3FA3" w:rsidRDefault="001C3FA3" w:rsidP="001C3FA3">
      <w:pPr>
        <w:pStyle w:val="ListParagraph"/>
        <w:numPr>
          <w:ilvl w:val="0"/>
          <w:numId w:val="4"/>
        </w:numPr>
        <w:spacing w:line="276" w:lineRule="auto"/>
      </w:pPr>
      <w:r w:rsidRPr="001C3FA3">
        <w:t xml:space="preserve">CIPD (2020) </w:t>
      </w:r>
      <w:r w:rsidRPr="001C3FA3">
        <w:rPr>
          <w:i/>
        </w:rPr>
        <w:t>Managing conflict in the modern workplace.</w:t>
      </w:r>
      <w:r w:rsidRPr="001C3FA3">
        <w:t xml:space="preserve"> Available at: </w:t>
      </w:r>
      <w:hyperlink r:id="rId32" w:history="1">
        <w:r w:rsidRPr="001C3FA3">
          <w:rPr>
            <w:rStyle w:val="Hyperlink"/>
          </w:rPr>
          <w:t>https://www.cipd.org/uk/knowledge/reports/managing-workplace-conflict-report/</w:t>
        </w:r>
      </w:hyperlink>
      <w:r w:rsidRPr="001C3FA3">
        <w:t xml:space="preserve">  (Accessed 27</w:t>
      </w:r>
      <w:r w:rsidRPr="001C3FA3">
        <w:rPr>
          <w:vertAlign w:val="superscript"/>
        </w:rPr>
        <w:t>th</w:t>
      </w:r>
      <w:r w:rsidRPr="001C3FA3">
        <w:t xml:space="preserve"> June 2024).</w:t>
      </w:r>
    </w:p>
    <w:p w14:paraId="5A6AC023" w14:textId="77777777" w:rsidR="001C3FA3" w:rsidRPr="001C3FA3" w:rsidRDefault="001C3FA3" w:rsidP="001C3FA3">
      <w:pPr>
        <w:pStyle w:val="ListParagraph"/>
        <w:numPr>
          <w:ilvl w:val="0"/>
          <w:numId w:val="4"/>
        </w:numPr>
        <w:spacing w:line="276" w:lineRule="auto"/>
      </w:pPr>
      <w:r w:rsidRPr="001C3FA3">
        <w:t xml:space="preserve">CIPD (2022) </w:t>
      </w:r>
      <w:r w:rsidRPr="001C3FA3">
        <w:rPr>
          <w:i/>
        </w:rPr>
        <w:t>Dealing with bullying and workplace conflict: Guide for managers.</w:t>
      </w:r>
      <w:r w:rsidRPr="001C3FA3">
        <w:t xml:space="preserve"> Available at: </w:t>
      </w:r>
      <w:hyperlink r:id="rId33" w:history="1">
        <w:r w:rsidRPr="001C3FA3">
          <w:rPr>
            <w:rStyle w:val="Hyperlink"/>
          </w:rPr>
          <w:t>https://www.cipd.org/uk/knowledge/guides/workplace-conflict-people-manager-guide/</w:t>
        </w:r>
      </w:hyperlink>
      <w:r w:rsidRPr="001C3FA3">
        <w:t xml:space="preserve"> (Accessed 27</w:t>
      </w:r>
      <w:r w:rsidRPr="001C3FA3">
        <w:rPr>
          <w:vertAlign w:val="superscript"/>
        </w:rPr>
        <w:t>th</w:t>
      </w:r>
      <w:r w:rsidRPr="001C3FA3">
        <w:t xml:space="preserve"> June 2024). </w:t>
      </w:r>
    </w:p>
    <w:p w14:paraId="4C59EC56" w14:textId="77777777" w:rsidR="001C3FA3" w:rsidRPr="001C3FA3" w:rsidRDefault="001C3FA3" w:rsidP="001C3FA3">
      <w:pPr>
        <w:pStyle w:val="ListParagraph"/>
        <w:numPr>
          <w:ilvl w:val="0"/>
          <w:numId w:val="4"/>
        </w:numPr>
        <w:spacing w:line="276" w:lineRule="auto"/>
      </w:pPr>
      <w:r w:rsidRPr="001C3FA3">
        <w:t xml:space="preserve">CIPD (2023a) </w:t>
      </w:r>
      <w:r w:rsidRPr="001C3FA3">
        <w:rPr>
          <w:i/>
        </w:rPr>
        <w:t>Mediation at work</w:t>
      </w:r>
      <w:r w:rsidRPr="001C3FA3">
        <w:t xml:space="preserve">. Available at: </w:t>
      </w:r>
      <w:hyperlink r:id="rId34" w:anchor="Conflict" w:history="1">
        <w:r w:rsidRPr="001C3FA3">
          <w:rPr>
            <w:rStyle w:val="Hyperlink"/>
          </w:rPr>
          <w:t>https://www.cipd.org/uk/knowledge/factsheets/mediation-factsheet/#Conflict</w:t>
        </w:r>
      </w:hyperlink>
      <w:r w:rsidRPr="001C3FA3">
        <w:t xml:space="preserve"> (Accessed 27</w:t>
      </w:r>
      <w:r w:rsidRPr="001C3FA3">
        <w:rPr>
          <w:vertAlign w:val="superscript"/>
        </w:rPr>
        <w:t>th</w:t>
      </w:r>
      <w:r w:rsidRPr="001C3FA3">
        <w:t xml:space="preserve"> June 2024). </w:t>
      </w:r>
    </w:p>
    <w:p w14:paraId="30CC6F1E" w14:textId="77777777" w:rsidR="001C3FA3" w:rsidRPr="001C3FA3" w:rsidRDefault="001C3FA3" w:rsidP="001C3FA3">
      <w:pPr>
        <w:pStyle w:val="ListParagraph"/>
        <w:numPr>
          <w:ilvl w:val="0"/>
          <w:numId w:val="4"/>
        </w:numPr>
        <w:spacing w:line="276" w:lineRule="auto"/>
      </w:pPr>
      <w:r w:rsidRPr="001C3FA3">
        <w:t xml:space="preserve">CIPD (2023b) </w:t>
      </w:r>
      <w:r w:rsidRPr="001C3FA3">
        <w:rPr>
          <w:i/>
        </w:rPr>
        <w:t xml:space="preserve">Trade unions: An introduction. </w:t>
      </w:r>
      <w:r w:rsidRPr="001C3FA3">
        <w:t xml:space="preserve">Available at: </w:t>
      </w:r>
      <w:hyperlink r:id="rId35" w:anchor="TradeUnions" w:history="1">
        <w:r w:rsidRPr="001C3FA3">
          <w:rPr>
            <w:rStyle w:val="Hyperlink"/>
          </w:rPr>
          <w:t>https://www.cipd.org/uk/knowledge/factsheets/trade-unions-factsheet/#TradeUnions</w:t>
        </w:r>
      </w:hyperlink>
      <w:r w:rsidRPr="001C3FA3">
        <w:t xml:space="preserve"> (Accessed 28</w:t>
      </w:r>
      <w:r w:rsidRPr="001C3FA3">
        <w:rPr>
          <w:vertAlign w:val="superscript"/>
        </w:rPr>
        <w:t>th</w:t>
      </w:r>
      <w:r w:rsidRPr="001C3FA3">
        <w:t xml:space="preserve"> June 2024). </w:t>
      </w:r>
    </w:p>
    <w:p w14:paraId="2DCF9D81" w14:textId="77777777" w:rsidR="001C3FA3" w:rsidRPr="001C3FA3" w:rsidRDefault="001C3FA3" w:rsidP="001C3FA3">
      <w:pPr>
        <w:pStyle w:val="ListParagraph"/>
        <w:numPr>
          <w:ilvl w:val="0"/>
          <w:numId w:val="4"/>
        </w:numPr>
        <w:spacing w:line="276" w:lineRule="auto"/>
        <w:rPr>
          <w:rFonts w:cs="Arial"/>
          <w:color w:val="202020"/>
          <w:shd w:val="clear" w:color="auto" w:fill="FFFFFF"/>
        </w:rPr>
      </w:pPr>
      <w:r w:rsidRPr="001C3FA3">
        <w:t xml:space="preserve"> CIPD (2023d) </w:t>
      </w:r>
      <w:r w:rsidRPr="001C3FA3">
        <w:rPr>
          <w:i/>
        </w:rPr>
        <w:t xml:space="preserve">Discipline and grievance at work. </w:t>
      </w:r>
      <w:r w:rsidRPr="001C3FA3">
        <w:t xml:space="preserve">Available at: </w:t>
      </w:r>
      <w:hyperlink r:id="rId36" w:history="1">
        <w:r w:rsidRPr="001C3FA3">
          <w:rPr>
            <w:rStyle w:val="Hyperlink"/>
            <w:rFonts w:cs="Arial"/>
            <w:shd w:val="clear" w:color="auto" w:fill="FFFFFF"/>
          </w:rPr>
          <w:t>https://www.cipd.org/uk/knowledge/factsheets/discipline-factsheet/</w:t>
        </w:r>
      </w:hyperlink>
      <w:r w:rsidRPr="001C3FA3">
        <w:rPr>
          <w:rFonts w:cs="Arial"/>
          <w:color w:val="202020"/>
          <w:shd w:val="clear" w:color="auto" w:fill="FFFFFF"/>
        </w:rPr>
        <w:t xml:space="preserve"> (Accessed 9</w:t>
      </w:r>
      <w:r w:rsidRPr="001C3FA3">
        <w:rPr>
          <w:rFonts w:cs="Arial"/>
          <w:color w:val="202020"/>
          <w:shd w:val="clear" w:color="auto" w:fill="FFFFFF"/>
          <w:vertAlign w:val="superscript"/>
        </w:rPr>
        <w:t>th</w:t>
      </w:r>
      <w:r w:rsidRPr="001C3FA3">
        <w:rPr>
          <w:rFonts w:cs="Arial"/>
          <w:color w:val="202020"/>
          <w:shd w:val="clear" w:color="auto" w:fill="FFFFFF"/>
        </w:rPr>
        <w:t xml:space="preserve"> July 2024). </w:t>
      </w:r>
    </w:p>
    <w:p w14:paraId="10DA1BE8" w14:textId="77777777" w:rsidR="001C3FA3" w:rsidRPr="001C3FA3" w:rsidRDefault="001C3FA3" w:rsidP="001C3FA3">
      <w:pPr>
        <w:pStyle w:val="ListParagraph"/>
        <w:numPr>
          <w:ilvl w:val="0"/>
          <w:numId w:val="4"/>
        </w:numPr>
        <w:spacing w:line="276" w:lineRule="auto"/>
      </w:pPr>
      <w:r w:rsidRPr="001C3FA3">
        <w:t xml:space="preserve">CIPD (2024a) </w:t>
      </w:r>
      <w:r w:rsidRPr="001C3FA3">
        <w:rPr>
          <w:i/>
        </w:rPr>
        <w:t>Working with trade unions</w:t>
      </w:r>
      <w:r w:rsidRPr="001C3FA3">
        <w:t xml:space="preserve">. Available at: </w:t>
      </w:r>
      <w:hyperlink r:id="rId37" w:anchor="handling-negotiations" w:history="1">
        <w:r w:rsidRPr="001C3FA3">
          <w:rPr>
            <w:rStyle w:val="Hyperlink"/>
          </w:rPr>
          <w:t>https://www.cipd.org/uk/knowledge/guides/working-trade-unions/#handling-negotiations</w:t>
        </w:r>
      </w:hyperlink>
      <w:r w:rsidRPr="001C3FA3">
        <w:t xml:space="preserve"> (Accessed 27</w:t>
      </w:r>
      <w:r w:rsidRPr="001C3FA3">
        <w:rPr>
          <w:vertAlign w:val="superscript"/>
        </w:rPr>
        <w:t>th</w:t>
      </w:r>
      <w:r w:rsidRPr="001C3FA3">
        <w:t xml:space="preserve"> June 2024).</w:t>
      </w:r>
    </w:p>
    <w:p w14:paraId="1A6D560C" w14:textId="77777777" w:rsidR="001C3FA3" w:rsidRPr="001C3FA3" w:rsidRDefault="001C3FA3" w:rsidP="001C3FA3">
      <w:pPr>
        <w:pStyle w:val="ListParagraph"/>
        <w:numPr>
          <w:ilvl w:val="0"/>
          <w:numId w:val="4"/>
        </w:numPr>
        <w:spacing w:line="276" w:lineRule="auto"/>
      </w:pPr>
      <w:r w:rsidRPr="001C3FA3">
        <w:t xml:space="preserve">Daniels, K. (2022) </w:t>
      </w:r>
      <w:r w:rsidRPr="001C3FA3">
        <w:rPr>
          <w:i/>
        </w:rPr>
        <w:t xml:space="preserve">Introduction to Employment Law: Fundamentals for HR and Business Studies, </w:t>
      </w:r>
      <w:r w:rsidRPr="001C3FA3">
        <w:t xml:space="preserve">6. Great Britain: Kogan Page Limited. </w:t>
      </w:r>
    </w:p>
    <w:p w14:paraId="6F8AB7C3" w14:textId="77777777" w:rsidR="001C3FA3" w:rsidRPr="001C3FA3" w:rsidRDefault="001C3FA3" w:rsidP="001C3FA3">
      <w:pPr>
        <w:pStyle w:val="ListParagraph"/>
        <w:numPr>
          <w:ilvl w:val="0"/>
          <w:numId w:val="4"/>
        </w:numPr>
        <w:spacing w:line="276" w:lineRule="auto"/>
      </w:pPr>
      <w:r w:rsidRPr="001C3FA3">
        <w:rPr>
          <w:i/>
        </w:rPr>
        <w:t xml:space="preserve">Employment Rights Act 1996, </w:t>
      </w:r>
      <w:r w:rsidRPr="001C3FA3">
        <w:t xml:space="preserve">c. 18. Available at: </w:t>
      </w:r>
      <w:hyperlink r:id="rId38" w:history="1">
        <w:r w:rsidRPr="001C3FA3">
          <w:rPr>
            <w:rStyle w:val="Hyperlink"/>
          </w:rPr>
          <w:t>https://www.legislation.gov.uk/ukpga/1996/18/section/94</w:t>
        </w:r>
      </w:hyperlink>
      <w:r w:rsidRPr="001C3FA3">
        <w:t xml:space="preserve"> (Accessed 3</w:t>
      </w:r>
      <w:r w:rsidRPr="001C3FA3">
        <w:rPr>
          <w:vertAlign w:val="superscript"/>
        </w:rPr>
        <w:t>rd</w:t>
      </w:r>
      <w:r w:rsidRPr="001C3FA3">
        <w:t xml:space="preserve"> July 2024). </w:t>
      </w:r>
    </w:p>
    <w:p w14:paraId="37B8B6E4" w14:textId="77777777" w:rsidR="001C3FA3" w:rsidRPr="001C3FA3" w:rsidRDefault="001C3FA3" w:rsidP="001C3FA3">
      <w:pPr>
        <w:pStyle w:val="ListParagraph"/>
        <w:numPr>
          <w:ilvl w:val="0"/>
          <w:numId w:val="4"/>
        </w:numPr>
        <w:spacing w:line="276" w:lineRule="auto"/>
      </w:pPr>
      <w:r w:rsidRPr="001C3FA3">
        <w:rPr>
          <w:i/>
        </w:rPr>
        <w:lastRenderedPageBreak/>
        <w:t xml:space="preserve">Equality Act 2010, </w:t>
      </w:r>
      <w:r w:rsidRPr="001C3FA3">
        <w:t xml:space="preserve">c.15. Available at: </w:t>
      </w:r>
      <w:hyperlink r:id="rId39" w:history="1">
        <w:r w:rsidRPr="001C3FA3">
          <w:rPr>
            <w:rStyle w:val="Hyperlink"/>
          </w:rPr>
          <w:t>https://www.legislation.gov.uk/ukpga/2010/15/contents</w:t>
        </w:r>
      </w:hyperlink>
      <w:r w:rsidRPr="001C3FA3">
        <w:t xml:space="preserve"> (Accessed 3</w:t>
      </w:r>
      <w:r w:rsidRPr="001C3FA3">
        <w:rPr>
          <w:vertAlign w:val="superscript"/>
        </w:rPr>
        <w:t>rd</w:t>
      </w:r>
      <w:r w:rsidRPr="001C3FA3">
        <w:t xml:space="preserve"> July 2024). </w:t>
      </w:r>
    </w:p>
    <w:p w14:paraId="444D16D4" w14:textId="77777777" w:rsidR="001C3FA3" w:rsidRPr="001C3FA3" w:rsidRDefault="001C3FA3" w:rsidP="001C3FA3">
      <w:pPr>
        <w:pStyle w:val="ListParagraph"/>
        <w:numPr>
          <w:ilvl w:val="0"/>
          <w:numId w:val="4"/>
        </w:numPr>
        <w:spacing w:line="276" w:lineRule="auto"/>
      </w:pPr>
      <w:r w:rsidRPr="001C3FA3">
        <w:t xml:space="preserve">Fox and Partners (2022) </w:t>
      </w:r>
      <w:r w:rsidRPr="001C3FA3">
        <w:rPr>
          <w:i/>
        </w:rPr>
        <w:t xml:space="preserve">Fox &amp; Partners’ research into bulling at work report by Training Zone. </w:t>
      </w:r>
      <w:r w:rsidRPr="001C3FA3">
        <w:t xml:space="preserve">Available at: </w:t>
      </w:r>
      <w:hyperlink r:id="rId40" w:history="1">
        <w:r w:rsidRPr="001C3FA3">
          <w:rPr>
            <w:rStyle w:val="Hyperlink"/>
          </w:rPr>
          <w:t>https://www.foxlawyers.com/fox-partners-research-into-bullying-at-work-reported-by-training-zone/</w:t>
        </w:r>
      </w:hyperlink>
      <w:r w:rsidRPr="001C3FA3">
        <w:t xml:space="preserve"> (Accessed 6</w:t>
      </w:r>
      <w:r w:rsidRPr="001C3FA3">
        <w:rPr>
          <w:vertAlign w:val="superscript"/>
        </w:rPr>
        <w:t>th</w:t>
      </w:r>
      <w:r w:rsidRPr="001C3FA3">
        <w:t xml:space="preserve"> July 2024). </w:t>
      </w:r>
    </w:p>
    <w:p w14:paraId="5C71A03A"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Gomathi, S. (2014) A study on grievance management in improving employee performance in a Pvt Enterprise. </w:t>
      </w:r>
      <w:r w:rsidRPr="001C3FA3">
        <w:rPr>
          <w:rFonts w:eastAsia="Times New Roman" w:cs="Arial"/>
          <w:i/>
          <w:iCs/>
          <w:color w:val="222222"/>
          <w:kern w:val="0"/>
          <w14:ligatures w14:val="none"/>
        </w:rPr>
        <w:t>Mediterranean Journal of Social Sciences</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5</w:t>
      </w:r>
      <w:r w:rsidRPr="001C3FA3">
        <w:rPr>
          <w:rFonts w:eastAsia="Times New Roman" w:cs="Arial"/>
          <w:color w:val="222222"/>
          <w:kern w:val="0"/>
          <w:shd w:val="clear" w:color="auto" w:fill="FFFFFF"/>
          <w14:ligatures w14:val="none"/>
        </w:rPr>
        <w:t>(20), pp.20-29.</w:t>
      </w:r>
    </w:p>
    <w:p w14:paraId="0E1CA96A" w14:textId="77777777" w:rsidR="001C3FA3" w:rsidRPr="001C3FA3" w:rsidRDefault="001C3FA3" w:rsidP="001C3FA3">
      <w:pPr>
        <w:pStyle w:val="ListParagraph"/>
        <w:numPr>
          <w:ilvl w:val="0"/>
          <w:numId w:val="4"/>
        </w:numPr>
        <w:spacing w:line="276" w:lineRule="auto"/>
      </w:pPr>
      <w:r w:rsidRPr="001C3FA3">
        <w:t xml:space="preserve">GOV (NDa) </w:t>
      </w:r>
      <w:r w:rsidRPr="001C3FA3">
        <w:rPr>
          <w:i/>
        </w:rPr>
        <w:t>Solve a workplace dispute: Mediation, conciliation and arbitration.</w:t>
      </w:r>
      <w:r w:rsidRPr="001C3FA3">
        <w:t xml:space="preserve"> Available at: </w:t>
      </w:r>
      <w:hyperlink r:id="rId41" w:history="1">
        <w:r w:rsidRPr="001C3FA3">
          <w:rPr>
            <w:rStyle w:val="Hyperlink"/>
          </w:rPr>
          <w:t>https://www.gov.uk/solve-workplace-dispute/mediation-conciliation-and-arbitration</w:t>
        </w:r>
      </w:hyperlink>
      <w:r w:rsidRPr="001C3FA3">
        <w:t xml:space="preserve"> (Accessed 28</w:t>
      </w:r>
      <w:r w:rsidRPr="001C3FA3">
        <w:rPr>
          <w:vertAlign w:val="superscript"/>
        </w:rPr>
        <w:t>th</w:t>
      </w:r>
      <w:r w:rsidRPr="001C3FA3">
        <w:t xml:space="preserve"> June 2024). </w:t>
      </w:r>
    </w:p>
    <w:p w14:paraId="7C9C00E6" w14:textId="77777777" w:rsidR="001C3FA3" w:rsidRPr="001C3FA3" w:rsidRDefault="001C3FA3" w:rsidP="001C3FA3">
      <w:pPr>
        <w:pStyle w:val="ListParagraph"/>
        <w:numPr>
          <w:ilvl w:val="0"/>
          <w:numId w:val="4"/>
        </w:numPr>
        <w:spacing w:line="276" w:lineRule="auto"/>
      </w:pPr>
      <w:r w:rsidRPr="001C3FA3">
        <w:t xml:space="preserve">GOV (NDb) </w:t>
      </w:r>
      <w:r w:rsidRPr="001C3FA3">
        <w:rPr>
          <w:i/>
        </w:rPr>
        <w:t xml:space="preserve">Solve a workplace dispute: Appeals. </w:t>
      </w:r>
      <w:r w:rsidRPr="001C3FA3">
        <w:t xml:space="preserve">Available at: </w:t>
      </w:r>
      <w:hyperlink r:id="rId42" w:history="1">
        <w:r w:rsidRPr="001C3FA3">
          <w:rPr>
            <w:rStyle w:val="Hyperlink"/>
          </w:rPr>
          <w:t>https://www.gov.uk/solve-workplace-dispute/appeals</w:t>
        </w:r>
      </w:hyperlink>
      <w:r w:rsidRPr="001C3FA3">
        <w:t xml:space="preserve"> (Accessed 3</w:t>
      </w:r>
      <w:r w:rsidRPr="001C3FA3">
        <w:rPr>
          <w:vertAlign w:val="superscript"/>
        </w:rPr>
        <w:t>rd</w:t>
      </w:r>
      <w:r w:rsidRPr="001C3FA3">
        <w:t xml:space="preserve"> July 2024). </w:t>
      </w:r>
    </w:p>
    <w:p w14:paraId="07DB7D01" w14:textId="77777777" w:rsidR="001C3FA3" w:rsidRPr="001C3FA3" w:rsidRDefault="001C3FA3" w:rsidP="001C3FA3">
      <w:pPr>
        <w:pStyle w:val="ListParagraph"/>
        <w:numPr>
          <w:ilvl w:val="0"/>
          <w:numId w:val="4"/>
        </w:numPr>
        <w:spacing w:line="276" w:lineRule="auto"/>
      </w:pPr>
      <w:r w:rsidRPr="001C3FA3">
        <w:t xml:space="preserve">GOV (NDc) </w:t>
      </w:r>
      <w:r w:rsidRPr="001C3FA3">
        <w:rPr>
          <w:i/>
        </w:rPr>
        <w:t xml:space="preserve">Employers: Recognise a trade union. </w:t>
      </w:r>
      <w:r w:rsidRPr="001C3FA3">
        <w:t xml:space="preserve">Available at: </w:t>
      </w:r>
      <w:hyperlink r:id="rId43" w:history="1">
        <w:r w:rsidRPr="001C3FA3">
          <w:rPr>
            <w:rStyle w:val="Hyperlink"/>
          </w:rPr>
          <w:t>https://www.gov.uk/trade-union-recognition-employers</w:t>
        </w:r>
      </w:hyperlink>
      <w:r w:rsidRPr="001C3FA3">
        <w:t xml:space="preserve"> (Accessed 12</w:t>
      </w:r>
      <w:r w:rsidRPr="001C3FA3">
        <w:rPr>
          <w:vertAlign w:val="superscript"/>
        </w:rPr>
        <w:t>th</w:t>
      </w:r>
      <w:r w:rsidRPr="001C3FA3">
        <w:t xml:space="preserve"> July 2024). </w:t>
      </w:r>
    </w:p>
    <w:p w14:paraId="0A57562D"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t xml:space="preserve">GOV (NDd) </w:t>
      </w:r>
      <w:r w:rsidRPr="001C3FA3">
        <w:rPr>
          <w:i/>
        </w:rPr>
        <w:t xml:space="preserve">Taking part in industrial action and strikes. </w:t>
      </w:r>
      <w:r w:rsidRPr="001C3FA3">
        <w:t xml:space="preserve">Available at: </w:t>
      </w:r>
      <w:hyperlink r:id="rId44" w:history="1">
        <w:r w:rsidRPr="001C3FA3">
          <w:rPr>
            <w:rStyle w:val="Hyperlink"/>
            <w:rFonts w:eastAsia="Times New Roman" w:cs="Times New Roman"/>
            <w:kern w:val="0"/>
            <w14:ligatures w14:val="none"/>
          </w:rPr>
          <w:t>https://www.gov.uk/industrial-action-strikes/your-employment-rights-during-industrial-action</w:t>
        </w:r>
      </w:hyperlink>
      <w:r w:rsidRPr="001C3FA3">
        <w:rPr>
          <w:rFonts w:eastAsia="Times New Roman" w:cs="Times New Roman"/>
          <w:kern w:val="0"/>
          <w14:ligatures w14:val="none"/>
        </w:rPr>
        <w:t xml:space="preserve"> (Accessed 12</w:t>
      </w:r>
      <w:r w:rsidRPr="001C3FA3">
        <w:rPr>
          <w:rFonts w:eastAsia="Times New Roman" w:cs="Times New Roman"/>
          <w:kern w:val="0"/>
          <w:vertAlign w:val="superscript"/>
          <w14:ligatures w14:val="none"/>
        </w:rPr>
        <w:t>th</w:t>
      </w:r>
      <w:r w:rsidRPr="001C3FA3">
        <w:rPr>
          <w:rFonts w:eastAsia="Times New Roman" w:cs="Times New Roman"/>
          <w:kern w:val="0"/>
          <w14:ligatures w14:val="none"/>
        </w:rPr>
        <w:t xml:space="preserve"> July 2024). </w:t>
      </w:r>
    </w:p>
    <w:p w14:paraId="5391A269" w14:textId="77777777" w:rsidR="001C3FA3" w:rsidRPr="001C3FA3" w:rsidRDefault="001C3FA3" w:rsidP="001C3FA3">
      <w:pPr>
        <w:pStyle w:val="ListParagraph"/>
        <w:numPr>
          <w:ilvl w:val="0"/>
          <w:numId w:val="4"/>
        </w:numPr>
        <w:spacing w:line="276" w:lineRule="auto"/>
      </w:pPr>
      <w:r w:rsidRPr="001C3FA3">
        <w:t xml:space="preserve">GOV (NDe) </w:t>
      </w:r>
      <w:r w:rsidRPr="001C3FA3">
        <w:rPr>
          <w:i/>
        </w:rPr>
        <w:t xml:space="preserve">Working with trade unions: employers. </w:t>
      </w:r>
      <w:r w:rsidRPr="001C3FA3">
        <w:t xml:space="preserve">Available at: </w:t>
      </w:r>
      <w:hyperlink r:id="rId45" w:history="1">
        <w:r w:rsidRPr="001C3FA3">
          <w:rPr>
            <w:rStyle w:val="Hyperlink"/>
          </w:rPr>
          <w:t>https://www.gov.uk/working-with-trade-unions/collective-bargaining</w:t>
        </w:r>
      </w:hyperlink>
      <w:r w:rsidRPr="001C3FA3">
        <w:t xml:space="preserve"> (Accessed 13th July 2024). </w:t>
      </w:r>
    </w:p>
    <w:p w14:paraId="15107A7A" w14:textId="77777777" w:rsidR="001C3FA3" w:rsidRPr="001C3FA3" w:rsidRDefault="001C3FA3" w:rsidP="001C3FA3">
      <w:pPr>
        <w:pStyle w:val="NormalWeb"/>
        <w:numPr>
          <w:ilvl w:val="0"/>
          <w:numId w:val="4"/>
        </w:numPr>
        <w:spacing w:line="276" w:lineRule="auto"/>
        <w:rPr>
          <w:rFonts w:asciiTheme="minorHAnsi" w:hAnsiTheme="minorHAnsi"/>
          <w:sz w:val="22"/>
          <w:szCs w:val="22"/>
        </w:rPr>
      </w:pPr>
      <w:r w:rsidRPr="001C3FA3">
        <w:rPr>
          <w:rFonts w:asciiTheme="minorHAnsi" w:hAnsiTheme="minorHAnsi"/>
          <w:sz w:val="22"/>
          <w:szCs w:val="22"/>
        </w:rPr>
        <w:t xml:space="preserve">Hales, A., Wood, N., &amp; Williams, K. (2021). Navigating COVID-19. </w:t>
      </w:r>
      <w:r w:rsidRPr="001C3FA3">
        <w:rPr>
          <w:rFonts w:asciiTheme="minorHAnsi" w:hAnsiTheme="minorHAnsi"/>
          <w:i/>
          <w:iCs/>
          <w:sz w:val="22"/>
          <w:szCs w:val="22"/>
        </w:rPr>
        <w:t>Group Processes &amp; Intergroup Relations</w:t>
      </w:r>
      <w:r w:rsidRPr="001C3FA3">
        <w:rPr>
          <w:rFonts w:asciiTheme="minorHAnsi" w:hAnsiTheme="minorHAnsi"/>
          <w:sz w:val="22"/>
          <w:szCs w:val="22"/>
        </w:rPr>
        <w:t xml:space="preserve">, </w:t>
      </w:r>
      <w:r w:rsidRPr="001C3FA3">
        <w:rPr>
          <w:rFonts w:asciiTheme="minorHAnsi" w:hAnsiTheme="minorHAnsi"/>
          <w:i/>
          <w:iCs/>
          <w:sz w:val="22"/>
          <w:szCs w:val="22"/>
        </w:rPr>
        <w:t>24</w:t>
      </w:r>
      <w:r w:rsidRPr="001C3FA3">
        <w:rPr>
          <w:rFonts w:asciiTheme="minorHAnsi" w:hAnsiTheme="minorHAnsi"/>
          <w:sz w:val="22"/>
          <w:szCs w:val="22"/>
        </w:rPr>
        <w:t xml:space="preserve">, 307–311. https://doi.org/10.1177/ 1368430220981408 </w:t>
      </w:r>
    </w:p>
    <w:p w14:paraId="3437561D" w14:textId="77777777" w:rsidR="001C3FA3" w:rsidRPr="001C3FA3" w:rsidRDefault="001C3FA3" w:rsidP="001C3FA3">
      <w:pPr>
        <w:pStyle w:val="ListParagraph"/>
        <w:numPr>
          <w:ilvl w:val="0"/>
          <w:numId w:val="4"/>
        </w:numPr>
        <w:spacing w:line="276" w:lineRule="auto"/>
      </w:pPr>
      <w:r w:rsidRPr="001C3FA3">
        <w:rPr>
          <w:rFonts w:cs="Arial"/>
          <w:color w:val="333333"/>
          <w:shd w:val="clear" w:color="auto" w:fill="FFFFFF"/>
        </w:rPr>
        <w:t>Holten A. L., Hancock G. R., Mikkelsen E. G., Persson R., Hansen Å. M., Høgh A. (2017). The longitudinal effects of organizational change on experienced and enacted bullying behaviour.</w:t>
      </w:r>
      <w:r w:rsidRPr="001C3FA3">
        <w:rPr>
          <w:rFonts w:eastAsia="Times New Roman" w:cs="Arial"/>
          <w:color w:val="333333"/>
          <w:shd w:val="clear" w:color="auto" w:fill="FFFFFF"/>
        </w:rPr>
        <w:t> </w:t>
      </w:r>
      <w:r w:rsidRPr="001C3FA3">
        <w:rPr>
          <w:rFonts w:eastAsia="Times New Roman" w:cs="Arial"/>
          <w:i/>
          <w:iCs/>
          <w:color w:val="333333"/>
        </w:rPr>
        <w:t>Journal of Change Management</w:t>
      </w:r>
      <w:r w:rsidRPr="001C3FA3">
        <w:rPr>
          <w:rFonts w:cs="Arial"/>
          <w:color w:val="333333"/>
          <w:shd w:val="clear" w:color="auto" w:fill="FFFFFF"/>
        </w:rPr>
        <w:t>, 17(1), 67–89</w:t>
      </w:r>
    </w:p>
    <w:p w14:paraId="49EF6E6D"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rPr>
          <w:rFonts w:cs="Arial"/>
          <w:color w:val="202020"/>
          <w:shd w:val="clear" w:color="auto" w:fill="FFFFFF"/>
        </w:rPr>
        <w:t xml:space="preserve">Indeed (2022) </w:t>
      </w:r>
      <w:r w:rsidRPr="001C3FA3">
        <w:rPr>
          <w:rFonts w:cs="Arial"/>
          <w:i/>
          <w:color w:val="202020"/>
          <w:shd w:val="clear" w:color="auto" w:fill="FFFFFF"/>
        </w:rPr>
        <w:t xml:space="preserve">Union job vs. Nonunion Job: Definitions and Differences. </w:t>
      </w:r>
      <w:r w:rsidRPr="001C3FA3">
        <w:rPr>
          <w:rFonts w:cs="Arial"/>
          <w:color w:val="202020"/>
          <w:shd w:val="clear" w:color="auto" w:fill="FFFFFF"/>
        </w:rPr>
        <w:t xml:space="preserve">Available at: </w:t>
      </w:r>
      <w:hyperlink r:id="rId46" w:history="1">
        <w:r w:rsidRPr="001C3FA3">
          <w:rPr>
            <w:rStyle w:val="Hyperlink"/>
            <w:rFonts w:eastAsia="Times New Roman" w:cs="Times New Roman"/>
            <w:kern w:val="0"/>
            <w14:ligatures w14:val="none"/>
          </w:rPr>
          <w:t>https://www.indeed.com/career-advice/finding-a-job/union-job-vs-non-union-job</w:t>
        </w:r>
      </w:hyperlink>
      <w:r w:rsidRPr="001C3FA3">
        <w:rPr>
          <w:rFonts w:eastAsia="Times New Roman" w:cs="Times New Roman"/>
          <w:kern w:val="0"/>
          <w14:ligatures w14:val="none"/>
        </w:rPr>
        <w:t xml:space="preserve"> (Accessed 13</w:t>
      </w:r>
      <w:r w:rsidRPr="001C3FA3">
        <w:rPr>
          <w:rFonts w:eastAsia="Times New Roman" w:cs="Times New Roman"/>
          <w:kern w:val="0"/>
          <w:vertAlign w:val="superscript"/>
          <w14:ligatures w14:val="none"/>
        </w:rPr>
        <w:t>th</w:t>
      </w:r>
      <w:r w:rsidRPr="001C3FA3">
        <w:rPr>
          <w:rFonts w:eastAsia="Times New Roman" w:cs="Times New Roman"/>
          <w:kern w:val="0"/>
          <w14:ligatures w14:val="none"/>
        </w:rPr>
        <w:t xml:space="preserve"> July 2024). </w:t>
      </w:r>
    </w:p>
    <w:p w14:paraId="016C27EA" w14:textId="77777777" w:rsidR="001C3FA3" w:rsidRPr="001C3FA3" w:rsidRDefault="001C3FA3" w:rsidP="001C3FA3">
      <w:pPr>
        <w:pStyle w:val="ListParagraph"/>
        <w:numPr>
          <w:ilvl w:val="0"/>
          <w:numId w:val="4"/>
        </w:numPr>
        <w:spacing w:line="276" w:lineRule="auto"/>
        <w:rPr>
          <w:rFonts w:cs="Arial"/>
          <w:color w:val="202020"/>
          <w:shd w:val="clear" w:color="auto" w:fill="FFFFFF"/>
        </w:rPr>
      </w:pPr>
      <w:r w:rsidRPr="001C3FA3">
        <w:t>Indeed (2023)</w:t>
      </w:r>
      <w:r w:rsidRPr="001C3FA3">
        <w:rPr>
          <w:i/>
        </w:rPr>
        <w:t xml:space="preserve"> Handling workplace complaints: plus benefits and skills. </w:t>
      </w:r>
      <w:r w:rsidRPr="001C3FA3">
        <w:t xml:space="preserve">Available at: </w:t>
      </w:r>
      <w:hyperlink r:id="rId47" w:history="1">
        <w:r w:rsidRPr="001C3FA3">
          <w:rPr>
            <w:rStyle w:val="Hyperlink"/>
            <w:rFonts w:cs="Arial"/>
            <w:shd w:val="clear" w:color="auto" w:fill="FFFFFF"/>
          </w:rPr>
          <w:t>https://uk.indeed.com/career-advice/career-development/handling-workplace-complaints</w:t>
        </w:r>
      </w:hyperlink>
      <w:r w:rsidRPr="001C3FA3">
        <w:rPr>
          <w:rFonts w:cs="Arial"/>
          <w:color w:val="202020"/>
          <w:shd w:val="clear" w:color="auto" w:fill="FFFFFF"/>
        </w:rPr>
        <w:t xml:space="preserve"> (Accessed 9th July 2024). </w:t>
      </w:r>
    </w:p>
    <w:p w14:paraId="2D43E718" w14:textId="77777777" w:rsidR="001C3FA3" w:rsidRPr="001C3FA3" w:rsidRDefault="001C3FA3" w:rsidP="001C3FA3">
      <w:pPr>
        <w:pStyle w:val="ListParagraph"/>
        <w:numPr>
          <w:ilvl w:val="0"/>
          <w:numId w:val="4"/>
        </w:numPr>
        <w:spacing w:line="276" w:lineRule="auto"/>
      </w:pPr>
      <w:r w:rsidRPr="001C3FA3">
        <w:rPr>
          <w:rFonts w:eastAsia="Times New Roman" w:cs="Arial"/>
          <w:color w:val="222222"/>
          <w:kern w:val="0"/>
          <w:shd w:val="clear" w:color="auto" w:fill="FFFFFF"/>
          <w14:ligatures w14:val="none"/>
        </w:rPr>
        <w:t>Joba, Y. (2024) Trade Union Recognition in the UK: A Case for Sectoral Model of Collective Bargaining. </w:t>
      </w:r>
      <w:r w:rsidRPr="001C3FA3">
        <w:rPr>
          <w:rFonts w:eastAsia="Times New Roman" w:cs="Arial"/>
          <w:i/>
          <w:iCs/>
          <w:color w:val="222222"/>
          <w:kern w:val="0"/>
          <w14:ligatures w14:val="none"/>
        </w:rPr>
        <w:t>City L. Rev.</w:t>
      </w:r>
      <w:r w:rsidRPr="001C3FA3">
        <w:rPr>
          <w:rFonts w:eastAsia="Times New Roman" w:cs="Arial"/>
          <w:color w:val="222222"/>
          <w:kern w:val="0"/>
          <w:shd w:val="clear" w:color="auto" w:fill="FFFFFF"/>
          <w14:ligatures w14:val="none"/>
        </w:rPr>
        <w:t>, </w:t>
      </w:r>
      <w:r w:rsidRPr="001C3FA3">
        <w:rPr>
          <w:rFonts w:eastAsia="Times New Roman" w:cs="Arial"/>
          <w:i/>
          <w:iCs/>
          <w:color w:val="222222"/>
          <w:kern w:val="0"/>
          <w14:ligatures w14:val="none"/>
        </w:rPr>
        <w:t>6</w:t>
      </w:r>
      <w:r w:rsidRPr="001C3FA3">
        <w:rPr>
          <w:rFonts w:eastAsia="Times New Roman" w:cs="Arial"/>
          <w:color w:val="222222"/>
          <w:kern w:val="0"/>
          <w:shd w:val="clear" w:color="auto" w:fill="FFFFFF"/>
          <w14:ligatures w14:val="none"/>
        </w:rPr>
        <w:t>, p.126.</w:t>
      </w:r>
    </w:p>
    <w:p w14:paraId="21054835" w14:textId="77777777" w:rsidR="001C3FA3" w:rsidRPr="001C3FA3" w:rsidRDefault="001C3FA3" w:rsidP="001C3FA3">
      <w:pPr>
        <w:pStyle w:val="ListParagraph"/>
        <w:numPr>
          <w:ilvl w:val="0"/>
          <w:numId w:val="4"/>
        </w:numPr>
        <w:spacing w:line="276" w:lineRule="auto"/>
      </w:pPr>
      <w:r w:rsidRPr="001C3FA3">
        <w:t xml:space="preserve">Kitney, V. (2023) ‘Resolving workplace grievance effectively’, </w:t>
      </w:r>
      <w:r w:rsidRPr="001C3FA3">
        <w:rPr>
          <w:i/>
        </w:rPr>
        <w:t>MDU Journal</w:t>
      </w:r>
      <w:r w:rsidRPr="001C3FA3">
        <w:t xml:space="preserve">. Available at: </w:t>
      </w:r>
      <w:hyperlink r:id="rId48" w:history="1">
        <w:r w:rsidRPr="001C3FA3">
          <w:rPr>
            <w:rStyle w:val="Hyperlink"/>
          </w:rPr>
          <w:t>https://mdujournal.themdu.com/issue-archive/autumn-2023/resolving-workplace-grievances-effectively</w:t>
        </w:r>
      </w:hyperlink>
      <w:r w:rsidRPr="001C3FA3">
        <w:t xml:space="preserve"> (Accessed 9th July 2024). </w:t>
      </w:r>
    </w:p>
    <w:p w14:paraId="62AFD8FB"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t>Kochan, T. (1998) What is distinctive about industrial relations research. </w:t>
      </w:r>
      <w:r w:rsidRPr="001C3FA3">
        <w:rPr>
          <w:rFonts w:eastAsia="Times New Roman" w:cs="Arial"/>
          <w:i/>
          <w:iCs/>
          <w:color w:val="222222"/>
          <w:kern w:val="0"/>
          <w14:ligatures w14:val="none"/>
        </w:rPr>
        <w:t>Researching the world of work</w:t>
      </w:r>
      <w:r w:rsidRPr="001C3FA3">
        <w:rPr>
          <w:rFonts w:eastAsia="Times New Roman" w:cs="Arial"/>
          <w:color w:val="222222"/>
          <w:kern w:val="0"/>
          <w:shd w:val="clear" w:color="auto" w:fill="FFFFFF"/>
          <w14:ligatures w14:val="none"/>
        </w:rPr>
        <w:t>, pp.31-45.</w:t>
      </w:r>
    </w:p>
    <w:p w14:paraId="0F23EE77" w14:textId="77777777" w:rsidR="001C3FA3" w:rsidRPr="001C3FA3" w:rsidRDefault="001C3FA3" w:rsidP="001C3FA3">
      <w:pPr>
        <w:pStyle w:val="ListParagraph"/>
        <w:numPr>
          <w:ilvl w:val="0"/>
          <w:numId w:val="4"/>
        </w:numPr>
        <w:spacing w:line="276" w:lineRule="auto"/>
      </w:pPr>
      <w:r w:rsidRPr="001C3FA3">
        <w:t xml:space="preserve">Labour (2022) </w:t>
      </w:r>
      <w:r w:rsidRPr="001C3FA3">
        <w:rPr>
          <w:i/>
        </w:rPr>
        <w:t xml:space="preserve">Employment Rights Green Paper – The Labour Party. </w:t>
      </w:r>
      <w:r w:rsidRPr="001C3FA3">
        <w:t xml:space="preserve">Available at: </w:t>
      </w:r>
      <w:hyperlink r:id="rId49" w:history="1">
        <w:r w:rsidRPr="001C3FA3">
          <w:rPr>
            <w:rStyle w:val="Hyperlink"/>
          </w:rPr>
          <w:t>https://labour.org.uk/wp-content/uploads/2022/09/Employment-Rights-Green-Paper.pdf</w:t>
        </w:r>
      </w:hyperlink>
      <w:r w:rsidRPr="001C3FA3">
        <w:t xml:space="preserve"> (Accessed 3</w:t>
      </w:r>
      <w:r w:rsidRPr="001C3FA3">
        <w:rPr>
          <w:vertAlign w:val="superscript"/>
        </w:rPr>
        <w:t>rd</w:t>
      </w:r>
      <w:r w:rsidRPr="001C3FA3">
        <w:t xml:space="preserve"> July 2024). </w:t>
      </w:r>
    </w:p>
    <w:p w14:paraId="707FFBC8" w14:textId="77777777" w:rsidR="001C3FA3" w:rsidRPr="001C3FA3" w:rsidRDefault="001C3FA3" w:rsidP="001C3FA3">
      <w:pPr>
        <w:pStyle w:val="ListParagraph"/>
        <w:numPr>
          <w:ilvl w:val="0"/>
          <w:numId w:val="4"/>
        </w:numPr>
        <w:spacing w:line="276" w:lineRule="auto"/>
      </w:pPr>
      <w:r w:rsidRPr="001C3FA3">
        <w:t xml:space="preserve">Linkedin (2024) </w:t>
      </w:r>
      <w:r w:rsidRPr="001C3FA3">
        <w:rPr>
          <w:i/>
        </w:rPr>
        <w:t xml:space="preserve">How can you choose the best employee representation for your company? </w:t>
      </w:r>
      <w:r w:rsidRPr="001C3FA3">
        <w:t xml:space="preserve">Available at: </w:t>
      </w:r>
      <w:hyperlink r:id="rId50" w:history="1">
        <w:r w:rsidRPr="001C3FA3">
          <w:rPr>
            <w:rStyle w:val="Hyperlink"/>
          </w:rPr>
          <w:t>https://www.linkedin.com/advice/3/how-can-you-choose-best-employee-representation</w:t>
        </w:r>
      </w:hyperlink>
      <w:r w:rsidRPr="001C3FA3">
        <w:t xml:space="preserve"> (Accessed 12th July 2024). </w:t>
      </w:r>
    </w:p>
    <w:p w14:paraId="78EB1C77"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rPr>
          <w:rFonts w:eastAsia="Times New Roman" w:cs="Arial"/>
          <w:color w:val="222222"/>
          <w:kern w:val="0"/>
          <w:shd w:val="clear" w:color="auto" w:fill="FFFFFF"/>
          <w14:ligatures w14:val="none"/>
        </w:rPr>
        <w:lastRenderedPageBreak/>
        <w:t xml:space="preserve">Lukacs, E., Negoescu, G., and David, S. (2009) Employees Misbehaviour: Formes, Causes and What Management Should do to Handle With. Available at: </w:t>
      </w:r>
      <w:hyperlink r:id="rId51" w:anchor="page=315" w:history="1">
        <w:r w:rsidRPr="001C3FA3">
          <w:rPr>
            <w:rStyle w:val="Hyperlink"/>
            <w:rFonts w:eastAsia="Times New Roman" w:cs="Arial"/>
            <w:kern w:val="0"/>
            <w:shd w:val="clear" w:color="auto" w:fill="FFFFFF"/>
            <w14:ligatures w14:val="none"/>
          </w:rPr>
          <w:t>https://www.researchgate.net/profile/Boca-Gratiela/publication/227408939_A_Provocation_for_Quality_Product/links/00b49518dfda64962a000000/A-Provocation-for-Quality-Product.pdf?_sg%5B0%5D=started_experiment_milestone&amp;origin=journalDetail&amp;_rtd=e30= - page=315</w:t>
        </w:r>
      </w:hyperlink>
      <w:r w:rsidRPr="001C3FA3">
        <w:rPr>
          <w:rFonts w:eastAsia="Times New Roman" w:cs="Arial"/>
          <w:color w:val="222222"/>
          <w:kern w:val="0"/>
          <w:shd w:val="clear" w:color="auto" w:fill="FFFFFF"/>
          <w14:ligatures w14:val="none"/>
        </w:rPr>
        <w:t xml:space="preserve">  (Accessed 27</w:t>
      </w:r>
      <w:r w:rsidRPr="001C3FA3">
        <w:rPr>
          <w:rFonts w:eastAsia="Times New Roman" w:cs="Arial"/>
          <w:color w:val="222222"/>
          <w:kern w:val="0"/>
          <w:shd w:val="clear" w:color="auto" w:fill="FFFFFF"/>
          <w:vertAlign w:val="superscript"/>
          <w14:ligatures w14:val="none"/>
        </w:rPr>
        <w:t>th</w:t>
      </w:r>
      <w:r w:rsidRPr="001C3FA3">
        <w:rPr>
          <w:rFonts w:eastAsia="Times New Roman" w:cs="Arial"/>
          <w:color w:val="222222"/>
          <w:kern w:val="0"/>
          <w:shd w:val="clear" w:color="auto" w:fill="FFFFFF"/>
          <w14:ligatures w14:val="none"/>
        </w:rPr>
        <w:t xml:space="preserve"> June 2024).</w:t>
      </w:r>
    </w:p>
    <w:p w14:paraId="6EB00853" w14:textId="77777777" w:rsidR="001C3FA3" w:rsidRPr="001C3FA3" w:rsidRDefault="001C3FA3" w:rsidP="001C3FA3">
      <w:pPr>
        <w:pStyle w:val="ListParagraph"/>
        <w:numPr>
          <w:ilvl w:val="0"/>
          <w:numId w:val="4"/>
        </w:numPr>
        <w:spacing w:line="276" w:lineRule="auto"/>
        <w:rPr>
          <w:rFonts w:cs="Arial"/>
          <w:color w:val="202020"/>
          <w:shd w:val="clear" w:color="auto" w:fill="FFFFFF"/>
        </w:rPr>
      </w:pPr>
      <w:r w:rsidRPr="001C3FA3">
        <w:rPr>
          <w:rFonts w:cs="Arial"/>
          <w:i/>
          <w:color w:val="202020"/>
          <w:shd w:val="clear" w:color="auto" w:fill="FFFFFF"/>
        </w:rPr>
        <w:t xml:space="preserve">National Minimum Wage Act 1998, </w:t>
      </w:r>
      <w:r w:rsidRPr="001C3FA3">
        <w:rPr>
          <w:rFonts w:cs="Arial"/>
          <w:color w:val="202020"/>
          <w:shd w:val="clear" w:color="auto" w:fill="FFFFFF"/>
        </w:rPr>
        <w:t xml:space="preserve">c.39. Available at: </w:t>
      </w:r>
      <w:hyperlink r:id="rId52" w:history="1">
        <w:r w:rsidRPr="001C3FA3">
          <w:rPr>
            <w:rStyle w:val="Hyperlink"/>
            <w:rFonts w:cs="Arial"/>
            <w:shd w:val="clear" w:color="auto" w:fill="FFFFFF"/>
          </w:rPr>
          <w:t>https://www.legislation.gov.uk/ukpga/1998/39/contents</w:t>
        </w:r>
      </w:hyperlink>
      <w:r w:rsidRPr="001C3FA3">
        <w:rPr>
          <w:rFonts w:cs="Arial"/>
          <w:color w:val="202020"/>
          <w:shd w:val="clear" w:color="auto" w:fill="FFFFFF"/>
        </w:rPr>
        <w:t xml:space="preserve"> (Accessed 13th July 2024). </w:t>
      </w:r>
    </w:p>
    <w:p w14:paraId="723C452C" w14:textId="77777777" w:rsidR="001C3FA3" w:rsidRPr="001C3FA3" w:rsidRDefault="001C3FA3" w:rsidP="001C3FA3">
      <w:pPr>
        <w:pStyle w:val="ListParagraph"/>
        <w:numPr>
          <w:ilvl w:val="0"/>
          <w:numId w:val="4"/>
        </w:numPr>
        <w:spacing w:line="276" w:lineRule="auto"/>
      </w:pPr>
      <w:r w:rsidRPr="001C3FA3">
        <w:t xml:space="preserve">Office for National Statistics (2023) </w:t>
      </w:r>
      <w:r w:rsidRPr="001C3FA3">
        <w:rPr>
          <w:i/>
        </w:rPr>
        <w:t xml:space="preserve">The impact of strikes in the UK: June 2022 to February 2023. </w:t>
      </w:r>
      <w:r w:rsidRPr="001C3FA3">
        <w:t xml:space="preserve">Available at: </w:t>
      </w:r>
      <w:hyperlink r:id="rId53" w:history="1">
        <w:r w:rsidRPr="001C3FA3">
          <w:rPr>
            <w:rStyle w:val="Hyperlink"/>
          </w:rPr>
          <w:t>https://www.ons.gov.uk/employmentandlabourmarket/peopleinwork/workplacedisputesandworkingconditions/articles/theimpactofstrikesintheuk/june2022tofebruary2023</w:t>
        </w:r>
      </w:hyperlink>
      <w:r w:rsidRPr="001C3FA3">
        <w:t xml:space="preserve"> (Accessed 28</w:t>
      </w:r>
      <w:r w:rsidRPr="001C3FA3">
        <w:rPr>
          <w:vertAlign w:val="superscript"/>
        </w:rPr>
        <w:t>th</w:t>
      </w:r>
      <w:r w:rsidRPr="001C3FA3">
        <w:t xml:space="preserve"> June 2024).</w:t>
      </w:r>
    </w:p>
    <w:p w14:paraId="0D368DEB" w14:textId="77777777" w:rsidR="001C3FA3" w:rsidRPr="001C3FA3" w:rsidRDefault="001C3FA3" w:rsidP="001C3FA3">
      <w:pPr>
        <w:pStyle w:val="ListParagraph"/>
        <w:numPr>
          <w:ilvl w:val="0"/>
          <w:numId w:val="4"/>
        </w:numPr>
        <w:spacing w:line="276" w:lineRule="auto"/>
      </w:pPr>
      <w:r w:rsidRPr="001C3FA3">
        <w:t xml:space="preserve">PeopleManagement (2022) </w:t>
      </w:r>
      <w:r w:rsidRPr="001C3FA3">
        <w:rPr>
          <w:i/>
        </w:rPr>
        <w:t xml:space="preserve">Industrial action: things to consider. </w:t>
      </w:r>
      <w:r w:rsidRPr="001C3FA3">
        <w:t xml:space="preserve">Available at: </w:t>
      </w:r>
      <w:hyperlink r:id="rId54" w:history="1">
        <w:r w:rsidRPr="001C3FA3">
          <w:rPr>
            <w:rStyle w:val="Hyperlink"/>
          </w:rPr>
          <w:t>https://www.peoplemanagement.co.uk/article/1794325/industrial-action-things-consider</w:t>
        </w:r>
      </w:hyperlink>
      <w:r w:rsidRPr="001C3FA3">
        <w:t xml:space="preserve"> (Accessed 27</w:t>
      </w:r>
      <w:r w:rsidRPr="001C3FA3">
        <w:rPr>
          <w:vertAlign w:val="superscript"/>
        </w:rPr>
        <w:t>th</w:t>
      </w:r>
      <w:r w:rsidRPr="001C3FA3">
        <w:t xml:space="preserve"> June 2024).</w:t>
      </w:r>
    </w:p>
    <w:p w14:paraId="00EF1743" w14:textId="77777777" w:rsidR="001C3FA3" w:rsidRPr="001C3FA3" w:rsidRDefault="001C3FA3" w:rsidP="001C3FA3">
      <w:pPr>
        <w:pStyle w:val="ListParagraph"/>
        <w:numPr>
          <w:ilvl w:val="0"/>
          <w:numId w:val="4"/>
        </w:numPr>
        <w:spacing w:line="276" w:lineRule="auto"/>
      </w:pPr>
      <w:r w:rsidRPr="001C3FA3">
        <w:t xml:space="preserve">Personnel Today (2023) </w:t>
      </w:r>
      <w:r w:rsidRPr="001C3FA3">
        <w:rPr>
          <w:i/>
        </w:rPr>
        <w:t xml:space="preserve">Third of employers seeing more employee grievances. </w:t>
      </w:r>
      <w:r w:rsidRPr="001C3FA3">
        <w:t xml:space="preserve">Available at: </w:t>
      </w:r>
      <w:hyperlink r:id="rId55" w:history="1">
        <w:r w:rsidRPr="001C3FA3">
          <w:rPr>
            <w:rStyle w:val="Hyperlink"/>
          </w:rPr>
          <w:t>https://www.personneltoday.com/hr/employee-grievances-rise-xperthr/</w:t>
        </w:r>
      </w:hyperlink>
      <w:r w:rsidRPr="001C3FA3">
        <w:t xml:space="preserve"> (Accessed 5</w:t>
      </w:r>
      <w:r w:rsidRPr="001C3FA3">
        <w:rPr>
          <w:vertAlign w:val="superscript"/>
        </w:rPr>
        <w:t>th</w:t>
      </w:r>
      <w:r w:rsidRPr="001C3FA3">
        <w:t xml:space="preserve"> July 2024). </w:t>
      </w:r>
    </w:p>
    <w:p w14:paraId="6F5C233A" w14:textId="77777777" w:rsidR="001C3FA3" w:rsidRPr="001C3FA3" w:rsidRDefault="001C3FA3" w:rsidP="001C3FA3">
      <w:pPr>
        <w:pStyle w:val="ListParagraph"/>
        <w:numPr>
          <w:ilvl w:val="0"/>
          <w:numId w:val="4"/>
        </w:numPr>
        <w:spacing w:line="276" w:lineRule="auto"/>
      </w:pPr>
      <w:r w:rsidRPr="001C3FA3">
        <w:rPr>
          <w:i/>
        </w:rPr>
        <w:t>Strikes (Minimum Service Levels) Act 2023</w:t>
      </w:r>
      <w:r w:rsidRPr="001C3FA3">
        <w:t xml:space="preserve">, c.39. Available at: </w:t>
      </w:r>
      <w:hyperlink r:id="rId56" w:history="1">
        <w:r w:rsidRPr="001C3FA3">
          <w:rPr>
            <w:rStyle w:val="Hyperlink"/>
          </w:rPr>
          <w:t>https://www.legislation.gov.uk/ukpga/2023/39</w:t>
        </w:r>
      </w:hyperlink>
      <w:r w:rsidRPr="001C3FA3">
        <w:t xml:space="preserve"> (Accessed 28</w:t>
      </w:r>
      <w:r w:rsidRPr="001C3FA3">
        <w:rPr>
          <w:vertAlign w:val="superscript"/>
        </w:rPr>
        <w:t>th</w:t>
      </w:r>
      <w:r w:rsidRPr="001C3FA3">
        <w:t xml:space="preserve"> June 2024). </w:t>
      </w:r>
    </w:p>
    <w:p w14:paraId="3CC0699F" w14:textId="77777777" w:rsidR="001C3FA3" w:rsidRPr="001C3FA3" w:rsidRDefault="001C3FA3" w:rsidP="001C3FA3">
      <w:pPr>
        <w:pStyle w:val="ListParagraph"/>
        <w:numPr>
          <w:ilvl w:val="0"/>
          <w:numId w:val="4"/>
        </w:numPr>
        <w:spacing w:line="276" w:lineRule="auto"/>
      </w:pPr>
      <w:r w:rsidRPr="001C3FA3">
        <w:t xml:space="preserve">Taylor, S., and Woodhams, C. (2016) </w:t>
      </w:r>
      <w:r w:rsidRPr="001C3FA3">
        <w:rPr>
          <w:i/>
        </w:rPr>
        <w:t xml:space="preserve">Human Resource Management: People and Organisations, </w:t>
      </w:r>
      <w:r w:rsidRPr="001C3FA3">
        <w:t>2.</w:t>
      </w:r>
      <w:r w:rsidRPr="001C3FA3">
        <w:rPr>
          <w:i/>
        </w:rPr>
        <w:t xml:space="preserve"> </w:t>
      </w:r>
      <w:r w:rsidRPr="001C3FA3">
        <w:t>London: Chartered Institute of Personnel and Development.</w:t>
      </w:r>
    </w:p>
    <w:p w14:paraId="3CA0E063" w14:textId="77777777" w:rsidR="001C3FA3" w:rsidRPr="001C3FA3" w:rsidRDefault="001C3FA3" w:rsidP="001C3FA3">
      <w:pPr>
        <w:pStyle w:val="ListParagraph"/>
        <w:numPr>
          <w:ilvl w:val="0"/>
          <w:numId w:val="4"/>
        </w:numPr>
        <w:spacing w:line="276" w:lineRule="auto"/>
      </w:pPr>
      <w:r w:rsidRPr="001C3FA3">
        <w:rPr>
          <w:i/>
        </w:rPr>
        <w:t>Trade Union Act 2016</w:t>
      </w:r>
      <w:r w:rsidRPr="001C3FA3">
        <w:t xml:space="preserve">, c.15. Available at: </w:t>
      </w:r>
      <w:hyperlink r:id="rId57" w:history="1">
        <w:r w:rsidRPr="001C3FA3">
          <w:rPr>
            <w:rStyle w:val="Hyperlink"/>
          </w:rPr>
          <w:t>https://www.legislation.gov.uk/ukpga/2016/15/notes/division/6/index.htm</w:t>
        </w:r>
      </w:hyperlink>
      <w:r w:rsidRPr="001C3FA3">
        <w:t xml:space="preserve"> (Accessed 28</w:t>
      </w:r>
      <w:r w:rsidRPr="001C3FA3">
        <w:rPr>
          <w:vertAlign w:val="superscript"/>
        </w:rPr>
        <w:t>th</w:t>
      </w:r>
      <w:r w:rsidRPr="001C3FA3">
        <w:t xml:space="preserve"> June 2024).</w:t>
      </w:r>
    </w:p>
    <w:p w14:paraId="02CD17D3" w14:textId="77777777" w:rsidR="001C3FA3" w:rsidRPr="001C3FA3" w:rsidRDefault="001C3FA3" w:rsidP="001C3FA3">
      <w:pPr>
        <w:pStyle w:val="ListParagraph"/>
        <w:numPr>
          <w:ilvl w:val="0"/>
          <w:numId w:val="4"/>
        </w:numPr>
        <w:spacing w:line="276" w:lineRule="auto"/>
      </w:pPr>
      <w:r w:rsidRPr="001C3FA3">
        <w:rPr>
          <w:i/>
        </w:rPr>
        <w:t xml:space="preserve">Trade Union and Labour Relations (Consolidation) Act 1992, </w:t>
      </w:r>
      <w:r w:rsidRPr="001C3FA3">
        <w:t xml:space="preserve">c. 52. Available at: </w:t>
      </w:r>
      <w:hyperlink r:id="rId58" w:history="1">
        <w:r w:rsidRPr="001C3FA3">
          <w:rPr>
            <w:rStyle w:val="Hyperlink"/>
          </w:rPr>
          <w:t>https://www.legislation.gov.uk/ukpga/1992/52/contents</w:t>
        </w:r>
      </w:hyperlink>
      <w:r w:rsidRPr="001C3FA3">
        <w:t xml:space="preserve"> (Accessed 11</w:t>
      </w:r>
      <w:r w:rsidRPr="001C3FA3">
        <w:rPr>
          <w:vertAlign w:val="superscript"/>
        </w:rPr>
        <w:t>th</w:t>
      </w:r>
      <w:r w:rsidRPr="001C3FA3">
        <w:t xml:space="preserve"> July 2024). </w:t>
      </w:r>
    </w:p>
    <w:p w14:paraId="1117B5AC" w14:textId="77777777" w:rsidR="001C3FA3" w:rsidRPr="001C3FA3" w:rsidRDefault="001C3FA3" w:rsidP="001C3FA3">
      <w:pPr>
        <w:pStyle w:val="ListParagraph"/>
        <w:numPr>
          <w:ilvl w:val="0"/>
          <w:numId w:val="4"/>
        </w:numPr>
        <w:spacing w:line="276" w:lineRule="auto"/>
      </w:pPr>
      <w:r w:rsidRPr="001C3FA3">
        <w:t xml:space="preserve">TUC (2024) </w:t>
      </w:r>
      <w:r w:rsidRPr="001C3FA3">
        <w:rPr>
          <w:i/>
        </w:rPr>
        <w:t xml:space="preserve">Guide to: Collective bargaining. </w:t>
      </w:r>
      <w:r w:rsidRPr="001C3FA3">
        <w:t xml:space="preserve">Available at: </w:t>
      </w:r>
      <w:hyperlink r:id="rId59" w:history="1">
        <w:r w:rsidRPr="001C3FA3">
          <w:rPr>
            <w:rStyle w:val="Hyperlink"/>
          </w:rPr>
          <w:t>https://www.tuc.org.uk/workplace-guidance/organising-and-bargaining/collective-bargaining</w:t>
        </w:r>
      </w:hyperlink>
      <w:r w:rsidRPr="001C3FA3">
        <w:t xml:space="preserve"> (Accessed 13th July 2024). </w:t>
      </w:r>
    </w:p>
    <w:p w14:paraId="55A14DEB" w14:textId="77777777" w:rsidR="001C3FA3" w:rsidRPr="001C3FA3" w:rsidRDefault="001C3FA3" w:rsidP="001C3FA3">
      <w:pPr>
        <w:pStyle w:val="ListParagraph"/>
        <w:numPr>
          <w:ilvl w:val="0"/>
          <w:numId w:val="4"/>
        </w:numPr>
        <w:spacing w:after="0" w:line="276" w:lineRule="auto"/>
        <w:rPr>
          <w:rFonts w:eastAsia="Times New Roman" w:cs="Times New Roman"/>
          <w:kern w:val="0"/>
          <w14:ligatures w14:val="none"/>
        </w:rPr>
      </w:pPr>
      <w:r w:rsidRPr="001C3FA3">
        <w:t xml:space="preserve">Unison (ND) </w:t>
      </w:r>
      <w:r w:rsidRPr="001C3FA3">
        <w:rPr>
          <w:i/>
        </w:rPr>
        <w:t xml:space="preserve">Negotiating and Bargaining. </w:t>
      </w:r>
      <w:r w:rsidRPr="001C3FA3">
        <w:t xml:space="preserve">Available at: </w:t>
      </w:r>
      <w:hyperlink r:id="rId60" w:history="1">
        <w:r w:rsidRPr="001C3FA3">
          <w:rPr>
            <w:rStyle w:val="Hyperlink"/>
            <w:rFonts w:eastAsia="Times New Roman" w:cs="Times New Roman"/>
            <w:kern w:val="0"/>
            <w14:ligatures w14:val="none"/>
          </w:rPr>
          <w:t>https://www.unison.org.uk/about/what-we-do/negotiating-and-bargaining/</w:t>
        </w:r>
      </w:hyperlink>
      <w:r w:rsidRPr="001C3FA3">
        <w:rPr>
          <w:rFonts w:eastAsia="Times New Roman" w:cs="Times New Roman"/>
          <w:kern w:val="0"/>
          <w14:ligatures w14:val="none"/>
        </w:rPr>
        <w:t xml:space="preserve"> (Acccessed 12</w:t>
      </w:r>
      <w:r w:rsidRPr="001C3FA3">
        <w:rPr>
          <w:rFonts w:eastAsia="Times New Roman" w:cs="Times New Roman"/>
          <w:kern w:val="0"/>
          <w:vertAlign w:val="superscript"/>
          <w14:ligatures w14:val="none"/>
        </w:rPr>
        <w:t>th</w:t>
      </w:r>
      <w:r w:rsidRPr="001C3FA3">
        <w:rPr>
          <w:rFonts w:eastAsia="Times New Roman" w:cs="Times New Roman"/>
          <w:kern w:val="0"/>
          <w14:ligatures w14:val="none"/>
        </w:rPr>
        <w:t xml:space="preserve"> July 2024). </w:t>
      </w:r>
    </w:p>
    <w:p w14:paraId="28371753" w14:textId="77777777" w:rsidR="00A504C9" w:rsidRDefault="00A504C9" w:rsidP="00A504C9">
      <w:pPr>
        <w:rPr>
          <w:b/>
          <w:bCs/>
          <w:u w:val="single"/>
          <w:lang w:val="en-US"/>
        </w:rPr>
      </w:pPr>
    </w:p>
    <w:p w14:paraId="648694A8" w14:textId="77777777" w:rsidR="00A504C9" w:rsidRPr="00A504C9" w:rsidRDefault="00A504C9" w:rsidP="00A504C9">
      <w:pPr>
        <w:rPr>
          <w:bCs/>
          <w:lang w:val="en-US"/>
        </w:rPr>
      </w:pPr>
    </w:p>
    <w:p w14:paraId="1A01D224" w14:textId="77777777" w:rsidR="004612F8" w:rsidRDefault="004612F8" w:rsidP="00A504C9"/>
    <w:sectPr w:rsidR="00453D3C" w:rsidSect="004213E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CC1220"/>
    <w:multiLevelType w:val="hybridMultilevel"/>
    <w:tmpl w:val="2594E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0F11A8"/>
    <w:multiLevelType w:val="hybridMultilevel"/>
    <w:tmpl w:val="2E249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9721D4"/>
    <w:multiLevelType w:val="hybridMultilevel"/>
    <w:tmpl w:val="05F0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6F0E25"/>
    <w:multiLevelType w:val="hybridMultilevel"/>
    <w:tmpl w:val="C23E6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BF3044"/>
    <w:multiLevelType w:val="hybridMultilevel"/>
    <w:tmpl w:val="D6E6BDB6"/>
    <w:lvl w:ilvl="0" w:tplc="04090001">
      <w:start w:val="1"/>
      <w:numFmt w:val="bullet"/>
      <w:lvlText w:val=""/>
      <w:lvlJc w:val="left"/>
      <w:pPr>
        <w:ind w:left="1363" w:hanging="360"/>
      </w:pPr>
      <w:rPr>
        <w:rFonts w:ascii="Symbol" w:hAnsi="Symbol" w:hint="default"/>
      </w:rPr>
    </w:lvl>
    <w:lvl w:ilvl="1" w:tplc="04090003" w:tentative="1">
      <w:start w:val="1"/>
      <w:numFmt w:val="bullet"/>
      <w:lvlText w:val="o"/>
      <w:lvlJc w:val="left"/>
      <w:pPr>
        <w:ind w:left="2083" w:hanging="360"/>
      </w:pPr>
      <w:rPr>
        <w:rFonts w:ascii="Courier New" w:hAnsi="Courier New" w:cs="Courier New"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5" w15:restartNumberingAfterBreak="0">
    <w:nsid w:val="66C01426"/>
    <w:multiLevelType w:val="hybridMultilevel"/>
    <w:tmpl w:val="5F2A3D10"/>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6" w15:restartNumberingAfterBreak="0">
    <w:nsid w:val="6EE46BE6"/>
    <w:multiLevelType w:val="hybridMultilevel"/>
    <w:tmpl w:val="2DE4D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1D4F0A"/>
    <w:multiLevelType w:val="hybridMultilevel"/>
    <w:tmpl w:val="E0D4A440"/>
    <w:lvl w:ilvl="0" w:tplc="04090001">
      <w:start w:val="1"/>
      <w:numFmt w:val="bullet"/>
      <w:lvlText w:val=""/>
      <w:lvlJc w:val="left"/>
      <w:pPr>
        <w:ind w:left="1363" w:hanging="360"/>
      </w:pPr>
      <w:rPr>
        <w:rFonts w:ascii="Symbol" w:hAnsi="Symbol" w:hint="default"/>
      </w:rPr>
    </w:lvl>
    <w:lvl w:ilvl="1" w:tplc="04090003" w:tentative="1">
      <w:start w:val="1"/>
      <w:numFmt w:val="bullet"/>
      <w:lvlText w:val="o"/>
      <w:lvlJc w:val="left"/>
      <w:pPr>
        <w:ind w:left="2083" w:hanging="360"/>
      </w:pPr>
      <w:rPr>
        <w:rFonts w:ascii="Courier New" w:hAnsi="Courier New" w:cs="Courier New"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8" w15:restartNumberingAfterBreak="0">
    <w:nsid w:val="70814346"/>
    <w:multiLevelType w:val="hybridMultilevel"/>
    <w:tmpl w:val="086C5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181EAD"/>
    <w:multiLevelType w:val="hybridMultilevel"/>
    <w:tmpl w:val="38FA3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7440563">
    <w:abstractNumId w:val="1"/>
  </w:num>
  <w:num w:numId="2" w16cid:durableId="129792484">
    <w:abstractNumId w:val="6"/>
  </w:num>
  <w:num w:numId="3" w16cid:durableId="1540161997">
    <w:abstractNumId w:val="0"/>
  </w:num>
  <w:num w:numId="4" w16cid:durableId="359089895">
    <w:abstractNumId w:val="9"/>
  </w:num>
  <w:num w:numId="5" w16cid:durableId="694037293">
    <w:abstractNumId w:val="3"/>
  </w:num>
  <w:num w:numId="6" w16cid:durableId="749355110">
    <w:abstractNumId w:val="5"/>
  </w:num>
  <w:num w:numId="7" w16cid:durableId="2097048445">
    <w:abstractNumId w:val="7"/>
  </w:num>
  <w:num w:numId="8" w16cid:durableId="1357123637">
    <w:abstractNumId w:val="2"/>
  </w:num>
  <w:num w:numId="9" w16cid:durableId="72508328">
    <w:abstractNumId w:val="8"/>
  </w:num>
  <w:num w:numId="10" w16cid:durableId="20497910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4C9"/>
    <w:rsid w:val="000802D6"/>
    <w:rsid w:val="000D6171"/>
    <w:rsid w:val="001C3FA3"/>
    <w:rsid w:val="0027691B"/>
    <w:rsid w:val="003C07FE"/>
    <w:rsid w:val="004213ED"/>
    <w:rsid w:val="004612F8"/>
    <w:rsid w:val="004C137F"/>
    <w:rsid w:val="005977BA"/>
    <w:rsid w:val="007C178F"/>
    <w:rsid w:val="00927316"/>
    <w:rsid w:val="009E331E"/>
    <w:rsid w:val="00A504C9"/>
    <w:rsid w:val="00AA75EB"/>
    <w:rsid w:val="00C566A4"/>
    <w:rsid w:val="00FC48FB"/>
    <w:rsid w:val="00FF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BCDA0"/>
  <w15:chartTrackingRefBased/>
  <w15:docId w15:val="{B2F1365E-6481-9B4F-BA3E-8FD0E3C87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4C9"/>
    <w:pPr>
      <w:spacing w:line="259" w:lineRule="auto"/>
      <w:ind w:left="0"/>
    </w:pPr>
    <w:rPr>
      <w:kern w:val="2"/>
      <w:sz w:val="22"/>
      <w:szCs w:val="22"/>
      <w14:ligatures w14:val="standardContextual"/>
    </w:rPr>
  </w:style>
  <w:style w:type="paragraph" w:styleId="Heading1">
    <w:name w:val="heading 1"/>
    <w:basedOn w:val="Normal"/>
    <w:next w:val="Normal"/>
    <w:link w:val="Heading1Char"/>
    <w:uiPriority w:val="9"/>
    <w:qFormat/>
    <w:rsid w:val="009E331E"/>
    <w:pPr>
      <w:spacing w:before="400" w:after="60" w:line="240" w:lineRule="auto"/>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semiHidden/>
    <w:unhideWhenUsed/>
    <w:qFormat/>
    <w:rsid w:val="009E331E"/>
    <w:pPr>
      <w:spacing w:before="120" w:after="60" w:line="240" w:lineRule="auto"/>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9E331E"/>
    <w:pPr>
      <w:spacing w:before="120" w:after="60" w:line="240" w:lineRule="auto"/>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9E331E"/>
    <w:pPr>
      <w:pBdr>
        <w:bottom w:val="single" w:sz="4" w:space="1" w:color="98A8BD" w:themeColor="text2" w:themeTint="7F"/>
      </w:pBdr>
      <w:spacing w:before="200" w:after="100" w:line="240" w:lineRule="auto"/>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9E331E"/>
    <w:pPr>
      <w:pBdr>
        <w:bottom w:val="single" w:sz="4" w:space="1" w:color="8496B0" w:themeColor="text2" w:themeTint="99"/>
      </w:pBdr>
      <w:spacing w:before="200" w:after="100" w:line="240" w:lineRule="auto"/>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9E331E"/>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9E331E"/>
    <w:pPr>
      <w:pBdr>
        <w:bottom w:val="dotted" w:sz="8" w:space="1" w:color="747070" w:themeColor="background2" w:themeShade="7F"/>
      </w:pBdr>
      <w:spacing w:before="200" w:after="100" w:line="240" w:lineRule="auto"/>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9E331E"/>
    <w:pPr>
      <w:spacing w:before="200" w:after="60" w:line="240" w:lineRule="auto"/>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9E331E"/>
    <w:pPr>
      <w:spacing w:before="200" w:after="60" w:line="240" w:lineRule="auto"/>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31E"/>
    <w:rPr>
      <w:rFonts w:asciiTheme="majorHAnsi" w:eastAsiaTheme="majorEastAsia" w:hAnsiTheme="majorHAnsi" w:cstheme="majorBidi"/>
      <w:smallCaps/>
      <w:color w:val="212934" w:themeColor="text2" w:themeShade="7F"/>
      <w:spacing w:val="20"/>
      <w:sz w:val="32"/>
      <w:szCs w:val="32"/>
    </w:rPr>
  </w:style>
  <w:style w:type="character" w:customStyle="1" w:styleId="Heading2Char">
    <w:name w:val="Heading 2 Char"/>
    <w:basedOn w:val="DefaultParagraphFont"/>
    <w:link w:val="Heading2"/>
    <w:uiPriority w:val="9"/>
    <w:semiHidden/>
    <w:rsid w:val="009E331E"/>
    <w:rPr>
      <w:rFonts w:asciiTheme="majorHAnsi" w:eastAsiaTheme="majorEastAsia" w:hAnsiTheme="majorHAnsi" w:cstheme="majorBidi"/>
      <w:smallCaps/>
      <w:color w:val="323E4F" w:themeColor="text2" w:themeShade="BF"/>
      <w:spacing w:val="20"/>
      <w:sz w:val="28"/>
      <w:szCs w:val="28"/>
    </w:rPr>
  </w:style>
  <w:style w:type="character" w:customStyle="1" w:styleId="Heading3Char">
    <w:name w:val="Heading 3 Char"/>
    <w:basedOn w:val="DefaultParagraphFont"/>
    <w:link w:val="Heading3"/>
    <w:uiPriority w:val="9"/>
    <w:semiHidden/>
    <w:rsid w:val="009E331E"/>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9E331E"/>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9E331E"/>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9E331E"/>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9E331E"/>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9E331E"/>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9E331E"/>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9E331E"/>
    <w:rPr>
      <w:b/>
      <w:bCs/>
      <w:smallCaps/>
      <w:color w:val="44546A" w:themeColor="text2"/>
      <w:spacing w:val="10"/>
      <w:sz w:val="18"/>
      <w:szCs w:val="18"/>
    </w:rPr>
  </w:style>
  <w:style w:type="paragraph" w:styleId="Title">
    <w:name w:val="Title"/>
    <w:next w:val="Normal"/>
    <w:link w:val="TitleChar"/>
    <w:uiPriority w:val="10"/>
    <w:qFormat/>
    <w:rsid w:val="009E331E"/>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9E331E"/>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9E331E"/>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9E331E"/>
    <w:rPr>
      <w:smallCaps/>
      <w:color w:val="747070" w:themeColor="background2" w:themeShade="7F"/>
      <w:spacing w:val="5"/>
      <w:sz w:val="28"/>
      <w:szCs w:val="28"/>
    </w:rPr>
  </w:style>
  <w:style w:type="character" w:styleId="Strong">
    <w:name w:val="Strong"/>
    <w:uiPriority w:val="22"/>
    <w:qFormat/>
    <w:rsid w:val="009E331E"/>
    <w:rPr>
      <w:b/>
      <w:bCs/>
      <w:spacing w:val="0"/>
    </w:rPr>
  </w:style>
  <w:style w:type="character" w:styleId="Emphasis">
    <w:name w:val="Emphasis"/>
    <w:uiPriority w:val="20"/>
    <w:qFormat/>
    <w:rsid w:val="009E331E"/>
    <w:rPr>
      <w:b/>
      <w:bCs/>
      <w:smallCaps/>
      <w:dstrike w:val="0"/>
      <w:color w:val="5A5A5A" w:themeColor="text1" w:themeTint="A5"/>
      <w:spacing w:val="20"/>
      <w:kern w:val="0"/>
      <w:vertAlign w:val="baseline"/>
    </w:rPr>
  </w:style>
  <w:style w:type="paragraph" w:styleId="NoSpacing">
    <w:name w:val="No Spacing"/>
    <w:basedOn w:val="Normal"/>
    <w:uiPriority w:val="1"/>
    <w:qFormat/>
    <w:rsid w:val="009E331E"/>
    <w:pPr>
      <w:spacing w:after="0" w:line="240" w:lineRule="auto"/>
    </w:pPr>
  </w:style>
  <w:style w:type="paragraph" w:styleId="ListParagraph">
    <w:name w:val="List Paragraph"/>
    <w:basedOn w:val="Normal"/>
    <w:link w:val="ListParagraphChar"/>
    <w:uiPriority w:val="1"/>
    <w:qFormat/>
    <w:rsid w:val="009E331E"/>
    <w:pPr>
      <w:ind w:left="720"/>
      <w:contextualSpacing/>
    </w:pPr>
  </w:style>
  <w:style w:type="paragraph" w:styleId="Quote">
    <w:name w:val="Quote"/>
    <w:basedOn w:val="Normal"/>
    <w:next w:val="Normal"/>
    <w:link w:val="QuoteChar"/>
    <w:uiPriority w:val="29"/>
    <w:qFormat/>
    <w:rsid w:val="009E331E"/>
    <w:rPr>
      <w:i/>
      <w:iCs/>
    </w:rPr>
  </w:style>
  <w:style w:type="character" w:customStyle="1" w:styleId="QuoteChar">
    <w:name w:val="Quote Char"/>
    <w:basedOn w:val="DefaultParagraphFont"/>
    <w:link w:val="Quote"/>
    <w:uiPriority w:val="29"/>
    <w:rsid w:val="009E331E"/>
    <w:rPr>
      <w:i/>
      <w:iCs/>
      <w:color w:val="5A5A5A" w:themeColor="text1" w:themeTint="A5"/>
    </w:rPr>
  </w:style>
  <w:style w:type="paragraph" w:styleId="IntenseQuote">
    <w:name w:val="Intense Quote"/>
    <w:basedOn w:val="Normal"/>
    <w:next w:val="Normal"/>
    <w:link w:val="IntenseQuoteChar"/>
    <w:uiPriority w:val="30"/>
    <w:qFormat/>
    <w:rsid w:val="009E331E"/>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line="300" w:lineRule="auto"/>
      <w:ind w:left="2506" w:right="432"/>
    </w:pPr>
    <w:rPr>
      <w:rFonts w:asciiTheme="majorHAnsi" w:eastAsiaTheme="majorEastAsia" w:hAnsiTheme="majorHAnsi" w:cstheme="majorBidi"/>
      <w:smallCaps/>
      <w:color w:val="2F5496" w:themeColor="accent1" w:themeShade="BF"/>
    </w:rPr>
  </w:style>
  <w:style w:type="character" w:customStyle="1" w:styleId="IntenseQuoteChar">
    <w:name w:val="Intense Quote Char"/>
    <w:basedOn w:val="DefaultParagraphFont"/>
    <w:link w:val="IntenseQuote"/>
    <w:uiPriority w:val="30"/>
    <w:rsid w:val="009E331E"/>
    <w:rPr>
      <w:rFonts w:asciiTheme="majorHAnsi" w:eastAsiaTheme="majorEastAsia" w:hAnsiTheme="majorHAnsi" w:cstheme="majorBidi"/>
      <w:smallCaps/>
      <w:color w:val="2F5496" w:themeColor="accent1" w:themeShade="BF"/>
    </w:rPr>
  </w:style>
  <w:style w:type="character" w:styleId="SubtleEmphasis">
    <w:name w:val="Subtle Emphasis"/>
    <w:uiPriority w:val="19"/>
    <w:qFormat/>
    <w:rsid w:val="009E331E"/>
    <w:rPr>
      <w:smallCaps/>
      <w:dstrike w:val="0"/>
      <w:color w:val="5A5A5A" w:themeColor="text1" w:themeTint="A5"/>
      <w:vertAlign w:val="baseline"/>
    </w:rPr>
  </w:style>
  <w:style w:type="character" w:styleId="IntenseEmphasis">
    <w:name w:val="Intense Emphasis"/>
    <w:uiPriority w:val="21"/>
    <w:qFormat/>
    <w:rsid w:val="009E331E"/>
    <w:rPr>
      <w:b/>
      <w:bCs/>
      <w:smallCaps/>
      <w:color w:val="4472C4" w:themeColor="accent1"/>
      <w:spacing w:val="40"/>
    </w:rPr>
  </w:style>
  <w:style w:type="character" w:styleId="SubtleReference">
    <w:name w:val="Subtle Reference"/>
    <w:uiPriority w:val="31"/>
    <w:qFormat/>
    <w:rsid w:val="009E331E"/>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9E331E"/>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9E331E"/>
    <w:rPr>
      <w:rFonts w:asciiTheme="majorHAnsi" w:eastAsiaTheme="majorEastAsia" w:hAnsiTheme="majorHAnsi" w:cstheme="majorBidi"/>
      <w:b/>
      <w:bCs/>
      <w:smallCaps/>
      <w:color w:val="323E4F" w:themeColor="text2" w:themeShade="BF"/>
      <w:spacing w:val="10"/>
      <w:u w:val="single"/>
    </w:rPr>
  </w:style>
  <w:style w:type="paragraph" w:styleId="TOCHeading">
    <w:name w:val="TOC Heading"/>
    <w:basedOn w:val="Heading1"/>
    <w:next w:val="Normal"/>
    <w:uiPriority w:val="39"/>
    <w:semiHidden/>
    <w:unhideWhenUsed/>
    <w:qFormat/>
    <w:rsid w:val="009E331E"/>
    <w:pPr>
      <w:outlineLvl w:val="9"/>
    </w:pPr>
  </w:style>
  <w:style w:type="character" w:customStyle="1" w:styleId="ListParagraphChar">
    <w:name w:val="List Paragraph Char"/>
    <w:basedOn w:val="DefaultParagraphFont"/>
    <w:link w:val="ListParagraph"/>
    <w:uiPriority w:val="34"/>
    <w:rsid w:val="00A504C9"/>
    <w:rPr>
      <w:color w:val="5A5A5A" w:themeColor="text1" w:themeTint="A5"/>
    </w:rPr>
  </w:style>
  <w:style w:type="character" w:styleId="Hyperlink">
    <w:name w:val="Hyperlink"/>
    <w:basedOn w:val="DefaultParagraphFont"/>
    <w:uiPriority w:val="99"/>
    <w:unhideWhenUsed/>
    <w:rsid w:val="00A504C9"/>
    <w:rPr>
      <w:color w:val="0563C1" w:themeColor="hyperlink"/>
      <w:u w:val="single"/>
    </w:rPr>
  </w:style>
  <w:style w:type="character" w:styleId="UnresolvedMention">
    <w:name w:val="Unresolved Mention"/>
    <w:basedOn w:val="DefaultParagraphFont"/>
    <w:uiPriority w:val="99"/>
    <w:semiHidden/>
    <w:unhideWhenUsed/>
    <w:rsid w:val="00A504C9"/>
    <w:rPr>
      <w:color w:val="605E5C"/>
      <w:shd w:val="clear" w:color="auto" w:fill="E1DFDD"/>
    </w:rPr>
  </w:style>
  <w:style w:type="character" w:styleId="FollowedHyperlink">
    <w:name w:val="FollowedHyperlink"/>
    <w:basedOn w:val="DefaultParagraphFont"/>
    <w:uiPriority w:val="99"/>
    <w:semiHidden/>
    <w:unhideWhenUsed/>
    <w:rsid w:val="00A504C9"/>
    <w:rPr>
      <w:color w:val="954F72" w:themeColor="followedHyperlink"/>
      <w:u w:val="single"/>
    </w:rPr>
  </w:style>
  <w:style w:type="character" w:customStyle="1" w:styleId="apple-converted-space">
    <w:name w:val="apple-converted-space"/>
    <w:basedOn w:val="DefaultParagraphFont"/>
    <w:rsid w:val="007C178F"/>
  </w:style>
  <w:style w:type="paragraph" w:styleId="NormalWeb">
    <w:name w:val="Normal (Web)"/>
    <w:basedOn w:val="Normal"/>
    <w:uiPriority w:val="99"/>
    <w:unhideWhenUsed/>
    <w:rsid w:val="007C178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70842">
      <w:bodyDiv w:val="1"/>
      <w:marLeft w:val="0"/>
      <w:marRight w:val="0"/>
      <w:marTop w:val="0"/>
      <w:marBottom w:val="0"/>
      <w:divBdr>
        <w:top w:val="none" w:sz="0" w:space="0" w:color="auto"/>
        <w:left w:val="none" w:sz="0" w:space="0" w:color="auto"/>
        <w:bottom w:val="none" w:sz="0" w:space="0" w:color="auto"/>
        <w:right w:val="none" w:sz="0" w:space="0" w:color="auto"/>
      </w:divBdr>
    </w:div>
    <w:div w:id="237860666">
      <w:bodyDiv w:val="1"/>
      <w:marLeft w:val="0"/>
      <w:marRight w:val="0"/>
      <w:marTop w:val="0"/>
      <w:marBottom w:val="0"/>
      <w:divBdr>
        <w:top w:val="none" w:sz="0" w:space="0" w:color="auto"/>
        <w:left w:val="none" w:sz="0" w:space="0" w:color="auto"/>
        <w:bottom w:val="none" w:sz="0" w:space="0" w:color="auto"/>
        <w:right w:val="none" w:sz="0" w:space="0" w:color="auto"/>
      </w:divBdr>
    </w:div>
    <w:div w:id="248124893">
      <w:bodyDiv w:val="1"/>
      <w:marLeft w:val="0"/>
      <w:marRight w:val="0"/>
      <w:marTop w:val="0"/>
      <w:marBottom w:val="0"/>
      <w:divBdr>
        <w:top w:val="none" w:sz="0" w:space="0" w:color="auto"/>
        <w:left w:val="none" w:sz="0" w:space="0" w:color="auto"/>
        <w:bottom w:val="none" w:sz="0" w:space="0" w:color="auto"/>
        <w:right w:val="none" w:sz="0" w:space="0" w:color="auto"/>
      </w:divBdr>
    </w:div>
    <w:div w:id="389811447">
      <w:bodyDiv w:val="1"/>
      <w:marLeft w:val="0"/>
      <w:marRight w:val="0"/>
      <w:marTop w:val="0"/>
      <w:marBottom w:val="0"/>
      <w:divBdr>
        <w:top w:val="none" w:sz="0" w:space="0" w:color="auto"/>
        <w:left w:val="none" w:sz="0" w:space="0" w:color="auto"/>
        <w:bottom w:val="none" w:sz="0" w:space="0" w:color="auto"/>
        <w:right w:val="none" w:sz="0" w:space="0" w:color="auto"/>
      </w:divBdr>
    </w:div>
    <w:div w:id="465051825">
      <w:bodyDiv w:val="1"/>
      <w:marLeft w:val="0"/>
      <w:marRight w:val="0"/>
      <w:marTop w:val="0"/>
      <w:marBottom w:val="0"/>
      <w:divBdr>
        <w:top w:val="none" w:sz="0" w:space="0" w:color="auto"/>
        <w:left w:val="none" w:sz="0" w:space="0" w:color="auto"/>
        <w:bottom w:val="none" w:sz="0" w:space="0" w:color="auto"/>
        <w:right w:val="none" w:sz="0" w:space="0" w:color="auto"/>
      </w:divBdr>
    </w:div>
    <w:div w:id="551969154">
      <w:bodyDiv w:val="1"/>
      <w:marLeft w:val="0"/>
      <w:marRight w:val="0"/>
      <w:marTop w:val="0"/>
      <w:marBottom w:val="0"/>
      <w:divBdr>
        <w:top w:val="none" w:sz="0" w:space="0" w:color="auto"/>
        <w:left w:val="none" w:sz="0" w:space="0" w:color="auto"/>
        <w:bottom w:val="none" w:sz="0" w:space="0" w:color="auto"/>
        <w:right w:val="none" w:sz="0" w:space="0" w:color="auto"/>
      </w:divBdr>
    </w:div>
    <w:div w:id="676537335">
      <w:bodyDiv w:val="1"/>
      <w:marLeft w:val="0"/>
      <w:marRight w:val="0"/>
      <w:marTop w:val="0"/>
      <w:marBottom w:val="0"/>
      <w:divBdr>
        <w:top w:val="none" w:sz="0" w:space="0" w:color="auto"/>
        <w:left w:val="none" w:sz="0" w:space="0" w:color="auto"/>
        <w:bottom w:val="none" w:sz="0" w:space="0" w:color="auto"/>
        <w:right w:val="none" w:sz="0" w:space="0" w:color="auto"/>
      </w:divBdr>
    </w:div>
    <w:div w:id="780222669">
      <w:bodyDiv w:val="1"/>
      <w:marLeft w:val="0"/>
      <w:marRight w:val="0"/>
      <w:marTop w:val="0"/>
      <w:marBottom w:val="0"/>
      <w:divBdr>
        <w:top w:val="none" w:sz="0" w:space="0" w:color="auto"/>
        <w:left w:val="none" w:sz="0" w:space="0" w:color="auto"/>
        <w:bottom w:val="none" w:sz="0" w:space="0" w:color="auto"/>
        <w:right w:val="none" w:sz="0" w:space="0" w:color="auto"/>
      </w:divBdr>
    </w:div>
    <w:div w:id="901796817">
      <w:bodyDiv w:val="1"/>
      <w:marLeft w:val="0"/>
      <w:marRight w:val="0"/>
      <w:marTop w:val="0"/>
      <w:marBottom w:val="0"/>
      <w:divBdr>
        <w:top w:val="none" w:sz="0" w:space="0" w:color="auto"/>
        <w:left w:val="none" w:sz="0" w:space="0" w:color="auto"/>
        <w:bottom w:val="none" w:sz="0" w:space="0" w:color="auto"/>
        <w:right w:val="none" w:sz="0" w:space="0" w:color="auto"/>
      </w:divBdr>
    </w:div>
    <w:div w:id="1014069690">
      <w:bodyDiv w:val="1"/>
      <w:marLeft w:val="0"/>
      <w:marRight w:val="0"/>
      <w:marTop w:val="0"/>
      <w:marBottom w:val="0"/>
      <w:divBdr>
        <w:top w:val="none" w:sz="0" w:space="0" w:color="auto"/>
        <w:left w:val="none" w:sz="0" w:space="0" w:color="auto"/>
        <w:bottom w:val="none" w:sz="0" w:space="0" w:color="auto"/>
        <w:right w:val="none" w:sz="0" w:space="0" w:color="auto"/>
      </w:divBdr>
    </w:div>
    <w:div w:id="1188713401">
      <w:bodyDiv w:val="1"/>
      <w:marLeft w:val="0"/>
      <w:marRight w:val="0"/>
      <w:marTop w:val="0"/>
      <w:marBottom w:val="0"/>
      <w:divBdr>
        <w:top w:val="none" w:sz="0" w:space="0" w:color="auto"/>
        <w:left w:val="none" w:sz="0" w:space="0" w:color="auto"/>
        <w:bottom w:val="none" w:sz="0" w:space="0" w:color="auto"/>
        <w:right w:val="none" w:sz="0" w:space="0" w:color="auto"/>
      </w:divBdr>
    </w:div>
    <w:div w:id="1329556760">
      <w:bodyDiv w:val="1"/>
      <w:marLeft w:val="0"/>
      <w:marRight w:val="0"/>
      <w:marTop w:val="0"/>
      <w:marBottom w:val="0"/>
      <w:divBdr>
        <w:top w:val="none" w:sz="0" w:space="0" w:color="auto"/>
        <w:left w:val="none" w:sz="0" w:space="0" w:color="auto"/>
        <w:bottom w:val="none" w:sz="0" w:space="0" w:color="auto"/>
        <w:right w:val="none" w:sz="0" w:space="0" w:color="auto"/>
      </w:divBdr>
    </w:div>
    <w:div w:id="1390181190">
      <w:bodyDiv w:val="1"/>
      <w:marLeft w:val="0"/>
      <w:marRight w:val="0"/>
      <w:marTop w:val="0"/>
      <w:marBottom w:val="0"/>
      <w:divBdr>
        <w:top w:val="none" w:sz="0" w:space="0" w:color="auto"/>
        <w:left w:val="none" w:sz="0" w:space="0" w:color="auto"/>
        <w:bottom w:val="none" w:sz="0" w:space="0" w:color="auto"/>
        <w:right w:val="none" w:sz="0" w:space="0" w:color="auto"/>
      </w:divBdr>
    </w:div>
    <w:div w:id="1592736235">
      <w:bodyDiv w:val="1"/>
      <w:marLeft w:val="0"/>
      <w:marRight w:val="0"/>
      <w:marTop w:val="0"/>
      <w:marBottom w:val="0"/>
      <w:divBdr>
        <w:top w:val="none" w:sz="0" w:space="0" w:color="auto"/>
        <w:left w:val="none" w:sz="0" w:space="0" w:color="auto"/>
        <w:bottom w:val="none" w:sz="0" w:space="0" w:color="auto"/>
        <w:right w:val="none" w:sz="0" w:space="0" w:color="auto"/>
      </w:divBdr>
    </w:div>
    <w:div w:id="1597134947">
      <w:bodyDiv w:val="1"/>
      <w:marLeft w:val="0"/>
      <w:marRight w:val="0"/>
      <w:marTop w:val="0"/>
      <w:marBottom w:val="0"/>
      <w:divBdr>
        <w:top w:val="none" w:sz="0" w:space="0" w:color="auto"/>
        <w:left w:val="none" w:sz="0" w:space="0" w:color="auto"/>
        <w:bottom w:val="none" w:sz="0" w:space="0" w:color="auto"/>
        <w:right w:val="none" w:sz="0" w:space="0" w:color="auto"/>
      </w:divBdr>
    </w:div>
    <w:div w:id="1642420728">
      <w:bodyDiv w:val="1"/>
      <w:marLeft w:val="0"/>
      <w:marRight w:val="0"/>
      <w:marTop w:val="0"/>
      <w:marBottom w:val="0"/>
      <w:divBdr>
        <w:top w:val="none" w:sz="0" w:space="0" w:color="auto"/>
        <w:left w:val="none" w:sz="0" w:space="0" w:color="auto"/>
        <w:bottom w:val="none" w:sz="0" w:space="0" w:color="auto"/>
        <w:right w:val="none" w:sz="0" w:space="0" w:color="auto"/>
      </w:divBdr>
    </w:div>
    <w:div w:id="1695154677">
      <w:bodyDiv w:val="1"/>
      <w:marLeft w:val="0"/>
      <w:marRight w:val="0"/>
      <w:marTop w:val="0"/>
      <w:marBottom w:val="0"/>
      <w:divBdr>
        <w:top w:val="none" w:sz="0" w:space="0" w:color="auto"/>
        <w:left w:val="none" w:sz="0" w:space="0" w:color="auto"/>
        <w:bottom w:val="none" w:sz="0" w:space="0" w:color="auto"/>
        <w:right w:val="none" w:sz="0" w:space="0" w:color="auto"/>
      </w:divBdr>
    </w:div>
    <w:div w:id="1709791381">
      <w:bodyDiv w:val="1"/>
      <w:marLeft w:val="0"/>
      <w:marRight w:val="0"/>
      <w:marTop w:val="0"/>
      <w:marBottom w:val="0"/>
      <w:divBdr>
        <w:top w:val="none" w:sz="0" w:space="0" w:color="auto"/>
        <w:left w:val="none" w:sz="0" w:space="0" w:color="auto"/>
        <w:bottom w:val="none" w:sz="0" w:space="0" w:color="auto"/>
        <w:right w:val="none" w:sz="0" w:space="0" w:color="auto"/>
      </w:divBdr>
    </w:div>
    <w:div w:id="1712538100">
      <w:bodyDiv w:val="1"/>
      <w:marLeft w:val="0"/>
      <w:marRight w:val="0"/>
      <w:marTop w:val="0"/>
      <w:marBottom w:val="0"/>
      <w:divBdr>
        <w:top w:val="none" w:sz="0" w:space="0" w:color="auto"/>
        <w:left w:val="none" w:sz="0" w:space="0" w:color="auto"/>
        <w:bottom w:val="none" w:sz="0" w:space="0" w:color="auto"/>
        <w:right w:val="none" w:sz="0" w:space="0" w:color="auto"/>
      </w:divBdr>
    </w:div>
    <w:div w:id="201904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employment-law/whistleblowing/" TargetMode="External"/><Relationship Id="rId18" Type="http://schemas.openxmlformats.org/officeDocument/2006/relationships/hyperlink" Target="https://www.peoplemanagement.co.uk/article/1806097/employees-three-times-engaged-when-feel-supported-managers-study-shows" TargetMode="External"/><Relationship Id="rId26" Type="http://schemas.openxmlformats.org/officeDocument/2006/relationships/hyperlink" Target="https://www.acas.org.uk/arbitration" TargetMode="External"/><Relationship Id="rId39" Type="http://schemas.openxmlformats.org/officeDocument/2006/relationships/hyperlink" Target="https://www.legislation.gov.uk/ukpga/2010/15/contents" TargetMode="External"/><Relationship Id="rId21" Type="http://schemas.openxmlformats.org/officeDocument/2006/relationships/hyperlink" Target="https://www.acas.org.uk/sites/default/files/2021-03/trade-union-representation-in-the-workplace.pdf" TargetMode="External"/><Relationship Id="rId34" Type="http://schemas.openxmlformats.org/officeDocument/2006/relationships/hyperlink" Target="https://www.cipd.org/uk/knowledge/factsheets/mediation-factsheet/" TargetMode="External"/><Relationship Id="rId42" Type="http://schemas.openxmlformats.org/officeDocument/2006/relationships/hyperlink" Target="https://www.gov.uk/solve-workplace-dispute/appeals" TargetMode="External"/><Relationship Id="rId47" Type="http://schemas.openxmlformats.org/officeDocument/2006/relationships/hyperlink" Target="https://uk.indeed.com/career-advice/career-development/handling-workplace-complaints" TargetMode="External"/><Relationship Id="rId50" Type="http://schemas.openxmlformats.org/officeDocument/2006/relationships/hyperlink" Target="https://www.linkedin.com/advice/3/how-can-you-choose-best-employee-representation" TargetMode="External"/><Relationship Id="rId55" Type="http://schemas.openxmlformats.org/officeDocument/2006/relationships/hyperlink" Target="https://www.personneltoday.com/hr/employee-grievances-rise-xperthr/" TargetMode="External"/><Relationship Id="rId7" Type="http://schemas.openxmlformats.org/officeDocument/2006/relationships/hyperlink" Target="https://www.cipd.org/en/knowledge/reports/employee-voice-report/" TargetMode="External"/><Relationship Id="rId2" Type="http://schemas.openxmlformats.org/officeDocument/2006/relationships/styles" Target="styles.xml"/><Relationship Id="rId16" Type="http://schemas.openxmlformats.org/officeDocument/2006/relationships/hyperlink" Target="https://www.linkedin.com/pulse/power-employee-voice-fostering-culture-engagement-retention-godden-tpvoe" TargetMode="External"/><Relationship Id="rId29" Type="http://schemas.openxmlformats.org/officeDocument/2006/relationships/hyperlink" Target="https://www.acas.org.uk/dispute-in-the-workplace-a-story-of-change-and-complexity" TargetMode="External"/><Relationship Id="rId11" Type="http://schemas.openxmlformats.org/officeDocument/2006/relationships/hyperlink" Target="https://www.cipd.org/uk/knowledge/factsheets/voice-factsheet/" TargetMode="External"/><Relationship Id="rId24" Type="http://schemas.openxmlformats.org/officeDocument/2006/relationships/hyperlink" Target="https://www.acas.org.uk/sites/default/files/2021-04/challenging-conversations-and-how-to-manage-them.pdf" TargetMode="External"/><Relationship Id="rId32" Type="http://schemas.openxmlformats.org/officeDocument/2006/relationships/hyperlink" Target="https://www.cipd.org/uk/knowledge/reports/managing-workplace-conflict-report/" TargetMode="External"/><Relationship Id="rId37" Type="http://schemas.openxmlformats.org/officeDocument/2006/relationships/hyperlink" Target="https://www.cipd.org/uk/knowledge/guides/working-trade-unions/" TargetMode="External"/><Relationship Id="rId40" Type="http://schemas.openxmlformats.org/officeDocument/2006/relationships/hyperlink" Target="https://www.foxlawyers.com/fox-partners-research-into-bullying-at-work-reported-by-training-zone/" TargetMode="External"/><Relationship Id="rId45" Type="http://schemas.openxmlformats.org/officeDocument/2006/relationships/hyperlink" Target="https://www.gov.uk/working-with-trade-unions/collective-bargaining" TargetMode="External"/><Relationship Id="rId53" Type="http://schemas.openxmlformats.org/officeDocument/2006/relationships/hyperlink" Target="https://www.ons.gov.uk/employmentandlabourmarket/peopleinwork/workplacedisputesandworkingconditions/articles/theimpactofstrikesintheuk/june2022tofebruary2023" TargetMode="External"/><Relationship Id="rId58" Type="http://schemas.openxmlformats.org/officeDocument/2006/relationships/hyperlink" Target="https://www.legislation.gov.uk/ukpga/1992/52/contents" TargetMode="External"/><Relationship Id="rId5" Type="http://schemas.openxmlformats.org/officeDocument/2006/relationships/hyperlink" Target="https://www.acas.org.uk/supporting-mental-health-workplace%20ACAS%202023" TargetMode="External"/><Relationship Id="rId61" Type="http://schemas.openxmlformats.org/officeDocument/2006/relationships/fontTable" Target="fontTable.xml"/><Relationship Id="rId19" Type="http://schemas.openxmlformats.org/officeDocument/2006/relationships/hyperlink" Target="https://www.gov.uk/employment-appeal-tribunal-decisions/mr-d-blackburn-v-aldi-stores-ltd-ukeat-0185-12-joj" TargetMode="External"/><Relationship Id="rId14" Type="http://schemas.openxmlformats.org/officeDocument/2006/relationships/hyperlink" Target="https://www.cipd.org/uk/knowledge/reports/goodwork/" TargetMode="External"/><Relationship Id="rId22" Type="http://schemas.openxmlformats.org/officeDocument/2006/relationships/hyperlink" Target="https://www.acas.org.uk/sites/default/files/2021-03/non-union-representation-in-the-workplace.pdf" TargetMode="External"/><Relationship Id="rId27" Type="http://schemas.openxmlformats.org/officeDocument/2006/relationships/hyperlink" Target="https://www.acas.org.uk/supporting-disabled-people/capability-and-performance-when-someone-is-disabled%20ACAS%202023" TargetMode="External"/><Relationship Id="rId30" Type="http://schemas.openxmlformats.org/officeDocument/2006/relationships/hyperlink" Target="https://www.acas.org.uk/grievance-procedure-step-by-step" TargetMode="External"/><Relationship Id="rId35" Type="http://schemas.openxmlformats.org/officeDocument/2006/relationships/hyperlink" Target="https://www.cipd.org/uk/knowledge/factsheets/trade-unions-factsheet/" TargetMode="External"/><Relationship Id="rId43" Type="http://schemas.openxmlformats.org/officeDocument/2006/relationships/hyperlink" Target="https://www.gov.uk/trade-union-recognition-employers" TargetMode="External"/><Relationship Id="rId48" Type="http://schemas.openxmlformats.org/officeDocument/2006/relationships/hyperlink" Target="https://mdujournal.themdu.com/issue-archive/autumn-2023/resolving-workplace-grievances-effectively" TargetMode="External"/><Relationship Id="rId56" Type="http://schemas.openxmlformats.org/officeDocument/2006/relationships/hyperlink" Target="https://www.legislation.gov.uk/ukpga/2023/39" TargetMode="External"/><Relationship Id="rId8" Type="http://schemas.openxmlformats.org/officeDocument/2006/relationships/hyperlink" Target="https://www.cipd.org/uk/knowledge/reports/employee-experiences/" TargetMode="External"/><Relationship Id="rId51" Type="http://schemas.openxmlformats.org/officeDocument/2006/relationships/hyperlink" Target="https://www.researchgate.net/profile/Boca-Gratiela/publication/227408939_A_Provocation_for_Quality_Product/links/00b49518dfda64962a000000/A-Provocation-for-Quality-Product.pdf?_sg%5B0%5D=started_experiment_milestone&amp;origin=journalDetail&amp;_rtd=e30%3D" TargetMode="External"/><Relationship Id="rId3" Type="http://schemas.openxmlformats.org/officeDocument/2006/relationships/settings" Target="settings.xml"/><Relationship Id="rId12" Type="http://schemas.openxmlformats.org/officeDocument/2006/relationships/hyperlink" Target="https://www.cipd.org/uk/knowledge/guides/planning-hybrid-working/" TargetMode="External"/><Relationship Id="rId17" Type="http://schemas.openxmlformats.org/officeDocument/2006/relationships/hyperlink" Target="https://www.mind.org.uk/media-a/4662/resource3_howtopromotewellbeingfinal.pdf" TargetMode="External"/><Relationship Id="rId25" Type="http://schemas.openxmlformats.org/officeDocument/2006/relationships/hyperlink" Target="https://www.acas.org.uk/early-conciliation" TargetMode="External"/><Relationship Id="rId33" Type="http://schemas.openxmlformats.org/officeDocument/2006/relationships/hyperlink" Target="https://www.cipd.org/uk/knowledge/guides/workplace-conflict-people-manager-guide/" TargetMode="External"/><Relationship Id="rId38" Type="http://schemas.openxmlformats.org/officeDocument/2006/relationships/hyperlink" Target="https://www.legislation.gov.uk/ukpga/1996/18/section/94" TargetMode="External"/><Relationship Id="rId46" Type="http://schemas.openxmlformats.org/officeDocument/2006/relationships/hyperlink" Target="https://www.indeed.com/career-advice/finding-a-job/union-job-vs-non-union-job" TargetMode="External"/><Relationship Id="rId59" Type="http://schemas.openxmlformats.org/officeDocument/2006/relationships/hyperlink" Target="https://www.tuc.org.uk/workplace-guidance/organising-and-bargaining/collective-bargaining" TargetMode="External"/><Relationship Id="rId20" Type="http://schemas.openxmlformats.org/officeDocument/2006/relationships/hyperlink" Target="https://www.acas.org.uk/dispute-in-the-workplace-a-story-of-change-and-complexity" TargetMode="External"/><Relationship Id="rId41" Type="http://schemas.openxmlformats.org/officeDocument/2006/relationships/hyperlink" Target="https://www.gov.uk/solve-workplace-dispute/mediation-conciliation-and-arbitration" TargetMode="External"/><Relationship Id="rId54" Type="http://schemas.openxmlformats.org/officeDocument/2006/relationships/hyperlink" Target="https://www.peoplemanagement.co.uk/article/1794325/industrial-action-things-consider"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108/JMD-02-2015-0032" TargetMode="External"/><Relationship Id="rId15" Type="http://schemas.openxmlformats.org/officeDocument/2006/relationships/hyperlink" Target="https://www.gallup.com/workplace/231602/right-culture-not-employee-satisfaction.aspx?trk=article-ssr-frontend-pulse_little-text-block" TargetMode="External"/><Relationship Id="rId23" Type="http://schemas.openxmlformats.org/officeDocument/2006/relationships/hyperlink" Target="https://www.acas.org.uk/acas-code-of-practice-on-disciplinary-and-grievance-procedures%20ACAS%202015" TargetMode="External"/><Relationship Id="rId28" Type="http://schemas.openxmlformats.org/officeDocument/2006/relationships/hyperlink" Target="https://www.acas.org.uk/strikes-and-industrial-action/strikes" TargetMode="External"/><Relationship Id="rId36" Type="http://schemas.openxmlformats.org/officeDocument/2006/relationships/hyperlink" Target="https://www.cipd.org/uk/knowledge/factsheets/discipline-factsheet/" TargetMode="External"/><Relationship Id="rId49" Type="http://schemas.openxmlformats.org/officeDocument/2006/relationships/hyperlink" Target="https://labour.org.uk/wp-content/uploads/2022/09/Employment-Rights-Green-Paper.pdf" TargetMode="External"/><Relationship Id="rId57" Type="http://schemas.openxmlformats.org/officeDocument/2006/relationships/hyperlink" Target="https://www.legislation.gov.uk/ukpga/2016/15/notes/division/6/index.htm" TargetMode="External"/><Relationship Id="rId10" Type="http://schemas.openxmlformats.org/officeDocument/2006/relationships/hyperlink" Target="https://www.cipd.org/uk/knowledge/guides/employee-voice-guide/" TargetMode="External"/><Relationship Id="rId31" Type="http://schemas.openxmlformats.org/officeDocument/2006/relationships/hyperlink" Target="https://dx.doi.org/10.213" TargetMode="External"/><Relationship Id="rId44" Type="http://schemas.openxmlformats.org/officeDocument/2006/relationships/hyperlink" Target="https://www.gov.uk/industrial-action-strikes/your-employment-rights-during-industrial-action" TargetMode="External"/><Relationship Id="rId52" Type="http://schemas.openxmlformats.org/officeDocument/2006/relationships/hyperlink" Target="https://www.legislation.gov.uk/ukpga/1998/39/contents" TargetMode="External"/><Relationship Id="rId60" Type="http://schemas.openxmlformats.org/officeDocument/2006/relationships/hyperlink" Target="https://www.unison.org.uk/about/what-we-do/negotiating-and-bargaining/" TargetMode="External"/><Relationship Id="rId4" Type="http://schemas.openxmlformats.org/officeDocument/2006/relationships/webSettings" Target="webSettings.xml"/><Relationship Id="rId9" Type="http://schemas.openxmlformats.org/officeDocument/2006/relationships/hyperlink" Target="https://www.cipd.org/uk/views-and-insights/thought-leadership/people-profession/employee-vo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7262</Words>
  <Characters>41397</Characters>
  <Application>Microsoft Office Word</Application>
  <DocSecurity>0</DocSecurity>
  <Lines>344</Lines>
  <Paragraphs>97</Paragraphs>
  <ScaleCrop>false</ScaleCrop>
  <Company/>
  <LinksUpToDate>false</LinksUpToDate>
  <CharactersWithSpaces>48562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Hitchings K (FLSE)</dc:creator>
  <cp:keywords/>
  <dc:description/>
  <cp:lastModifiedBy>Hitchings, Chloe</cp:lastModifiedBy>
  <cp:revision>2</cp:revision>
  <dcterms:created xsi:type="dcterms:W3CDTF">2024-07-15T22:49:00Z</dcterms:created>
  <dcterms:modified xsi:type="dcterms:W3CDTF">2024-07-15T22:49:00Z</dcterms:modified>
</cp:coreProperties>
</file>