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90712639"/>
        <w:docPartObj>
          <w:docPartGallery w:val="Cover Pages"/>
          <w:docPartUnique/>
        </w:docPartObj>
      </w:sdtPr>
      <w:sdtEndPr>
        <w:rPr>
          <w:rFonts w:ascii="Arial Black" w:hAnsi="Arial Black" w:cs="Arial"/>
        </w:rPr>
      </w:sdtEndPr>
      <w:sdtContent>
        <w:p w14:paraId="2603A5E7" w14:textId="77777777" w:rsidR="00EE4261" w:rsidRPr="00EE4261" w:rsidRDefault="00EE4261" w:rsidP="00EE4261">
          <w:pPr>
            <w:rPr>
              <w:rFonts w:ascii="Arial Black" w:hAnsi="Arial Black"/>
            </w:rPr>
          </w:pPr>
          <w:r w:rsidRPr="00EE4261">
            <w:rPr>
              <w:rFonts w:ascii="Arial Black" w:hAnsi="Arial Black"/>
            </w:rPr>
            <w:t>Green Danube Romanian Bistro</w:t>
          </w:r>
        </w:p>
        <w:p w14:paraId="7500502E" w14:textId="77777777" w:rsidR="00EE4261" w:rsidRPr="00EE4261" w:rsidRDefault="00EE4261" w:rsidP="00EE4261">
          <w:pPr>
            <w:rPr>
              <w:rFonts w:ascii="Arial Black" w:hAnsi="Arial Black"/>
            </w:rPr>
          </w:pPr>
          <w:r w:rsidRPr="00EE4261">
            <w:rPr>
              <w:rFonts w:ascii="Arial Black" w:hAnsi="Arial Black"/>
            </w:rPr>
            <w:t>Loan Proposal to Barclays Bank</w:t>
          </w:r>
        </w:p>
        <w:p w14:paraId="76E72B3B" w14:textId="2810E212" w:rsidR="00EE4261" w:rsidRPr="00EE4261" w:rsidRDefault="00EE4261" w:rsidP="00EE4261">
          <w:pPr>
            <w:rPr>
              <w:rFonts w:ascii="Arial Black" w:hAnsi="Arial Black"/>
            </w:rPr>
          </w:pPr>
          <w:r w:rsidRPr="00EE4261">
            <w:rPr>
              <w:rFonts w:ascii="Arial Black" w:hAnsi="Arial Black"/>
            </w:rPr>
            <w:t>£250,000 Term Loan</w:t>
          </w:r>
        </w:p>
        <w:tbl>
          <w:tblPr>
            <w:tblpPr w:leftFromText="187" w:rightFromText="187" w:horzAnchor="margin" w:tblpXSpec="center" w:tblpYSpec="bottom"/>
            <w:tblW w:w="3857" w:type="pct"/>
            <w:tblLook w:val="04A0" w:firstRow="1" w:lastRow="0" w:firstColumn="1" w:lastColumn="0" w:noHBand="0" w:noVBand="1"/>
          </w:tblPr>
          <w:tblGrid>
            <w:gridCol w:w="6963"/>
          </w:tblGrid>
          <w:tr w:rsidR="00EE4261" w14:paraId="1F367ED7" w14:textId="77777777" w:rsidTr="00EE4261">
            <w:tc>
              <w:tcPr>
                <w:tcW w:w="6963" w:type="dxa"/>
                <w:tcMar>
                  <w:top w:w="216" w:type="dxa"/>
                  <w:left w:w="115" w:type="dxa"/>
                  <w:bottom w:w="216" w:type="dxa"/>
                  <w:right w:w="115" w:type="dxa"/>
                </w:tcMar>
              </w:tcPr>
              <w:sdt>
                <w:sdtPr>
                  <w:rPr>
                    <w:rFonts w:ascii="Arial Black" w:hAnsi="Arial Black"/>
                    <w:color w:val="156082" w:themeColor="accent1"/>
                    <w:sz w:val="28"/>
                    <w:szCs w:val="28"/>
                  </w:rPr>
                  <w:alias w:val="Author"/>
                  <w:id w:val="13406928"/>
                  <w:placeholder>
                    <w:docPart w:val="45DDC96E7F0B4B48825D16DF36CFA285"/>
                  </w:placeholder>
                  <w:dataBinding w:prefixMappings="xmlns:ns0='http://schemas.openxmlformats.org/package/2006/metadata/core-properties' xmlns:ns1='http://purl.org/dc/elements/1.1/'" w:xpath="/ns0:coreProperties[1]/ns1:creator[1]" w:storeItemID="{6C3C8BC8-F283-45AE-878A-BAB7291924A1}"/>
                  <w:text/>
                </w:sdtPr>
                <w:sdtContent>
                  <w:p w14:paraId="3F97AF39" w14:textId="65F5AFA4" w:rsidR="00EE4261" w:rsidRPr="00EE4261" w:rsidRDefault="00EE4261">
                    <w:pPr>
                      <w:pStyle w:val="NoSpacing"/>
                      <w:rPr>
                        <w:rFonts w:ascii="Arial Black" w:hAnsi="Arial Black"/>
                        <w:color w:val="156082" w:themeColor="accent1"/>
                        <w:sz w:val="28"/>
                        <w:szCs w:val="28"/>
                      </w:rPr>
                    </w:pPr>
                    <w:r w:rsidRPr="00EE4261">
                      <w:rPr>
                        <w:rFonts w:ascii="Arial Black" w:hAnsi="Arial Black"/>
                        <w:color w:val="156082" w:themeColor="accent1"/>
                        <w:sz w:val="28"/>
                        <w:szCs w:val="28"/>
                      </w:rPr>
                      <w:t>Student name: Flavius Fangli</w:t>
                    </w:r>
                  </w:p>
                </w:sdtContent>
              </w:sdt>
              <w:sdt>
                <w:sdtPr>
                  <w:rPr>
                    <w:rFonts w:ascii="Arial Black" w:hAnsi="Arial Black"/>
                    <w:color w:val="156082" w:themeColor="accent1"/>
                    <w:sz w:val="28"/>
                    <w:szCs w:val="28"/>
                  </w:rPr>
                  <w:alias w:val="Date"/>
                  <w:tag w:val="Date"/>
                  <w:id w:val="13406932"/>
                  <w:placeholder>
                    <w:docPart w:val="573F023DE9AC4B1B9A63338451656894"/>
                  </w:placeholder>
                  <w:dataBinding w:prefixMappings="xmlns:ns0='http://schemas.microsoft.com/office/2006/coverPageProps'" w:xpath="/ns0:CoverPageProperties[1]/ns0:PublishDate[1]" w:storeItemID="{55AF091B-3C7A-41E3-B477-F2FDAA23CFDA}"/>
                  <w:date w:fullDate="2025-07-18T00:00:00Z">
                    <w:dateFormat w:val="M-d-yyyy"/>
                    <w:lid w:val="en-US"/>
                    <w:storeMappedDataAs w:val="dateTime"/>
                    <w:calendar w:val="gregorian"/>
                  </w:date>
                </w:sdtPr>
                <w:sdtContent>
                  <w:p w14:paraId="3929EFFB" w14:textId="4A685C4A" w:rsidR="00EE4261" w:rsidRPr="00EE4261" w:rsidRDefault="00EE4261">
                    <w:pPr>
                      <w:pStyle w:val="NoSpacing"/>
                      <w:rPr>
                        <w:rFonts w:ascii="Arial Black" w:hAnsi="Arial Black"/>
                        <w:color w:val="156082" w:themeColor="accent1"/>
                        <w:sz w:val="28"/>
                        <w:szCs w:val="28"/>
                      </w:rPr>
                    </w:pPr>
                    <w:r w:rsidRPr="00EE4261">
                      <w:rPr>
                        <w:rFonts w:ascii="Arial Black" w:hAnsi="Arial Black"/>
                        <w:color w:val="156082" w:themeColor="accent1"/>
                        <w:sz w:val="28"/>
                        <w:szCs w:val="28"/>
                      </w:rPr>
                      <w:t>7-18-2025</w:t>
                    </w:r>
                  </w:p>
                </w:sdtContent>
              </w:sdt>
              <w:p w14:paraId="18E83499" w14:textId="77777777" w:rsidR="00EE4261" w:rsidRDefault="00EE4261">
                <w:pPr>
                  <w:pStyle w:val="NoSpacing"/>
                  <w:rPr>
                    <w:color w:val="156082" w:themeColor="accent1"/>
                  </w:rPr>
                </w:pPr>
              </w:p>
            </w:tc>
          </w:tr>
        </w:tbl>
        <w:tbl>
          <w:tblPr>
            <w:tblpPr w:leftFromText="187" w:rightFromText="187" w:vertAnchor="page" w:horzAnchor="margin" w:tblpXSpec="center" w:tblpY="834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EE4261" w14:paraId="3264D60F" w14:textId="77777777" w:rsidTr="00EE4261">
            <w:tc>
              <w:tcPr>
                <w:tcW w:w="7209" w:type="dxa"/>
                <w:tcMar>
                  <w:top w:w="216" w:type="dxa"/>
                  <w:left w:w="115" w:type="dxa"/>
                  <w:bottom w:w="216" w:type="dxa"/>
                  <w:right w:w="115" w:type="dxa"/>
                </w:tcMar>
              </w:tcPr>
              <w:p w14:paraId="1E5B5F54" w14:textId="77777777" w:rsidR="00EE4261" w:rsidRDefault="00EE4261" w:rsidP="00EE4261">
                <w:pPr>
                  <w:pStyle w:val="NoSpacing"/>
                  <w:rPr>
                    <w:color w:val="0F4761" w:themeColor="accent1" w:themeShade="BF"/>
                    <w:sz w:val="24"/>
                  </w:rPr>
                </w:pPr>
              </w:p>
            </w:tc>
          </w:tr>
          <w:tr w:rsidR="00EE4261" w14:paraId="591B1313" w14:textId="77777777" w:rsidTr="00EE4261">
            <w:tc>
              <w:tcPr>
                <w:tcW w:w="7209" w:type="dxa"/>
              </w:tcPr>
              <w:sdt>
                <w:sdtPr>
                  <w:rPr>
                    <w:rFonts w:ascii="Arial Black" w:eastAsiaTheme="majorEastAsia" w:hAnsi="Arial Black" w:cstheme="majorBidi"/>
                    <w:color w:val="156082" w:themeColor="accent1"/>
                    <w:sz w:val="88"/>
                    <w:szCs w:val="88"/>
                  </w:rPr>
                  <w:alias w:val="Title"/>
                  <w:id w:val="13406919"/>
                  <w:placeholder>
                    <w:docPart w:val="76AAEC159A2F4EB49F4998B63E75A2D7"/>
                  </w:placeholder>
                  <w:dataBinding w:prefixMappings="xmlns:ns0='http://schemas.openxmlformats.org/package/2006/metadata/core-properties' xmlns:ns1='http://purl.org/dc/elements/1.1/'" w:xpath="/ns0:coreProperties[1]/ns1:title[1]" w:storeItemID="{6C3C8BC8-F283-45AE-878A-BAB7291924A1}"/>
                  <w:text/>
                </w:sdtPr>
                <w:sdtContent>
                  <w:p w14:paraId="6174CE4C" w14:textId="5EAE233D" w:rsidR="00EE4261" w:rsidRPr="00EE4261" w:rsidRDefault="00EE4261" w:rsidP="00EE4261">
                    <w:pPr>
                      <w:pStyle w:val="NoSpacing"/>
                      <w:spacing w:line="216" w:lineRule="auto"/>
                      <w:rPr>
                        <w:rFonts w:ascii="Arial Black" w:eastAsiaTheme="majorEastAsia" w:hAnsi="Arial Black" w:cstheme="majorBidi"/>
                        <w:color w:val="156082" w:themeColor="accent1"/>
                        <w:sz w:val="88"/>
                        <w:szCs w:val="88"/>
                      </w:rPr>
                    </w:pPr>
                    <w:r w:rsidRPr="00EE4261">
                      <w:rPr>
                        <w:rFonts w:ascii="Arial Black" w:eastAsiaTheme="majorEastAsia" w:hAnsi="Arial Black" w:cstheme="majorBidi"/>
                        <w:color w:val="156082" w:themeColor="accent1"/>
                        <w:sz w:val="88"/>
                        <w:szCs w:val="88"/>
                      </w:rPr>
                      <w:t>Sustainable Enterprise</w:t>
                    </w:r>
                  </w:p>
                </w:sdtContent>
              </w:sdt>
            </w:tc>
          </w:tr>
          <w:tr w:rsidR="00EE4261" w14:paraId="63DFA7B6" w14:textId="77777777" w:rsidTr="00EE4261">
            <w:tc>
              <w:tcPr>
                <w:tcW w:w="7209" w:type="dxa"/>
                <w:tcMar>
                  <w:top w:w="216" w:type="dxa"/>
                  <w:left w:w="115" w:type="dxa"/>
                  <w:bottom w:w="216" w:type="dxa"/>
                  <w:right w:w="115" w:type="dxa"/>
                </w:tcMar>
              </w:tcPr>
              <w:p w14:paraId="7EB79518" w14:textId="77777777" w:rsidR="00EE4261" w:rsidRDefault="00EE4261" w:rsidP="00EE4261">
                <w:pPr>
                  <w:pStyle w:val="NoSpacing"/>
                  <w:rPr>
                    <w:color w:val="0F4761" w:themeColor="accent1" w:themeShade="BF"/>
                    <w:sz w:val="24"/>
                  </w:rPr>
                </w:pPr>
              </w:p>
            </w:tc>
          </w:tr>
        </w:tbl>
        <w:p w14:paraId="6B0D4399" w14:textId="37EB2BED" w:rsidR="00EE4261" w:rsidRDefault="00EE4261">
          <w:pPr>
            <w:rPr>
              <w:rFonts w:ascii="Arial Black" w:hAnsi="Arial Black" w:cs="Arial"/>
            </w:rPr>
          </w:pPr>
          <w:r>
            <w:rPr>
              <w:rFonts w:ascii="Arial Black" w:hAnsi="Arial Black" w:cs="Arial"/>
            </w:rPr>
            <w:br w:type="page"/>
          </w:r>
        </w:p>
      </w:sdtContent>
    </w:sdt>
    <w:p w14:paraId="10668567" w14:textId="3B13360C" w:rsidR="00A545EF" w:rsidRPr="00C93356" w:rsidRDefault="00A545EF" w:rsidP="00A545EF">
      <w:pPr>
        <w:spacing w:line="360" w:lineRule="auto"/>
        <w:rPr>
          <w:rFonts w:ascii="Arial Black" w:hAnsi="Arial Black" w:cs="Arial"/>
        </w:rPr>
      </w:pPr>
      <w:r w:rsidRPr="00C93356">
        <w:rPr>
          <w:rFonts w:ascii="Arial Black" w:hAnsi="Arial Black" w:cs="Arial"/>
        </w:rPr>
        <w:lastRenderedPageBreak/>
        <w:t>Executive Summary</w:t>
      </w:r>
    </w:p>
    <w:p w14:paraId="66B071F4" w14:textId="77777777" w:rsidR="00A545EF" w:rsidRDefault="00A545EF" w:rsidP="00A545EF">
      <w:pPr>
        <w:spacing w:line="360" w:lineRule="auto"/>
        <w:rPr>
          <w:rFonts w:ascii="Arial" w:hAnsi="Arial" w:cs="Arial"/>
        </w:rPr>
      </w:pPr>
      <w:r w:rsidRPr="00A545EF">
        <w:rPr>
          <w:rFonts w:ascii="Arial" w:hAnsi="Arial" w:cs="Arial"/>
        </w:rPr>
        <w:t>Green Danube Romanian Bistro (“Green Danube”) is an anticipated sustainable Romanian bistro to be launching in Swansea’s Marina district. Merging real Romanian food, environmental responsibility and community engagement, Green Danube will offer locally sourced dishes on a seasonal menu, all while using biodegradable packaging, zero</w:t>
      </w:r>
      <w:r w:rsidRPr="00A545EF">
        <w:rPr>
          <w:rFonts w:ascii="Cambria Math" w:hAnsi="Cambria Math" w:cs="Cambria Math"/>
        </w:rPr>
        <w:t>‑</w:t>
      </w:r>
      <w:r w:rsidRPr="00A545EF">
        <w:rPr>
          <w:rFonts w:ascii="Arial" w:hAnsi="Arial" w:cs="Arial"/>
        </w:rPr>
        <w:t>waste practices in the kitchen and responding to community needs. Therefore, we are seeking a loan of £250,000 in term loan from Barclays Bank, for the purpose of funding leasehold improvements, kitchen equipment, initial working capital, and marketing.</w:t>
      </w:r>
    </w:p>
    <w:p w14:paraId="6C1795E3" w14:textId="6ABEE7FF" w:rsidR="00A545EF" w:rsidRPr="00A545EF" w:rsidRDefault="00A545EF" w:rsidP="00A545EF">
      <w:pPr>
        <w:spacing w:line="360" w:lineRule="auto"/>
        <w:rPr>
          <w:rFonts w:ascii="Arial" w:hAnsi="Arial" w:cs="Arial"/>
        </w:rPr>
      </w:pPr>
      <w:r w:rsidRPr="00A545EF">
        <w:rPr>
          <w:rFonts w:ascii="Arial" w:hAnsi="Arial" w:cs="Arial"/>
        </w:rPr>
        <w:t xml:space="preserve">With a maximum of 60 covers and a projected potential footfall </w:t>
      </w:r>
      <w:r w:rsidRPr="00A545EF">
        <w:rPr>
          <w:rFonts w:ascii="Arial" w:hAnsi="Arial" w:cs="Arial"/>
        </w:rPr>
        <w:t>more than</w:t>
      </w:r>
      <w:r w:rsidRPr="00A545EF">
        <w:rPr>
          <w:rFonts w:ascii="Arial" w:hAnsi="Arial" w:cs="Arial"/>
        </w:rPr>
        <w:t xml:space="preserve"> 5 million in the Swansea Marina and SA1 waterfront area, the Green Danube forecasts revenues at Year 1 will be £300,000, Year 2 will be £500,000 and Year 3 will be £650,000. We anticipate recovering </w:t>
      </w:r>
      <w:r w:rsidRPr="00A545EF">
        <w:rPr>
          <w:rFonts w:ascii="Arial" w:hAnsi="Arial" w:cs="Arial"/>
        </w:rPr>
        <w:t>all</w:t>
      </w:r>
      <w:r w:rsidRPr="00A545EF">
        <w:rPr>
          <w:rFonts w:ascii="Arial" w:hAnsi="Arial" w:cs="Arial"/>
        </w:rPr>
        <w:t xml:space="preserve"> our </w:t>
      </w:r>
      <w:r w:rsidRPr="00A545EF">
        <w:rPr>
          <w:rFonts w:ascii="Arial" w:hAnsi="Arial" w:cs="Arial"/>
        </w:rPr>
        <w:t>startup</w:t>
      </w:r>
      <w:r w:rsidRPr="00A545EF">
        <w:rPr>
          <w:rFonts w:ascii="Arial" w:hAnsi="Arial" w:cs="Arial"/>
        </w:rPr>
        <w:t xml:space="preserve"> costs and reaching breakeven month after Month </w:t>
      </w:r>
      <w:r w:rsidRPr="00A545EF">
        <w:rPr>
          <w:rFonts w:ascii="Arial" w:hAnsi="Arial" w:cs="Arial"/>
        </w:rPr>
        <w:t>14 and</w:t>
      </w:r>
      <w:r w:rsidRPr="00A545EF">
        <w:rPr>
          <w:rFonts w:ascii="Arial" w:hAnsi="Arial" w:cs="Arial"/>
        </w:rPr>
        <w:t xml:space="preserve"> achieving a net profit margin of 15% by Year 3. Some objectives we expect to achieve include B Corp certification by the end of Year 2, diverting 90% of our organic waste away from landfill with an aim to offset much of the remaining waste via locali</w:t>
      </w:r>
      <w:r>
        <w:rPr>
          <w:rFonts w:ascii="Arial" w:hAnsi="Arial" w:cs="Arial"/>
        </w:rPr>
        <w:t>s</w:t>
      </w:r>
      <w:r w:rsidRPr="00A545EF">
        <w:rPr>
          <w:rFonts w:ascii="Arial" w:hAnsi="Arial" w:cs="Arial"/>
        </w:rPr>
        <w:t>ed composting and recycling partnerships, and contributing 5% of net profit to food</w:t>
      </w:r>
      <w:r w:rsidRPr="00A545EF">
        <w:rPr>
          <w:rFonts w:ascii="Cambria Math" w:hAnsi="Cambria Math" w:cs="Cambria Math"/>
        </w:rPr>
        <w:t>‑</w:t>
      </w:r>
      <w:r w:rsidRPr="00A545EF">
        <w:rPr>
          <w:rFonts w:ascii="Arial" w:hAnsi="Arial" w:cs="Arial"/>
        </w:rPr>
        <w:t>waste charitable organi</w:t>
      </w:r>
      <w:r>
        <w:rPr>
          <w:rFonts w:ascii="Arial" w:hAnsi="Arial" w:cs="Arial"/>
        </w:rPr>
        <w:t>s</w:t>
      </w:r>
      <w:r w:rsidRPr="00A545EF">
        <w:rPr>
          <w:rFonts w:ascii="Arial" w:hAnsi="Arial" w:cs="Arial"/>
        </w:rPr>
        <w:t>ations.</w:t>
      </w:r>
    </w:p>
    <w:p w14:paraId="5FDE24D7" w14:textId="77777777" w:rsidR="00A545EF" w:rsidRPr="00C93356" w:rsidRDefault="00A545EF" w:rsidP="00A545EF">
      <w:pPr>
        <w:spacing w:line="360" w:lineRule="auto"/>
        <w:rPr>
          <w:rFonts w:ascii="Arial Black" w:hAnsi="Arial Black" w:cs="Arial"/>
        </w:rPr>
      </w:pPr>
      <w:r w:rsidRPr="00C93356">
        <w:rPr>
          <w:rFonts w:ascii="Arial Black" w:hAnsi="Arial Black" w:cs="Arial"/>
        </w:rPr>
        <w:t>Company Description</w:t>
      </w:r>
    </w:p>
    <w:p w14:paraId="68384437" w14:textId="4F396191" w:rsidR="00A545EF" w:rsidRPr="00C93356" w:rsidRDefault="00A545EF" w:rsidP="00C93356">
      <w:pPr>
        <w:pStyle w:val="ListParagraph"/>
        <w:numPr>
          <w:ilvl w:val="0"/>
          <w:numId w:val="14"/>
        </w:numPr>
        <w:spacing w:line="360" w:lineRule="auto"/>
        <w:rPr>
          <w:rFonts w:ascii="Arial Black" w:hAnsi="Arial Black" w:cs="Arial"/>
        </w:rPr>
      </w:pPr>
      <w:r w:rsidRPr="00C93356">
        <w:rPr>
          <w:rFonts w:ascii="Arial Black" w:hAnsi="Arial Black" w:cs="Arial"/>
        </w:rPr>
        <w:t>Legal Structure and Location</w:t>
      </w:r>
    </w:p>
    <w:p w14:paraId="519DD256" w14:textId="5558F48D" w:rsidR="00A545EF" w:rsidRPr="00A545EF" w:rsidRDefault="00A545EF" w:rsidP="00A545EF">
      <w:pPr>
        <w:spacing w:line="360" w:lineRule="auto"/>
        <w:rPr>
          <w:rFonts w:ascii="Arial" w:hAnsi="Arial" w:cs="Arial"/>
        </w:rPr>
      </w:pPr>
      <w:r w:rsidRPr="00A545EF">
        <w:rPr>
          <w:rFonts w:ascii="Arial" w:hAnsi="Arial" w:cs="Arial"/>
        </w:rPr>
        <w:t xml:space="preserve">The Green Danube Romanian Bistro will commence operation as a private limited company, registered in England &amp; Wales, </w:t>
      </w:r>
      <w:r w:rsidRPr="00A545EF">
        <w:rPr>
          <w:rFonts w:ascii="Arial" w:hAnsi="Arial" w:cs="Arial"/>
        </w:rPr>
        <w:t>to</w:t>
      </w:r>
      <w:r w:rsidRPr="00A545EF">
        <w:rPr>
          <w:rFonts w:ascii="Arial" w:hAnsi="Arial" w:cs="Arial"/>
        </w:rPr>
        <w:t xml:space="preserve"> facilitate the protection of the owner and provide governance around growth. The company has signed for an 1,800 </w:t>
      </w:r>
      <w:r w:rsidRPr="00A545EF">
        <w:rPr>
          <w:rFonts w:ascii="Arial" w:hAnsi="Arial" w:cs="Arial"/>
        </w:rPr>
        <w:t>sq.</w:t>
      </w:r>
      <w:r w:rsidRPr="00A545EF">
        <w:rPr>
          <w:rFonts w:ascii="Arial" w:hAnsi="Arial" w:cs="Arial"/>
        </w:rPr>
        <w:t xml:space="preserve"> ft location in Swansea Marina at the SA1 Waterfront </w:t>
      </w:r>
      <w:r w:rsidRPr="00A545EF">
        <w:rPr>
          <w:rFonts w:ascii="Arial" w:hAnsi="Arial" w:cs="Arial"/>
        </w:rPr>
        <w:t>development, SA</w:t>
      </w:r>
      <w:r w:rsidRPr="00A545EF">
        <w:rPr>
          <w:rFonts w:ascii="Arial" w:hAnsi="Arial" w:cs="Arial"/>
        </w:rPr>
        <w:t xml:space="preserve">1 8AF. The premises have a waterfront location with sight lines to the river and passing foot traffic from both local community members and </w:t>
      </w:r>
      <w:r w:rsidRPr="00A545EF">
        <w:rPr>
          <w:rFonts w:ascii="Arial" w:hAnsi="Arial" w:cs="Arial"/>
        </w:rPr>
        <w:t>tourists. The</w:t>
      </w:r>
      <w:r w:rsidRPr="00A545EF">
        <w:rPr>
          <w:rFonts w:ascii="Arial" w:hAnsi="Arial" w:cs="Arial"/>
        </w:rPr>
        <w:t xml:space="preserve"> space features open-plan kitchen where visitors will see into the preparation area, reinforcing transparency and relationship building, and seating for 60 diners with a comfortable arrangement to allow social distancing flexibility.  </w:t>
      </w:r>
    </w:p>
    <w:p w14:paraId="17666CE7" w14:textId="77777777" w:rsidR="00C93356" w:rsidRDefault="00C93356" w:rsidP="00A545EF">
      <w:pPr>
        <w:spacing w:line="360" w:lineRule="auto"/>
        <w:rPr>
          <w:rFonts w:ascii="Arial" w:hAnsi="Arial" w:cs="Arial"/>
        </w:rPr>
      </w:pPr>
    </w:p>
    <w:p w14:paraId="0FCF9B3F" w14:textId="710A6B9D" w:rsidR="00A545EF" w:rsidRPr="00C93356" w:rsidRDefault="00A545EF" w:rsidP="00C93356">
      <w:pPr>
        <w:pStyle w:val="ListParagraph"/>
        <w:numPr>
          <w:ilvl w:val="0"/>
          <w:numId w:val="14"/>
        </w:numPr>
        <w:spacing w:line="360" w:lineRule="auto"/>
        <w:rPr>
          <w:rFonts w:ascii="Arial Black" w:hAnsi="Arial Black" w:cs="Arial"/>
        </w:rPr>
      </w:pPr>
      <w:r w:rsidRPr="00C93356">
        <w:rPr>
          <w:rFonts w:ascii="Arial Black" w:hAnsi="Arial Black" w:cs="Arial"/>
        </w:rPr>
        <w:lastRenderedPageBreak/>
        <w:t xml:space="preserve">Mission and Vision  </w:t>
      </w:r>
    </w:p>
    <w:p w14:paraId="2A838858" w14:textId="77777777" w:rsidR="00A545EF" w:rsidRPr="00A545EF" w:rsidRDefault="00A545EF" w:rsidP="00A545EF">
      <w:pPr>
        <w:pStyle w:val="ListParagraph"/>
        <w:numPr>
          <w:ilvl w:val="0"/>
          <w:numId w:val="1"/>
        </w:numPr>
        <w:spacing w:line="360" w:lineRule="auto"/>
        <w:rPr>
          <w:rFonts w:ascii="Arial" w:hAnsi="Arial" w:cs="Arial"/>
        </w:rPr>
      </w:pPr>
      <w:r w:rsidRPr="00A545EF">
        <w:rPr>
          <w:rFonts w:ascii="Arial" w:hAnsi="Arial" w:cs="Arial"/>
        </w:rPr>
        <w:t xml:space="preserve">Mission: To celebrate Romanian culinary integrity and develop sustainable, quality dining experiences that are beneficial to the community and mindful of environmental change so that every ingredient, process and decision we make reflects the passion and commitment of people, planet and profit (Zu, 2013). </w:t>
      </w:r>
    </w:p>
    <w:p w14:paraId="13126440" w14:textId="77777777" w:rsidR="00A545EF" w:rsidRPr="00A545EF" w:rsidRDefault="00A545EF" w:rsidP="00A545EF">
      <w:pPr>
        <w:pStyle w:val="ListParagraph"/>
        <w:numPr>
          <w:ilvl w:val="0"/>
          <w:numId w:val="1"/>
        </w:numPr>
        <w:spacing w:line="360" w:lineRule="auto"/>
        <w:rPr>
          <w:rFonts w:ascii="Arial" w:hAnsi="Arial" w:cs="Arial"/>
        </w:rPr>
      </w:pPr>
      <w:r w:rsidRPr="00A545EF">
        <w:rPr>
          <w:rFonts w:ascii="Arial" w:hAnsi="Arial" w:cs="Arial"/>
        </w:rPr>
        <w:t>Vision: To become the leading sustainable ethnic restaurant in Swansea that embodies circular economy values and genuine cultural connection, serving as an alternative for how local businesses can demonstrate profit with purpose spend gardening with awareness through environmental responsibility and commitment, and social responsibility (</w:t>
      </w:r>
      <w:proofErr w:type="spellStart"/>
      <w:r w:rsidRPr="00A545EF">
        <w:rPr>
          <w:rFonts w:ascii="Arial" w:hAnsi="Arial" w:cs="Arial"/>
        </w:rPr>
        <w:t>Rajabova</w:t>
      </w:r>
      <w:proofErr w:type="spellEnd"/>
      <w:r w:rsidRPr="00A545EF">
        <w:rPr>
          <w:rFonts w:ascii="Arial" w:hAnsi="Arial" w:cs="Arial"/>
        </w:rPr>
        <w:t xml:space="preserve">, </w:t>
      </w:r>
      <w:proofErr w:type="spellStart"/>
      <w:r w:rsidRPr="00A545EF">
        <w:rPr>
          <w:rFonts w:ascii="Arial" w:hAnsi="Arial" w:cs="Arial"/>
        </w:rPr>
        <w:t>Makkaeva</w:t>
      </w:r>
      <w:proofErr w:type="spellEnd"/>
      <w:r w:rsidRPr="00A545EF">
        <w:rPr>
          <w:rFonts w:ascii="Arial" w:hAnsi="Arial" w:cs="Arial"/>
        </w:rPr>
        <w:t xml:space="preserve"> &amp; </w:t>
      </w:r>
      <w:proofErr w:type="spellStart"/>
      <w:r w:rsidRPr="00A545EF">
        <w:rPr>
          <w:rFonts w:ascii="Arial" w:hAnsi="Arial" w:cs="Arial"/>
        </w:rPr>
        <w:t>Mahluff</w:t>
      </w:r>
      <w:proofErr w:type="spellEnd"/>
      <w:r w:rsidRPr="00A545EF">
        <w:rPr>
          <w:rFonts w:ascii="Arial" w:hAnsi="Arial" w:cs="Arial"/>
        </w:rPr>
        <w:t xml:space="preserve">, 2021).  </w:t>
      </w:r>
    </w:p>
    <w:p w14:paraId="69FDDD30" w14:textId="2116C604" w:rsidR="00A545EF" w:rsidRPr="00C93356" w:rsidRDefault="00A545EF" w:rsidP="00C93356">
      <w:pPr>
        <w:pStyle w:val="ListParagraph"/>
        <w:numPr>
          <w:ilvl w:val="0"/>
          <w:numId w:val="14"/>
        </w:numPr>
        <w:spacing w:line="360" w:lineRule="auto"/>
        <w:rPr>
          <w:rFonts w:ascii="Arial Black" w:hAnsi="Arial Black" w:cs="Arial"/>
        </w:rPr>
      </w:pPr>
      <w:r w:rsidRPr="00C93356">
        <w:rPr>
          <w:rFonts w:ascii="Arial Black" w:hAnsi="Arial Black" w:cs="Arial"/>
        </w:rPr>
        <w:t xml:space="preserve">Core Values  </w:t>
      </w:r>
    </w:p>
    <w:p w14:paraId="77D53BE7" w14:textId="6A7414D5" w:rsidR="00A545EF" w:rsidRPr="00C93356" w:rsidRDefault="00A545EF" w:rsidP="00C93356">
      <w:pPr>
        <w:pStyle w:val="ListParagraph"/>
        <w:numPr>
          <w:ilvl w:val="0"/>
          <w:numId w:val="15"/>
        </w:numPr>
        <w:spacing w:line="360" w:lineRule="auto"/>
        <w:rPr>
          <w:rFonts w:ascii="Arial" w:hAnsi="Arial" w:cs="Arial"/>
        </w:rPr>
      </w:pPr>
      <w:r w:rsidRPr="00C93356">
        <w:rPr>
          <w:rFonts w:ascii="Arial" w:hAnsi="Arial" w:cs="Arial"/>
        </w:rPr>
        <w:t xml:space="preserve">Authenticity: We respect the culinary richness of Romanian cuisine; by holding on to traditional recipes from local cookbooks and family records, each dish from </w:t>
      </w:r>
      <w:proofErr w:type="spellStart"/>
      <w:r w:rsidRPr="00C93356">
        <w:rPr>
          <w:rFonts w:ascii="Arial" w:hAnsi="Arial" w:cs="Arial"/>
        </w:rPr>
        <w:t>sarmale</w:t>
      </w:r>
      <w:proofErr w:type="spellEnd"/>
      <w:r w:rsidRPr="00C93356">
        <w:rPr>
          <w:rFonts w:ascii="Arial" w:hAnsi="Arial" w:cs="Arial"/>
        </w:rPr>
        <w:t xml:space="preserve"> to m</w:t>
      </w:r>
      <w:r w:rsidRPr="00C93356">
        <w:rPr>
          <w:rFonts w:ascii="Arial" w:hAnsi="Arial" w:cs="Arial"/>
        </w:rPr>
        <w:t>a</w:t>
      </w:r>
      <w:r w:rsidRPr="00C93356">
        <w:rPr>
          <w:rFonts w:ascii="Arial" w:hAnsi="Arial" w:cs="Arial"/>
        </w:rPr>
        <w:t>m</w:t>
      </w:r>
      <w:r w:rsidRPr="00C93356">
        <w:rPr>
          <w:rFonts w:ascii="Arial" w:hAnsi="Arial" w:cs="Arial"/>
        </w:rPr>
        <w:t>a</w:t>
      </w:r>
      <w:r w:rsidRPr="00C93356">
        <w:rPr>
          <w:rFonts w:ascii="Arial" w:hAnsi="Arial" w:cs="Arial"/>
        </w:rPr>
        <w:t>lig</w:t>
      </w:r>
      <w:r w:rsidRPr="00C93356">
        <w:rPr>
          <w:rFonts w:ascii="Arial" w:hAnsi="Arial" w:cs="Arial"/>
        </w:rPr>
        <w:t>a</w:t>
      </w:r>
      <w:r w:rsidRPr="00C93356">
        <w:rPr>
          <w:rFonts w:ascii="Arial" w:hAnsi="Arial" w:cs="Arial"/>
        </w:rPr>
        <w:t xml:space="preserve">, will honour the cooking from the territory, using the same practice techniques which will ultimately create authenticity of taste.  </w:t>
      </w:r>
    </w:p>
    <w:p w14:paraId="13F77995" w14:textId="650891EA" w:rsidR="00A545EF" w:rsidRPr="00C93356" w:rsidRDefault="00A545EF" w:rsidP="00C93356">
      <w:pPr>
        <w:pStyle w:val="ListParagraph"/>
        <w:numPr>
          <w:ilvl w:val="0"/>
          <w:numId w:val="15"/>
        </w:numPr>
        <w:spacing w:line="360" w:lineRule="auto"/>
        <w:rPr>
          <w:rFonts w:ascii="Arial" w:hAnsi="Arial" w:cs="Arial"/>
        </w:rPr>
      </w:pPr>
      <w:r w:rsidRPr="00C93356">
        <w:rPr>
          <w:rFonts w:ascii="Arial" w:hAnsi="Arial" w:cs="Arial"/>
        </w:rPr>
        <w:t>Sustainability: The triple bottom line informs every decision we make. We consider environment, society and the economy in everything we do. For example, we will use seasonal, locally produced</w:t>
      </w:r>
      <w:r w:rsidRPr="00C93356">
        <w:rPr>
          <w:rFonts w:ascii="Arial" w:hAnsi="Arial" w:cs="Arial"/>
        </w:rPr>
        <w:t xml:space="preserve"> </w:t>
      </w:r>
      <w:r w:rsidRPr="00C93356">
        <w:rPr>
          <w:rFonts w:ascii="Arial" w:hAnsi="Arial" w:cs="Arial"/>
        </w:rPr>
        <w:t xml:space="preserve">ingredients; and composting of organic waste along with the use of energy and water efficient kitchen appliances to reduce carbon travel, and create circular opportunities (Ruggerio, 2021).  </w:t>
      </w:r>
    </w:p>
    <w:p w14:paraId="1825698B" w14:textId="77777777" w:rsidR="00C93356" w:rsidRDefault="00A545EF" w:rsidP="00A545EF">
      <w:pPr>
        <w:pStyle w:val="ListParagraph"/>
        <w:numPr>
          <w:ilvl w:val="0"/>
          <w:numId w:val="15"/>
        </w:numPr>
        <w:spacing w:line="360" w:lineRule="auto"/>
        <w:rPr>
          <w:rFonts w:ascii="Arial" w:hAnsi="Arial" w:cs="Arial"/>
        </w:rPr>
      </w:pPr>
      <w:r w:rsidRPr="00C93356">
        <w:rPr>
          <w:rFonts w:ascii="Arial" w:hAnsi="Arial" w:cs="Arial"/>
        </w:rPr>
        <w:t xml:space="preserve">Community: We support a collaborative approach to community building. Working only with local supply partners (where possible) ensures the produce is fresh with traceability, and linking with other local charities and education providers fosters social inclusion. We will contribute to Swansea and the surrounding area through apprenticeships and community initiatives for the development of our local </w:t>
      </w:r>
      <w:r w:rsidRPr="00C93356">
        <w:rPr>
          <w:rFonts w:ascii="Arial" w:hAnsi="Arial" w:cs="Arial"/>
        </w:rPr>
        <w:t>economy. With</w:t>
      </w:r>
      <w:r w:rsidRPr="00C93356">
        <w:rPr>
          <w:rFonts w:ascii="Arial" w:hAnsi="Arial" w:cs="Arial"/>
        </w:rPr>
        <w:t xml:space="preserve"> a strong legal basis, a prime location situated within Swansea Marina, and an inherent belief in staying authentic, sustainable, and engaged in their community, Green Danube is ready to provide exemplary dining and sustainable impact.</w:t>
      </w:r>
    </w:p>
    <w:p w14:paraId="15CEC9C4" w14:textId="4D177662" w:rsidR="00467E66" w:rsidRPr="00C93356" w:rsidRDefault="00467E66" w:rsidP="00C93356">
      <w:pPr>
        <w:spacing w:line="360" w:lineRule="auto"/>
        <w:rPr>
          <w:rFonts w:ascii="Arial Black" w:hAnsi="Arial Black" w:cs="Arial"/>
        </w:rPr>
      </w:pPr>
      <w:r w:rsidRPr="00C93356">
        <w:rPr>
          <w:rFonts w:ascii="Arial Black" w:hAnsi="Arial Black" w:cs="Arial"/>
        </w:rPr>
        <w:lastRenderedPageBreak/>
        <w:t>Goals &amp; Objectives</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7"/>
        <w:gridCol w:w="5027"/>
        <w:gridCol w:w="1769"/>
      </w:tblGrid>
      <w:tr w:rsidR="00467E66" w:rsidRPr="00467E66" w14:paraId="6B5B547D" w14:textId="77777777" w:rsidTr="00C93356">
        <w:trPr>
          <w:tblHeader/>
          <w:tblCellSpacing w:w="15" w:type="dxa"/>
        </w:trPr>
        <w:tc>
          <w:tcPr>
            <w:tcW w:w="0" w:type="auto"/>
            <w:vAlign w:val="center"/>
            <w:hideMark/>
          </w:tcPr>
          <w:p w14:paraId="3F8AD745" w14:textId="77777777" w:rsidR="00467E66" w:rsidRPr="00467E66" w:rsidRDefault="00467E66" w:rsidP="00467E66">
            <w:pPr>
              <w:spacing w:after="0" w:line="240" w:lineRule="auto"/>
              <w:jc w:val="center"/>
              <w:rPr>
                <w:rFonts w:ascii="Arial" w:eastAsia="Times New Roman" w:hAnsi="Arial" w:cs="Arial"/>
                <w:b/>
                <w:bCs/>
                <w:kern w:val="0"/>
                <w:lang w:eastAsia="en-GB"/>
                <w14:ligatures w14:val="none"/>
              </w:rPr>
            </w:pPr>
            <w:r w:rsidRPr="00467E66">
              <w:rPr>
                <w:rFonts w:ascii="Arial" w:eastAsia="Times New Roman" w:hAnsi="Arial" w:cs="Arial"/>
                <w:b/>
                <w:bCs/>
                <w:kern w:val="0"/>
                <w:lang w:eastAsia="en-GB"/>
                <w14:ligatures w14:val="none"/>
              </w:rPr>
              <w:t>Goal</w:t>
            </w:r>
          </w:p>
        </w:tc>
        <w:tc>
          <w:tcPr>
            <w:tcW w:w="0" w:type="auto"/>
            <w:vAlign w:val="center"/>
            <w:hideMark/>
          </w:tcPr>
          <w:p w14:paraId="4C7139C6" w14:textId="77777777" w:rsidR="00467E66" w:rsidRPr="00467E66" w:rsidRDefault="00467E66" w:rsidP="00467E66">
            <w:pPr>
              <w:spacing w:after="0" w:line="240" w:lineRule="auto"/>
              <w:jc w:val="center"/>
              <w:rPr>
                <w:rFonts w:ascii="Arial" w:eastAsia="Times New Roman" w:hAnsi="Arial" w:cs="Arial"/>
                <w:b/>
                <w:bCs/>
                <w:kern w:val="0"/>
                <w:lang w:eastAsia="en-GB"/>
                <w14:ligatures w14:val="none"/>
              </w:rPr>
            </w:pPr>
            <w:r w:rsidRPr="00467E66">
              <w:rPr>
                <w:rFonts w:ascii="Arial" w:eastAsia="Times New Roman" w:hAnsi="Arial" w:cs="Arial"/>
                <w:b/>
                <w:bCs/>
                <w:kern w:val="0"/>
                <w:lang w:eastAsia="en-GB"/>
                <w14:ligatures w14:val="none"/>
              </w:rPr>
              <w:t>Objective</w:t>
            </w:r>
          </w:p>
        </w:tc>
        <w:tc>
          <w:tcPr>
            <w:tcW w:w="1724" w:type="dxa"/>
            <w:vAlign w:val="center"/>
            <w:hideMark/>
          </w:tcPr>
          <w:p w14:paraId="2EC23440" w14:textId="77777777" w:rsidR="00467E66" w:rsidRPr="00467E66" w:rsidRDefault="00467E66" w:rsidP="00467E66">
            <w:pPr>
              <w:spacing w:after="0" w:line="240" w:lineRule="auto"/>
              <w:jc w:val="center"/>
              <w:rPr>
                <w:rFonts w:ascii="Arial" w:eastAsia="Times New Roman" w:hAnsi="Arial" w:cs="Arial"/>
                <w:b/>
                <w:bCs/>
                <w:kern w:val="0"/>
                <w:lang w:eastAsia="en-GB"/>
                <w14:ligatures w14:val="none"/>
              </w:rPr>
            </w:pPr>
            <w:r w:rsidRPr="00467E66">
              <w:rPr>
                <w:rFonts w:ascii="Arial" w:eastAsia="Times New Roman" w:hAnsi="Arial" w:cs="Arial"/>
                <w:b/>
                <w:bCs/>
                <w:kern w:val="0"/>
                <w:lang w:eastAsia="en-GB"/>
                <w14:ligatures w14:val="none"/>
              </w:rPr>
              <w:t>Timeline</w:t>
            </w:r>
          </w:p>
        </w:tc>
      </w:tr>
      <w:tr w:rsidR="00467E66" w:rsidRPr="00467E66" w14:paraId="0307204F" w14:textId="77777777" w:rsidTr="00C93356">
        <w:trPr>
          <w:tblCellSpacing w:w="15" w:type="dxa"/>
        </w:trPr>
        <w:tc>
          <w:tcPr>
            <w:tcW w:w="0" w:type="auto"/>
            <w:vAlign w:val="center"/>
            <w:hideMark/>
          </w:tcPr>
          <w:p w14:paraId="29C52610"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b/>
                <w:bCs/>
                <w:kern w:val="0"/>
                <w:lang w:eastAsia="en-GB"/>
                <w14:ligatures w14:val="none"/>
              </w:rPr>
              <w:t>Market Penetration &amp; Brand Awareness</w:t>
            </w:r>
          </w:p>
        </w:tc>
        <w:tc>
          <w:tcPr>
            <w:tcW w:w="0" w:type="auto"/>
            <w:vAlign w:val="center"/>
            <w:hideMark/>
          </w:tcPr>
          <w:p w14:paraId="0B5207F6"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Achieve 1,000 covers per month by Month 6; maintain ≥4.5</w:t>
            </w:r>
            <w:r w:rsidRPr="00467E66">
              <w:rPr>
                <w:rFonts w:ascii="Arial" w:eastAsia="Times New Roman" w:hAnsi="Arial" w:cs="Arial"/>
                <w:kern w:val="0"/>
                <w:lang w:eastAsia="en-GB"/>
                <w14:ligatures w14:val="none"/>
              </w:rPr>
              <w:noBreakHyphen/>
              <w:t>star average on review platforms.</w:t>
            </w:r>
          </w:p>
        </w:tc>
        <w:tc>
          <w:tcPr>
            <w:tcW w:w="1724" w:type="dxa"/>
            <w:vAlign w:val="center"/>
            <w:hideMark/>
          </w:tcPr>
          <w:p w14:paraId="65081B2B"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Months 1–6</w:t>
            </w:r>
          </w:p>
        </w:tc>
      </w:tr>
      <w:tr w:rsidR="00467E66" w:rsidRPr="00467E66" w14:paraId="16FA7A1D" w14:textId="77777777" w:rsidTr="00C93356">
        <w:trPr>
          <w:tblCellSpacing w:w="15" w:type="dxa"/>
        </w:trPr>
        <w:tc>
          <w:tcPr>
            <w:tcW w:w="0" w:type="auto"/>
            <w:vAlign w:val="center"/>
            <w:hideMark/>
          </w:tcPr>
          <w:p w14:paraId="436F2874"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b/>
                <w:bCs/>
                <w:kern w:val="0"/>
                <w:lang w:eastAsia="en-GB"/>
                <w14:ligatures w14:val="none"/>
              </w:rPr>
              <w:t>Revenue Growth</w:t>
            </w:r>
          </w:p>
        </w:tc>
        <w:tc>
          <w:tcPr>
            <w:tcW w:w="0" w:type="auto"/>
            <w:vAlign w:val="center"/>
            <w:hideMark/>
          </w:tcPr>
          <w:p w14:paraId="1A6FB500"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Generate £300,000 revenue in Year 1; £500,000 in Year 2; £650,000 in Year 3.</w:t>
            </w:r>
          </w:p>
        </w:tc>
        <w:tc>
          <w:tcPr>
            <w:tcW w:w="1724" w:type="dxa"/>
            <w:vAlign w:val="center"/>
            <w:hideMark/>
          </w:tcPr>
          <w:p w14:paraId="4A7F76B9"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Years 1–3</w:t>
            </w:r>
          </w:p>
        </w:tc>
      </w:tr>
      <w:tr w:rsidR="00467E66" w:rsidRPr="00467E66" w14:paraId="0FCC3939" w14:textId="77777777" w:rsidTr="00C93356">
        <w:trPr>
          <w:tblCellSpacing w:w="15" w:type="dxa"/>
        </w:trPr>
        <w:tc>
          <w:tcPr>
            <w:tcW w:w="0" w:type="auto"/>
            <w:vAlign w:val="center"/>
            <w:hideMark/>
          </w:tcPr>
          <w:p w14:paraId="222B7B63"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b/>
                <w:bCs/>
                <w:kern w:val="0"/>
                <w:lang w:eastAsia="en-GB"/>
                <w14:ligatures w14:val="none"/>
              </w:rPr>
              <w:t>Sustainability Certification &amp; Impact</w:t>
            </w:r>
          </w:p>
        </w:tc>
        <w:tc>
          <w:tcPr>
            <w:tcW w:w="0" w:type="auto"/>
            <w:vAlign w:val="center"/>
            <w:hideMark/>
          </w:tcPr>
          <w:p w14:paraId="79293810"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Obtain B Corp certification; divert ≥90% of organic waste to compost and recycling streams.</w:t>
            </w:r>
          </w:p>
        </w:tc>
        <w:tc>
          <w:tcPr>
            <w:tcW w:w="1724" w:type="dxa"/>
            <w:vAlign w:val="center"/>
            <w:hideMark/>
          </w:tcPr>
          <w:p w14:paraId="3D58B95F"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By Month 24</w:t>
            </w:r>
          </w:p>
        </w:tc>
      </w:tr>
      <w:tr w:rsidR="00467E66" w:rsidRPr="00467E66" w14:paraId="7CA371E0" w14:textId="77777777" w:rsidTr="00C93356">
        <w:trPr>
          <w:tblCellSpacing w:w="15" w:type="dxa"/>
        </w:trPr>
        <w:tc>
          <w:tcPr>
            <w:tcW w:w="0" w:type="auto"/>
            <w:vAlign w:val="center"/>
            <w:hideMark/>
          </w:tcPr>
          <w:p w14:paraId="28BBECAA"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b/>
                <w:bCs/>
                <w:kern w:val="0"/>
                <w:lang w:eastAsia="en-GB"/>
                <w14:ligatures w14:val="none"/>
              </w:rPr>
              <w:t>Community Engagement</w:t>
            </w:r>
          </w:p>
        </w:tc>
        <w:tc>
          <w:tcPr>
            <w:tcW w:w="0" w:type="auto"/>
            <w:vAlign w:val="center"/>
            <w:hideMark/>
          </w:tcPr>
          <w:p w14:paraId="4C730EFF"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Partner with ≥3 local organic farms and ≥2 food</w:t>
            </w:r>
            <w:r w:rsidRPr="00467E66">
              <w:rPr>
                <w:rFonts w:ascii="Arial" w:eastAsia="Times New Roman" w:hAnsi="Arial" w:cs="Arial"/>
                <w:kern w:val="0"/>
                <w:lang w:eastAsia="en-GB"/>
                <w14:ligatures w14:val="none"/>
              </w:rPr>
              <w:noBreakHyphen/>
              <w:t>waste charities; establish apprenticeship program.</w:t>
            </w:r>
          </w:p>
        </w:tc>
        <w:tc>
          <w:tcPr>
            <w:tcW w:w="1724" w:type="dxa"/>
            <w:vAlign w:val="center"/>
            <w:hideMark/>
          </w:tcPr>
          <w:p w14:paraId="75133349"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Year 1</w:t>
            </w:r>
          </w:p>
        </w:tc>
      </w:tr>
      <w:tr w:rsidR="00467E66" w:rsidRPr="00467E66" w14:paraId="3F25970C" w14:textId="77777777" w:rsidTr="00C93356">
        <w:trPr>
          <w:tblCellSpacing w:w="15" w:type="dxa"/>
        </w:trPr>
        <w:tc>
          <w:tcPr>
            <w:tcW w:w="0" w:type="auto"/>
            <w:vAlign w:val="center"/>
            <w:hideMark/>
          </w:tcPr>
          <w:p w14:paraId="2554900B"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b/>
                <w:bCs/>
                <w:kern w:val="0"/>
                <w:lang w:eastAsia="en-GB"/>
                <w14:ligatures w14:val="none"/>
              </w:rPr>
              <w:t>Operational Excellence</w:t>
            </w:r>
          </w:p>
        </w:tc>
        <w:tc>
          <w:tcPr>
            <w:tcW w:w="0" w:type="auto"/>
            <w:vAlign w:val="center"/>
            <w:hideMark/>
          </w:tcPr>
          <w:p w14:paraId="3826BE9A"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Train 100% of staff in zero</w:t>
            </w:r>
            <w:r w:rsidRPr="00467E66">
              <w:rPr>
                <w:rFonts w:ascii="Arial" w:eastAsia="Times New Roman" w:hAnsi="Arial" w:cs="Arial"/>
                <w:kern w:val="0"/>
                <w:lang w:eastAsia="en-GB"/>
                <w14:ligatures w14:val="none"/>
              </w:rPr>
              <w:noBreakHyphen/>
              <w:t>waste practices; install energy</w:t>
            </w:r>
            <w:r w:rsidRPr="00467E66">
              <w:rPr>
                <w:rFonts w:ascii="Arial" w:eastAsia="Times New Roman" w:hAnsi="Arial" w:cs="Arial"/>
                <w:kern w:val="0"/>
                <w:lang w:eastAsia="en-GB"/>
                <w14:ligatures w14:val="none"/>
              </w:rPr>
              <w:noBreakHyphen/>
              <w:t>monitoring software in kitchen.</w:t>
            </w:r>
          </w:p>
        </w:tc>
        <w:tc>
          <w:tcPr>
            <w:tcW w:w="1724" w:type="dxa"/>
            <w:vAlign w:val="center"/>
            <w:hideMark/>
          </w:tcPr>
          <w:p w14:paraId="416AF429"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Months 1–12</w:t>
            </w:r>
          </w:p>
        </w:tc>
      </w:tr>
    </w:tbl>
    <w:p w14:paraId="67C8CC40" w14:textId="77777777" w:rsidR="00467E66" w:rsidRDefault="00467E66" w:rsidP="00A545EF">
      <w:pPr>
        <w:spacing w:line="360" w:lineRule="auto"/>
        <w:rPr>
          <w:rFonts w:ascii="Arial" w:hAnsi="Arial" w:cs="Arial"/>
        </w:rPr>
      </w:pPr>
    </w:p>
    <w:p w14:paraId="342737D3" w14:textId="391F3115" w:rsidR="00A545EF" w:rsidRPr="00C93356" w:rsidRDefault="00A545EF" w:rsidP="00A545EF">
      <w:pPr>
        <w:spacing w:line="360" w:lineRule="auto"/>
        <w:rPr>
          <w:rFonts w:ascii="Arial Black" w:hAnsi="Arial Black" w:cs="Arial"/>
        </w:rPr>
      </w:pPr>
      <w:r w:rsidRPr="00C93356">
        <w:rPr>
          <w:rFonts w:ascii="Arial Black" w:hAnsi="Arial Black" w:cs="Arial"/>
        </w:rPr>
        <w:t>Sustainability Approach</w:t>
      </w:r>
    </w:p>
    <w:p w14:paraId="032D9079" w14:textId="77777777" w:rsidR="00A545EF" w:rsidRDefault="00A545EF" w:rsidP="00A545EF">
      <w:pPr>
        <w:spacing w:line="360" w:lineRule="auto"/>
        <w:rPr>
          <w:rFonts w:ascii="Arial" w:hAnsi="Arial" w:cs="Arial"/>
        </w:rPr>
      </w:pPr>
      <w:r w:rsidRPr="00A545EF">
        <w:rPr>
          <w:rFonts w:ascii="Arial" w:hAnsi="Arial" w:cs="Arial"/>
        </w:rPr>
        <w:t xml:space="preserve">Green Danube operates via an integrated circular-economy model that is consistent with recent sustainable-enterprise definitions, placing emphasis on stakeholder engagement, resource efficiency, and social impact (Anbarasan, 2018; </w:t>
      </w:r>
      <w:proofErr w:type="spellStart"/>
      <w:r w:rsidRPr="00A545EF">
        <w:rPr>
          <w:rFonts w:ascii="Arial" w:hAnsi="Arial" w:cs="Arial"/>
        </w:rPr>
        <w:t>Tolstykh</w:t>
      </w:r>
      <w:proofErr w:type="spellEnd"/>
      <w:r w:rsidRPr="00A545EF">
        <w:rPr>
          <w:rFonts w:ascii="Arial" w:hAnsi="Arial" w:cs="Arial"/>
        </w:rPr>
        <w:t xml:space="preserve">, </w:t>
      </w:r>
      <w:proofErr w:type="spellStart"/>
      <w:r w:rsidRPr="00A545EF">
        <w:rPr>
          <w:rFonts w:ascii="Arial" w:hAnsi="Arial" w:cs="Arial"/>
        </w:rPr>
        <w:t>Gamidullaeva</w:t>
      </w:r>
      <w:proofErr w:type="spellEnd"/>
      <w:r w:rsidRPr="00A545EF">
        <w:rPr>
          <w:rFonts w:ascii="Arial" w:hAnsi="Arial" w:cs="Arial"/>
        </w:rPr>
        <w:t xml:space="preserve"> &amp; Shmeleva, 2020). Our sustainability approach is articulated within four levels sourcing, operations, utility management, and social engagement, all crafted to reduce the environmental footprint and produce positive community outcomes.</w:t>
      </w:r>
    </w:p>
    <w:p w14:paraId="3F7BA890" w14:textId="05FE8105" w:rsidR="00A545EF" w:rsidRPr="00C93356" w:rsidRDefault="00A545EF" w:rsidP="00A545EF">
      <w:pPr>
        <w:pStyle w:val="ListParagraph"/>
        <w:numPr>
          <w:ilvl w:val="0"/>
          <w:numId w:val="2"/>
        </w:numPr>
        <w:spacing w:line="360" w:lineRule="auto"/>
        <w:rPr>
          <w:rFonts w:ascii="Arial Black" w:hAnsi="Arial Black" w:cs="Arial"/>
        </w:rPr>
      </w:pPr>
      <w:r w:rsidRPr="00C93356">
        <w:rPr>
          <w:rFonts w:ascii="Arial Black" w:hAnsi="Arial Black" w:cs="Arial"/>
        </w:rPr>
        <w:t>Sustainable Sourcing</w:t>
      </w:r>
    </w:p>
    <w:p w14:paraId="534F642F" w14:textId="77777777" w:rsidR="00A545EF" w:rsidRPr="00A545EF" w:rsidRDefault="00A545EF" w:rsidP="00A545EF">
      <w:pPr>
        <w:pStyle w:val="ListParagraph"/>
        <w:numPr>
          <w:ilvl w:val="0"/>
          <w:numId w:val="3"/>
        </w:numPr>
        <w:spacing w:line="360" w:lineRule="auto"/>
        <w:rPr>
          <w:rFonts w:ascii="Arial" w:hAnsi="Arial" w:cs="Arial"/>
        </w:rPr>
      </w:pPr>
      <w:r w:rsidRPr="00A545EF">
        <w:rPr>
          <w:rFonts w:ascii="Arial" w:hAnsi="Arial" w:cs="Arial"/>
        </w:rPr>
        <w:t>Produce: We source all fruits vegetables and herbs seasonally, at least certified organic, from producers in a 100 km range of Swansea. This sourcing reduces the transport-related carbon emission of food, which is estimated to reduce it by 60% compared to most UK supply chains, it also supports local farming and employment (</w:t>
      </w:r>
      <w:proofErr w:type="spellStart"/>
      <w:r w:rsidRPr="00A545EF">
        <w:rPr>
          <w:rFonts w:ascii="Arial" w:hAnsi="Arial" w:cs="Arial"/>
        </w:rPr>
        <w:t>Rahmana</w:t>
      </w:r>
      <w:proofErr w:type="spellEnd"/>
      <w:r w:rsidRPr="00A545EF">
        <w:rPr>
          <w:rFonts w:ascii="Arial" w:hAnsi="Arial" w:cs="Arial"/>
        </w:rPr>
        <w:t xml:space="preserve"> &amp; </w:t>
      </w:r>
      <w:proofErr w:type="spellStart"/>
      <w:r w:rsidRPr="00A545EF">
        <w:rPr>
          <w:rFonts w:ascii="Arial" w:hAnsi="Arial" w:cs="Arial"/>
        </w:rPr>
        <w:t>Bawono</w:t>
      </w:r>
      <w:proofErr w:type="spellEnd"/>
      <w:r w:rsidRPr="00A545EF">
        <w:rPr>
          <w:rFonts w:ascii="Arial" w:hAnsi="Arial" w:cs="Arial"/>
        </w:rPr>
        <w:t>, 2020).</w:t>
      </w:r>
    </w:p>
    <w:p w14:paraId="28ABA0AE" w14:textId="77777777" w:rsidR="00A545EF" w:rsidRPr="00A545EF" w:rsidRDefault="00A545EF" w:rsidP="00A545EF">
      <w:pPr>
        <w:pStyle w:val="ListParagraph"/>
        <w:numPr>
          <w:ilvl w:val="0"/>
          <w:numId w:val="3"/>
        </w:numPr>
        <w:spacing w:line="360" w:lineRule="auto"/>
        <w:rPr>
          <w:rFonts w:ascii="Arial" w:hAnsi="Arial" w:cs="Arial"/>
        </w:rPr>
      </w:pPr>
      <w:r w:rsidRPr="00A545EF">
        <w:rPr>
          <w:rFonts w:ascii="Arial" w:hAnsi="Arial" w:cs="Arial"/>
        </w:rPr>
        <w:t xml:space="preserve">Meats &amp; Dairy: We only work with suppliers who only use free-range, </w:t>
      </w:r>
      <w:r w:rsidRPr="00A545EF">
        <w:rPr>
          <w:rFonts w:ascii="Arial" w:hAnsi="Arial" w:cs="Arial"/>
        </w:rPr>
        <w:t>regenerative agriculture</w:t>
      </w:r>
      <w:r w:rsidRPr="00A545EF">
        <w:rPr>
          <w:rFonts w:ascii="Arial" w:hAnsi="Arial" w:cs="Arial"/>
        </w:rPr>
        <w:t xml:space="preserve"> to confederate with soil health, biodiversity, and animal welfare</w:t>
      </w:r>
      <w:r w:rsidRPr="00A545EF">
        <w:rPr>
          <w:rFonts w:ascii="Arial" w:hAnsi="Arial" w:cs="Arial"/>
        </w:rPr>
        <w:t>.</w:t>
      </w:r>
      <w:r w:rsidRPr="00A545EF">
        <w:rPr>
          <w:rFonts w:ascii="Arial" w:hAnsi="Arial" w:cs="Arial"/>
        </w:rPr>
        <w:t xml:space="preserve"> Regeneration also allows suppliers to sequester carbon in their soils - leading to a negative emission effect (meaning net-zero or reasonable emissions over time </w:t>
      </w:r>
      <w:r w:rsidRPr="00A545EF">
        <w:rPr>
          <w:rFonts w:ascii="Arial" w:hAnsi="Arial" w:cs="Arial"/>
        </w:rPr>
        <w:t>should be</w:t>
      </w:r>
      <w:r w:rsidRPr="00A545EF">
        <w:rPr>
          <w:rFonts w:ascii="Arial" w:hAnsi="Arial" w:cs="Arial"/>
        </w:rPr>
        <w:t xml:space="preserve"> achieved) (</w:t>
      </w:r>
      <w:proofErr w:type="spellStart"/>
      <w:r w:rsidRPr="00A545EF">
        <w:rPr>
          <w:rFonts w:ascii="Arial" w:hAnsi="Arial" w:cs="Arial"/>
        </w:rPr>
        <w:t>Tolstykh</w:t>
      </w:r>
      <w:proofErr w:type="spellEnd"/>
      <w:r w:rsidRPr="00A545EF">
        <w:rPr>
          <w:rFonts w:ascii="Arial" w:hAnsi="Arial" w:cs="Arial"/>
        </w:rPr>
        <w:t xml:space="preserve"> et al., 2020).</w:t>
      </w:r>
    </w:p>
    <w:p w14:paraId="49117407" w14:textId="4F23BA37" w:rsidR="00A545EF" w:rsidRPr="00A545EF" w:rsidRDefault="00A545EF" w:rsidP="00A545EF">
      <w:pPr>
        <w:pStyle w:val="ListParagraph"/>
        <w:numPr>
          <w:ilvl w:val="0"/>
          <w:numId w:val="3"/>
        </w:numPr>
        <w:spacing w:line="360" w:lineRule="auto"/>
        <w:rPr>
          <w:rFonts w:ascii="Arial" w:hAnsi="Arial" w:cs="Arial"/>
        </w:rPr>
      </w:pPr>
      <w:r w:rsidRPr="00A545EF">
        <w:rPr>
          <w:rFonts w:ascii="Arial" w:hAnsi="Arial" w:cs="Arial"/>
        </w:rPr>
        <w:lastRenderedPageBreak/>
        <w:t xml:space="preserve">Beverages: We import Romanian wines and artisan craft beers in kegs (not bottled) and minimum packaging. By doing this, we reduce the total quantity of material wasted and, specifically, the per-unit emissions from the glass/bottle manufacture through kegs rather than bottles or cans. Plus, the keg can, if certified as a deposit, can lower freight rate volume during transport. Treating all products using bulk also makes it possible for lower-cost pricing while still achieving sustainability aims (Zu, 2013). </w:t>
      </w:r>
    </w:p>
    <w:p w14:paraId="4FCEBECE" w14:textId="00A6B052" w:rsidR="00A545EF" w:rsidRPr="00C93356" w:rsidRDefault="00A545EF" w:rsidP="00A545EF">
      <w:pPr>
        <w:pStyle w:val="ListParagraph"/>
        <w:numPr>
          <w:ilvl w:val="0"/>
          <w:numId w:val="2"/>
        </w:numPr>
        <w:spacing w:line="360" w:lineRule="auto"/>
        <w:rPr>
          <w:rFonts w:ascii="Arial Black" w:hAnsi="Arial Black" w:cs="Arial"/>
        </w:rPr>
      </w:pPr>
      <w:r w:rsidRPr="00C93356">
        <w:rPr>
          <w:rFonts w:ascii="Arial Black" w:hAnsi="Arial Black" w:cs="Arial"/>
        </w:rPr>
        <w:t>Circular-Economy Operations</w:t>
      </w:r>
    </w:p>
    <w:p w14:paraId="72F9D003" w14:textId="53E0990F" w:rsidR="00467E66" w:rsidRPr="00467E66" w:rsidRDefault="00A545EF" w:rsidP="00467E66">
      <w:pPr>
        <w:pStyle w:val="ListParagraph"/>
        <w:numPr>
          <w:ilvl w:val="0"/>
          <w:numId w:val="4"/>
        </w:numPr>
        <w:spacing w:line="360" w:lineRule="auto"/>
        <w:rPr>
          <w:rFonts w:ascii="Arial" w:hAnsi="Arial" w:cs="Arial"/>
        </w:rPr>
      </w:pPr>
      <w:r w:rsidRPr="00467E66">
        <w:rPr>
          <w:rFonts w:ascii="Arial" w:hAnsi="Arial" w:cs="Arial"/>
        </w:rPr>
        <w:t>On-Site Composting: All organic kitchen waste is composted via aerobic composting unit every day (we will generate quality compost from all organic edible waste</w:t>
      </w:r>
      <w:r w:rsidR="00467E66" w:rsidRPr="00467E66">
        <w:rPr>
          <w:rFonts w:ascii="Arial" w:hAnsi="Arial" w:cs="Arial"/>
        </w:rPr>
        <w:t>). Diverting</w:t>
      </w:r>
      <w:r w:rsidRPr="00467E66">
        <w:rPr>
          <w:rFonts w:ascii="Arial" w:hAnsi="Arial" w:cs="Arial"/>
        </w:rPr>
        <w:t xml:space="preserve"> 100% of food waste from landfill results in lower methane </w:t>
      </w:r>
      <w:r w:rsidR="00467E66" w:rsidRPr="00467E66">
        <w:rPr>
          <w:rFonts w:ascii="Arial" w:hAnsi="Arial" w:cs="Arial"/>
        </w:rPr>
        <w:t>emissions and</w:t>
      </w:r>
      <w:r w:rsidRPr="00467E66">
        <w:rPr>
          <w:rFonts w:ascii="Arial" w:hAnsi="Arial" w:cs="Arial"/>
        </w:rPr>
        <w:t xml:space="preserve"> generates nutrient dense compost for our rooftop herb garden (Anbarasan 2018).</w:t>
      </w:r>
    </w:p>
    <w:p w14:paraId="04FF06ED" w14:textId="77777777" w:rsidR="00467E66" w:rsidRPr="00467E66" w:rsidRDefault="00A545EF" w:rsidP="00467E66">
      <w:pPr>
        <w:pStyle w:val="ListParagraph"/>
        <w:numPr>
          <w:ilvl w:val="0"/>
          <w:numId w:val="4"/>
        </w:numPr>
        <w:spacing w:line="360" w:lineRule="auto"/>
        <w:rPr>
          <w:rFonts w:ascii="Arial" w:hAnsi="Arial" w:cs="Arial"/>
        </w:rPr>
      </w:pPr>
      <w:r w:rsidRPr="00467E66">
        <w:rPr>
          <w:rFonts w:ascii="Arial" w:hAnsi="Arial" w:cs="Arial"/>
        </w:rPr>
        <w:t>Recycling Collaborations: Our relationship with Swansea's social-enterprise recycling depot allows for on-site glass, cardboard, plastics and metal packaging recycling on a scale that goes beyond what we can manage at Green Danube, and the proceeds from the recyclable materials go to local employment projects (</w:t>
      </w:r>
      <w:proofErr w:type="spellStart"/>
      <w:r w:rsidRPr="00467E66">
        <w:rPr>
          <w:rFonts w:ascii="Arial" w:hAnsi="Arial" w:cs="Arial"/>
        </w:rPr>
        <w:t>Tolstykh</w:t>
      </w:r>
      <w:proofErr w:type="spellEnd"/>
      <w:r w:rsidRPr="00467E66">
        <w:rPr>
          <w:rFonts w:ascii="Arial" w:hAnsi="Arial" w:cs="Arial"/>
        </w:rPr>
        <w:t xml:space="preserve"> et al. 2020).</w:t>
      </w:r>
    </w:p>
    <w:p w14:paraId="2B863A8D" w14:textId="77777777" w:rsidR="00467E66" w:rsidRPr="00467E66" w:rsidRDefault="00A545EF" w:rsidP="00467E66">
      <w:pPr>
        <w:pStyle w:val="ListParagraph"/>
        <w:numPr>
          <w:ilvl w:val="0"/>
          <w:numId w:val="4"/>
        </w:numPr>
        <w:spacing w:line="360" w:lineRule="auto"/>
        <w:rPr>
          <w:rFonts w:ascii="Arial" w:hAnsi="Arial" w:cs="Arial"/>
        </w:rPr>
      </w:pPr>
      <w:r w:rsidRPr="00467E66">
        <w:rPr>
          <w:rFonts w:ascii="Arial" w:hAnsi="Arial" w:cs="Arial"/>
        </w:rPr>
        <w:t>Cradle-to-Cradle Furniture: Our interior furniture comes from Cradle-to-Cradle design principles. Our tables, chairs and service stations come from non-toxic reclaimed materials, which are modular and can be easily dismantled and re-fabricated and/or recycled at end-of-life, thus closing the loop on the materials (Zu, 2013).</w:t>
      </w:r>
    </w:p>
    <w:p w14:paraId="3D6EDB38" w14:textId="487FEBDD" w:rsidR="00A545EF" w:rsidRPr="00C93356" w:rsidRDefault="00A545EF" w:rsidP="00467E66">
      <w:pPr>
        <w:pStyle w:val="ListParagraph"/>
        <w:numPr>
          <w:ilvl w:val="0"/>
          <w:numId w:val="2"/>
        </w:numPr>
        <w:spacing w:line="360" w:lineRule="auto"/>
        <w:rPr>
          <w:rFonts w:ascii="Arial Black" w:hAnsi="Arial Black" w:cs="Arial"/>
        </w:rPr>
      </w:pPr>
      <w:r w:rsidRPr="00C93356">
        <w:rPr>
          <w:rFonts w:ascii="Arial Black" w:hAnsi="Arial Black" w:cs="Arial"/>
        </w:rPr>
        <w:t>Energy &amp; Water Efficiency</w:t>
      </w:r>
    </w:p>
    <w:p w14:paraId="0F066DB7" w14:textId="77777777" w:rsidR="00467E66" w:rsidRPr="00467E66" w:rsidRDefault="00A545EF" w:rsidP="00467E66">
      <w:pPr>
        <w:pStyle w:val="ListParagraph"/>
        <w:numPr>
          <w:ilvl w:val="0"/>
          <w:numId w:val="5"/>
        </w:numPr>
        <w:spacing w:line="360" w:lineRule="auto"/>
        <w:rPr>
          <w:rFonts w:ascii="Arial" w:hAnsi="Arial" w:cs="Arial"/>
        </w:rPr>
      </w:pPr>
      <w:r w:rsidRPr="00467E66">
        <w:rPr>
          <w:rFonts w:ascii="Arial" w:hAnsi="Arial" w:cs="Arial"/>
        </w:rPr>
        <w:t>Equipment: Induction hobs, convection ovens, and energy efficient LEDs represent reductions of approximately 30-40% in consumption compared to other equipment. The installed smart meters allow for real time monitoring of energy usage so staff can limit energy intensive tasks like running a dishwasher (</w:t>
      </w:r>
      <w:proofErr w:type="spellStart"/>
      <w:r w:rsidRPr="00467E66">
        <w:rPr>
          <w:rFonts w:ascii="Arial" w:hAnsi="Arial" w:cs="Arial"/>
        </w:rPr>
        <w:t>Rahmana</w:t>
      </w:r>
      <w:proofErr w:type="spellEnd"/>
      <w:r w:rsidRPr="00467E66">
        <w:rPr>
          <w:rFonts w:ascii="Arial" w:hAnsi="Arial" w:cs="Arial"/>
        </w:rPr>
        <w:t xml:space="preserve"> &amp; </w:t>
      </w:r>
      <w:proofErr w:type="spellStart"/>
      <w:r w:rsidRPr="00467E66">
        <w:rPr>
          <w:rFonts w:ascii="Arial" w:hAnsi="Arial" w:cs="Arial"/>
        </w:rPr>
        <w:t>Bawono</w:t>
      </w:r>
      <w:proofErr w:type="spellEnd"/>
      <w:r w:rsidRPr="00467E66">
        <w:rPr>
          <w:rFonts w:ascii="Arial" w:hAnsi="Arial" w:cs="Arial"/>
        </w:rPr>
        <w:t xml:space="preserve"> 2020).</w:t>
      </w:r>
    </w:p>
    <w:p w14:paraId="5F1DFC7A" w14:textId="07F79BA7" w:rsidR="00467E66" w:rsidRDefault="00A545EF" w:rsidP="00467E66">
      <w:pPr>
        <w:pStyle w:val="ListParagraph"/>
        <w:numPr>
          <w:ilvl w:val="0"/>
          <w:numId w:val="5"/>
        </w:numPr>
        <w:spacing w:line="360" w:lineRule="auto"/>
        <w:rPr>
          <w:rFonts w:ascii="Arial" w:hAnsi="Arial" w:cs="Arial"/>
        </w:rPr>
      </w:pPr>
      <w:r w:rsidRPr="00467E66">
        <w:rPr>
          <w:rFonts w:ascii="Arial" w:hAnsi="Arial" w:cs="Arial"/>
        </w:rPr>
        <w:t>Water Use: Low-flow tapware in the kitchen and washrooms reduce water usage by as much as 50%. Additionally, we use a greywater system that returns wash-water to irrigate the rooftop herb garden, thus reducing mains-water resources and providing fresh herbs for the menu (Anbarasan 2018).</w:t>
      </w:r>
    </w:p>
    <w:p w14:paraId="141B8305" w14:textId="16A027AB" w:rsidR="00A545EF" w:rsidRPr="00C93356" w:rsidRDefault="00A545EF" w:rsidP="00A545EF">
      <w:pPr>
        <w:spacing w:line="360" w:lineRule="auto"/>
        <w:rPr>
          <w:rFonts w:ascii="Arial Black" w:hAnsi="Arial Black" w:cs="Arial"/>
        </w:rPr>
      </w:pPr>
      <w:r w:rsidRPr="00A545EF">
        <w:rPr>
          <w:rFonts w:ascii="Arial" w:hAnsi="Arial" w:cs="Arial"/>
        </w:rPr>
        <w:lastRenderedPageBreak/>
        <w:t xml:space="preserve"> </w:t>
      </w:r>
      <w:r w:rsidRPr="00C93356">
        <w:rPr>
          <w:rFonts w:ascii="Arial Black" w:hAnsi="Arial Black" w:cs="Arial"/>
        </w:rPr>
        <w:t xml:space="preserve">Market Analysis </w:t>
      </w:r>
    </w:p>
    <w:p w14:paraId="7E7E13CE" w14:textId="662F13D5" w:rsidR="00A545EF" w:rsidRPr="00C93356" w:rsidRDefault="00A545EF" w:rsidP="00467E66">
      <w:pPr>
        <w:pStyle w:val="ListParagraph"/>
        <w:numPr>
          <w:ilvl w:val="0"/>
          <w:numId w:val="6"/>
        </w:numPr>
        <w:spacing w:line="360" w:lineRule="auto"/>
        <w:rPr>
          <w:rFonts w:ascii="Arial Black" w:hAnsi="Arial Black" w:cs="Arial"/>
        </w:rPr>
      </w:pPr>
      <w:r w:rsidRPr="00C93356">
        <w:rPr>
          <w:rFonts w:ascii="Arial Black" w:hAnsi="Arial Black" w:cs="Arial"/>
        </w:rPr>
        <w:t xml:space="preserve">Industry Overview </w:t>
      </w:r>
    </w:p>
    <w:p w14:paraId="45CAC07E" w14:textId="77777777" w:rsidR="00A545EF" w:rsidRPr="00A545EF" w:rsidRDefault="00A545EF" w:rsidP="00A545EF">
      <w:pPr>
        <w:spacing w:line="360" w:lineRule="auto"/>
        <w:rPr>
          <w:rFonts w:ascii="Arial" w:hAnsi="Arial" w:cs="Arial"/>
        </w:rPr>
      </w:pPr>
      <w:r w:rsidRPr="00A545EF">
        <w:rPr>
          <w:rFonts w:ascii="Arial" w:hAnsi="Arial" w:cs="Arial"/>
        </w:rPr>
        <w:t xml:space="preserve">The restaurant industry in the UK recovered considerably in 2024, with the total sales estimated at £50 billion. Sustainability focused sites of operation are outperforming traditional sites of operation, growing at a compound annual growth rate (CAGR) of 12% over the past 3 years. This growth is spurred by increased consumer awareness of environmental issues and tremendous regulatory pressure to report on waste management and carbon outputs (Trends 2017). The demand for ethnic cuisine has also grown 8% nationally, as diners are looking for new "authentic" food and culinary tourism grows tremendously. </w:t>
      </w:r>
    </w:p>
    <w:p w14:paraId="695DB0AF" w14:textId="1ED00F6F" w:rsidR="00A545EF" w:rsidRPr="00C93356" w:rsidRDefault="00A545EF" w:rsidP="00467E66">
      <w:pPr>
        <w:pStyle w:val="ListParagraph"/>
        <w:numPr>
          <w:ilvl w:val="0"/>
          <w:numId w:val="6"/>
        </w:numPr>
        <w:spacing w:line="360" w:lineRule="auto"/>
        <w:rPr>
          <w:rFonts w:ascii="Arial Black" w:hAnsi="Arial Black" w:cs="Arial"/>
        </w:rPr>
      </w:pPr>
      <w:r w:rsidRPr="00C93356">
        <w:rPr>
          <w:rFonts w:ascii="Arial Black" w:hAnsi="Arial Black" w:cs="Arial"/>
        </w:rPr>
        <w:t xml:space="preserve">Local Market Definitions </w:t>
      </w:r>
    </w:p>
    <w:p w14:paraId="4A5024AE" w14:textId="3B200AEB" w:rsidR="00A545EF" w:rsidRPr="00A545EF" w:rsidRDefault="00A545EF" w:rsidP="00A545EF">
      <w:pPr>
        <w:spacing w:line="360" w:lineRule="auto"/>
        <w:rPr>
          <w:rFonts w:ascii="Arial" w:hAnsi="Arial" w:cs="Arial"/>
        </w:rPr>
      </w:pPr>
      <w:r w:rsidRPr="00A545EF">
        <w:rPr>
          <w:rFonts w:ascii="Arial" w:hAnsi="Arial" w:cs="Arial"/>
        </w:rPr>
        <w:t xml:space="preserve">Since the site </w:t>
      </w:r>
      <w:r w:rsidR="00467E66" w:rsidRPr="00A545EF">
        <w:rPr>
          <w:rFonts w:ascii="Arial" w:hAnsi="Arial" w:cs="Arial"/>
        </w:rPr>
        <w:t>is in</w:t>
      </w:r>
      <w:r w:rsidRPr="00A545EF">
        <w:rPr>
          <w:rFonts w:ascii="Arial" w:hAnsi="Arial" w:cs="Arial"/>
        </w:rPr>
        <w:t xml:space="preserve"> the SA1 Waterfront at Swansea Marina, the main local catchment includes: a large portion of local office workers, students of the surrounding SA1 development, students </w:t>
      </w:r>
      <w:r w:rsidR="00467E66" w:rsidRPr="00A545EF">
        <w:rPr>
          <w:rFonts w:ascii="Arial" w:hAnsi="Arial" w:cs="Arial"/>
        </w:rPr>
        <w:t>at</w:t>
      </w:r>
      <w:r w:rsidRPr="00A545EF">
        <w:rPr>
          <w:rFonts w:ascii="Arial" w:hAnsi="Arial" w:cs="Arial"/>
        </w:rPr>
        <w:t xml:space="preserve"> Swansea University, and an annual 5 million estimated visitors (Swansea Council, 2024). The closest </w:t>
      </w:r>
      <w:r w:rsidR="00467E66" w:rsidRPr="00A545EF">
        <w:rPr>
          <w:rFonts w:ascii="Arial" w:hAnsi="Arial" w:cs="Arial"/>
        </w:rPr>
        <w:t>full-service</w:t>
      </w:r>
      <w:r w:rsidRPr="00A545EF">
        <w:rPr>
          <w:rFonts w:ascii="Arial" w:hAnsi="Arial" w:cs="Arial"/>
        </w:rPr>
        <w:t xml:space="preserve"> competitors are a few independent cafés and gastropubs, and only a handful of Mediterranean and Eastern European delis. None of these competitors have a sustainable model of operation that utilizes zero-waste kitchens, local regenerative sourced ingredients, and possesses circular design interiors; this allows Green Danube to have a unique position within the market. </w:t>
      </w:r>
    </w:p>
    <w:p w14:paraId="2162248F" w14:textId="175EA911" w:rsidR="00A545EF" w:rsidRPr="00C93356" w:rsidRDefault="00467E66" w:rsidP="00467E66">
      <w:pPr>
        <w:pStyle w:val="ListParagraph"/>
        <w:numPr>
          <w:ilvl w:val="0"/>
          <w:numId w:val="6"/>
        </w:numPr>
        <w:spacing w:line="360" w:lineRule="auto"/>
        <w:rPr>
          <w:rFonts w:ascii="Arial Black" w:hAnsi="Arial Black" w:cs="Arial"/>
        </w:rPr>
      </w:pPr>
      <w:r w:rsidRPr="00C93356">
        <w:rPr>
          <w:rFonts w:ascii="Arial Black" w:hAnsi="Arial Black" w:cs="Arial"/>
        </w:rPr>
        <w:t>M</w:t>
      </w:r>
      <w:r w:rsidR="00A545EF" w:rsidRPr="00C93356">
        <w:rPr>
          <w:rFonts w:ascii="Arial Black" w:hAnsi="Arial Black" w:cs="Arial"/>
        </w:rPr>
        <w:t>ain local drivers</w:t>
      </w:r>
    </w:p>
    <w:p w14:paraId="0A461C9F" w14:textId="77777777" w:rsidR="00467E66" w:rsidRPr="00467E66" w:rsidRDefault="00A545EF" w:rsidP="00467E66">
      <w:pPr>
        <w:pStyle w:val="ListParagraph"/>
        <w:numPr>
          <w:ilvl w:val="0"/>
          <w:numId w:val="7"/>
        </w:numPr>
        <w:spacing w:line="360" w:lineRule="auto"/>
        <w:rPr>
          <w:rFonts w:ascii="Arial" w:hAnsi="Arial" w:cs="Arial"/>
        </w:rPr>
      </w:pPr>
      <w:r w:rsidRPr="00467E66">
        <w:rPr>
          <w:rFonts w:ascii="Arial" w:hAnsi="Arial" w:cs="Arial"/>
        </w:rPr>
        <w:t>Growth in tourism: Swansea has a connection to the maritime industry and waterfront events (e.g. Swansea Food Festival) increased and boasted a 10% growth in visitors year-on-year since 2022.</w:t>
      </w:r>
    </w:p>
    <w:p w14:paraId="0E3F25F2" w14:textId="2588C04D" w:rsidR="00A545EF" w:rsidRPr="00467E66" w:rsidRDefault="00A545EF" w:rsidP="00467E66">
      <w:pPr>
        <w:pStyle w:val="ListParagraph"/>
        <w:numPr>
          <w:ilvl w:val="0"/>
          <w:numId w:val="7"/>
        </w:numPr>
        <w:spacing w:line="360" w:lineRule="auto"/>
        <w:rPr>
          <w:rFonts w:ascii="Arial" w:hAnsi="Arial" w:cs="Arial"/>
        </w:rPr>
      </w:pPr>
      <w:r w:rsidRPr="00467E66">
        <w:rPr>
          <w:rFonts w:ascii="Arial" w:hAnsi="Arial" w:cs="Arial"/>
        </w:rPr>
        <w:t xml:space="preserve">Student Population: With over 15,000 (undergraduates and postgraduates) at Swansea University, the demand for mid-range, ethical dining options is significant. </w:t>
      </w:r>
    </w:p>
    <w:p w14:paraId="279F6A7D" w14:textId="77777777" w:rsidR="00A545EF" w:rsidRPr="00467E66" w:rsidRDefault="00A545EF" w:rsidP="00467E66">
      <w:pPr>
        <w:pStyle w:val="ListParagraph"/>
        <w:numPr>
          <w:ilvl w:val="0"/>
          <w:numId w:val="7"/>
        </w:numPr>
        <w:spacing w:line="360" w:lineRule="auto"/>
        <w:rPr>
          <w:rFonts w:ascii="Arial" w:hAnsi="Arial" w:cs="Arial"/>
        </w:rPr>
      </w:pPr>
      <w:r w:rsidRPr="00467E66">
        <w:rPr>
          <w:rFonts w:ascii="Arial" w:hAnsi="Arial" w:cs="Arial"/>
        </w:rPr>
        <w:t xml:space="preserve">Corporate Lifestyle: Local office parks and tech hubs create demand for corporate lunches, private dining and catering options. </w:t>
      </w:r>
    </w:p>
    <w:p w14:paraId="2365C6FF" w14:textId="77777777" w:rsidR="00467E66" w:rsidRDefault="00467E66" w:rsidP="00A545EF">
      <w:pPr>
        <w:spacing w:line="360" w:lineRule="auto"/>
        <w:rPr>
          <w:rFonts w:ascii="Arial" w:hAnsi="Arial" w:cs="Arial"/>
        </w:rPr>
      </w:pPr>
    </w:p>
    <w:p w14:paraId="085EEC55" w14:textId="5D75F88D" w:rsidR="00A545EF" w:rsidRPr="00C93356" w:rsidRDefault="00A545EF" w:rsidP="00467E66">
      <w:pPr>
        <w:pStyle w:val="ListParagraph"/>
        <w:numPr>
          <w:ilvl w:val="0"/>
          <w:numId w:val="6"/>
        </w:numPr>
        <w:spacing w:line="360" w:lineRule="auto"/>
        <w:rPr>
          <w:rFonts w:ascii="Arial Black" w:hAnsi="Arial Black" w:cs="Arial"/>
        </w:rPr>
      </w:pPr>
      <w:r w:rsidRPr="00C93356">
        <w:rPr>
          <w:rFonts w:ascii="Arial Black" w:hAnsi="Arial Black" w:cs="Arial"/>
        </w:rPr>
        <w:lastRenderedPageBreak/>
        <w:t>Competitor Environment</w:t>
      </w:r>
    </w:p>
    <w:p w14:paraId="3C9D2B3B" w14:textId="63E315ED" w:rsidR="00A545EF" w:rsidRPr="00A545EF" w:rsidRDefault="00A545EF" w:rsidP="00A545EF">
      <w:pPr>
        <w:spacing w:line="360" w:lineRule="auto"/>
        <w:rPr>
          <w:rFonts w:ascii="Arial" w:hAnsi="Arial" w:cs="Arial"/>
        </w:rPr>
      </w:pPr>
      <w:r w:rsidRPr="00A545EF">
        <w:rPr>
          <w:rFonts w:ascii="Arial" w:hAnsi="Arial" w:cs="Arial"/>
        </w:rPr>
        <w:t xml:space="preserve">Competitors vary from family run </w:t>
      </w:r>
      <w:r w:rsidR="00467E66" w:rsidRPr="00A545EF">
        <w:rPr>
          <w:rFonts w:ascii="Arial" w:hAnsi="Arial" w:cs="Arial"/>
        </w:rPr>
        <w:t>cafés</w:t>
      </w:r>
      <w:r w:rsidRPr="00A545EF">
        <w:rPr>
          <w:rFonts w:ascii="Arial" w:hAnsi="Arial" w:cs="Arial"/>
        </w:rPr>
        <w:t xml:space="preserve"> to national casual dining restaurant chains. While a few publicly focus on "locally sourced" ingredients, few (if any) allow customers to see their circular-economy operations or report on their sustainability. The synergetic nature of Green Danube's "traditional" Romanian cuisine and their fully sustainable model from farm to fork to compostable bottom out will allow for strong differentiation in marketing and consumers' minds. </w:t>
      </w:r>
    </w:p>
    <w:tbl>
      <w:tblPr>
        <w:tblW w:w="10065"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5"/>
        <w:gridCol w:w="2230"/>
        <w:gridCol w:w="1912"/>
        <w:gridCol w:w="2668"/>
      </w:tblGrid>
      <w:tr w:rsidR="00467E66" w:rsidRPr="00467E66" w14:paraId="6F06962C" w14:textId="77777777" w:rsidTr="00C93356">
        <w:trPr>
          <w:tblHeader/>
          <w:tblCellSpacing w:w="15" w:type="dxa"/>
        </w:trPr>
        <w:tc>
          <w:tcPr>
            <w:tcW w:w="3210" w:type="dxa"/>
            <w:vAlign w:val="center"/>
            <w:hideMark/>
          </w:tcPr>
          <w:p w14:paraId="31875298" w14:textId="77777777" w:rsidR="00467E66" w:rsidRPr="00467E66" w:rsidRDefault="00467E66" w:rsidP="00467E66">
            <w:pPr>
              <w:spacing w:after="0" w:line="240" w:lineRule="auto"/>
              <w:jc w:val="center"/>
              <w:rPr>
                <w:rFonts w:ascii="Arial" w:eastAsia="Times New Roman" w:hAnsi="Arial" w:cs="Arial"/>
                <w:b/>
                <w:bCs/>
                <w:kern w:val="0"/>
                <w:lang w:eastAsia="en-GB"/>
                <w14:ligatures w14:val="none"/>
              </w:rPr>
            </w:pPr>
            <w:r w:rsidRPr="00467E66">
              <w:rPr>
                <w:rFonts w:ascii="Arial" w:eastAsia="Times New Roman" w:hAnsi="Arial" w:cs="Arial"/>
                <w:b/>
                <w:bCs/>
                <w:kern w:val="0"/>
                <w:lang w:eastAsia="en-GB"/>
                <w14:ligatures w14:val="none"/>
              </w:rPr>
              <w:t>Competitor Type</w:t>
            </w:r>
          </w:p>
        </w:tc>
        <w:tc>
          <w:tcPr>
            <w:tcW w:w="0" w:type="auto"/>
            <w:vAlign w:val="center"/>
            <w:hideMark/>
          </w:tcPr>
          <w:p w14:paraId="2F785794" w14:textId="77777777" w:rsidR="00467E66" w:rsidRPr="00467E66" w:rsidRDefault="00467E66" w:rsidP="00467E66">
            <w:pPr>
              <w:spacing w:after="0" w:line="240" w:lineRule="auto"/>
              <w:jc w:val="center"/>
              <w:rPr>
                <w:rFonts w:ascii="Arial" w:eastAsia="Times New Roman" w:hAnsi="Arial" w:cs="Arial"/>
                <w:b/>
                <w:bCs/>
                <w:kern w:val="0"/>
                <w:lang w:eastAsia="en-GB"/>
                <w14:ligatures w14:val="none"/>
              </w:rPr>
            </w:pPr>
            <w:r w:rsidRPr="00467E66">
              <w:rPr>
                <w:rFonts w:ascii="Arial" w:eastAsia="Times New Roman" w:hAnsi="Arial" w:cs="Arial"/>
                <w:b/>
                <w:bCs/>
                <w:kern w:val="0"/>
                <w:lang w:eastAsia="en-GB"/>
                <w14:ligatures w14:val="none"/>
              </w:rPr>
              <w:t>Sustainability Focus</w:t>
            </w:r>
          </w:p>
        </w:tc>
        <w:tc>
          <w:tcPr>
            <w:tcW w:w="0" w:type="auto"/>
            <w:vAlign w:val="center"/>
            <w:hideMark/>
          </w:tcPr>
          <w:p w14:paraId="36C491BF" w14:textId="77777777" w:rsidR="00467E66" w:rsidRPr="00467E66" w:rsidRDefault="00467E66" w:rsidP="00467E66">
            <w:pPr>
              <w:spacing w:after="0" w:line="240" w:lineRule="auto"/>
              <w:jc w:val="center"/>
              <w:rPr>
                <w:rFonts w:ascii="Arial" w:eastAsia="Times New Roman" w:hAnsi="Arial" w:cs="Arial"/>
                <w:b/>
                <w:bCs/>
                <w:kern w:val="0"/>
                <w:lang w:eastAsia="en-GB"/>
                <w14:ligatures w14:val="none"/>
              </w:rPr>
            </w:pPr>
            <w:r w:rsidRPr="00467E66">
              <w:rPr>
                <w:rFonts w:ascii="Arial" w:eastAsia="Times New Roman" w:hAnsi="Arial" w:cs="Arial"/>
                <w:b/>
                <w:bCs/>
                <w:kern w:val="0"/>
                <w:lang w:eastAsia="en-GB"/>
                <w14:ligatures w14:val="none"/>
              </w:rPr>
              <w:t>Authenticity Level</w:t>
            </w:r>
          </w:p>
        </w:tc>
        <w:tc>
          <w:tcPr>
            <w:tcW w:w="2623" w:type="dxa"/>
            <w:vAlign w:val="center"/>
            <w:hideMark/>
          </w:tcPr>
          <w:p w14:paraId="2E182315" w14:textId="77777777" w:rsidR="00467E66" w:rsidRPr="00467E66" w:rsidRDefault="00467E66" w:rsidP="00467E66">
            <w:pPr>
              <w:spacing w:after="0" w:line="240" w:lineRule="auto"/>
              <w:jc w:val="center"/>
              <w:rPr>
                <w:rFonts w:ascii="Arial" w:eastAsia="Times New Roman" w:hAnsi="Arial" w:cs="Arial"/>
                <w:b/>
                <w:bCs/>
                <w:kern w:val="0"/>
                <w:lang w:eastAsia="en-GB"/>
                <w14:ligatures w14:val="none"/>
              </w:rPr>
            </w:pPr>
            <w:r w:rsidRPr="00467E66">
              <w:rPr>
                <w:rFonts w:ascii="Arial" w:eastAsia="Times New Roman" w:hAnsi="Arial" w:cs="Arial"/>
                <w:b/>
                <w:bCs/>
                <w:kern w:val="0"/>
                <w:lang w:eastAsia="en-GB"/>
                <w14:ligatures w14:val="none"/>
              </w:rPr>
              <w:t>Price Positioning</w:t>
            </w:r>
          </w:p>
        </w:tc>
      </w:tr>
      <w:tr w:rsidR="00467E66" w:rsidRPr="00467E66" w14:paraId="3144ADA0" w14:textId="77777777" w:rsidTr="00C93356">
        <w:trPr>
          <w:tblCellSpacing w:w="15" w:type="dxa"/>
        </w:trPr>
        <w:tc>
          <w:tcPr>
            <w:tcW w:w="3210" w:type="dxa"/>
            <w:vAlign w:val="center"/>
            <w:hideMark/>
          </w:tcPr>
          <w:p w14:paraId="6ABC0301"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Independent Café</w:t>
            </w:r>
          </w:p>
        </w:tc>
        <w:tc>
          <w:tcPr>
            <w:tcW w:w="0" w:type="auto"/>
            <w:vAlign w:val="center"/>
            <w:hideMark/>
          </w:tcPr>
          <w:p w14:paraId="49CC224B"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Low–Medium (seasonal specials)</w:t>
            </w:r>
          </w:p>
        </w:tc>
        <w:tc>
          <w:tcPr>
            <w:tcW w:w="0" w:type="auto"/>
            <w:vAlign w:val="center"/>
            <w:hideMark/>
          </w:tcPr>
          <w:p w14:paraId="374C646C"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Low–Medium (fusion menu)</w:t>
            </w:r>
          </w:p>
        </w:tc>
        <w:tc>
          <w:tcPr>
            <w:tcW w:w="2623" w:type="dxa"/>
            <w:vAlign w:val="center"/>
            <w:hideMark/>
          </w:tcPr>
          <w:p w14:paraId="08B56086"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 (average £8–£12 per meal)</w:t>
            </w:r>
          </w:p>
        </w:tc>
      </w:tr>
      <w:tr w:rsidR="00467E66" w:rsidRPr="00467E66" w14:paraId="7DC21634" w14:textId="77777777" w:rsidTr="00C93356">
        <w:trPr>
          <w:tblCellSpacing w:w="15" w:type="dxa"/>
        </w:trPr>
        <w:tc>
          <w:tcPr>
            <w:tcW w:w="3210" w:type="dxa"/>
            <w:vAlign w:val="center"/>
            <w:hideMark/>
          </w:tcPr>
          <w:p w14:paraId="32C5AEC3"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Gastropub</w:t>
            </w:r>
          </w:p>
        </w:tc>
        <w:tc>
          <w:tcPr>
            <w:tcW w:w="0" w:type="auto"/>
            <w:vAlign w:val="center"/>
            <w:hideMark/>
          </w:tcPr>
          <w:p w14:paraId="64CE4E4C"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Medium (local ales, recycling)</w:t>
            </w:r>
          </w:p>
        </w:tc>
        <w:tc>
          <w:tcPr>
            <w:tcW w:w="0" w:type="auto"/>
            <w:vAlign w:val="center"/>
            <w:hideMark/>
          </w:tcPr>
          <w:p w14:paraId="599EA32F"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Medium (British classics)</w:t>
            </w:r>
          </w:p>
        </w:tc>
        <w:tc>
          <w:tcPr>
            <w:tcW w:w="2623" w:type="dxa"/>
            <w:vAlign w:val="center"/>
            <w:hideMark/>
          </w:tcPr>
          <w:p w14:paraId="35E7194B"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 (average £15–£20)</w:t>
            </w:r>
          </w:p>
        </w:tc>
      </w:tr>
      <w:tr w:rsidR="00467E66" w:rsidRPr="00467E66" w14:paraId="616CFCD6" w14:textId="77777777" w:rsidTr="00C93356">
        <w:trPr>
          <w:tblCellSpacing w:w="15" w:type="dxa"/>
        </w:trPr>
        <w:tc>
          <w:tcPr>
            <w:tcW w:w="3210" w:type="dxa"/>
            <w:vAlign w:val="center"/>
            <w:hideMark/>
          </w:tcPr>
          <w:p w14:paraId="19DABF6E"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Mediterranean/European Deli</w:t>
            </w:r>
          </w:p>
        </w:tc>
        <w:tc>
          <w:tcPr>
            <w:tcW w:w="0" w:type="auto"/>
            <w:vAlign w:val="center"/>
            <w:hideMark/>
          </w:tcPr>
          <w:p w14:paraId="77EEA038"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Low (imported, non</w:t>
            </w:r>
            <w:r w:rsidRPr="00467E66">
              <w:rPr>
                <w:rFonts w:ascii="Arial" w:eastAsia="Times New Roman" w:hAnsi="Arial" w:cs="Arial"/>
                <w:kern w:val="0"/>
                <w:lang w:eastAsia="en-GB"/>
                <w14:ligatures w14:val="none"/>
              </w:rPr>
              <w:noBreakHyphen/>
              <w:t>local produce)</w:t>
            </w:r>
          </w:p>
        </w:tc>
        <w:tc>
          <w:tcPr>
            <w:tcW w:w="0" w:type="auto"/>
            <w:vAlign w:val="center"/>
            <w:hideMark/>
          </w:tcPr>
          <w:p w14:paraId="18858C91"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High (specific cuisine)</w:t>
            </w:r>
          </w:p>
        </w:tc>
        <w:tc>
          <w:tcPr>
            <w:tcW w:w="2623" w:type="dxa"/>
            <w:vAlign w:val="center"/>
            <w:hideMark/>
          </w:tcPr>
          <w:p w14:paraId="566E52D8"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 (average £12–£18)</w:t>
            </w:r>
          </w:p>
        </w:tc>
      </w:tr>
      <w:tr w:rsidR="00467E66" w:rsidRPr="00467E66" w14:paraId="188207F9" w14:textId="77777777" w:rsidTr="00C93356">
        <w:trPr>
          <w:tblCellSpacing w:w="15" w:type="dxa"/>
        </w:trPr>
        <w:tc>
          <w:tcPr>
            <w:tcW w:w="3210" w:type="dxa"/>
            <w:vAlign w:val="center"/>
            <w:hideMark/>
          </w:tcPr>
          <w:p w14:paraId="2D2C8BD0"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Green Danube Romanian Bistro</w:t>
            </w:r>
          </w:p>
        </w:tc>
        <w:tc>
          <w:tcPr>
            <w:tcW w:w="0" w:type="auto"/>
            <w:vAlign w:val="center"/>
            <w:hideMark/>
          </w:tcPr>
          <w:p w14:paraId="20FC7DE3"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High (circular model, B Corp)</w:t>
            </w:r>
          </w:p>
        </w:tc>
        <w:tc>
          <w:tcPr>
            <w:tcW w:w="0" w:type="auto"/>
            <w:vAlign w:val="center"/>
            <w:hideMark/>
          </w:tcPr>
          <w:p w14:paraId="11762058"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High (traditional recipes)</w:t>
            </w:r>
          </w:p>
        </w:tc>
        <w:tc>
          <w:tcPr>
            <w:tcW w:w="2623" w:type="dxa"/>
            <w:vAlign w:val="center"/>
            <w:hideMark/>
          </w:tcPr>
          <w:p w14:paraId="7BC39041" w14:textId="77777777" w:rsidR="00467E66" w:rsidRPr="00467E66" w:rsidRDefault="00467E66" w:rsidP="00467E66">
            <w:pPr>
              <w:spacing w:after="0" w:line="240" w:lineRule="auto"/>
              <w:rPr>
                <w:rFonts w:ascii="Arial" w:eastAsia="Times New Roman" w:hAnsi="Arial" w:cs="Arial"/>
                <w:kern w:val="0"/>
                <w:lang w:eastAsia="en-GB"/>
                <w14:ligatures w14:val="none"/>
              </w:rPr>
            </w:pPr>
            <w:r w:rsidRPr="00467E66">
              <w:rPr>
                <w:rFonts w:ascii="Arial" w:eastAsia="Times New Roman" w:hAnsi="Arial" w:cs="Arial"/>
                <w:kern w:val="0"/>
                <w:lang w:eastAsia="en-GB"/>
                <w14:ligatures w14:val="none"/>
              </w:rPr>
              <w:t>££ (average £14–£22)</w:t>
            </w:r>
          </w:p>
        </w:tc>
      </w:tr>
    </w:tbl>
    <w:p w14:paraId="749052AB" w14:textId="77777777" w:rsidR="00A545EF" w:rsidRPr="00A545EF" w:rsidRDefault="00A545EF" w:rsidP="00A545EF">
      <w:pPr>
        <w:spacing w:line="360" w:lineRule="auto"/>
        <w:rPr>
          <w:rFonts w:ascii="Arial" w:hAnsi="Arial" w:cs="Arial"/>
        </w:rPr>
      </w:pPr>
    </w:p>
    <w:p w14:paraId="44E720E8" w14:textId="06D3E5F8" w:rsidR="00A545EF" w:rsidRPr="00C93356" w:rsidRDefault="00A545EF" w:rsidP="00467E66">
      <w:pPr>
        <w:pStyle w:val="ListParagraph"/>
        <w:numPr>
          <w:ilvl w:val="0"/>
          <w:numId w:val="6"/>
        </w:numPr>
        <w:spacing w:line="360" w:lineRule="auto"/>
        <w:rPr>
          <w:rFonts w:ascii="Arial Black" w:hAnsi="Arial Black" w:cs="Arial"/>
        </w:rPr>
      </w:pPr>
      <w:r w:rsidRPr="00C93356">
        <w:rPr>
          <w:rFonts w:ascii="Arial Black" w:hAnsi="Arial Black" w:cs="Arial"/>
        </w:rPr>
        <w:t>Target Customer Segments</w:t>
      </w:r>
    </w:p>
    <w:p w14:paraId="358225A2" w14:textId="77777777" w:rsidR="00EF596A" w:rsidRPr="00EF596A" w:rsidRDefault="00A545EF" w:rsidP="00EF596A">
      <w:pPr>
        <w:pStyle w:val="ListParagraph"/>
        <w:numPr>
          <w:ilvl w:val="0"/>
          <w:numId w:val="8"/>
        </w:numPr>
        <w:spacing w:line="360" w:lineRule="auto"/>
        <w:rPr>
          <w:rFonts w:ascii="Arial" w:hAnsi="Arial" w:cs="Arial"/>
        </w:rPr>
      </w:pPr>
      <w:r w:rsidRPr="00EF596A">
        <w:rPr>
          <w:rFonts w:ascii="Arial" w:hAnsi="Arial" w:cs="Arial"/>
        </w:rPr>
        <w:t xml:space="preserve">Primary Segment: Urban professionals aged 25-45 wanting healthy, ethically sourced dining experiences, willing to pay a bit more for assurance of sourcing. </w:t>
      </w:r>
    </w:p>
    <w:p w14:paraId="52E57C1C" w14:textId="77777777" w:rsidR="00EF596A" w:rsidRPr="00EF596A" w:rsidRDefault="00A545EF" w:rsidP="00EF596A">
      <w:pPr>
        <w:pStyle w:val="ListParagraph"/>
        <w:numPr>
          <w:ilvl w:val="0"/>
          <w:numId w:val="8"/>
        </w:numPr>
        <w:spacing w:line="360" w:lineRule="auto"/>
        <w:rPr>
          <w:rFonts w:ascii="Arial" w:hAnsi="Arial" w:cs="Arial"/>
        </w:rPr>
      </w:pPr>
      <w:r w:rsidRPr="00EF596A">
        <w:rPr>
          <w:rFonts w:ascii="Arial" w:hAnsi="Arial" w:cs="Arial"/>
        </w:rPr>
        <w:t xml:space="preserve">Secondary Segment: International students and local families interested in and valuing cultural food diversity. </w:t>
      </w:r>
    </w:p>
    <w:p w14:paraId="157F1DB3" w14:textId="2D73EA05" w:rsidR="00A545EF" w:rsidRPr="00EF596A" w:rsidRDefault="00A545EF" w:rsidP="00EF596A">
      <w:pPr>
        <w:pStyle w:val="ListParagraph"/>
        <w:numPr>
          <w:ilvl w:val="0"/>
          <w:numId w:val="8"/>
        </w:numPr>
        <w:spacing w:line="360" w:lineRule="auto"/>
        <w:rPr>
          <w:rFonts w:ascii="Arial" w:hAnsi="Arial" w:cs="Arial"/>
        </w:rPr>
      </w:pPr>
      <w:r w:rsidRPr="00EF596A">
        <w:rPr>
          <w:rFonts w:ascii="Arial" w:hAnsi="Arial" w:cs="Arial"/>
        </w:rPr>
        <w:t>Tertiary Segment: Corporate, event planners and local businesses seeking offsite catering with proven ESG credentials for client events and employee engagement programs.5.5 Market Opportunity &amp; Growth Potential</w:t>
      </w:r>
    </w:p>
    <w:p w14:paraId="33A1ED82" w14:textId="18002B1F" w:rsidR="00A545EF" w:rsidRPr="00A545EF" w:rsidRDefault="00A545EF" w:rsidP="00A545EF">
      <w:pPr>
        <w:spacing w:line="360" w:lineRule="auto"/>
        <w:rPr>
          <w:rFonts w:ascii="Arial" w:hAnsi="Arial" w:cs="Arial"/>
        </w:rPr>
      </w:pPr>
      <w:r w:rsidRPr="00A545EF">
        <w:rPr>
          <w:rFonts w:ascii="Arial" w:hAnsi="Arial" w:cs="Arial"/>
        </w:rPr>
        <w:t xml:space="preserve">With the strong industry tailwinds of expanding sustainability concerns, increasing demand for ethnic cuisines, and swelling visitor economy in Swansea, Green Danube can attract a sizeable share of the local </w:t>
      </w:r>
      <w:r w:rsidR="00EF596A" w:rsidRPr="00A545EF">
        <w:rPr>
          <w:rFonts w:ascii="Arial" w:hAnsi="Arial" w:cs="Arial"/>
        </w:rPr>
        <w:t>market,</w:t>
      </w:r>
      <w:r w:rsidRPr="00A545EF">
        <w:rPr>
          <w:rFonts w:ascii="Arial" w:hAnsi="Arial" w:cs="Arial"/>
        </w:rPr>
        <w:t xml:space="preserve"> and we are aiming for 25% penetration of the sustainable-dining niche market in SA1, within three years (1,000 monthly covers by Month 6; 1,500 Year 2; 2,000 Year 3). This plan can be executed successfully through targeted digital marketing, event sponsorships, and an attractive loyalty program. Utilising Swansea's unique combination of tourism, </w:t>
      </w:r>
      <w:r w:rsidRPr="00A545EF">
        <w:rPr>
          <w:rFonts w:ascii="Arial" w:hAnsi="Arial" w:cs="Arial"/>
        </w:rPr>
        <w:lastRenderedPageBreak/>
        <w:t>education, and local business/community development, Green Danube can become a food destination and sustainability model in the region (Trends, 2017).</w:t>
      </w:r>
    </w:p>
    <w:p w14:paraId="66216DFD" w14:textId="23F564DB" w:rsidR="00A545EF" w:rsidRPr="00EF596A" w:rsidRDefault="00A545EF" w:rsidP="00A545EF">
      <w:pPr>
        <w:spacing w:line="360" w:lineRule="auto"/>
        <w:rPr>
          <w:rFonts w:ascii="Arial Black" w:hAnsi="Arial Black" w:cs="Arial"/>
        </w:rPr>
      </w:pPr>
      <w:r w:rsidRPr="00EF596A">
        <w:rPr>
          <w:rFonts w:ascii="Arial Black" w:hAnsi="Arial Black" w:cs="Arial"/>
        </w:rPr>
        <w:t xml:space="preserve">Marketing Strategy </w:t>
      </w:r>
    </w:p>
    <w:p w14:paraId="2B8573FB" w14:textId="77777777" w:rsidR="00A545EF" w:rsidRPr="00A545EF" w:rsidRDefault="00A545EF" w:rsidP="00A545EF">
      <w:pPr>
        <w:spacing w:line="360" w:lineRule="auto"/>
        <w:rPr>
          <w:rFonts w:ascii="Arial" w:hAnsi="Arial" w:cs="Arial"/>
        </w:rPr>
      </w:pPr>
      <w:r w:rsidRPr="00A545EF">
        <w:rPr>
          <w:rFonts w:ascii="Arial" w:hAnsi="Arial" w:cs="Arial"/>
        </w:rPr>
        <w:t>Using integrated marketing communications effectively to create brand equity, drive foot traffic, or customer loyalty (Mullins &amp; Komisar, 2010).</w:t>
      </w:r>
    </w:p>
    <w:p w14:paraId="39BF1B55" w14:textId="77777777" w:rsidR="00A545EF" w:rsidRPr="00C93356" w:rsidRDefault="00A545EF" w:rsidP="00A545EF">
      <w:pPr>
        <w:spacing w:line="360" w:lineRule="auto"/>
        <w:rPr>
          <w:rFonts w:ascii="Arial Black" w:hAnsi="Arial Black" w:cs="Arial"/>
        </w:rPr>
      </w:pPr>
      <w:r w:rsidRPr="00C93356">
        <w:rPr>
          <w:rFonts w:ascii="Arial Black" w:hAnsi="Arial Black" w:cs="Arial"/>
        </w:rPr>
        <w:t>Digital &amp; Social Media:</w:t>
      </w:r>
    </w:p>
    <w:p w14:paraId="738859BA" w14:textId="77777777" w:rsidR="00A545EF" w:rsidRPr="00EF596A" w:rsidRDefault="00A545EF" w:rsidP="00EF596A">
      <w:pPr>
        <w:pStyle w:val="ListParagraph"/>
        <w:numPr>
          <w:ilvl w:val="0"/>
          <w:numId w:val="9"/>
        </w:numPr>
        <w:spacing w:line="360" w:lineRule="auto"/>
        <w:rPr>
          <w:rFonts w:ascii="Arial" w:hAnsi="Arial" w:cs="Arial"/>
        </w:rPr>
      </w:pPr>
      <w:r w:rsidRPr="00EF596A">
        <w:rPr>
          <w:rFonts w:ascii="Arial" w:hAnsi="Arial" w:cs="Arial"/>
        </w:rPr>
        <w:t>Instagram &amp; TikTok: Behind the scenes content of farm visits, chefs prepping food, upcoming new menus, etc.</w:t>
      </w:r>
    </w:p>
    <w:p w14:paraId="50E72A35" w14:textId="77777777" w:rsidR="00A545EF" w:rsidRPr="00EF596A" w:rsidRDefault="00A545EF" w:rsidP="00EF596A">
      <w:pPr>
        <w:pStyle w:val="ListParagraph"/>
        <w:numPr>
          <w:ilvl w:val="0"/>
          <w:numId w:val="9"/>
        </w:numPr>
        <w:spacing w:line="360" w:lineRule="auto"/>
        <w:rPr>
          <w:rFonts w:ascii="Arial" w:hAnsi="Arial" w:cs="Arial"/>
        </w:rPr>
      </w:pPr>
      <w:r w:rsidRPr="00EF596A">
        <w:rPr>
          <w:rFonts w:ascii="Arial" w:hAnsi="Arial" w:cs="Arial"/>
        </w:rPr>
        <w:t>Paid ads: Geotarget Facebook and Google ads announcing seasonal menu launches and sustainable credentials.</w:t>
      </w:r>
    </w:p>
    <w:p w14:paraId="4F4B13FC" w14:textId="77777777" w:rsidR="00A545EF" w:rsidRPr="00C93356" w:rsidRDefault="00A545EF" w:rsidP="00A545EF">
      <w:pPr>
        <w:spacing w:line="360" w:lineRule="auto"/>
        <w:rPr>
          <w:rFonts w:ascii="Arial Black" w:hAnsi="Arial Black" w:cs="Arial"/>
        </w:rPr>
      </w:pPr>
      <w:r w:rsidRPr="00C93356">
        <w:rPr>
          <w:rFonts w:ascii="Arial Black" w:hAnsi="Arial Black" w:cs="Arial"/>
        </w:rPr>
        <w:t>Public Relations &amp; Community Events:</w:t>
      </w:r>
    </w:p>
    <w:p w14:paraId="0E4A977F" w14:textId="77777777" w:rsidR="00A545EF" w:rsidRPr="00EF596A" w:rsidRDefault="00A545EF" w:rsidP="00EF596A">
      <w:pPr>
        <w:pStyle w:val="ListParagraph"/>
        <w:numPr>
          <w:ilvl w:val="0"/>
          <w:numId w:val="10"/>
        </w:numPr>
        <w:spacing w:line="360" w:lineRule="auto"/>
        <w:rPr>
          <w:rFonts w:ascii="Arial" w:hAnsi="Arial" w:cs="Arial"/>
        </w:rPr>
      </w:pPr>
      <w:r w:rsidRPr="00EF596A">
        <w:rPr>
          <w:rFonts w:ascii="Arial" w:hAnsi="Arial" w:cs="Arial"/>
        </w:rPr>
        <w:t>Quarterly “Romanian Feast Nights” featuring Danube area cuisine, cultural showcases, and live music.</w:t>
      </w:r>
    </w:p>
    <w:p w14:paraId="5EA29AA8" w14:textId="77777777" w:rsidR="00A545EF" w:rsidRPr="00EF596A" w:rsidRDefault="00A545EF" w:rsidP="00EF596A">
      <w:pPr>
        <w:pStyle w:val="ListParagraph"/>
        <w:numPr>
          <w:ilvl w:val="0"/>
          <w:numId w:val="10"/>
        </w:numPr>
        <w:spacing w:line="360" w:lineRule="auto"/>
        <w:rPr>
          <w:rFonts w:ascii="Arial" w:hAnsi="Arial" w:cs="Arial"/>
        </w:rPr>
      </w:pPr>
      <w:r w:rsidRPr="00EF596A">
        <w:rPr>
          <w:rFonts w:ascii="Arial" w:hAnsi="Arial" w:cs="Arial"/>
        </w:rPr>
        <w:t>Partnering with Swansea Food Festival, local area universities, NGOs for cooking workshops and food sustainability programs.</w:t>
      </w:r>
    </w:p>
    <w:p w14:paraId="1F140FBA" w14:textId="77777777" w:rsidR="00A545EF" w:rsidRPr="00C93356" w:rsidRDefault="00A545EF" w:rsidP="00A545EF">
      <w:pPr>
        <w:spacing w:line="360" w:lineRule="auto"/>
        <w:rPr>
          <w:rFonts w:ascii="Arial Black" w:hAnsi="Arial Black" w:cs="Arial"/>
        </w:rPr>
      </w:pPr>
      <w:r w:rsidRPr="00C93356">
        <w:rPr>
          <w:rFonts w:ascii="Arial Black" w:hAnsi="Arial Black" w:cs="Arial"/>
        </w:rPr>
        <w:t>Partnership Marketing:</w:t>
      </w:r>
    </w:p>
    <w:p w14:paraId="5FAC0D3D" w14:textId="77777777" w:rsidR="00A545EF" w:rsidRPr="00EF596A" w:rsidRDefault="00A545EF" w:rsidP="00EF596A">
      <w:pPr>
        <w:pStyle w:val="ListParagraph"/>
        <w:numPr>
          <w:ilvl w:val="0"/>
          <w:numId w:val="11"/>
        </w:numPr>
        <w:spacing w:line="360" w:lineRule="auto"/>
        <w:rPr>
          <w:rFonts w:ascii="Arial" w:hAnsi="Arial" w:cs="Arial"/>
        </w:rPr>
      </w:pPr>
      <w:r w:rsidRPr="00EF596A">
        <w:rPr>
          <w:rFonts w:ascii="Arial" w:hAnsi="Arial" w:cs="Arial"/>
        </w:rPr>
        <w:t>Cross promotions with local wine dealers, nearby craft breweries, and sustainable eco-tour experiences.</w:t>
      </w:r>
    </w:p>
    <w:p w14:paraId="6684BF9D" w14:textId="77777777" w:rsidR="00A545EF" w:rsidRPr="00EF596A" w:rsidRDefault="00A545EF" w:rsidP="00EF596A">
      <w:pPr>
        <w:pStyle w:val="ListParagraph"/>
        <w:numPr>
          <w:ilvl w:val="0"/>
          <w:numId w:val="11"/>
        </w:numPr>
        <w:spacing w:line="360" w:lineRule="auto"/>
        <w:rPr>
          <w:rFonts w:ascii="Arial" w:hAnsi="Arial" w:cs="Arial"/>
        </w:rPr>
      </w:pPr>
      <w:r w:rsidRPr="00EF596A">
        <w:rPr>
          <w:rFonts w:ascii="Arial" w:hAnsi="Arial" w:cs="Arial"/>
        </w:rPr>
        <w:t>Official guide to restaurants in Swansea Marina and recommendations from hotel concierges.</w:t>
      </w:r>
    </w:p>
    <w:p w14:paraId="0DB7DDCE" w14:textId="77777777" w:rsidR="00A545EF" w:rsidRPr="00C93356" w:rsidRDefault="00A545EF" w:rsidP="00A545EF">
      <w:pPr>
        <w:spacing w:line="360" w:lineRule="auto"/>
        <w:rPr>
          <w:rFonts w:ascii="Arial Black" w:hAnsi="Arial Black" w:cs="Arial"/>
        </w:rPr>
      </w:pPr>
      <w:r w:rsidRPr="00C93356">
        <w:rPr>
          <w:rFonts w:ascii="Arial Black" w:hAnsi="Arial Black" w:cs="Arial"/>
        </w:rPr>
        <w:t>Loyalty &amp; CRM:</w:t>
      </w:r>
    </w:p>
    <w:p w14:paraId="61C4CD4C" w14:textId="77777777" w:rsidR="00A545EF" w:rsidRPr="00EF596A" w:rsidRDefault="00A545EF" w:rsidP="00EF596A">
      <w:pPr>
        <w:pStyle w:val="ListParagraph"/>
        <w:numPr>
          <w:ilvl w:val="0"/>
          <w:numId w:val="12"/>
        </w:numPr>
        <w:spacing w:line="360" w:lineRule="auto"/>
        <w:rPr>
          <w:rFonts w:ascii="Arial" w:hAnsi="Arial" w:cs="Arial"/>
        </w:rPr>
      </w:pPr>
      <w:r w:rsidRPr="00EF596A">
        <w:rPr>
          <w:rFonts w:ascii="Arial" w:hAnsi="Arial" w:cs="Arial"/>
        </w:rPr>
        <w:t>Digital loyalty program and complimentary dessert offer after five visits.</w:t>
      </w:r>
    </w:p>
    <w:p w14:paraId="5604D5EB" w14:textId="77777777" w:rsidR="00A545EF" w:rsidRPr="00EF596A" w:rsidRDefault="00A545EF" w:rsidP="00EF596A">
      <w:pPr>
        <w:pStyle w:val="ListParagraph"/>
        <w:numPr>
          <w:ilvl w:val="0"/>
          <w:numId w:val="12"/>
        </w:numPr>
        <w:spacing w:line="360" w:lineRule="auto"/>
        <w:rPr>
          <w:rFonts w:ascii="Arial" w:hAnsi="Arial" w:cs="Arial"/>
        </w:rPr>
      </w:pPr>
      <w:r w:rsidRPr="00EF596A">
        <w:rPr>
          <w:rFonts w:ascii="Arial" w:hAnsi="Arial" w:cs="Arial"/>
        </w:rPr>
        <w:t>Regular monthly email letters containing recipes, sustainable ideas, and exclusive invitations to events.</w:t>
      </w:r>
    </w:p>
    <w:p w14:paraId="128F7523" w14:textId="77777777" w:rsidR="00A545EF" w:rsidRPr="00C93356" w:rsidRDefault="00A545EF" w:rsidP="00A545EF">
      <w:pPr>
        <w:spacing w:line="360" w:lineRule="auto"/>
        <w:rPr>
          <w:rFonts w:ascii="Arial Black" w:hAnsi="Arial Black" w:cs="Arial"/>
        </w:rPr>
      </w:pPr>
      <w:r w:rsidRPr="00C93356">
        <w:rPr>
          <w:rFonts w:ascii="Arial Black" w:hAnsi="Arial Black" w:cs="Arial"/>
        </w:rPr>
        <w:t>Content &amp; Thought Leadership:</w:t>
      </w:r>
    </w:p>
    <w:p w14:paraId="248D6E3F" w14:textId="77777777" w:rsidR="00A545EF" w:rsidRPr="00EF596A" w:rsidRDefault="00A545EF" w:rsidP="00EF596A">
      <w:pPr>
        <w:pStyle w:val="ListParagraph"/>
        <w:numPr>
          <w:ilvl w:val="0"/>
          <w:numId w:val="13"/>
        </w:numPr>
        <w:spacing w:line="360" w:lineRule="auto"/>
        <w:rPr>
          <w:rFonts w:ascii="Arial" w:hAnsi="Arial" w:cs="Arial"/>
        </w:rPr>
      </w:pPr>
      <w:r w:rsidRPr="00EF596A">
        <w:rPr>
          <w:rFonts w:ascii="Arial" w:hAnsi="Arial" w:cs="Arial"/>
        </w:rPr>
        <w:t>Blogs about impact of food systems on sustainability shared on restaurant's web site and LinkedIn.</w:t>
      </w:r>
    </w:p>
    <w:p w14:paraId="54D471D9" w14:textId="77777777" w:rsidR="00EF596A" w:rsidRDefault="00A545EF" w:rsidP="00A545EF">
      <w:pPr>
        <w:pStyle w:val="ListParagraph"/>
        <w:numPr>
          <w:ilvl w:val="0"/>
          <w:numId w:val="13"/>
        </w:numPr>
        <w:spacing w:line="360" w:lineRule="auto"/>
        <w:rPr>
          <w:rFonts w:ascii="Arial" w:hAnsi="Arial" w:cs="Arial"/>
        </w:rPr>
      </w:pPr>
      <w:r w:rsidRPr="00EF596A">
        <w:rPr>
          <w:rFonts w:ascii="Arial" w:hAnsi="Arial" w:cs="Arial"/>
        </w:rPr>
        <w:lastRenderedPageBreak/>
        <w:t>White paper authored together with local area sustainability consulting on reducing kitchen waste</w:t>
      </w:r>
      <w:r w:rsidR="00EF596A">
        <w:rPr>
          <w:rFonts w:ascii="Arial" w:hAnsi="Arial" w:cs="Arial"/>
        </w:rPr>
        <w:t>.</w:t>
      </w:r>
    </w:p>
    <w:p w14:paraId="2BF29B8B" w14:textId="180059B8" w:rsidR="00EF596A" w:rsidRPr="00C93356" w:rsidRDefault="00EF596A" w:rsidP="00EF596A">
      <w:pPr>
        <w:spacing w:line="360" w:lineRule="auto"/>
        <w:rPr>
          <w:rFonts w:ascii="Arial Black" w:hAnsi="Arial Black" w:cs="Arial"/>
        </w:rPr>
      </w:pPr>
      <w:r w:rsidRPr="00C93356">
        <w:rPr>
          <w:rFonts w:ascii="Arial Black" w:hAnsi="Arial Black" w:cs="Arial"/>
        </w:rPr>
        <w:t>PESTEL Analysis</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2"/>
        <w:gridCol w:w="7731"/>
      </w:tblGrid>
      <w:tr w:rsidR="00EF596A" w:rsidRPr="00EF596A" w14:paraId="69DE9B59" w14:textId="77777777" w:rsidTr="00C93356">
        <w:trPr>
          <w:tblHeader/>
          <w:tblCellSpacing w:w="15" w:type="dxa"/>
        </w:trPr>
        <w:tc>
          <w:tcPr>
            <w:tcW w:w="0" w:type="auto"/>
            <w:vAlign w:val="center"/>
            <w:hideMark/>
          </w:tcPr>
          <w:p w14:paraId="766F784D" w14:textId="77777777" w:rsidR="00EF596A" w:rsidRPr="00EF596A" w:rsidRDefault="00EF596A" w:rsidP="00EF596A">
            <w:pPr>
              <w:spacing w:after="0" w:line="240" w:lineRule="auto"/>
              <w:jc w:val="center"/>
              <w:rPr>
                <w:rFonts w:ascii="Arial" w:eastAsia="Times New Roman" w:hAnsi="Arial" w:cs="Arial"/>
                <w:b/>
                <w:bCs/>
                <w:kern w:val="0"/>
                <w:lang w:eastAsia="en-GB"/>
                <w14:ligatures w14:val="none"/>
              </w:rPr>
            </w:pPr>
            <w:r w:rsidRPr="00EF596A">
              <w:rPr>
                <w:rFonts w:ascii="Arial" w:eastAsia="Times New Roman" w:hAnsi="Arial" w:cs="Arial"/>
                <w:b/>
                <w:bCs/>
                <w:kern w:val="0"/>
                <w:lang w:eastAsia="en-GB"/>
                <w14:ligatures w14:val="none"/>
              </w:rPr>
              <w:t>Factor</w:t>
            </w:r>
          </w:p>
        </w:tc>
        <w:tc>
          <w:tcPr>
            <w:tcW w:w="7686" w:type="dxa"/>
            <w:vAlign w:val="center"/>
            <w:hideMark/>
          </w:tcPr>
          <w:p w14:paraId="2D672AB8" w14:textId="77777777" w:rsidR="00EF596A" w:rsidRPr="00EF596A" w:rsidRDefault="00EF596A" w:rsidP="00EF596A">
            <w:pPr>
              <w:spacing w:after="0" w:line="240" w:lineRule="auto"/>
              <w:jc w:val="center"/>
              <w:rPr>
                <w:rFonts w:ascii="Arial" w:eastAsia="Times New Roman" w:hAnsi="Arial" w:cs="Arial"/>
                <w:b/>
                <w:bCs/>
                <w:kern w:val="0"/>
                <w:lang w:eastAsia="en-GB"/>
                <w14:ligatures w14:val="none"/>
              </w:rPr>
            </w:pPr>
            <w:r w:rsidRPr="00EF596A">
              <w:rPr>
                <w:rFonts w:ascii="Arial" w:eastAsia="Times New Roman" w:hAnsi="Arial" w:cs="Arial"/>
                <w:b/>
                <w:bCs/>
                <w:kern w:val="0"/>
                <w:lang w:eastAsia="en-GB"/>
                <w14:ligatures w14:val="none"/>
              </w:rPr>
              <w:t>Key Considerations</w:t>
            </w:r>
          </w:p>
        </w:tc>
      </w:tr>
      <w:tr w:rsidR="00EF596A" w:rsidRPr="00EF596A" w14:paraId="3B5388B4" w14:textId="77777777" w:rsidTr="00C93356">
        <w:trPr>
          <w:tblCellSpacing w:w="15" w:type="dxa"/>
        </w:trPr>
        <w:tc>
          <w:tcPr>
            <w:tcW w:w="0" w:type="auto"/>
            <w:vAlign w:val="center"/>
            <w:hideMark/>
          </w:tcPr>
          <w:p w14:paraId="1BFAA29D"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b/>
                <w:bCs/>
                <w:kern w:val="0"/>
                <w:lang w:eastAsia="en-GB"/>
                <w14:ligatures w14:val="none"/>
              </w:rPr>
              <w:t>Political</w:t>
            </w:r>
          </w:p>
        </w:tc>
        <w:tc>
          <w:tcPr>
            <w:tcW w:w="7686" w:type="dxa"/>
            <w:vAlign w:val="center"/>
            <w:hideMark/>
          </w:tcPr>
          <w:p w14:paraId="793D2F7B"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kern w:val="0"/>
                <w:lang w:eastAsia="en-GB"/>
                <w14:ligatures w14:val="none"/>
              </w:rPr>
              <w:t>UK government incentives for green businesses; potential changes in hospitality licensing post</w:t>
            </w:r>
            <w:r w:rsidRPr="00EF596A">
              <w:rPr>
                <w:rFonts w:ascii="Arial" w:eastAsia="Times New Roman" w:hAnsi="Arial" w:cs="Arial"/>
                <w:kern w:val="0"/>
                <w:lang w:eastAsia="en-GB"/>
                <w14:ligatures w14:val="none"/>
              </w:rPr>
              <w:noBreakHyphen/>
              <w:t>Brexit.</w:t>
            </w:r>
          </w:p>
        </w:tc>
      </w:tr>
      <w:tr w:rsidR="00EF596A" w:rsidRPr="00EF596A" w14:paraId="770E7344" w14:textId="77777777" w:rsidTr="00C93356">
        <w:trPr>
          <w:tblCellSpacing w:w="15" w:type="dxa"/>
        </w:trPr>
        <w:tc>
          <w:tcPr>
            <w:tcW w:w="0" w:type="auto"/>
            <w:vAlign w:val="center"/>
            <w:hideMark/>
          </w:tcPr>
          <w:p w14:paraId="0EB04785"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b/>
                <w:bCs/>
                <w:kern w:val="0"/>
                <w:lang w:eastAsia="en-GB"/>
                <w14:ligatures w14:val="none"/>
              </w:rPr>
              <w:t>Economic</w:t>
            </w:r>
          </w:p>
        </w:tc>
        <w:tc>
          <w:tcPr>
            <w:tcW w:w="7686" w:type="dxa"/>
            <w:vAlign w:val="center"/>
            <w:hideMark/>
          </w:tcPr>
          <w:p w14:paraId="1BB482E6"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kern w:val="0"/>
                <w:lang w:eastAsia="en-GB"/>
                <w14:ligatures w14:val="none"/>
              </w:rPr>
              <w:t>Inflation at 3.5% in 2025; rising energy and labour costs; Swansea’s growing tourism economy mitigates risk.</w:t>
            </w:r>
          </w:p>
        </w:tc>
      </w:tr>
      <w:tr w:rsidR="00EF596A" w:rsidRPr="00EF596A" w14:paraId="009EFB4A" w14:textId="77777777" w:rsidTr="00C93356">
        <w:trPr>
          <w:tblCellSpacing w:w="15" w:type="dxa"/>
        </w:trPr>
        <w:tc>
          <w:tcPr>
            <w:tcW w:w="0" w:type="auto"/>
            <w:vAlign w:val="center"/>
            <w:hideMark/>
          </w:tcPr>
          <w:p w14:paraId="0068DD03"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b/>
                <w:bCs/>
                <w:kern w:val="0"/>
                <w:lang w:eastAsia="en-GB"/>
                <w14:ligatures w14:val="none"/>
              </w:rPr>
              <w:t>Social</w:t>
            </w:r>
          </w:p>
        </w:tc>
        <w:tc>
          <w:tcPr>
            <w:tcW w:w="7686" w:type="dxa"/>
            <w:vAlign w:val="center"/>
            <w:hideMark/>
          </w:tcPr>
          <w:p w14:paraId="51F35F61"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kern w:val="0"/>
                <w:lang w:eastAsia="en-GB"/>
                <w14:ligatures w14:val="none"/>
              </w:rPr>
              <w:t>Increasing consumer preference for ethical, experiential dining; support for local businesses post</w:t>
            </w:r>
            <w:r w:rsidRPr="00EF596A">
              <w:rPr>
                <w:rFonts w:ascii="Arial" w:eastAsia="Times New Roman" w:hAnsi="Arial" w:cs="Arial"/>
                <w:kern w:val="0"/>
                <w:lang w:eastAsia="en-GB"/>
                <w14:ligatures w14:val="none"/>
              </w:rPr>
              <w:noBreakHyphen/>
              <w:t>pandemic.</w:t>
            </w:r>
          </w:p>
        </w:tc>
      </w:tr>
      <w:tr w:rsidR="00EF596A" w:rsidRPr="00EF596A" w14:paraId="69AF79EB" w14:textId="77777777" w:rsidTr="00C93356">
        <w:trPr>
          <w:tblCellSpacing w:w="15" w:type="dxa"/>
        </w:trPr>
        <w:tc>
          <w:tcPr>
            <w:tcW w:w="0" w:type="auto"/>
            <w:vAlign w:val="center"/>
            <w:hideMark/>
          </w:tcPr>
          <w:p w14:paraId="6E1AE8B9"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b/>
                <w:bCs/>
                <w:kern w:val="0"/>
                <w:lang w:eastAsia="en-GB"/>
                <w14:ligatures w14:val="none"/>
              </w:rPr>
              <w:t>Technological</w:t>
            </w:r>
          </w:p>
        </w:tc>
        <w:tc>
          <w:tcPr>
            <w:tcW w:w="7686" w:type="dxa"/>
            <w:vAlign w:val="center"/>
            <w:hideMark/>
          </w:tcPr>
          <w:p w14:paraId="195EECCF"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kern w:val="0"/>
                <w:lang w:eastAsia="en-GB"/>
                <w14:ligatures w14:val="none"/>
              </w:rPr>
              <w:t>Adoption of contactless ordering, digital sustainability</w:t>
            </w:r>
            <w:r w:rsidRPr="00EF596A">
              <w:rPr>
                <w:rFonts w:ascii="Cambria Math" w:eastAsia="Times New Roman" w:hAnsi="Cambria Math" w:cs="Cambria Math"/>
                <w:kern w:val="0"/>
                <w:lang w:eastAsia="en-GB"/>
                <w14:ligatures w14:val="none"/>
              </w:rPr>
              <w:t>‐</w:t>
            </w:r>
            <w:r w:rsidRPr="00EF596A">
              <w:rPr>
                <w:rFonts w:ascii="Arial" w:eastAsia="Times New Roman" w:hAnsi="Arial" w:cs="Arial"/>
                <w:kern w:val="0"/>
                <w:lang w:eastAsia="en-GB"/>
                <w14:ligatures w14:val="none"/>
              </w:rPr>
              <w:t>tracking tools, and energy</w:t>
            </w:r>
            <w:r w:rsidRPr="00EF596A">
              <w:rPr>
                <w:rFonts w:ascii="Cambria Math" w:eastAsia="Times New Roman" w:hAnsi="Cambria Math" w:cs="Cambria Math"/>
                <w:kern w:val="0"/>
                <w:lang w:eastAsia="en-GB"/>
                <w14:ligatures w14:val="none"/>
              </w:rPr>
              <w:t>‐</w:t>
            </w:r>
            <w:r w:rsidRPr="00EF596A">
              <w:rPr>
                <w:rFonts w:ascii="Arial" w:eastAsia="Times New Roman" w:hAnsi="Arial" w:cs="Arial"/>
                <w:kern w:val="0"/>
                <w:lang w:eastAsia="en-GB"/>
                <w14:ligatures w14:val="none"/>
              </w:rPr>
              <w:t>management systems.</w:t>
            </w:r>
          </w:p>
        </w:tc>
      </w:tr>
      <w:tr w:rsidR="00EF596A" w:rsidRPr="00EF596A" w14:paraId="2736992D" w14:textId="77777777" w:rsidTr="00C93356">
        <w:trPr>
          <w:tblCellSpacing w:w="15" w:type="dxa"/>
        </w:trPr>
        <w:tc>
          <w:tcPr>
            <w:tcW w:w="0" w:type="auto"/>
            <w:vAlign w:val="center"/>
            <w:hideMark/>
          </w:tcPr>
          <w:p w14:paraId="0BE51978"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b/>
                <w:bCs/>
                <w:kern w:val="0"/>
                <w:lang w:eastAsia="en-GB"/>
                <w14:ligatures w14:val="none"/>
              </w:rPr>
              <w:t>Environmental</w:t>
            </w:r>
          </w:p>
        </w:tc>
        <w:tc>
          <w:tcPr>
            <w:tcW w:w="7686" w:type="dxa"/>
            <w:vAlign w:val="center"/>
            <w:hideMark/>
          </w:tcPr>
          <w:p w14:paraId="6F0ED60D"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kern w:val="0"/>
                <w:lang w:eastAsia="en-GB"/>
                <w14:ligatures w14:val="none"/>
              </w:rPr>
              <w:t>Stricter waste</w:t>
            </w:r>
            <w:r w:rsidRPr="00EF596A">
              <w:rPr>
                <w:rFonts w:ascii="Cambria Math" w:eastAsia="Times New Roman" w:hAnsi="Cambria Math" w:cs="Cambria Math"/>
                <w:kern w:val="0"/>
                <w:lang w:eastAsia="en-GB"/>
                <w14:ligatures w14:val="none"/>
              </w:rPr>
              <w:t>‐</w:t>
            </w:r>
            <w:r w:rsidRPr="00EF596A">
              <w:rPr>
                <w:rFonts w:ascii="Arial" w:eastAsia="Times New Roman" w:hAnsi="Arial" w:cs="Arial"/>
                <w:kern w:val="0"/>
                <w:lang w:eastAsia="en-GB"/>
                <w14:ligatures w14:val="none"/>
              </w:rPr>
              <w:t>management regulations; incentives for composting and renewable energy installations.</w:t>
            </w:r>
          </w:p>
        </w:tc>
      </w:tr>
      <w:tr w:rsidR="00EF596A" w:rsidRPr="00EF596A" w14:paraId="0ADC5BE3" w14:textId="77777777" w:rsidTr="00C93356">
        <w:trPr>
          <w:tblCellSpacing w:w="15" w:type="dxa"/>
        </w:trPr>
        <w:tc>
          <w:tcPr>
            <w:tcW w:w="0" w:type="auto"/>
            <w:vAlign w:val="center"/>
            <w:hideMark/>
          </w:tcPr>
          <w:p w14:paraId="749F0EEA"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b/>
                <w:bCs/>
                <w:kern w:val="0"/>
                <w:lang w:eastAsia="en-GB"/>
                <w14:ligatures w14:val="none"/>
              </w:rPr>
              <w:t>Legal</w:t>
            </w:r>
          </w:p>
        </w:tc>
        <w:tc>
          <w:tcPr>
            <w:tcW w:w="7686" w:type="dxa"/>
            <w:vAlign w:val="center"/>
            <w:hideMark/>
          </w:tcPr>
          <w:p w14:paraId="150C105C" w14:textId="77777777" w:rsidR="00EF596A" w:rsidRPr="00EF596A" w:rsidRDefault="00EF596A" w:rsidP="00EF596A">
            <w:pPr>
              <w:spacing w:after="0" w:line="240" w:lineRule="auto"/>
              <w:rPr>
                <w:rFonts w:ascii="Arial" w:eastAsia="Times New Roman" w:hAnsi="Arial" w:cs="Arial"/>
                <w:kern w:val="0"/>
                <w:lang w:eastAsia="en-GB"/>
                <w14:ligatures w14:val="none"/>
              </w:rPr>
            </w:pPr>
            <w:r w:rsidRPr="00EF596A">
              <w:rPr>
                <w:rFonts w:ascii="Arial" w:eastAsia="Times New Roman" w:hAnsi="Arial" w:cs="Arial"/>
                <w:kern w:val="0"/>
                <w:lang w:eastAsia="en-GB"/>
                <w14:ligatures w14:val="none"/>
              </w:rPr>
              <w:t>UK Food Standards Agency regulations; upcoming Extended Producer Responsibility (EPR) rules for packaging.</w:t>
            </w:r>
          </w:p>
        </w:tc>
      </w:tr>
    </w:tbl>
    <w:p w14:paraId="75EB1582" w14:textId="77777777" w:rsidR="00EF596A" w:rsidRDefault="00EF596A" w:rsidP="00EF596A">
      <w:pPr>
        <w:spacing w:line="360" w:lineRule="auto"/>
        <w:rPr>
          <w:rFonts w:ascii="Arial" w:hAnsi="Arial" w:cs="Arial"/>
        </w:rPr>
      </w:pPr>
    </w:p>
    <w:p w14:paraId="348B522A" w14:textId="2EA193D7" w:rsidR="00EF596A" w:rsidRPr="00C93356" w:rsidRDefault="00EF596A" w:rsidP="00EF596A">
      <w:pPr>
        <w:spacing w:line="360" w:lineRule="auto"/>
        <w:rPr>
          <w:rFonts w:ascii="Arial Black" w:hAnsi="Arial Black" w:cs="Arial"/>
        </w:rPr>
      </w:pPr>
      <w:r w:rsidRPr="00C93356">
        <w:rPr>
          <w:rFonts w:ascii="Arial Black" w:hAnsi="Arial Black" w:cs="Arial"/>
        </w:rPr>
        <w:t>SWOT Analysis</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7"/>
        <w:gridCol w:w="2286"/>
        <w:gridCol w:w="2268"/>
        <w:gridCol w:w="2552"/>
      </w:tblGrid>
      <w:tr w:rsidR="00DB201C" w:rsidRPr="00DB201C" w14:paraId="2EE3890A" w14:textId="77777777" w:rsidTr="00C93356">
        <w:trPr>
          <w:tblHeader/>
          <w:tblCellSpacing w:w="15" w:type="dxa"/>
        </w:trPr>
        <w:tc>
          <w:tcPr>
            <w:tcW w:w="0" w:type="auto"/>
            <w:vAlign w:val="center"/>
            <w:hideMark/>
          </w:tcPr>
          <w:p w14:paraId="0C48FA0E"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Strengths</w:t>
            </w:r>
          </w:p>
        </w:tc>
        <w:tc>
          <w:tcPr>
            <w:tcW w:w="2256" w:type="dxa"/>
            <w:vAlign w:val="center"/>
            <w:hideMark/>
          </w:tcPr>
          <w:p w14:paraId="66AD9472"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Weaknesses</w:t>
            </w:r>
          </w:p>
        </w:tc>
        <w:tc>
          <w:tcPr>
            <w:tcW w:w="2238" w:type="dxa"/>
            <w:vAlign w:val="center"/>
            <w:hideMark/>
          </w:tcPr>
          <w:p w14:paraId="2C24BD72"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Opportunities</w:t>
            </w:r>
          </w:p>
        </w:tc>
        <w:tc>
          <w:tcPr>
            <w:tcW w:w="2507" w:type="dxa"/>
            <w:vAlign w:val="center"/>
            <w:hideMark/>
          </w:tcPr>
          <w:p w14:paraId="188484B3"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Threats</w:t>
            </w:r>
          </w:p>
        </w:tc>
      </w:tr>
      <w:tr w:rsidR="00DB201C" w:rsidRPr="00DB201C" w14:paraId="3617CE5B" w14:textId="77777777" w:rsidTr="00C93356">
        <w:trPr>
          <w:tblCellSpacing w:w="15" w:type="dxa"/>
        </w:trPr>
        <w:tc>
          <w:tcPr>
            <w:tcW w:w="0" w:type="auto"/>
            <w:vAlign w:val="center"/>
            <w:hideMark/>
          </w:tcPr>
          <w:p w14:paraId="2E21998A"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Authentic Romanian recipes passed down through generations</w:t>
            </w:r>
          </w:p>
          <w:p w14:paraId="6CED48A6"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 xml:space="preserve">Rigorous sustainability commitments (B Corp </w:t>
            </w:r>
            <w:r w:rsidRPr="00DB201C">
              <w:rPr>
                <w:rFonts w:ascii="Arial" w:eastAsia="Times New Roman" w:hAnsi="Arial" w:cs="Arial"/>
                <w:kern w:val="0"/>
                <w:lang w:eastAsia="en-GB"/>
                <w14:ligatures w14:val="none"/>
              </w:rPr>
              <w:t>target)</w:t>
            </w:r>
          </w:p>
          <w:p w14:paraId="6A0D1F72" w14:textId="44B19D53"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Prime Swansea Marina location</w:t>
            </w:r>
          </w:p>
        </w:tc>
        <w:tc>
          <w:tcPr>
            <w:tcW w:w="2256" w:type="dxa"/>
            <w:vAlign w:val="center"/>
            <w:hideMark/>
          </w:tcPr>
          <w:p w14:paraId="52A76608"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Higher cost base due to organic, local sourcing</w:t>
            </w:r>
          </w:p>
          <w:p w14:paraId="5985B072"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Initial brand awareness low in Swansea market</w:t>
            </w:r>
          </w:p>
          <w:p w14:paraId="147C37F3" w14:textId="4316B760"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Dependent on seasonal ingredient availability</w:t>
            </w:r>
          </w:p>
        </w:tc>
        <w:tc>
          <w:tcPr>
            <w:tcW w:w="2238" w:type="dxa"/>
            <w:vAlign w:val="center"/>
            <w:hideMark/>
          </w:tcPr>
          <w:p w14:paraId="325CDA36"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Rising demand for ethical, experiential dining</w:t>
            </w:r>
          </w:p>
          <w:p w14:paraId="13B277AC"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Partnerships with local farms and universities</w:t>
            </w:r>
          </w:p>
          <w:p w14:paraId="7C7B2F74" w14:textId="239E871F"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Expansion into catering and cooking workshops</w:t>
            </w:r>
          </w:p>
        </w:tc>
        <w:tc>
          <w:tcPr>
            <w:tcW w:w="2507" w:type="dxa"/>
            <w:vAlign w:val="center"/>
            <w:hideMark/>
          </w:tcPr>
          <w:p w14:paraId="5A08FEC9"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Competitive hospitality market with narrow margins</w:t>
            </w:r>
          </w:p>
          <w:p w14:paraId="540D15FD" w14:textId="77777777" w:rsid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Volatility in energy and labour costs</w:t>
            </w:r>
          </w:p>
          <w:p w14:paraId="1CD86E9A" w14:textId="25B2B66C"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Potential supply chain disruptions for Romanian specialty imports</w:t>
            </w:r>
          </w:p>
        </w:tc>
      </w:tr>
    </w:tbl>
    <w:p w14:paraId="3EEF8849" w14:textId="77777777" w:rsidR="00EF596A" w:rsidRDefault="00EF596A" w:rsidP="00EF596A">
      <w:pPr>
        <w:spacing w:line="360" w:lineRule="auto"/>
        <w:rPr>
          <w:rFonts w:ascii="Arial" w:hAnsi="Arial" w:cs="Arial"/>
        </w:rPr>
      </w:pPr>
    </w:p>
    <w:p w14:paraId="3E1448AB" w14:textId="77777777" w:rsidR="00DB201C" w:rsidRPr="00C93356" w:rsidRDefault="00DB201C" w:rsidP="00DB201C">
      <w:pPr>
        <w:spacing w:line="360" w:lineRule="auto"/>
        <w:rPr>
          <w:rFonts w:ascii="Arial Black" w:hAnsi="Arial Black" w:cs="Arial"/>
        </w:rPr>
      </w:pPr>
      <w:r w:rsidRPr="00C93356">
        <w:rPr>
          <w:rFonts w:ascii="Arial Black" w:hAnsi="Arial Black" w:cs="Arial"/>
        </w:rPr>
        <w:t>Resources Required</w:t>
      </w:r>
    </w:p>
    <w:p w14:paraId="0FE9CC5E" w14:textId="5FBCA834" w:rsidR="00EF596A" w:rsidRPr="00C93356" w:rsidRDefault="00DB201C" w:rsidP="00C93356">
      <w:pPr>
        <w:pStyle w:val="ListParagraph"/>
        <w:numPr>
          <w:ilvl w:val="0"/>
          <w:numId w:val="16"/>
        </w:numPr>
        <w:spacing w:line="360" w:lineRule="auto"/>
        <w:rPr>
          <w:rFonts w:ascii="Arial Black" w:hAnsi="Arial Black" w:cs="Arial"/>
        </w:rPr>
      </w:pPr>
      <w:r w:rsidRPr="00C93356">
        <w:rPr>
          <w:rFonts w:ascii="Arial Black" w:hAnsi="Arial Black" w:cs="Arial"/>
        </w:rPr>
        <w:t>Physical Resources</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4"/>
        <w:gridCol w:w="4684"/>
        <w:gridCol w:w="1965"/>
      </w:tblGrid>
      <w:tr w:rsidR="00DB201C" w:rsidRPr="00DB201C" w14:paraId="2BB17D95" w14:textId="77777777" w:rsidTr="00C93356">
        <w:trPr>
          <w:tblHeader/>
          <w:tblCellSpacing w:w="15" w:type="dxa"/>
        </w:trPr>
        <w:tc>
          <w:tcPr>
            <w:tcW w:w="0" w:type="auto"/>
            <w:vAlign w:val="center"/>
            <w:hideMark/>
          </w:tcPr>
          <w:p w14:paraId="0800D93F"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Resource</w:t>
            </w:r>
          </w:p>
        </w:tc>
        <w:tc>
          <w:tcPr>
            <w:tcW w:w="0" w:type="auto"/>
            <w:vAlign w:val="center"/>
            <w:hideMark/>
          </w:tcPr>
          <w:p w14:paraId="239AF578"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Details</w:t>
            </w:r>
          </w:p>
        </w:tc>
        <w:tc>
          <w:tcPr>
            <w:tcW w:w="1920" w:type="dxa"/>
            <w:vAlign w:val="center"/>
            <w:hideMark/>
          </w:tcPr>
          <w:p w14:paraId="0AC7BD2F" w14:textId="77777777" w:rsidR="00DB201C" w:rsidRPr="00DB201C" w:rsidRDefault="00DB201C" w:rsidP="00DB201C">
            <w:pPr>
              <w:spacing w:after="0" w:line="240" w:lineRule="auto"/>
              <w:jc w:val="right"/>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Investment (£)</w:t>
            </w:r>
          </w:p>
        </w:tc>
      </w:tr>
      <w:tr w:rsidR="00DB201C" w:rsidRPr="00DB201C" w14:paraId="39AAEA4C" w14:textId="77777777" w:rsidTr="00C93356">
        <w:trPr>
          <w:tblCellSpacing w:w="15" w:type="dxa"/>
        </w:trPr>
        <w:tc>
          <w:tcPr>
            <w:tcW w:w="0" w:type="auto"/>
            <w:vAlign w:val="center"/>
            <w:hideMark/>
          </w:tcPr>
          <w:p w14:paraId="532B77DF"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Leasehold Improvements</w:t>
            </w:r>
          </w:p>
        </w:tc>
        <w:tc>
          <w:tcPr>
            <w:tcW w:w="0" w:type="auto"/>
            <w:vAlign w:val="center"/>
            <w:hideMark/>
          </w:tcPr>
          <w:p w14:paraId="45A28F70"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Kitchen fit</w:t>
            </w:r>
            <w:r w:rsidRPr="00DB201C">
              <w:rPr>
                <w:rFonts w:ascii="Arial" w:eastAsia="Times New Roman" w:hAnsi="Arial" w:cs="Arial"/>
                <w:kern w:val="0"/>
                <w:lang w:eastAsia="en-GB"/>
                <w14:ligatures w14:val="none"/>
              </w:rPr>
              <w:noBreakHyphen/>
              <w:t>out, dining area renovation with reclaimed timber accents and energy</w:t>
            </w:r>
            <w:r w:rsidRPr="00DB201C">
              <w:rPr>
                <w:rFonts w:ascii="Arial" w:eastAsia="Times New Roman" w:hAnsi="Arial" w:cs="Arial"/>
                <w:kern w:val="0"/>
                <w:lang w:eastAsia="en-GB"/>
                <w14:ligatures w14:val="none"/>
              </w:rPr>
              <w:noBreakHyphen/>
              <w:t>efficient lighting</w:t>
            </w:r>
          </w:p>
        </w:tc>
        <w:tc>
          <w:tcPr>
            <w:tcW w:w="1920" w:type="dxa"/>
            <w:vAlign w:val="center"/>
            <w:hideMark/>
          </w:tcPr>
          <w:p w14:paraId="086584F9"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120,000</w:t>
            </w:r>
          </w:p>
        </w:tc>
      </w:tr>
      <w:tr w:rsidR="00DB201C" w:rsidRPr="00DB201C" w14:paraId="25B3A489" w14:textId="77777777" w:rsidTr="00C93356">
        <w:trPr>
          <w:tblCellSpacing w:w="15" w:type="dxa"/>
        </w:trPr>
        <w:tc>
          <w:tcPr>
            <w:tcW w:w="0" w:type="auto"/>
            <w:vAlign w:val="center"/>
            <w:hideMark/>
          </w:tcPr>
          <w:p w14:paraId="6CEB3508"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lastRenderedPageBreak/>
              <w:t>Kitchen &amp; Bar Equipment</w:t>
            </w:r>
          </w:p>
        </w:tc>
        <w:tc>
          <w:tcPr>
            <w:tcW w:w="0" w:type="auto"/>
            <w:vAlign w:val="center"/>
            <w:hideMark/>
          </w:tcPr>
          <w:p w14:paraId="165E626E"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Convection ovens, induction hobs, refrigeration, glasswasher, composting bin installation</w:t>
            </w:r>
          </w:p>
        </w:tc>
        <w:tc>
          <w:tcPr>
            <w:tcW w:w="1920" w:type="dxa"/>
            <w:vAlign w:val="center"/>
            <w:hideMark/>
          </w:tcPr>
          <w:p w14:paraId="3DF2C671"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50,000</w:t>
            </w:r>
          </w:p>
        </w:tc>
      </w:tr>
      <w:tr w:rsidR="00DB201C" w:rsidRPr="00DB201C" w14:paraId="0D343D83" w14:textId="77777777" w:rsidTr="00C93356">
        <w:trPr>
          <w:tblCellSpacing w:w="15" w:type="dxa"/>
        </w:trPr>
        <w:tc>
          <w:tcPr>
            <w:tcW w:w="0" w:type="auto"/>
            <w:vAlign w:val="center"/>
            <w:hideMark/>
          </w:tcPr>
          <w:p w14:paraId="77BBDA2F"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Rooftop Herb Garden &amp; Greywater System</w:t>
            </w:r>
          </w:p>
        </w:tc>
        <w:tc>
          <w:tcPr>
            <w:tcW w:w="0" w:type="auto"/>
            <w:vAlign w:val="center"/>
            <w:hideMark/>
          </w:tcPr>
          <w:p w14:paraId="7CAE22AC"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Installation of planters and greywater plumbing for irrigation</w:t>
            </w:r>
          </w:p>
        </w:tc>
        <w:tc>
          <w:tcPr>
            <w:tcW w:w="1920" w:type="dxa"/>
            <w:vAlign w:val="center"/>
            <w:hideMark/>
          </w:tcPr>
          <w:p w14:paraId="3F752C60"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10,000</w:t>
            </w:r>
          </w:p>
        </w:tc>
      </w:tr>
      <w:tr w:rsidR="00DB201C" w:rsidRPr="00DB201C" w14:paraId="2D5E14B8" w14:textId="77777777" w:rsidTr="00C93356">
        <w:trPr>
          <w:tblCellSpacing w:w="15" w:type="dxa"/>
        </w:trPr>
        <w:tc>
          <w:tcPr>
            <w:tcW w:w="0" w:type="auto"/>
            <w:vAlign w:val="center"/>
            <w:hideMark/>
          </w:tcPr>
          <w:p w14:paraId="28288DE1"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Furnishings</w:t>
            </w:r>
          </w:p>
        </w:tc>
        <w:tc>
          <w:tcPr>
            <w:tcW w:w="0" w:type="auto"/>
            <w:vAlign w:val="center"/>
            <w:hideMark/>
          </w:tcPr>
          <w:p w14:paraId="36D7A890"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Sustainable tables, chairs, service stations crafted from reclaimed materials</w:t>
            </w:r>
          </w:p>
        </w:tc>
        <w:tc>
          <w:tcPr>
            <w:tcW w:w="1920" w:type="dxa"/>
            <w:vAlign w:val="center"/>
            <w:hideMark/>
          </w:tcPr>
          <w:p w14:paraId="0A6A5C28"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20,000</w:t>
            </w:r>
          </w:p>
        </w:tc>
      </w:tr>
    </w:tbl>
    <w:p w14:paraId="5709C5B0" w14:textId="77777777" w:rsidR="00DB201C" w:rsidRDefault="00DB201C" w:rsidP="00DB201C">
      <w:pPr>
        <w:spacing w:line="360" w:lineRule="auto"/>
        <w:rPr>
          <w:rFonts w:ascii="Arial" w:hAnsi="Arial" w:cs="Arial"/>
        </w:rPr>
      </w:pPr>
    </w:p>
    <w:p w14:paraId="32FB71FE" w14:textId="04F0EEB6" w:rsidR="00DB201C" w:rsidRPr="00C93356" w:rsidRDefault="00DB201C" w:rsidP="00C93356">
      <w:pPr>
        <w:pStyle w:val="ListParagraph"/>
        <w:numPr>
          <w:ilvl w:val="0"/>
          <w:numId w:val="16"/>
        </w:numPr>
        <w:spacing w:line="360" w:lineRule="auto"/>
        <w:rPr>
          <w:rFonts w:ascii="Arial Black" w:hAnsi="Arial Black" w:cs="Arial"/>
        </w:rPr>
      </w:pPr>
      <w:r w:rsidRPr="00C93356">
        <w:rPr>
          <w:rFonts w:ascii="Arial Black" w:hAnsi="Arial Black" w:cs="Arial"/>
        </w:rPr>
        <w:t>Human Resources</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16"/>
        <w:gridCol w:w="1739"/>
        <w:gridCol w:w="3042"/>
        <w:gridCol w:w="2396"/>
      </w:tblGrid>
      <w:tr w:rsidR="00DB201C" w:rsidRPr="00DB201C" w14:paraId="662CEFBA" w14:textId="77777777" w:rsidTr="00C93356">
        <w:trPr>
          <w:tblHeader/>
          <w:tblCellSpacing w:w="15" w:type="dxa"/>
        </w:trPr>
        <w:tc>
          <w:tcPr>
            <w:tcW w:w="0" w:type="auto"/>
            <w:vAlign w:val="center"/>
            <w:hideMark/>
          </w:tcPr>
          <w:p w14:paraId="0D21C2D0"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Role</w:t>
            </w:r>
          </w:p>
        </w:tc>
        <w:tc>
          <w:tcPr>
            <w:tcW w:w="0" w:type="auto"/>
            <w:vAlign w:val="center"/>
            <w:hideMark/>
          </w:tcPr>
          <w:p w14:paraId="633B4FBF"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Headcount (Year 1)</w:t>
            </w:r>
          </w:p>
        </w:tc>
        <w:tc>
          <w:tcPr>
            <w:tcW w:w="0" w:type="auto"/>
            <w:vAlign w:val="center"/>
            <w:hideMark/>
          </w:tcPr>
          <w:p w14:paraId="756F3657"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Function</w:t>
            </w:r>
          </w:p>
        </w:tc>
        <w:tc>
          <w:tcPr>
            <w:tcW w:w="2351" w:type="dxa"/>
            <w:vAlign w:val="center"/>
            <w:hideMark/>
          </w:tcPr>
          <w:p w14:paraId="46848D48" w14:textId="77777777" w:rsidR="00DB201C" w:rsidRPr="00DB201C" w:rsidRDefault="00DB201C" w:rsidP="00DB201C">
            <w:pPr>
              <w:spacing w:after="0" w:line="240" w:lineRule="auto"/>
              <w:jc w:val="right"/>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Average Monthly Cost (£)</w:t>
            </w:r>
          </w:p>
        </w:tc>
      </w:tr>
      <w:tr w:rsidR="00DB201C" w:rsidRPr="00DB201C" w14:paraId="0F5F27B1" w14:textId="77777777" w:rsidTr="00C93356">
        <w:trPr>
          <w:tblCellSpacing w:w="15" w:type="dxa"/>
        </w:trPr>
        <w:tc>
          <w:tcPr>
            <w:tcW w:w="0" w:type="auto"/>
            <w:vAlign w:val="center"/>
            <w:hideMark/>
          </w:tcPr>
          <w:p w14:paraId="64F593FA"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Restaurant Manager</w:t>
            </w:r>
          </w:p>
        </w:tc>
        <w:tc>
          <w:tcPr>
            <w:tcW w:w="0" w:type="auto"/>
            <w:vAlign w:val="center"/>
            <w:hideMark/>
          </w:tcPr>
          <w:p w14:paraId="3C3ABCC1"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w:t>
            </w:r>
          </w:p>
        </w:tc>
        <w:tc>
          <w:tcPr>
            <w:tcW w:w="0" w:type="auto"/>
            <w:vAlign w:val="center"/>
            <w:hideMark/>
          </w:tcPr>
          <w:p w14:paraId="34681746"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Oversee operations, supplier relations</w:t>
            </w:r>
          </w:p>
        </w:tc>
        <w:tc>
          <w:tcPr>
            <w:tcW w:w="2351" w:type="dxa"/>
            <w:vAlign w:val="center"/>
            <w:hideMark/>
          </w:tcPr>
          <w:p w14:paraId="1851A622"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4,000</w:t>
            </w:r>
          </w:p>
        </w:tc>
      </w:tr>
      <w:tr w:rsidR="00DB201C" w:rsidRPr="00DB201C" w14:paraId="235CE7F7" w14:textId="77777777" w:rsidTr="00C93356">
        <w:trPr>
          <w:tblCellSpacing w:w="15" w:type="dxa"/>
        </w:trPr>
        <w:tc>
          <w:tcPr>
            <w:tcW w:w="0" w:type="auto"/>
            <w:vAlign w:val="center"/>
            <w:hideMark/>
          </w:tcPr>
          <w:p w14:paraId="508273C3"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Head Chef</w:t>
            </w:r>
          </w:p>
        </w:tc>
        <w:tc>
          <w:tcPr>
            <w:tcW w:w="0" w:type="auto"/>
            <w:vAlign w:val="center"/>
            <w:hideMark/>
          </w:tcPr>
          <w:p w14:paraId="379FDE1A"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w:t>
            </w:r>
          </w:p>
        </w:tc>
        <w:tc>
          <w:tcPr>
            <w:tcW w:w="0" w:type="auto"/>
            <w:vAlign w:val="center"/>
            <w:hideMark/>
          </w:tcPr>
          <w:p w14:paraId="0B185242"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Menu development, kitchen leadership</w:t>
            </w:r>
          </w:p>
        </w:tc>
        <w:tc>
          <w:tcPr>
            <w:tcW w:w="2351" w:type="dxa"/>
            <w:vAlign w:val="center"/>
            <w:hideMark/>
          </w:tcPr>
          <w:p w14:paraId="3F18540A"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3,500</w:t>
            </w:r>
          </w:p>
        </w:tc>
      </w:tr>
      <w:tr w:rsidR="00DB201C" w:rsidRPr="00DB201C" w14:paraId="262470EE" w14:textId="77777777" w:rsidTr="00C93356">
        <w:trPr>
          <w:tblCellSpacing w:w="15" w:type="dxa"/>
        </w:trPr>
        <w:tc>
          <w:tcPr>
            <w:tcW w:w="0" w:type="auto"/>
            <w:vAlign w:val="center"/>
            <w:hideMark/>
          </w:tcPr>
          <w:p w14:paraId="3E3BAA86"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Sous Chefs</w:t>
            </w:r>
          </w:p>
        </w:tc>
        <w:tc>
          <w:tcPr>
            <w:tcW w:w="0" w:type="auto"/>
            <w:vAlign w:val="center"/>
            <w:hideMark/>
          </w:tcPr>
          <w:p w14:paraId="1209AE93"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w:t>
            </w:r>
          </w:p>
        </w:tc>
        <w:tc>
          <w:tcPr>
            <w:tcW w:w="0" w:type="auto"/>
            <w:vAlign w:val="center"/>
            <w:hideMark/>
          </w:tcPr>
          <w:p w14:paraId="187AF35A"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Food preparation, quality control</w:t>
            </w:r>
          </w:p>
        </w:tc>
        <w:tc>
          <w:tcPr>
            <w:tcW w:w="2351" w:type="dxa"/>
            <w:vAlign w:val="center"/>
            <w:hideMark/>
          </w:tcPr>
          <w:p w14:paraId="3FD69525"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2,500 each</w:t>
            </w:r>
          </w:p>
        </w:tc>
      </w:tr>
      <w:tr w:rsidR="00DB201C" w:rsidRPr="00DB201C" w14:paraId="72E0A979" w14:textId="77777777" w:rsidTr="00C93356">
        <w:trPr>
          <w:tblCellSpacing w:w="15" w:type="dxa"/>
        </w:trPr>
        <w:tc>
          <w:tcPr>
            <w:tcW w:w="0" w:type="auto"/>
            <w:vAlign w:val="center"/>
            <w:hideMark/>
          </w:tcPr>
          <w:p w14:paraId="5F0D0EAF"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Servers</w:t>
            </w:r>
          </w:p>
        </w:tc>
        <w:tc>
          <w:tcPr>
            <w:tcW w:w="0" w:type="auto"/>
            <w:vAlign w:val="center"/>
            <w:hideMark/>
          </w:tcPr>
          <w:p w14:paraId="12F94092"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4</w:t>
            </w:r>
          </w:p>
        </w:tc>
        <w:tc>
          <w:tcPr>
            <w:tcW w:w="0" w:type="auto"/>
            <w:vAlign w:val="center"/>
            <w:hideMark/>
          </w:tcPr>
          <w:p w14:paraId="7F2ED137"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Front</w:t>
            </w:r>
            <w:r w:rsidRPr="00DB201C">
              <w:rPr>
                <w:rFonts w:ascii="Arial" w:eastAsia="Times New Roman" w:hAnsi="Arial" w:cs="Arial"/>
                <w:kern w:val="0"/>
                <w:lang w:eastAsia="en-GB"/>
                <w14:ligatures w14:val="none"/>
              </w:rPr>
              <w:noBreakHyphen/>
              <w:t>of</w:t>
            </w:r>
            <w:r w:rsidRPr="00DB201C">
              <w:rPr>
                <w:rFonts w:ascii="Arial" w:eastAsia="Times New Roman" w:hAnsi="Arial" w:cs="Arial"/>
                <w:kern w:val="0"/>
                <w:lang w:eastAsia="en-GB"/>
                <w14:ligatures w14:val="none"/>
              </w:rPr>
              <w:noBreakHyphen/>
              <w:t>house service</w:t>
            </w:r>
          </w:p>
        </w:tc>
        <w:tc>
          <w:tcPr>
            <w:tcW w:w="2351" w:type="dxa"/>
            <w:vAlign w:val="center"/>
            <w:hideMark/>
          </w:tcPr>
          <w:p w14:paraId="421D2351"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2,000 each</w:t>
            </w:r>
          </w:p>
        </w:tc>
      </w:tr>
      <w:tr w:rsidR="00DB201C" w:rsidRPr="00DB201C" w14:paraId="530FC5D6" w14:textId="77777777" w:rsidTr="00C93356">
        <w:trPr>
          <w:tblCellSpacing w:w="15" w:type="dxa"/>
        </w:trPr>
        <w:tc>
          <w:tcPr>
            <w:tcW w:w="0" w:type="auto"/>
            <w:vAlign w:val="center"/>
            <w:hideMark/>
          </w:tcPr>
          <w:p w14:paraId="2FD27900"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Marketing &amp; Events Coordinator</w:t>
            </w:r>
          </w:p>
        </w:tc>
        <w:tc>
          <w:tcPr>
            <w:tcW w:w="0" w:type="auto"/>
            <w:vAlign w:val="center"/>
            <w:hideMark/>
          </w:tcPr>
          <w:p w14:paraId="3878BA29"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w:t>
            </w:r>
          </w:p>
        </w:tc>
        <w:tc>
          <w:tcPr>
            <w:tcW w:w="0" w:type="auto"/>
            <w:vAlign w:val="center"/>
            <w:hideMark/>
          </w:tcPr>
          <w:p w14:paraId="0A8A837A"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Promotions, partnerships, digital campaigns</w:t>
            </w:r>
          </w:p>
        </w:tc>
        <w:tc>
          <w:tcPr>
            <w:tcW w:w="2351" w:type="dxa"/>
            <w:vAlign w:val="center"/>
            <w:hideMark/>
          </w:tcPr>
          <w:p w14:paraId="7EE284DB"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w:t>
            </w:r>
          </w:p>
        </w:tc>
      </w:tr>
      <w:tr w:rsidR="00DB201C" w:rsidRPr="00DB201C" w14:paraId="0E246163" w14:textId="77777777" w:rsidTr="00C93356">
        <w:trPr>
          <w:tblCellSpacing w:w="15" w:type="dxa"/>
        </w:trPr>
        <w:tc>
          <w:tcPr>
            <w:tcW w:w="0" w:type="auto"/>
            <w:vAlign w:val="center"/>
            <w:hideMark/>
          </w:tcPr>
          <w:p w14:paraId="1F257B62"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Finance &amp; Admin Officer</w:t>
            </w:r>
          </w:p>
        </w:tc>
        <w:tc>
          <w:tcPr>
            <w:tcW w:w="0" w:type="auto"/>
            <w:vAlign w:val="center"/>
            <w:hideMark/>
          </w:tcPr>
          <w:p w14:paraId="7BFB33DE"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w:t>
            </w:r>
          </w:p>
        </w:tc>
        <w:tc>
          <w:tcPr>
            <w:tcW w:w="0" w:type="auto"/>
            <w:vAlign w:val="center"/>
            <w:hideMark/>
          </w:tcPr>
          <w:p w14:paraId="6F01C09C"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Bookkeeping, payroll, compliance</w:t>
            </w:r>
          </w:p>
        </w:tc>
        <w:tc>
          <w:tcPr>
            <w:tcW w:w="2351" w:type="dxa"/>
            <w:vAlign w:val="center"/>
            <w:hideMark/>
          </w:tcPr>
          <w:p w14:paraId="31470F58"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w:t>
            </w:r>
          </w:p>
        </w:tc>
      </w:tr>
    </w:tbl>
    <w:p w14:paraId="44D6F3AF" w14:textId="77777777" w:rsidR="00DB201C" w:rsidRDefault="00DB201C" w:rsidP="00DB201C">
      <w:pPr>
        <w:spacing w:line="360" w:lineRule="auto"/>
        <w:rPr>
          <w:rFonts w:ascii="Arial" w:hAnsi="Arial" w:cs="Arial"/>
        </w:rPr>
      </w:pPr>
    </w:p>
    <w:p w14:paraId="73BC3E9E" w14:textId="64AF44DA" w:rsidR="00DB201C" w:rsidRPr="00C93356" w:rsidRDefault="00DB201C" w:rsidP="00C93356">
      <w:pPr>
        <w:pStyle w:val="ListParagraph"/>
        <w:numPr>
          <w:ilvl w:val="0"/>
          <w:numId w:val="16"/>
        </w:numPr>
        <w:spacing w:line="360" w:lineRule="auto"/>
        <w:rPr>
          <w:rFonts w:ascii="Arial Black" w:hAnsi="Arial Black" w:cs="Arial"/>
        </w:rPr>
      </w:pPr>
      <w:r w:rsidRPr="00C93356">
        <w:rPr>
          <w:rFonts w:ascii="Arial Black" w:hAnsi="Arial Black" w:cs="Arial"/>
        </w:rPr>
        <w:t>Financial Resources &amp; Use of Funds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9"/>
        <w:gridCol w:w="1979"/>
      </w:tblGrid>
      <w:tr w:rsidR="00DB201C" w:rsidRPr="00DB201C" w14:paraId="725C8F57" w14:textId="77777777" w:rsidTr="00C93356">
        <w:trPr>
          <w:tblHeader/>
          <w:tblCellSpacing w:w="15" w:type="dxa"/>
        </w:trPr>
        <w:tc>
          <w:tcPr>
            <w:tcW w:w="0" w:type="auto"/>
            <w:vAlign w:val="center"/>
            <w:hideMark/>
          </w:tcPr>
          <w:p w14:paraId="59CE4BD7"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Use of Funds</w:t>
            </w:r>
          </w:p>
        </w:tc>
        <w:tc>
          <w:tcPr>
            <w:tcW w:w="1934" w:type="dxa"/>
            <w:vAlign w:val="center"/>
            <w:hideMark/>
          </w:tcPr>
          <w:p w14:paraId="5A405DD5" w14:textId="77777777" w:rsidR="00DB201C" w:rsidRPr="00DB201C" w:rsidRDefault="00DB201C" w:rsidP="00DB201C">
            <w:pPr>
              <w:spacing w:after="0" w:line="240" w:lineRule="auto"/>
              <w:jc w:val="right"/>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Amount (£)</w:t>
            </w:r>
          </w:p>
        </w:tc>
      </w:tr>
      <w:tr w:rsidR="00DB201C" w:rsidRPr="00DB201C" w14:paraId="6ABB559B" w14:textId="77777777" w:rsidTr="00C93356">
        <w:trPr>
          <w:tblCellSpacing w:w="15" w:type="dxa"/>
        </w:trPr>
        <w:tc>
          <w:tcPr>
            <w:tcW w:w="0" w:type="auto"/>
            <w:vAlign w:val="center"/>
            <w:hideMark/>
          </w:tcPr>
          <w:p w14:paraId="63F3EA13"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Leasehold Improvements</w:t>
            </w:r>
          </w:p>
        </w:tc>
        <w:tc>
          <w:tcPr>
            <w:tcW w:w="1934" w:type="dxa"/>
            <w:vAlign w:val="center"/>
            <w:hideMark/>
          </w:tcPr>
          <w:p w14:paraId="1F67C348"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120,000</w:t>
            </w:r>
          </w:p>
        </w:tc>
      </w:tr>
      <w:tr w:rsidR="00DB201C" w:rsidRPr="00DB201C" w14:paraId="4A5A8566" w14:textId="77777777" w:rsidTr="00C93356">
        <w:trPr>
          <w:tblCellSpacing w:w="15" w:type="dxa"/>
        </w:trPr>
        <w:tc>
          <w:tcPr>
            <w:tcW w:w="0" w:type="auto"/>
            <w:vAlign w:val="center"/>
            <w:hideMark/>
          </w:tcPr>
          <w:p w14:paraId="2FCFFAD8"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Kitchen &amp; Bar Equipment</w:t>
            </w:r>
          </w:p>
        </w:tc>
        <w:tc>
          <w:tcPr>
            <w:tcW w:w="1934" w:type="dxa"/>
            <w:vAlign w:val="center"/>
            <w:hideMark/>
          </w:tcPr>
          <w:p w14:paraId="58D6FAA6"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50,000</w:t>
            </w:r>
          </w:p>
        </w:tc>
      </w:tr>
      <w:tr w:rsidR="00DB201C" w:rsidRPr="00DB201C" w14:paraId="1D19AE14" w14:textId="77777777" w:rsidTr="00C93356">
        <w:trPr>
          <w:tblCellSpacing w:w="15" w:type="dxa"/>
        </w:trPr>
        <w:tc>
          <w:tcPr>
            <w:tcW w:w="0" w:type="auto"/>
            <w:vAlign w:val="center"/>
            <w:hideMark/>
          </w:tcPr>
          <w:p w14:paraId="0DBC84C2"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Initial Working Capital (3 months operating)</w:t>
            </w:r>
          </w:p>
        </w:tc>
        <w:tc>
          <w:tcPr>
            <w:tcW w:w="1934" w:type="dxa"/>
            <w:vAlign w:val="center"/>
            <w:hideMark/>
          </w:tcPr>
          <w:p w14:paraId="143DACC5"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40,000</w:t>
            </w:r>
          </w:p>
        </w:tc>
      </w:tr>
      <w:tr w:rsidR="00DB201C" w:rsidRPr="00DB201C" w14:paraId="067639F6" w14:textId="77777777" w:rsidTr="00C93356">
        <w:trPr>
          <w:tblCellSpacing w:w="15" w:type="dxa"/>
        </w:trPr>
        <w:tc>
          <w:tcPr>
            <w:tcW w:w="0" w:type="auto"/>
            <w:vAlign w:val="center"/>
            <w:hideMark/>
          </w:tcPr>
          <w:p w14:paraId="7D37E4B1"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Marketing, Pre</w:t>
            </w:r>
            <w:r w:rsidRPr="00DB201C">
              <w:rPr>
                <w:rFonts w:ascii="Arial" w:eastAsia="Times New Roman" w:hAnsi="Arial" w:cs="Arial"/>
                <w:kern w:val="0"/>
                <w:lang w:eastAsia="en-GB"/>
                <w14:ligatures w14:val="none"/>
              </w:rPr>
              <w:noBreakHyphen/>
              <w:t>Opening Events, PR</w:t>
            </w:r>
          </w:p>
        </w:tc>
        <w:tc>
          <w:tcPr>
            <w:tcW w:w="1934" w:type="dxa"/>
            <w:vAlign w:val="center"/>
            <w:hideMark/>
          </w:tcPr>
          <w:p w14:paraId="644D59AD"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20,000</w:t>
            </w:r>
          </w:p>
        </w:tc>
      </w:tr>
      <w:tr w:rsidR="00DB201C" w:rsidRPr="00DB201C" w14:paraId="029BD7F6" w14:textId="77777777" w:rsidTr="00C93356">
        <w:trPr>
          <w:tblCellSpacing w:w="15" w:type="dxa"/>
        </w:trPr>
        <w:tc>
          <w:tcPr>
            <w:tcW w:w="0" w:type="auto"/>
            <w:vAlign w:val="center"/>
            <w:hideMark/>
          </w:tcPr>
          <w:p w14:paraId="009A4C5E"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Sustainability Initiatives Fund*</w:t>
            </w:r>
          </w:p>
        </w:tc>
        <w:tc>
          <w:tcPr>
            <w:tcW w:w="1934" w:type="dxa"/>
            <w:vAlign w:val="center"/>
            <w:hideMark/>
          </w:tcPr>
          <w:p w14:paraId="3A7055E4"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10,000</w:t>
            </w:r>
          </w:p>
        </w:tc>
      </w:tr>
      <w:tr w:rsidR="00DB201C" w:rsidRPr="00DB201C" w14:paraId="0B1F5B1D" w14:textId="77777777" w:rsidTr="00C93356">
        <w:trPr>
          <w:tblCellSpacing w:w="15" w:type="dxa"/>
        </w:trPr>
        <w:tc>
          <w:tcPr>
            <w:tcW w:w="0" w:type="auto"/>
            <w:vAlign w:val="center"/>
            <w:hideMark/>
          </w:tcPr>
          <w:p w14:paraId="2FB8A5ED"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Total Loan Requirement</w:t>
            </w:r>
          </w:p>
        </w:tc>
        <w:tc>
          <w:tcPr>
            <w:tcW w:w="1934" w:type="dxa"/>
            <w:vAlign w:val="center"/>
            <w:hideMark/>
          </w:tcPr>
          <w:p w14:paraId="59C2395C"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240,000</w:t>
            </w:r>
          </w:p>
        </w:tc>
      </w:tr>
    </w:tbl>
    <w:p w14:paraId="378B0222" w14:textId="77777777" w:rsidR="00DB201C" w:rsidRDefault="00DB201C" w:rsidP="00DB201C">
      <w:pPr>
        <w:spacing w:line="360" w:lineRule="auto"/>
        <w:rPr>
          <w:rFonts w:ascii="Arial" w:hAnsi="Arial" w:cs="Arial"/>
        </w:rPr>
      </w:pPr>
    </w:p>
    <w:p w14:paraId="3A450F6C" w14:textId="77777777" w:rsidR="00EF596A" w:rsidRDefault="00EF596A" w:rsidP="00EF596A">
      <w:pPr>
        <w:spacing w:line="360" w:lineRule="auto"/>
        <w:rPr>
          <w:rFonts w:ascii="Arial" w:hAnsi="Arial" w:cs="Arial"/>
        </w:rPr>
      </w:pPr>
    </w:p>
    <w:p w14:paraId="2E1E9A87" w14:textId="77777777" w:rsidR="00EF596A" w:rsidRDefault="00EF596A" w:rsidP="00EF596A">
      <w:pPr>
        <w:spacing w:line="360" w:lineRule="auto"/>
        <w:rPr>
          <w:rFonts w:ascii="Arial" w:hAnsi="Arial" w:cs="Arial"/>
        </w:rPr>
      </w:pPr>
    </w:p>
    <w:p w14:paraId="60A6BAA0" w14:textId="77777777" w:rsidR="00C93356" w:rsidRDefault="00C93356" w:rsidP="00EF596A">
      <w:pPr>
        <w:spacing w:line="360" w:lineRule="auto"/>
        <w:rPr>
          <w:rFonts w:ascii="Arial" w:hAnsi="Arial" w:cs="Arial"/>
        </w:rPr>
      </w:pPr>
    </w:p>
    <w:p w14:paraId="68253CAA" w14:textId="46630AEB" w:rsidR="00DB201C" w:rsidRPr="00C93356" w:rsidRDefault="00DB201C" w:rsidP="00EF596A">
      <w:pPr>
        <w:spacing w:line="360" w:lineRule="auto"/>
        <w:rPr>
          <w:rFonts w:ascii="Arial Black" w:hAnsi="Arial Black" w:cs="Arial"/>
        </w:rPr>
      </w:pPr>
      <w:r w:rsidRPr="00C93356">
        <w:rPr>
          <w:rFonts w:ascii="Arial Black" w:hAnsi="Arial Black" w:cs="Arial"/>
        </w:rPr>
        <w:lastRenderedPageBreak/>
        <w:t>Financial Projections &amp; Cash Flow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76"/>
        <w:gridCol w:w="1330"/>
        <w:gridCol w:w="1276"/>
        <w:gridCol w:w="1417"/>
      </w:tblGrid>
      <w:tr w:rsidR="00DB201C" w:rsidRPr="00DB201C" w14:paraId="7E29CF91" w14:textId="77777777" w:rsidTr="00C93356">
        <w:trPr>
          <w:tblHeader/>
          <w:tblCellSpacing w:w="15" w:type="dxa"/>
        </w:trPr>
        <w:tc>
          <w:tcPr>
            <w:tcW w:w="0" w:type="auto"/>
            <w:vAlign w:val="center"/>
            <w:hideMark/>
          </w:tcPr>
          <w:p w14:paraId="0FFDA2AD"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Metric</w:t>
            </w:r>
          </w:p>
        </w:tc>
        <w:tc>
          <w:tcPr>
            <w:tcW w:w="1300" w:type="dxa"/>
            <w:vAlign w:val="center"/>
            <w:hideMark/>
          </w:tcPr>
          <w:p w14:paraId="1056893D" w14:textId="77777777" w:rsidR="00DB201C" w:rsidRPr="00DB201C" w:rsidRDefault="00DB201C" w:rsidP="00DB201C">
            <w:pPr>
              <w:spacing w:after="0" w:line="240" w:lineRule="auto"/>
              <w:jc w:val="right"/>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Year 1</w:t>
            </w:r>
          </w:p>
        </w:tc>
        <w:tc>
          <w:tcPr>
            <w:tcW w:w="1246" w:type="dxa"/>
            <w:vAlign w:val="center"/>
            <w:hideMark/>
          </w:tcPr>
          <w:p w14:paraId="62DB9A16" w14:textId="77777777" w:rsidR="00DB201C" w:rsidRPr="00DB201C" w:rsidRDefault="00DB201C" w:rsidP="00DB201C">
            <w:pPr>
              <w:spacing w:after="0" w:line="240" w:lineRule="auto"/>
              <w:jc w:val="right"/>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Year 2</w:t>
            </w:r>
          </w:p>
        </w:tc>
        <w:tc>
          <w:tcPr>
            <w:tcW w:w="1372" w:type="dxa"/>
            <w:vAlign w:val="center"/>
            <w:hideMark/>
          </w:tcPr>
          <w:p w14:paraId="1DB32F49" w14:textId="77777777" w:rsidR="00DB201C" w:rsidRPr="00DB201C" w:rsidRDefault="00DB201C" w:rsidP="00DB201C">
            <w:pPr>
              <w:spacing w:after="0" w:line="240" w:lineRule="auto"/>
              <w:jc w:val="right"/>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Year 3</w:t>
            </w:r>
          </w:p>
        </w:tc>
      </w:tr>
      <w:tr w:rsidR="00DB201C" w:rsidRPr="00DB201C" w14:paraId="3653BC8A" w14:textId="77777777" w:rsidTr="00C93356">
        <w:trPr>
          <w:tblCellSpacing w:w="15" w:type="dxa"/>
        </w:trPr>
        <w:tc>
          <w:tcPr>
            <w:tcW w:w="0" w:type="auto"/>
            <w:vAlign w:val="center"/>
            <w:hideMark/>
          </w:tcPr>
          <w:p w14:paraId="250CFBE4"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Revenue (£)</w:t>
            </w:r>
          </w:p>
        </w:tc>
        <w:tc>
          <w:tcPr>
            <w:tcW w:w="1300" w:type="dxa"/>
            <w:vAlign w:val="center"/>
            <w:hideMark/>
          </w:tcPr>
          <w:p w14:paraId="7E282A5F"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300,000</w:t>
            </w:r>
          </w:p>
        </w:tc>
        <w:tc>
          <w:tcPr>
            <w:tcW w:w="1246" w:type="dxa"/>
            <w:vAlign w:val="center"/>
            <w:hideMark/>
          </w:tcPr>
          <w:p w14:paraId="65EE88D4"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500,000</w:t>
            </w:r>
          </w:p>
        </w:tc>
        <w:tc>
          <w:tcPr>
            <w:tcW w:w="1372" w:type="dxa"/>
            <w:vAlign w:val="center"/>
            <w:hideMark/>
          </w:tcPr>
          <w:p w14:paraId="0B0412D9"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650,000</w:t>
            </w:r>
          </w:p>
        </w:tc>
      </w:tr>
      <w:tr w:rsidR="00DB201C" w:rsidRPr="00DB201C" w14:paraId="0588BC59" w14:textId="77777777" w:rsidTr="00C93356">
        <w:trPr>
          <w:tblCellSpacing w:w="15" w:type="dxa"/>
        </w:trPr>
        <w:tc>
          <w:tcPr>
            <w:tcW w:w="0" w:type="auto"/>
            <w:vAlign w:val="center"/>
            <w:hideMark/>
          </w:tcPr>
          <w:p w14:paraId="4574CC54"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COGS (£)</w:t>
            </w:r>
          </w:p>
        </w:tc>
        <w:tc>
          <w:tcPr>
            <w:tcW w:w="1300" w:type="dxa"/>
            <w:vAlign w:val="center"/>
            <w:hideMark/>
          </w:tcPr>
          <w:p w14:paraId="2CCF9652"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120,000</w:t>
            </w:r>
          </w:p>
        </w:tc>
        <w:tc>
          <w:tcPr>
            <w:tcW w:w="1246" w:type="dxa"/>
            <w:vAlign w:val="center"/>
            <w:hideMark/>
          </w:tcPr>
          <w:p w14:paraId="32C69F88"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180,000</w:t>
            </w:r>
          </w:p>
        </w:tc>
        <w:tc>
          <w:tcPr>
            <w:tcW w:w="1372" w:type="dxa"/>
            <w:vAlign w:val="center"/>
            <w:hideMark/>
          </w:tcPr>
          <w:p w14:paraId="08E2F2C9"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234,000</w:t>
            </w:r>
          </w:p>
        </w:tc>
      </w:tr>
      <w:tr w:rsidR="00DB201C" w:rsidRPr="00DB201C" w14:paraId="33E534C4" w14:textId="77777777" w:rsidTr="00C93356">
        <w:trPr>
          <w:tblCellSpacing w:w="15" w:type="dxa"/>
        </w:trPr>
        <w:tc>
          <w:tcPr>
            <w:tcW w:w="0" w:type="auto"/>
            <w:vAlign w:val="center"/>
            <w:hideMark/>
          </w:tcPr>
          <w:p w14:paraId="69AE6611"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Gross Profit (£)</w:t>
            </w:r>
          </w:p>
        </w:tc>
        <w:tc>
          <w:tcPr>
            <w:tcW w:w="1300" w:type="dxa"/>
            <w:vAlign w:val="center"/>
            <w:hideMark/>
          </w:tcPr>
          <w:p w14:paraId="628E7BCE"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180,000</w:t>
            </w:r>
          </w:p>
        </w:tc>
        <w:tc>
          <w:tcPr>
            <w:tcW w:w="1246" w:type="dxa"/>
            <w:vAlign w:val="center"/>
            <w:hideMark/>
          </w:tcPr>
          <w:p w14:paraId="0F3081AE"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320,000</w:t>
            </w:r>
          </w:p>
        </w:tc>
        <w:tc>
          <w:tcPr>
            <w:tcW w:w="1372" w:type="dxa"/>
            <w:vAlign w:val="center"/>
            <w:hideMark/>
          </w:tcPr>
          <w:p w14:paraId="52EB9CA5"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416,000</w:t>
            </w:r>
          </w:p>
        </w:tc>
      </w:tr>
      <w:tr w:rsidR="00DB201C" w:rsidRPr="00DB201C" w14:paraId="2F335532" w14:textId="77777777" w:rsidTr="00C93356">
        <w:trPr>
          <w:tblCellSpacing w:w="15" w:type="dxa"/>
        </w:trPr>
        <w:tc>
          <w:tcPr>
            <w:tcW w:w="0" w:type="auto"/>
            <w:vAlign w:val="center"/>
            <w:hideMark/>
          </w:tcPr>
          <w:p w14:paraId="7B262056"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Operating Expenses (£)</w:t>
            </w:r>
          </w:p>
        </w:tc>
        <w:tc>
          <w:tcPr>
            <w:tcW w:w="1300" w:type="dxa"/>
            <w:vAlign w:val="center"/>
            <w:hideMark/>
          </w:tcPr>
          <w:p w14:paraId="00B37AFB"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210,000</w:t>
            </w:r>
          </w:p>
        </w:tc>
        <w:tc>
          <w:tcPr>
            <w:tcW w:w="1246" w:type="dxa"/>
            <w:vAlign w:val="center"/>
            <w:hideMark/>
          </w:tcPr>
          <w:p w14:paraId="0081ACDB"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260,000</w:t>
            </w:r>
          </w:p>
        </w:tc>
        <w:tc>
          <w:tcPr>
            <w:tcW w:w="1372" w:type="dxa"/>
            <w:vAlign w:val="center"/>
            <w:hideMark/>
          </w:tcPr>
          <w:p w14:paraId="09D0ED7C"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300,000</w:t>
            </w:r>
          </w:p>
        </w:tc>
      </w:tr>
      <w:tr w:rsidR="00DB201C" w:rsidRPr="00DB201C" w14:paraId="3271F291" w14:textId="77777777" w:rsidTr="00C93356">
        <w:trPr>
          <w:tblCellSpacing w:w="15" w:type="dxa"/>
        </w:trPr>
        <w:tc>
          <w:tcPr>
            <w:tcW w:w="0" w:type="auto"/>
            <w:vAlign w:val="center"/>
            <w:hideMark/>
          </w:tcPr>
          <w:p w14:paraId="5F5831A1"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EBITDA (£)</w:t>
            </w:r>
          </w:p>
        </w:tc>
        <w:tc>
          <w:tcPr>
            <w:tcW w:w="1300" w:type="dxa"/>
            <w:vAlign w:val="center"/>
            <w:hideMark/>
          </w:tcPr>
          <w:p w14:paraId="5574E5BF"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–30,000</w:t>
            </w:r>
          </w:p>
        </w:tc>
        <w:tc>
          <w:tcPr>
            <w:tcW w:w="1246" w:type="dxa"/>
            <w:vAlign w:val="center"/>
            <w:hideMark/>
          </w:tcPr>
          <w:p w14:paraId="009EBEAF"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60,000</w:t>
            </w:r>
          </w:p>
        </w:tc>
        <w:tc>
          <w:tcPr>
            <w:tcW w:w="1372" w:type="dxa"/>
            <w:vAlign w:val="center"/>
            <w:hideMark/>
          </w:tcPr>
          <w:p w14:paraId="6506016F"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116,000</w:t>
            </w:r>
          </w:p>
        </w:tc>
      </w:tr>
      <w:tr w:rsidR="00DB201C" w:rsidRPr="00DB201C" w14:paraId="465429B4" w14:textId="77777777" w:rsidTr="00C93356">
        <w:trPr>
          <w:tblCellSpacing w:w="15" w:type="dxa"/>
        </w:trPr>
        <w:tc>
          <w:tcPr>
            <w:tcW w:w="0" w:type="auto"/>
            <w:vAlign w:val="center"/>
            <w:hideMark/>
          </w:tcPr>
          <w:p w14:paraId="5873718D"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Loan Repayment (£/yr)</w:t>
            </w:r>
          </w:p>
        </w:tc>
        <w:tc>
          <w:tcPr>
            <w:tcW w:w="1300" w:type="dxa"/>
            <w:vAlign w:val="center"/>
            <w:hideMark/>
          </w:tcPr>
          <w:p w14:paraId="5FD815FF"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30,000</w:t>
            </w:r>
          </w:p>
        </w:tc>
        <w:tc>
          <w:tcPr>
            <w:tcW w:w="1246" w:type="dxa"/>
            <w:vAlign w:val="center"/>
            <w:hideMark/>
          </w:tcPr>
          <w:p w14:paraId="7FD0C76D"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30,000</w:t>
            </w:r>
          </w:p>
        </w:tc>
        <w:tc>
          <w:tcPr>
            <w:tcW w:w="1372" w:type="dxa"/>
            <w:vAlign w:val="center"/>
            <w:hideMark/>
          </w:tcPr>
          <w:p w14:paraId="077FA11A"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30,000</w:t>
            </w:r>
          </w:p>
        </w:tc>
      </w:tr>
      <w:tr w:rsidR="00DB201C" w:rsidRPr="00DB201C" w14:paraId="352A8FDE" w14:textId="77777777" w:rsidTr="00C93356">
        <w:trPr>
          <w:tblCellSpacing w:w="15" w:type="dxa"/>
        </w:trPr>
        <w:tc>
          <w:tcPr>
            <w:tcW w:w="0" w:type="auto"/>
            <w:vAlign w:val="center"/>
            <w:hideMark/>
          </w:tcPr>
          <w:p w14:paraId="25D0AE44"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Net Cash Flow (£)</w:t>
            </w:r>
          </w:p>
        </w:tc>
        <w:tc>
          <w:tcPr>
            <w:tcW w:w="1300" w:type="dxa"/>
            <w:vAlign w:val="center"/>
            <w:hideMark/>
          </w:tcPr>
          <w:p w14:paraId="51BA324E"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–60,000</w:t>
            </w:r>
          </w:p>
        </w:tc>
        <w:tc>
          <w:tcPr>
            <w:tcW w:w="1246" w:type="dxa"/>
            <w:vAlign w:val="center"/>
            <w:hideMark/>
          </w:tcPr>
          <w:p w14:paraId="6F28BEBD"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30,000</w:t>
            </w:r>
          </w:p>
        </w:tc>
        <w:tc>
          <w:tcPr>
            <w:tcW w:w="1372" w:type="dxa"/>
            <w:vAlign w:val="center"/>
            <w:hideMark/>
          </w:tcPr>
          <w:p w14:paraId="092A41CA" w14:textId="77777777" w:rsidR="00DB201C" w:rsidRPr="00DB201C" w:rsidRDefault="00DB201C" w:rsidP="00DB201C">
            <w:pPr>
              <w:spacing w:after="0" w:line="240" w:lineRule="auto"/>
              <w:jc w:val="right"/>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86,000</w:t>
            </w:r>
          </w:p>
        </w:tc>
      </w:tr>
    </w:tbl>
    <w:p w14:paraId="4A579A55" w14:textId="77777777" w:rsidR="00DB201C" w:rsidRDefault="00DB201C" w:rsidP="00EF596A">
      <w:pPr>
        <w:spacing w:line="360" w:lineRule="auto"/>
        <w:rPr>
          <w:rFonts w:ascii="Arial" w:hAnsi="Arial" w:cs="Arial"/>
        </w:rPr>
      </w:pPr>
    </w:p>
    <w:p w14:paraId="45917560" w14:textId="77777777" w:rsidR="00DB201C" w:rsidRPr="00C93356" w:rsidRDefault="00DB201C" w:rsidP="00C93356">
      <w:pPr>
        <w:pStyle w:val="ListParagraph"/>
        <w:numPr>
          <w:ilvl w:val="0"/>
          <w:numId w:val="17"/>
        </w:numPr>
        <w:spacing w:line="360" w:lineRule="auto"/>
        <w:rPr>
          <w:rFonts w:ascii="Arial" w:hAnsi="Arial" w:cs="Arial"/>
        </w:rPr>
      </w:pPr>
      <w:r w:rsidRPr="00C93356">
        <w:rPr>
          <w:rFonts w:ascii="Arial" w:hAnsi="Arial" w:cs="Arial"/>
        </w:rPr>
        <w:t>Break-even: Projected in Month 14, driven by mid-week corporate bookings and event revenues (Mullins &amp; Komisar, 2010).</w:t>
      </w:r>
    </w:p>
    <w:p w14:paraId="66FCA0F8" w14:textId="77777777" w:rsidR="00C93356" w:rsidRDefault="00DB201C" w:rsidP="00DB201C">
      <w:pPr>
        <w:pStyle w:val="ListParagraph"/>
        <w:numPr>
          <w:ilvl w:val="0"/>
          <w:numId w:val="17"/>
        </w:numPr>
        <w:spacing w:line="360" w:lineRule="auto"/>
        <w:rPr>
          <w:rFonts w:ascii="Arial" w:hAnsi="Arial" w:cs="Arial"/>
        </w:rPr>
      </w:pPr>
      <w:r w:rsidRPr="00C93356">
        <w:rPr>
          <w:rFonts w:ascii="Arial" w:hAnsi="Arial" w:cs="Arial"/>
        </w:rPr>
        <w:t xml:space="preserve">Loan </w:t>
      </w:r>
      <w:r w:rsidRPr="00C93356">
        <w:rPr>
          <w:rFonts w:ascii="Arial" w:hAnsi="Arial" w:cs="Arial"/>
        </w:rPr>
        <w:t>Terms:</w:t>
      </w:r>
      <w:r w:rsidRPr="00C93356">
        <w:rPr>
          <w:rFonts w:ascii="Arial" w:hAnsi="Arial" w:cs="Arial"/>
        </w:rPr>
        <w:t xml:space="preserve"> 10-year amorti</w:t>
      </w:r>
      <w:r w:rsidRPr="00C93356">
        <w:rPr>
          <w:rFonts w:ascii="Arial" w:hAnsi="Arial" w:cs="Arial"/>
        </w:rPr>
        <w:t>s</w:t>
      </w:r>
      <w:r w:rsidRPr="00C93356">
        <w:rPr>
          <w:rFonts w:ascii="Arial" w:hAnsi="Arial" w:cs="Arial"/>
        </w:rPr>
        <w:t>ation at 4.5% interest; interest-only payments in Year 1 to support initial cash-flow (Mullins &amp; Komisar, 2010).</w:t>
      </w:r>
    </w:p>
    <w:p w14:paraId="38BDF543" w14:textId="3672A3A4" w:rsidR="00DB201C" w:rsidRPr="00C93356" w:rsidRDefault="00DB201C" w:rsidP="00C93356">
      <w:pPr>
        <w:spacing w:line="360" w:lineRule="auto"/>
        <w:rPr>
          <w:rFonts w:ascii="Arial Black" w:hAnsi="Arial Black" w:cs="Arial"/>
        </w:rPr>
      </w:pPr>
      <w:r w:rsidRPr="00C93356">
        <w:rPr>
          <w:rFonts w:ascii="Arial Black" w:hAnsi="Arial Black" w:cs="Arial"/>
        </w:rPr>
        <w:t>Contingency Plan</w:t>
      </w: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3"/>
        <w:gridCol w:w="6078"/>
      </w:tblGrid>
      <w:tr w:rsidR="00DB201C" w:rsidRPr="00DB201C" w14:paraId="5EC19798" w14:textId="77777777" w:rsidTr="00C93356">
        <w:trPr>
          <w:tblHeader/>
          <w:tblCellSpacing w:w="15" w:type="dxa"/>
        </w:trPr>
        <w:tc>
          <w:tcPr>
            <w:tcW w:w="0" w:type="auto"/>
            <w:vAlign w:val="center"/>
            <w:hideMark/>
          </w:tcPr>
          <w:p w14:paraId="5F9A918D"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Risk</w:t>
            </w:r>
          </w:p>
        </w:tc>
        <w:tc>
          <w:tcPr>
            <w:tcW w:w="6033" w:type="dxa"/>
            <w:vAlign w:val="center"/>
            <w:hideMark/>
          </w:tcPr>
          <w:p w14:paraId="47CEACA2" w14:textId="77777777" w:rsidR="00DB201C" w:rsidRPr="00DB201C" w:rsidRDefault="00DB201C" w:rsidP="00DB201C">
            <w:pPr>
              <w:spacing w:after="0" w:line="240" w:lineRule="auto"/>
              <w:jc w:val="center"/>
              <w:rPr>
                <w:rFonts w:ascii="Arial" w:eastAsia="Times New Roman" w:hAnsi="Arial" w:cs="Arial"/>
                <w:b/>
                <w:bCs/>
                <w:kern w:val="0"/>
                <w:lang w:eastAsia="en-GB"/>
                <w14:ligatures w14:val="none"/>
              </w:rPr>
            </w:pPr>
            <w:r w:rsidRPr="00DB201C">
              <w:rPr>
                <w:rFonts w:ascii="Arial" w:eastAsia="Times New Roman" w:hAnsi="Arial" w:cs="Arial"/>
                <w:b/>
                <w:bCs/>
                <w:kern w:val="0"/>
                <w:lang w:eastAsia="en-GB"/>
                <w14:ligatures w14:val="none"/>
              </w:rPr>
              <w:t>Mitigation Strategy</w:t>
            </w:r>
          </w:p>
        </w:tc>
      </w:tr>
      <w:tr w:rsidR="00DB201C" w:rsidRPr="00DB201C" w14:paraId="03FD4546" w14:textId="77777777" w:rsidTr="00C93356">
        <w:trPr>
          <w:tblCellSpacing w:w="15" w:type="dxa"/>
        </w:trPr>
        <w:tc>
          <w:tcPr>
            <w:tcW w:w="0" w:type="auto"/>
            <w:vAlign w:val="center"/>
            <w:hideMark/>
          </w:tcPr>
          <w:p w14:paraId="43E18CC4"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Supply Chain Disruption</w:t>
            </w:r>
          </w:p>
        </w:tc>
        <w:tc>
          <w:tcPr>
            <w:tcW w:w="6033" w:type="dxa"/>
            <w:vAlign w:val="center"/>
            <w:hideMark/>
          </w:tcPr>
          <w:p w14:paraId="3EE22048"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Secure contracts with ≥2 organic produce suppliers; maintain a six</w:t>
            </w:r>
            <w:r w:rsidRPr="00DB201C">
              <w:rPr>
                <w:rFonts w:ascii="Arial" w:eastAsia="Times New Roman" w:hAnsi="Arial" w:cs="Arial"/>
                <w:kern w:val="0"/>
                <w:lang w:eastAsia="en-GB"/>
                <w14:ligatures w14:val="none"/>
              </w:rPr>
              <w:noBreakHyphen/>
              <w:t>week buffer stock of staple items.</w:t>
            </w:r>
          </w:p>
        </w:tc>
      </w:tr>
      <w:tr w:rsidR="00DB201C" w:rsidRPr="00DB201C" w14:paraId="7E7D1B06" w14:textId="77777777" w:rsidTr="00C93356">
        <w:trPr>
          <w:tblCellSpacing w:w="15" w:type="dxa"/>
        </w:trPr>
        <w:tc>
          <w:tcPr>
            <w:tcW w:w="0" w:type="auto"/>
            <w:vAlign w:val="center"/>
            <w:hideMark/>
          </w:tcPr>
          <w:p w14:paraId="26573D1D"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Liquidity Shortfall</w:t>
            </w:r>
          </w:p>
        </w:tc>
        <w:tc>
          <w:tcPr>
            <w:tcW w:w="6033" w:type="dxa"/>
            <w:vAlign w:val="center"/>
            <w:hideMark/>
          </w:tcPr>
          <w:p w14:paraId="7BD03B3A"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Establish a £50,000 overdraft facility with Barclays; negotiate extended payment terms with key suppliers.</w:t>
            </w:r>
          </w:p>
        </w:tc>
      </w:tr>
      <w:tr w:rsidR="00DB201C" w:rsidRPr="00DB201C" w14:paraId="78F2E888" w14:textId="77777777" w:rsidTr="00C93356">
        <w:trPr>
          <w:tblCellSpacing w:w="15" w:type="dxa"/>
        </w:trPr>
        <w:tc>
          <w:tcPr>
            <w:tcW w:w="0" w:type="auto"/>
            <w:vAlign w:val="center"/>
            <w:hideMark/>
          </w:tcPr>
          <w:p w14:paraId="2082B83B"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Underperformance (&lt;80% revenue target)</w:t>
            </w:r>
          </w:p>
        </w:tc>
        <w:tc>
          <w:tcPr>
            <w:tcW w:w="6033" w:type="dxa"/>
            <w:vAlign w:val="center"/>
            <w:hideMark/>
          </w:tcPr>
          <w:p w14:paraId="51E27D6F"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Launch takeaway meal</w:t>
            </w:r>
            <w:r w:rsidRPr="00DB201C">
              <w:rPr>
                <w:rFonts w:ascii="Arial" w:eastAsia="Times New Roman" w:hAnsi="Arial" w:cs="Arial"/>
                <w:kern w:val="0"/>
                <w:lang w:eastAsia="en-GB"/>
                <w14:ligatures w14:val="none"/>
              </w:rPr>
              <w:noBreakHyphen/>
              <w:t>kits and online cooking classes; accelerate private</w:t>
            </w:r>
            <w:r w:rsidRPr="00DB201C">
              <w:rPr>
                <w:rFonts w:ascii="Arial" w:eastAsia="Times New Roman" w:hAnsi="Arial" w:cs="Arial"/>
                <w:kern w:val="0"/>
                <w:lang w:eastAsia="en-GB"/>
                <w14:ligatures w14:val="none"/>
              </w:rPr>
              <w:noBreakHyphen/>
              <w:t>event bookings and corporate catering.</w:t>
            </w:r>
          </w:p>
        </w:tc>
      </w:tr>
      <w:tr w:rsidR="00DB201C" w:rsidRPr="00DB201C" w14:paraId="63FF7E6A" w14:textId="77777777" w:rsidTr="00C93356">
        <w:trPr>
          <w:tblCellSpacing w:w="15" w:type="dxa"/>
        </w:trPr>
        <w:tc>
          <w:tcPr>
            <w:tcW w:w="0" w:type="auto"/>
            <w:vAlign w:val="center"/>
            <w:hideMark/>
          </w:tcPr>
          <w:p w14:paraId="19CFA81D"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b/>
                <w:bCs/>
                <w:kern w:val="0"/>
                <w:lang w:eastAsia="en-GB"/>
                <w14:ligatures w14:val="none"/>
              </w:rPr>
              <w:t>Regulatory Changes (Packaging EU rules)</w:t>
            </w:r>
          </w:p>
        </w:tc>
        <w:tc>
          <w:tcPr>
            <w:tcW w:w="6033" w:type="dxa"/>
            <w:vAlign w:val="center"/>
            <w:hideMark/>
          </w:tcPr>
          <w:p w14:paraId="4E711A01" w14:textId="77777777" w:rsidR="00DB201C" w:rsidRPr="00DB201C" w:rsidRDefault="00DB201C" w:rsidP="00DB201C">
            <w:pPr>
              <w:spacing w:after="0" w:line="240" w:lineRule="auto"/>
              <w:rPr>
                <w:rFonts w:ascii="Arial" w:eastAsia="Times New Roman" w:hAnsi="Arial" w:cs="Arial"/>
                <w:kern w:val="0"/>
                <w:lang w:eastAsia="en-GB"/>
                <w14:ligatures w14:val="none"/>
              </w:rPr>
            </w:pPr>
            <w:r w:rsidRPr="00DB201C">
              <w:rPr>
                <w:rFonts w:ascii="Arial" w:eastAsia="Times New Roman" w:hAnsi="Arial" w:cs="Arial"/>
                <w:kern w:val="0"/>
                <w:lang w:eastAsia="en-GB"/>
                <w14:ligatures w14:val="none"/>
              </w:rPr>
              <w:t>Transition to reusable container scheme with refundable deposits; partner with eco</w:t>
            </w:r>
            <w:r w:rsidRPr="00DB201C">
              <w:rPr>
                <w:rFonts w:ascii="Arial" w:eastAsia="Times New Roman" w:hAnsi="Arial" w:cs="Arial"/>
                <w:kern w:val="0"/>
                <w:lang w:eastAsia="en-GB"/>
                <w14:ligatures w14:val="none"/>
              </w:rPr>
              <w:noBreakHyphen/>
              <w:t>packaging vendors.</w:t>
            </w:r>
          </w:p>
        </w:tc>
      </w:tr>
    </w:tbl>
    <w:p w14:paraId="6E32343D" w14:textId="77777777" w:rsidR="00DB201C" w:rsidRDefault="00DB201C" w:rsidP="00DB201C">
      <w:pPr>
        <w:spacing w:line="360" w:lineRule="auto"/>
        <w:rPr>
          <w:rFonts w:ascii="Arial" w:hAnsi="Arial" w:cs="Arial"/>
        </w:rPr>
      </w:pPr>
    </w:p>
    <w:p w14:paraId="425D6C1E" w14:textId="77777777" w:rsidR="00DB201C" w:rsidRDefault="00DB201C" w:rsidP="00EF596A">
      <w:pPr>
        <w:spacing w:line="360" w:lineRule="auto"/>
        <w:rPr>
          <w:rFonts w:ascii="Arial" w:hAnsi="Arial" w:cs="Arial"/>
        </w:rPr>
      </w:pPr>
    </w:p>
    <w:p w14:paraId="29BBDDEE" w14:textId="77777777" w:rsidR="00DB201C" w:rsidRDefault="00DB201C" w:rsidP="00EF596A">
      <w:pPr>
        <w:spacing w:line="360" w:lineRule="auto"/>
        <w:rPr>
          <w:rFonts w:ascii="Arial" w:hAnsi="Arial" w:cs="Arial"/>
        </w:rPr>
      </w:pPr>
    </w:p>
    <w:p w14:paraId="088F796F" w14:textId="77777777" w:rsidR="00DB201C" w:rsidRDefault="00DB201C" w:rsidP="00EF596A">
      <w:pPr>
        <w:spacing w:line="360" w:lineRule="auto"/>
        <w:rPr>
          <w:rFonts w:ascii="Arial" w:hAnsi="Arial" w:cs="Arial"/>
        </w:rPr>
      </w:pPr>
    </w:p>
    <w:p w14:paraId="334DEFB0" w14:textId="77777777" w:rsidR="00DB201C" w:rsidRDefault="00DB201C" w:rsidP="00EF596A">
      <w:pPr>
        <w:spacing w:line="360" w:lineRule="auto"/>
        <w:rPr>
          <w:rFonts w:ascii="Arial" w:hAnsi="Arial" w:cs="Arial"/>
        </w:rPr>
      </w:pPr>
    </w:p>
    <w:p w14:paraId="6267A8E0" w14:textId="77777777" w:rsidR="00C93356" w:rsidRDefault="00C93356" w:rsidP="00EF596A">
      <w:pPr>
        <w:spacing w:line="360" w:lineRule="auto"/>
        <w:rPr>
          <w:rFonts w:ascii="Arial" w:hAnsi="Arial" w:cs="Arial"/>
        </w:rPr>
      </w:pPr>
    </w:p>
    <w:p w14:paraId="2093CF87" w14:textId="77777777" w:rsidR="00C93356" w:rsidRDefault="00C93356" w:rsidP="00EF596A">
      <w:pPr>
        <w:spacing w:line="360" w:lineRule="auto"/>
        <w:rPr>
          <w:rFonts w:ascii="Arial" w:hAnsi="Arial" w:cs="Arial"/>
        </w:rPr>
      </w:pPr>
    </w:p>
    <w:p w14:paraId="6F56DE8F" w14:textId="5CF0E526" w:rsidR="00A545EF" w:rsidRPr="00C93356" w:rsidRDefault="00A545EF" w:rsidP="00EF596A">
      <w:pPr>
        <w:spacing w:line="360" w:lineRule="auto"/>
        <w:rPr>
          <w:rFonts w:ascii="Arial Black" w:hAnsi="Arial Black" w:cs="Arial"/>
        </w:rPr>
      </w:pPr>
      <w:r w:rsidRPr="00C93356">
        <w:rPr>
          <w:rFonts w:ascii="Arial Black" w:hAnsi="Arial Black" w:cs="Arial"/>
        </w:rPr>
        <w:lastRenderedPageBreak/>
        <w:t>Conclusion</w:t>
      </w:r>
    </w:p>
    <w:p w14:paraId="3283F63E" w14:textId="26DE155C" w:rsidR="00A545EF" w:rsidRDefault="00A545EF" w:rsidP="00A545EF">
      <w:pPr>
        <w:spacing w:line="360" w:lineRule="auto"/>
        <w:rPr>
          <w:rFonts w:ascii="Arial" w:hAnsi="Arial" w:cs="Arial"/>
        </w:rPr>
      </w:pPr>
      <w:r w:rsidRPr="00A545EF">
        <w:rPr>
          <w:rFonts w:ascii="Arial" w:hAnsi="Arial" w:cs="Arial"/>
        </w:rPr>
        <w:t xml:space="preserve">Green Danube Romanian Bistro is a solid lending opportunity for Barclays Bank. It is a unique and new food business based on a time-proven Romanian concept with a comprehensive approach to sustainability. This is a management team with experience; a clear path to growth; and a disciplined approach to financial management. Green Danube is both profitable by Year 2 and </w:t>
      </w:r>
      <w:r w:rsidRPr="00A545EF">
        <w:rPr>
          <w:rFonts w:ascii="Arial" w:hAnsi="Arial" w:cs="Arial"/>
        </w:rPr>
        <w:t>creates</w:t>
      </w:r>
      <w:r w:rsidRPr="00A545EF">
        <w:rPr>
          <w:rFonts w:ascii="Arial" w:hAnsi="Arial" w:cs="Arial"/>
        </w:rPr>
        <w:t xml:space="preserve"> financial, social and environmental impact. We are respectfully asking for a £250,000 term loan to finance fit-out and equipment, working capital and sustainability programs, and in doing so, establish Green Danube as the sustainable dining destination in Swansea.</w:t>
      </w:r>
    </w:p>
    <w:p w14:paraId="5F8F921C" w14:textId="77777777" w:rsidR="00EE4261" w:rsidRDefault="00EE4261" w:rsidP="00A545EF">
      <w:pPr>
        <w:spacing w:line="360" w:lineRule="auto"/>
        <w:rPr>
          <w:rFonts w:ascii="Arial" w:hAnsi="Arial" w:cs="Arial"/>
        </w:rPr>
      </w:pPr>
    </w:p>
    <w:p w14:paraId="6C4545DD" w14:textId="77777777" w:rsidR="00EE4261" w:rsidRDefault="00EE4261" w:rsidP="00A545EF">
      <w:pPr>
        <w:spacing w:line="360" w:lineRule="auto"/>
        <w:rPr>
          <w:rFonts w:ascii="Arial" w:hAnsi="Arial" w:cs="Arial"/>
        </w:rPr>
      </w:pPr>
    </w:p>
    <w:p w14:paraId="722A7CDD" w14:textId="77777777" w:rsidR="00EE4261" w:rsidRDefault="00EE4261" w:rsidP="00A545EF">
      <w:pPr>
        <w:spacing w:line="360" w:lineRule="auto"/>
        <w:rPr>
          <w:rFonts w:ascii="Arial" w:hAnsi="Arial" w:cs="Arial"/>
        </w:rPr>
      </w:pPr>
    </w:p>
    <w:p w14:paraId="5855ADEB" w14:textId="77777777" w:rsidR="00EE4261" w:rsidRDefault="00EE4261" w:rsidP="00A545EF">
      <w:pPr>
        <w:spacing w:line="360" w:lineRule="auto"/>
        <w:rPr>
          <w:rFonts w:ascii="Arial" w:hAnsi="Arial" w:cs="Arial"/>
        </w:rPr>
      </w:pPr>
    </w:p>
    <w:p w14:paraId="4D2E89DE" w14:textId="77777777" w:rsidR="00EE4261" w:rsidRDefault="00EE4261" w:rsidP="00A545EF">
      <w:pPr>
        <w:spacing w:line="360" w:lineRule="auto"/>
        <w:rPr>
          <w:rFonts w:ascii="Arial" w:hAnsi="Arial" w:cs="Arial"/>
        </w:rPr>
      </w:pPr>
    </w:p>
    <w:p w14:paraId="7DE670E2" w14:textId="77777777" w:rsidR="00EE4261" w:rsidRDefault="00EE4261" w:rsidP="00A545EF">
      <w:pPr>
        <w:spacing w:line="360" w:lineRule="auto"/>
        <w:rPr>
          <w:rFonts w:ascii="Arial" w:hAnsi="Arial" w:cs="Arial"/>
        </w:rPr>
      </w:pPr>
    </w:p>
    <w:p w14:paraId="7886511D" w14:textId="77777777" w:rsidR="00EE4261" w:rsidRDefault="00EE4261" w:rsidP="00A545EF">
      <w:pPr>
        <w:spacing w:line="360" w:lineRule="auto"/>
        <w:rPr>
          <w:rFonts w:ascii="Arial" w:hAnsi="Arial" w:cs="Arial"/>
        </w:rPr>
      </w:pPr>
    </w:p>
    <w:p w14:paraId="3E444FEC" w14:textId="77777777" w:rsidR="00EE4261" w:rsidRDefault="00EE4261" w:rsidP="00A545EF">
      <w:pPr>
        <w:spacing w:line="360" w:lineRule="auto"/>
        <w:rPr>
          <w:rFonts w:ascii="Arial" w:hAnsi="Arial" w:cs="Arial"/>
        </w:rPr>
      </w:pPr>
    </w:p>
    <w:p w14:paraId="653C0CCA" w14:textId="77777777" w:rsidR="00EE4261" w:rsidRDefault="00EE4261" w:rsidP="00A545EF">
      <w:pPr>
        <w:spacing w:line="360" w:lineRule="auto"/>
        <w:rPr>
          <w:rFonts w:ascii="Arial" w:hAnsi="Arial" w:cs="Arial"/>
        </w:rPr>
      </w:pPr>
    </w:p>
    <w:p w14:paraId="2968BCB2" w14:textId="77777777" w:rsidR="00EE4261" w:rsidRDefault="00EE4261" w:rsidP="00A545EF">
      <w:pPr>
        <w:spacing w:line="360" w:lineRule="auto"/>
        <w:rPr>
          <w:rFonts w:ascii="Arial" w:hAnsi="Arial" w:cs="Arial"/>
        </w:rPr>
      </w:pPr>
    </w:p>
    <w:p w14:paraId="6BDB44E9" w14:textId="77777777" w:rsidR="00EE4261" w:rsidRDefault="00EE4261" w:rsidP="00A545EF">
      <w:pPr>
        <w:spacing w:line="360" w:lineRule="auto"/>
        <w:rPr>
          <w:rFonts w:ascii="Arial" w:hAnsi="Arial" w:cs="Arial"/>
        </w:rPr>
      </w:pPr>
    </w:p>
    <w:p w14:paraId="61C53DFF" w14:textId="77777777" w:rsidR="00EE4261" w:rsidRDefault="00EE4261" w:rsidP="00A545EF">
      <w:pPr>
        <w:spacing w:line="360" w:lineRule="auto"/>
        <w:rPr>
          <w:rFonts w:ascii="Arial" w:hAnsi="Arial" w:cs="Arial"/>
        </w:rPr>
      </w:pPr>
    </w:p>
    <w:p w14:paraId="7A9AB952" w14:textId="77777777" w:rsidR="00EE4261" w:rsidRDefault="00EE4261" w:rsidP="00A545EF">
      <w:pPr>
        <w:spacing w:line="360" w:lineRule="auto"/>
        <w:rPr>
          <w:rFonts w:ascii="Arial" w:hAnsi="Arial" w:cs="Arial"/>
        </w:rPr>
      </w:pPr>
    </w:p>
    <w:p w14:paraId="35E1AF22" w14:textId="77777777" w:rsidR="00EE4261" w:rsidRDefault="00EE4261" w:rsidP="00A545EF">
      <w:pPr>
        <w:spacing w:line="360" w:lineRule="auto"/>
        <w:rPr>
          <w:rFonts w:ascii="Arial" w:hAnsi="Arial" w:cs="Arial"/>
        </w:rPr>
      </w:pPr>
    </w:p>
    <w:p w14:paraId="15413920" w14:textId="77777777" w:rsidR="00EE4261" w:rsidRDefault="00EE4261" w:rsidP="00A545EF">
      <w:pPr>
        <w:spacing w:line="360" w:lineRule="auto"/>
        <w:rPr>
          <w:rFonts w:ascii="Arial" w:hAnsi="Arial" w:cs="Arial"/>
        </w:rPr>
      </w:pPr>
    </w:p>
    <w:p w14:paraId="6A22DD80" w14:textId="77777777" w:rsidR="00EE4261" w:rsidRDefault="00EE4261" w:rsidP="00A545EF">
      <w:pPr>
        <w:spacing w:line="360" w:lineRule="auto"/>
        <w:rPr>
          <w:rFonts w:ascii="Arial" w:hAnsi="Arial" w:cs="Arial"/>
        </w:rPr>
      </w:pPr>
    </w:p>
    <w:p w14:paraId="2EB1658C" w14:textId="77777777" w:rsidR="00EE4261" w:rsidRDefault="00EE4261" w:rsidP="00A545EF">
      <w:pPr>
        <w:spacing w:line="360" w:lineRule="auto"/>
        <w:rPr>
          <w:rFonts w:ascii="Arial" w:hAnsi="Arial" w:cs="Arial"/>
        </w:rPr>
      </w:pPr>
    </w:p>
    <w:p w14:paraId="742B1F15" w14:textId="592FF0BC" w:rsidR="00EE4261" w:rsidRPr="005C7D27" w:rsidRDefault="00EE4261" w:rsidP="00A545EF">
      <w:pPr>
        <w:spacing w:line="360" w:lineRule="auto"/>
        <w:rPr>
          <w:rFonts w:ascii="Arial Black" w:hAnsi="Arial Black" w:cs="Arial"/>
        </w:rPr>
      </w:pPr>
      <w:r w:rsidRPr="005C7D27">
        <w:rPr>
          <w:rFonts w:ascii="Arial Black" w:hAnsi="Arial Black" w:cs="Arial"/>
        </w:rPr>
        <w:lastRenderedPageBreak/>
        <w:t xml:space="preserve">References </w:t>
      </w:r>
    </w:p>
    <w:p w14:paraId="335CE655" w14:textId="77777777" w:rsidR="00EE4261" w:rsidRPr="00EE4261" w:rsidRDefault="00EE4261" w:rsidP="00EE4261">
      <w:pPr>
        <w:spacing w:line="360" w:lineRule="auto"/>
        <w:rPr>
          <w:rFonts w:ascii="Arial" w:hAnsi="Arial" w:cs="Arial"/>
        </w:rPr>
      </w:pPr>
      <w:r w:rsidRPr="00EE4261">
        <w:rPr>
          <w:rFonts w:ascii="Arial" w:hAnsi="Arial" w:cs="Arial"/>
        </w:rPr>
        <w:t xml:space="preserve">Abd Ghani, M. G., &amp; Mohammad, N. (2021). The integration of logic model in business plan simulation approach for effective entrepreneurial learning. </w:t>
      </w:r>
      <w:proofErr w:type="spellStart"/>
      <w:r w:rsidRPr="00EE4261">
        <w:rPr>
          <w:rFonts w:ascii="Arial" w:hAnsi="Arial" w:cs="Arial"/>
          <w:i/>
          <w:iCs/>
        </w:rPr>
        <w:t>Jurnal</w:t>
      </w:r>
      <w:proofErr w:type="spellEnd"/>
      <w:r w:rsidRPr="00EE4261">
        <w:rPr>
          <w:rFonts w:ascii="Arial" w:hAnsi="Arial" w:cs="Arial"/>
          <w:i/>
          <w:iCs/>
        </w:rPr>
        <w:t xml:space="preserve"> </w:t>
      </w:r>
      <w:proofErr w:type="spellStart"/>
      <w:r w:rsidRPr="00EE4261">
        <w:rPr>
          <w:rFonts w:ascii="Arial" w:hAnsi="Arial" w:cs="Arial"/>
          <w:i/>
          <w:iCs/>
        </w:rPr>
        <w:t>Pengurusan</w:t>
      </w:r>
      <w:proofErr w:type="spellEnd"/>
      <w:r w:rsidRPr="00EE4261">
        <w:rPr>
          <w:rFonts w:ascii="Arial" w:hAnsi="Arial" w:cs="Arial"/>
        </w:rPr>
        <w:t>, 62, 145–157.</w:t>
      </w:r>
    </w:p>
    <w:p w14:paraId="412C12E6" w14:textId="77777777" w:rsidR="00EE4261" w:rsidRPr="00EE4261" w:rsidRDefault="00EE4261" w:rsidP="00EE4261">
      <w:pPr>
        <w:spacing w:line="360" w:lineRule="auto"/>
        <w:rPr>
          <w:rFonts w:ascii="Arial" w:hAnsi="Arial" w:cs="Arial"/>
        </w:rPr>
      </w:pPr>
      <w:r w:rsidRPr="00EE4261">
        <w:rPr>
          <w:rFonts w:ascii="Arial" w:hAnsi="Arial" w:cs="Arial"/>
        </w:rPr>
        <w:t xml:space="preserve">Anbarasan, P. (2018). Stakeholder engagement in sustainable enterprise: Evolving a conceptual framework, and a case study of ITC. </w:t>
      </w:r>
      <w:r w:rsidRPr="00EE4261">
        <w:rPr>
          <w:rFonts w:ascii="Arial" w:hAnsi="Arial" w:cs="Arial"/>
          <w:i/>
          <w:iCs/>
        </w:rPr>
        <w:t>Business Strategy and the Environment, 27(</w:t>
      </w:r>
      <w:r w:rsidRPr="00EE4261">
        <w:rPr>
          <w:rFonts w:ascii="Arial" w:hAnsi="Arial" w:cs="Arial"/>
        </w:rPr>
        <w:t>3), 282–300.</w:t>
      </w:r>
    </w:p>
    <w:p w14:paraId="23A6C9D5" w14:textId="77777777" w:rsidR="00EE4261" w:rsidRPr="00EE4261" w:rsidRDefault="00EE4261" w:rsidP="00EE4261">
      <w:pPr>
        <w:spacing w:line="360" w:lineRule="auto"/>
        <w:rPr>
          <w:rFonts w:ascii="Arial" w:hAnsi="Arial" w:cs="Arial"/>
        </w:rPr>
      </w:pPr>
      <w:r w:rsidRPr="00EE4261">
        <w:rPr>
          <w:rFonts w:ascii="Arial" w:hAnsi="Arial" w:cs="Arial"/>
        </w:rPr>
        <w:t>Buye, R. (2021). Critical examination of the PESTEL analysis model. Project: Action Research for Development, 1–12.</w:t>
      </w:r>
    </w:p>
    <w:p w14:paraId="3340C270"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Chofreh</w:t>
      </w:r>
      <w:proofErr w:type="spellEnd"/>
      <w:r w:rsidRPr="00EE4261">
        <w:rPr>
          <w:rFonts w:ascii="Arial" w:hAnsi="Arial" w:cs="Arial"/>
        </w:rPr>
        <w:t xml:space="preserve">, A. G. (2018). Sustainable enterprise resource planning systems implementation: A framework development. </w:t>
      </w:r>
      <w:r w:rsidRPr="00EE4261">
        <w:rPr>
          <w:rFonts w:ascii="Arial" w:hAnsi="Arial" w:cs="Arial"/>
          <w:i/>
          <w:iCs/>
        </w:rPr>
        <w:t>Journal of Cleaner Production</w:t>
      </w:r>
      <w:r w:rsidRPr="00EE4261">
        <w:rPr>
          <w:rFonts w:ascii="Arial" w:hAnsi="Arial" w:cs="Arial"/>
        </w:rPr>
        <w:t>, 198, 1345–1355.</w:t>
      </w:r>
    </w:p>
    <w:p w14:paraId="218B2C30"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Danubianu</w:t>
      </w:r>
      <w:proofErr w:type="spellEnd"/>
      <w:r w:rsidRPr="00EE4261">
        <w:rPr>
          <w:rFonts w:ascii="Arial" w:hAnsi="Arial" w:cs="Arial"/>
        </w:rPr>
        <w:t xml:space="preserve">, M., &amp; Teodorescu, C. (2017). Impact of corporate social responsibility on sustainable enterprise development. </w:t>
      </w:r>
      <w:r w:rsidRPr="00EE4261">
        <w:rPr>
          <w:rFonts w:ascii="Arial" w:hAnsi="Arial" w:cs="Arial"/>
          <w:i/>
          <w:iCs/>
        </w:rPr>
        <w:t>Present Environment and Sustainable Development, (</w:t>
      </w:r>
      <w:r w:rsidRPr="00EE4261">
        <w:rPr>
          <w:rFonts w:ascii="Arial" w:hAnsi="Arial" w:cs="Arial"/>
        </w:rPr>
        <w:t>1), 129–139.</w:t>
      </w:r>
    </w:p>
    <w:p w14:paraId="53479189" w14:textId="77777777" w:rsidR="00EE4261" w:rsidRPr="00EE4261" w:rsidRDefault="00EE4261" w:rsidP="00EE4261">
      <w:pPr>
        <w:spacing w:line="360" w:lineRule="auto"/>
        <w:rPr>
          <w:rFonts w:ascii="Arial" w:hAnsi="Arial" w:cs="Arial"/>
        </w:rPr>
      </w:pPr>
      <w:r w:rsidRPr="00EE4261">
        <w:rPr>
          <w:rFonts w:ascii="Arial" w:hAnsi="Arial" w:cs="Arial"/>
        </w:rPr>
        <w:t>De Sousa, G. C., &amp; Castañeda</w:t>
      </w:r>
      <w:r w:rsidRPr="00EE4261">
        <w:rPr>
          <w:rFonts w:ascii="Cambria Math" w:hAnsi="Cambria Math" w:cs="Cambria Math"/>
        </w:rPr>
        <w:t>‑</w:t>
      </w:r>
      <w:r w:rsidRPr="00EE4261">
        <w:rPr>
          <w:rFonts w:ascii="Arial" w:hAnsi="Arial" w:cs="Arial"/>
        </w:rPr>
        <w:t>Ayarza, J. A. (2022). PESTEL analysis and the macro</w:t>
      </w:r>
      <w:r w:rsidRPr="00EE4261">
        <w:rPr>
          <w:rFonts w:ascii="Cambria Math" w:hAnsi="Cambria Math" w:cs="Cambria Math"/>
        </w:rPr>
        <w:t>‑</w:t>
      </w:r>
      <w:r w:rsidRPr="00EE4261">
        <w:rPr>
          <w:rFonts w:ascii="Arial" w:hAnsi="Arial" w:cs="Arial"/>
        </w:rPr>
        <w:t xml:space="preserve">environmental factors that influence the development of the electric and hybrid vehicles industry in Brazil. </w:t>
      </w:r>
      <w:r w:rsidRPr="00EE4261">
        <w:rPr>
          <w:rFonts w:ascii="Arial" w:hAnsi="Arial" w:cs="Arial"/>
          <w:i/>
          <w:iCs/>
        </w:rPr>
        <w:t>Case Studies on Transport Policy, 10(</w:t>
      </w:r>
      <w:r w:rsidRPr="00EE4261">
        <w:rPr>
          <w:rFonts w:ascii="Arial" w:hAnsi="Arial" w:cs="Arial"/>
        </w:rPr>
        <w:t>1), 686–699.</w:t>
      </w:r>
    </w:p>
    <w:p w14:paraId="53E53CF6" w14:textId="77777777" w:rsidR="00EE4261" w:rsidRPr="00EE4261" w:rsidRDefault="00EE4261" w:rsidP="00EE4261">
      <w:pPr>
        <w:spacing w:line="360" w:lineRule="auto"/>
        <w:rPr>
          <w:rFonts w:ascii="Arial" w:hAnsi="Arial" w:cs="Arial"/>
        </w:rPr>
      </w:pPr>
      <w:r w:rsidRPr="00EE4261">
        <w:rPr>
          <w:rFonts w:ascii="Arial" w:hAnsi="Arial" w:cs="Arial"/>
        </w:rPr>
        <w:t xml:space="preserve">Duca, I., &amp; Gherghina, R. (2019). Corporate social responsibility and sustainable business. In </w:t>
      </w:r>
      <w:r w:rsidRPr="00EE4261">
        <w:rPr>
          <w:rFonts w:ascii="Arial" w:hAnsi="Arial" w:cs="Arial"/>
          <w:i/>
          <w:iCs/>
        </w:rPr>
        <w:t>Social Entrepreneurship: Concepts, Methodologies, Tools, and Applications</w:t>
      </w:r>
      <w:r w:rsidRPr="00EE4261">
        <w:rPr>
          <w:rFonts w:ascii="Arial" w:hAnsi="Arial" w:cs="Arial"/>
        </w:rPr>
        <w:t xml:space="preserve"> (pp. 1001–1016). IGI Global.</w:t>
      </w:r>
    </w:p>
    <w:p w14:paraId="40AFB63B" w14:textId="77777777" w:rsidR="00EE4261" w:rsidRPr="00EE4261" w:rsidRDefault="00EE4261" w:rsidP="00EE4261">
      <w:pPr>
        <w:spacing w:line="360" w:lineRule="auto"/>
        <w:rPr>
          <w:rFonts w:ascii="Arial" w:hAnsi="Arial" w:cs="Arial"/>
        </w:rPr>
      </w:pPr>
      <w:r w:rsidRPr="00EE4261">
        <w:rPr>
          <w:rFonts w:ascii="Arial" w:hAnsi="Arial" w:cs="Arial"/>
        </w:rPr>
        <w:t xml:space="preserve">Edgeman, R., &amp; Eskildsen, J. (2014). Modelling and assessing sustainable enterprise excellence. </w:t>
      </w:r>
      <w:r w:rsidRPr="00EE4261">
        <w:rPr>
          <w:rFonts w:ascii="Arial" w:hAnsi="Arial" w:cs="Arial"/>
          <w:i/>
          <w:iCs/>
        </w:rPr>
        <w:t>Business Strategy and the Environment, 23(</w:t>
      </w:r>
      <w:r w:rsidRPr="00EE4261">
        <w:rPr>
          <w:rFonts w:ascii="Arial" w:hAnsi="Arial" w:cs="Arial"/>
        </w:rPr>
        <w:t>3), 173–187.</w:t>
      </w:r>
    </w:p>
    <w:p w14:paraId="7986AB98" w14:textId="5E58BF0C" w:rsidR="00EE4261" w:rsidRPr="00EE4261" w:rsidRDefault="00EE4261" w:rsidP="00EE4261">
      <w:pPr>
        <w:spacing w:line="360" w:lineRule="auto"/>
        <w:rPr>
          <w:rFonts w:ascii="Arial" w:hAnsi="Arial" w:cs="Arial"/>
        </w:rPr>
      </w:pPr>
      <w:r w:rsidRPr="00EE4261">
        <w:rPr>
          <w:rFonts w:ascii="Arial" w:hAnsi="Arial" w:cs="Arial"/>
        </w:rPr>
        <w:t xml:space="preserve">Fund, S. (2015). Sustainable Development Goals. United Nations. </w:t>
      </w:r>
      <w:hyperlink r:id="rId8" w:history="1">
        <w:r w:rsidRPr="004E63C1">
          <w:rPr>
            <w:rStyle w:val="Hyperlink"/>
            <w:rFonts w:ascii="Arial" w:hAnsi="Arial" w:cs="Arial"/>
          </w:rPr>
          <w:t>https://www.un.org/sustainabledevelopment/inequality</w:t>
        </w:r>
      </w:hyperlink>
      <w:r>
        <w:rPr>
          <w:rFonts w:ascii="Arial" w:hAnsi="Arial" w:cs="Arial"/>
        </w:rPr>
        <w:t xml:space="preserve"> </w:t>
      </w:r>
    </w:p>
    <w:p w14:paraId="34567B53"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Hasankhani</w:t>
      </w:r>
      <w:proofErr w:type="spellEnd"/>
      <w:r w:rsidRPr="00EE4261">
        <w:rPr>
          <w:rFonts w:ascii="Arial" w:hAnsi="Arial" w:cs="Arial"/>
        </w:rPr>
        <w:t xml:space="preserve">, Z., </w:t>
      </w:r>
      <w:proofErr w:type="spellStart"/>
      <w:r w:rsidRPr="00EE4261">
        <w:rPr>
          <w:rFonts w:ascii="Arial" w:hAnsi="Arial" w:cs="Arial"/>
        </w:rPr>
        <w:t>Zandieh</w:t>
      </w:r>
      <w:proofErr w:type="spellEnd"/>
      <w:r w:rsidRPr="00EE4261">
        <w:rPr>
          <w:rFonts w:ascii="Arial" w:hAnsi="Arial" w:cs="Arial"/>
        </w:rPr>
        <w:t xml:space="preserve">, M., &amp; </w:t>
      </w:r>
      <w:proofErr w:type="spellStart"/>
      <w:r w:rsidRPr="00EE4261">
        <w:rPr>
          <w:rFonts w:ascii="Arial" w:hAnsi="Arial" w:cs="Arial"/>
        </w:rPr>
        <w:t>Tirkolaee</w:t>
      </w:r>
      <w:proofErr w:type="spellEnd"/>
      <w:r w:rsidRPr="00EE4261">
        <w:rPr>
          <w:rFonts w:ascii="Arial" w:hAnsi="Arial" w:cs="Arial"/>
        </w:rPr>
        <w:t>, E. B. (2024</w:t>
      </w:r>
      <w:r w:rsidRPr="00EE4261">
        <w:rPr>
          <w:rFonts w:ascii="Arial" w:hAnsi="Arial" w:cs="Arial"/>
          <w:i/>
          <w:iCs/>
        </w:rPr>
        <w:t>). Identification of optimal waste</w:t>
      </w:r>
      <w:r w:rsidRPr="00EE4261">
        <w:rPr>
          <w:rFonts w:ascii="Cambria Math" w:hAnsi="Cambria Math" w:cs="Cambria Math"/>
          <w:i/>
          <w:iCs/>
        </w:rPr>
        <w:t>‑</w:t>
      </w:r>
      <w:r w:rsidRPr="00EE4261">
        <w:rPr>
          <w:rFonts w:ascii="Arial" w:hAnsi="Arial" w:cs="Arial"/>
          <w:i/>
          <w:iCs/>
        </w:rPr>
        <w:t>to</w:t>
      </w:r>
      <w:r w:rsidRPr="00EE4261">
        <w:rPr>
          <w:rFonts w:ascii="Cambria Math" w:hAnsi="Cambria Math" w:cs="Cambria Math"/>
          <w:i/>
          <w:iCs/>
        </w:rPr>
        <w:t>‑</w:t>
      </w:r>
      <w:r w:rsidRPr="00EE4261">
        <w:rPr>
          <w:rFonts w:ascii="Arial" w:hAnsi="Arial" w:cs="Arial"/>
          <w:i/>
          <w:iCs/>
        </w:rPr>
        <w:t>energy strategies for sustainable development in Iran: SWOT analysis, hybrid MCDM methods, and game theory.</w:t>
      </w:r>
      <w:r w:rsidRPr="00EE4261">
        <w:rPr>
          <w:rFonts w:ascii="Arial" w:hAnsi="Arial" w:cs="Arial"/>
        </w:rPr>
        <w:t xml:space="preserve"> Renewable Energy, 237, 121564.</w:t>
      </w:r>
    </w:p>
    <w:p w14:paraId="74C5F2EB" w14:textId="77777777" w:rsidR="00EE4261" w:rsidRPr="00EE4261" w:rsidRDefault="00EE4261" w:rsidP="00EE4261">
      <w:pPr>
        <w:spacing w:line="360" w:lineRule="auto"/>
        <w:rPr>
          <w:rFonts w:ascii="Arial" w:hAnsi="Arial" w:cs="Arial"/>
        </w:rPr>
      </w:pPr>
    </w:p>
    <w:p w14:paraId="6905246B" w14:textId="77777777" w:rsidR="00EE4261" w:rsidRPr="00EE4261" w:rsidRDefault="00EE4261" w:rsidP="00EE4261">
      <w:pPr>
        <w:spacing w:line="360" w:lineRule="auto"/>
        <w:rPr>
          <w:rFonts w:ascii="Arial" w:hAnsi="Arial" w:cs="Arial"/>
        </w:rPr>
      </w:pPr>
      <w:r w:rsidRPr="00EE4261">
        <w:rPr>
          <w:rFonts w:ascii="Arial" w:hAnsi="Arial" w:cs="Arial"/>
        </w:rPr>
        <w:lastRenderedPageBreak/>
        <w:t>Mullins, J., &amp; Komisar, R. (2010</w:t>
      </w:r>
      <w:r w:rsidRPr="00EE4261">
        <w:rPr>
          <w:rFonts w:ascii="Arial" w:hAnsi="Arial" w:cs="Arial"/>
          <w:i/>
          <w:iCs/>
        </w:rPr>
        <w:t>). A business plan? Or a journey to plan B?</w:t>
      </w:r>
      <w:r w:rsidRPr="00EE4261">
        <w:rPr>
          <w:rFonts w:ascii="Arial" w:hAnsi="Arial" w:cs="Arial"/>
        </w:rPr>
        <w:t xml:space="preserve"> MIT Sloan Management Review.</w:t>
      </w:r>
    </w:p>
    <w:p w14:paraId="5EC90802"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Rahmana</w:t>
      </w:r>
      <w:proofErr w:type="spellEnd"/>
      <w:r w:rsidRPr="00EE4261">
        <w:rPr>
          <w:rFonts w:ascii="Arial" w:hAnsi="Arial" w:cs="Arial"/>
        </w:rPr>
        <w:t xml:space="preserve">, F., &amp; </w:t>
      </w:r>
      <w:proofErr w:type="spellStart"/>
      <w:r w:rsidRPr="00EE4261">
        <w:rPr>
          <w:rFonts w:ascii="Arial" w:hAnsi="Arial" w:cs="Arial"/>
        </w:rPr>
        <w:t>Bawono</w:t>
      </w:r>
      <w:proofErr w:type="spellEnd"/>
      <w:r w:rsidRPr="00EE4261">
        <w:rPr>
          <w:rFonts w:ascii="Arial" w:hAnsi="Arial" w:cs="Arial"/>
        </w:rPr>
        <w:t xml:space="preserve">, A. (2020). Sustainable development toward sustainable enterprise. </w:t>
      </w:r>
      <w:r w:rsidRPr="00EE4261">
        <w:rPr>
          <w:rFonts w:ascii="Arial" w:hAnsi="Arial" w:cs="Arial"/>
          <w:i/>
          <w:iCs/>
        </w:rPr>
        <w:t>Management Science Letters, 11(</w:t>
      </w:r>
      <w:r w:rsidRPr="00EE4261">
        <w:rPr>
          <w:rFonts w:ascii="Arial" w:hAnsi="Arial" w:cs="Arial"/>
        </w:rPr>
        <w:t>2), 657–668.</w:t>
      </w:r>
    </w:p>
    <w:p w14:paraId="311324EF"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Rahmana</w:t>
      </w:r>
      <w:proofErr w:type="spellEnd"/>
      <w:r w:rsidRPr="00EE4261">
        <w:rPr>
          <w:rFonts w:ascii="Arial" w:hAnsi="Arial" w:cs="Arial"/>
        </w:rPr>
        <w:t xml:space="preserve">, F., &amp; </w:t>
      </w:r>
      <w:proofErr w:type="spellStart"/>
      <w:r w:rsidRPr="00EE4261">
        <w:rPr>
          <w:rFonts w:ascii="Arial" w:hAnsi="Arial" w:cs="Arial"/>
        </w:rPr>
        <w:t>Bawono</w:t>
      </w:r>
      <w:proofErr w:type="spellEnd"/>
      <w:r w:rsidRPr="00EE4261">
        <w:rPr>
          <w:rFonts w:ascii="Arial" w:hAnsi="Arial" w:cs="Arial"/>
        </w:rPr>
        <w:t xml:space="preserve">, A. (2021). </w:t>
      </w:r>
      <w:r w:rsidRPr="00EE4261">
        <w:rPr>
          <w:rFonts w:ascii="Arial" w:hAnsi="Arial" w:cs="Arial"/>
          <w:i/>
          <w:iCs/>
        </w:rPr>
        <w:t>Sustainable development toward sustainable enterprise</w:t>
      </w:r>
      <w:r w:rsidRPr="00EE4261">
        <w:rPr>
          <w:rFonts w:ascii="Arial" w:hAnsi="Arial" w:cs="Arial"/>
        </w:rPr>
        <w:t>. Management Science Letters, 11, 657–668.</w:t>
      </w:r>
    </w:p>
    <w:p w14:paraId="3B748861"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Rajabova</w:t>
      </w:r>
      <w:proofErr w:type="spellEnd"/>
      <w:r w:rsidRPr="00EE4261">
        <w:rPr>
          <w:rFonts w:ascii="Arial" w:hAnsi="Arial" w:cs="Arial"/>
        </w:rPr>
        <w:t xml:space="preserve">, M. G., </w:t>
      </w:r>
      <w:proofErr w:type="spellStart"/>
      <w:r w:rsidRPr="00EE4261">
        <w:rPr>
          <w:rFonts w:ascii="Arial" w:hAnsi="Arial" w:cs="Arial"/>
        </w:rPr>
        <w:t>Makkaeva</w:t>
      </w:r>
      <w:proofErr w:type="spellEnd"/>
      <w:r w:rsidRPr="00EE4261">
        <w:rPr>
          <w:rFonts w:ascii="Arial" w:hAnsi="Arial" w:cs="Arial"/>
        </w:rPr>
        <w:t xml:space="preserve">, R. S. A., &amp; </w:t>
      </w:r>
      <w:proofErr w:type="spellStart"/>
      <w:r w:rsidRPr="00EE4261">
        <w:rPr>
          <w:rFonts w:ascii="Arial" w:hAnsi="Arial" w:cs="Arial"/>
        </w:rPr>
        <w:t>Mahluff</w:t>
      </w:r>
      <w:proofErr w:type="spellEnd"/>
      <w:r w:rsidRPr="00EE4261">
        <w:rPr>
          <w:rFonts w:ascii="Arial" w:hAnsi="Arial" w:cs="Arial"/>
        </w:rPr>
        <w:t>, A. (2021). Strategic framework for sustainable enterprise development. In Sustainable Development of Modern Digital Economy: Perspectives from Russian Experiences (pp. 35–43). Cham, Switzerland: Springer International Publishing.</w:t>
      </w:r>
    </w:p>
    <w:p w14:paraId="308DB31E" w14:textId="77777777" w:rsidR="00EE4261" w:rsidRPr="00EE4261" w:rsidRDefault="00EE4261" w:rsidP="00EE4261">
      <w:pPr>
        <w:spacing w:line="360" w:lineRule="auto"/>
        <w:rPr>
          <w:rFonts w:ascii="Arial" w:hAnsi="Arial" w:cs="Arial"/>
        </w:rPr>
      </w:pPr>
      <w:r w:rsidRPr="00EE4261">
        <w:rPr>
          <w:rFonts w:ascii="Arial" w:hAnsi="Arial" w:cs="Arial"/>
        </w:rPr>
        <w:t xml:space="preserve">Rus, V. (2023). </w:t>
      </w:r>
      <w:r w:rsidRPr="00EE4261">
        <w:rPr>
          <w:rFonts w:ascii="Arial" w:hAnsi="Arial" w:cs="Arial"/>
          <w:i/>
          <w:iCs/>
        </w:rPr>
        <w:t>Systems SWOT analysis</w:t>
      </w:r>
      <w:r w:rsidRPr="00EE4261">
        <w:rPr>
          <w:rFonts w:ascii="Arial" w:hAnsi="Arial" w:cs="Arial"/>
        </w:rPr>
        <w:t>. In Design Recommendations for Intelligent Tutoring Systems: Volume 10 (p. 71).</w:t>
      </w:r>
    </w:p>
    <w:p w14:paraId="485FA757" w14:textId="77777777" w:rsidR="00EE4261" w:rsidRPr="00EE4261" w:rsidRDefault="00EE4261" w:rsidP="00EE4261">
      <w:pPr>
        <w:spacing w:line="360" w:lineRule="auto"/>
        <w:rPr>
          <w:rFonts w:ascii="Arial" w:hAnsi="Arial" w:cs="Arial"/>
        </w:rPr>
      </w:pPr>
      <w:r w:rsidRPr="00EE4261">
        <w:rPr>
          <w:rFonts w:ascii="Arial" w:hAnsi="Arial" w:cs="Arial"/>
        </w:rPr>
        <w:t xml:space="preserve">Sachs, J. D. (2012). </w:t>
      </w:r>
      <w:r w:rsidRPr="00EE4261">
        <w:rPr>
          <w:rFonts w:ascii="Arial" w:hAnsi="Arial" w:cs="Arial"/>
          <w:i/>
          <w:iCs/>
        </w:rPr>
        <w:t xml:space="preserve">From Millennium Development Goals to Sustainable Development Goals. </w:t>
      </w:r>
      <w:r w:rsidRPr="00EE4261">
        <w:rPr>
          <w:rFonts w:ascii="Arial" w:hAnsi="Arial" w:cs="Arial"/>
        </w:rPr>
        <w:t>The Lancet, 379(9832), 2206–2211.</w:t>
      </w:r>
    </w:p>
    <w:p w14:paraId="55829E40"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Stoilova</w:t>
      </w:r>
      <w:proofErr w:type="spellEnd"/>
      <w:r w:rsidRPr="00EE4261">
        <w:rPr>
          <w:rFonts w:ascii="Arial" w:hAnsi="Arial" w:cs="Arial"/>
        </w:rPr>
        <w:t xml:space="preserve">, S. (2022). </w:t>
      </w:r>
      <w:r w:rsidRPr="00EE4261">
        <w:rPr>
          <w:rFonts w:ascii="Arial" w:hAnsi="Arial" w:cs="Arial"/>
          <w:i/>
          <w:iCs/>
        </w:rPr>
        <w:t>An integrated approach of strategic planning and. Railway Transport Planning and Management, 1.</w:t>
      </w:r>
    </w:p>
    <w:p w14:paraId="3AEF4201" w14:textId="77777777" w:rsidR="00EE4261" w:rsidRPr="00EE4261" w:rsidRDefault="00EE4261" w:rsidP="00EE4261">
      <w:pPr>
        <w:spacing w:line="360" w:lineRule="auto"/>
        <w:rPr>
          <w:rFonts w:ascii="Arial" w:hAnsi="Arial" w:cs="Arial"/>
        </w:rPr>
      </w:pPr>
      <w:r w:rsidRPr="00EE4261">
        <w:rPr>
          <w:rFonts w:ascii="Arial" w:hAnsi="Arial" w:cs="Arial"/>
        </w:rPr>
        <w:t xml:space="preserve">Sultanov, S. (2022). SWOT analysis of small business and entrepreneurship theory and improving efficiency in the field of service. </w:t>
      </w:r>
      <w:r w:rsidRPr="00EE4261">
        <w:rPr>
          <w:rFonts w:ascii="Arial" w:hAnsi="Arial" w:cs="Arial"/>
          <w:i/>
          <w:iCs/>
        </w:rPr>
        <w:t>Science and Innovation, 1(</w:t>
      </w:r>
      <w:r w:rsidRPr="00EE4261">
        <w:rPr>
          <w:rFonts w:ascii="Arial" w:hAnsi="Arial" w:cs="Arial"/>
        </w:rPr>
        <w:t>A7), 144–151.</w:t>
      </w:r>
    </w:p>
    <w:p w14:paraId="01463264" w14:textId="77777777" w:rsidR="00EE4261" w:rsidRPr="00EE4261" w:rsidRDefault="00EE4261" w:rsidP="00EE4261">
      <w:pPr>
        <w:spacing w:line="360" w:lineRule="auto"/>
        <w:rPr>
          <w:rFonts w:ascii="Arial" w:hAnsi="Arial" w:cs="Arial"/>
        </w:rPr>
      </w:pPr>
      <w:r w:rsidRPr="00EE4261">
        <w:rPr>
          <w:rFonts w:ascii="Arial" w:hAnsi="Arial" w:cs="Arial"/>
        </w:rPr>
        <w:t>Thompson, F. M. M. (2010</w:t>
      </w:r>
      <w:r w:rsidRPr="00EE4261">
        <w:rPr>
          <w:rFonts w:ascii="Arial" w:hAnsi="Arial" w:cs="Arial"/>
          <w:i/>
          <w:iCs/>
        </w:rPr>
        <w:t>). Social enterprise: Developing sustainable enterprises.</w:t>
      </w:r>
      <w:r w:rsidRPr="00EE4261">
        <w:rPr>
          <w:rFonts w:ascii="Arial" w:hAnsi="Arial" w:cs="Arial"/>
        </w:rPr>
        <w:t xml:space="preserve"> New York, NY: Palgrave Macmillan.</w:t>
      </w:r>
    </w:p>
    <w:p w14:paraId="2FC2F674"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Tolstykh</w:t>
      </w:r>
      <w:proofErr w:type="spellEnd"/>
      <w:r w:rsidRPr="00EE4261">
        <w:rPr>
          <w:rFonts w:ascii="Arial" w:hAnsi="Arial" w:cs="Arial"/>
        </w:rPr>
        <w:t xml:space="preserve">, T., </w:t>
      </w:r>
      <w:proofErr w:type="spellStart"/>
      <w:r w:rsidRPr="00EE4261">
        <w:rPr>
          <w:rFonts w:ascii="Arial" w:hAnsi="Arial" w:cs="Arial"/>
        </w:rPr>
        <w:t>Gamidullaeva</w:t>
      </w:r>
      <w:proofErr w:type="spellEnd"/>
      <w:r w:rsidRPr="00EE4261">
        <w:rPr>
          <w:rFonts w:ascii="Arial" w:hAnsi="Arial" w:cs="Arial"/>
        </w:rPr>
        <w:t xml:space="preserve">, L., &amp; Shmeleva, N. (2020). Elaboration of a mechanism for sustainable enterprise development in innovation ecosystems. </w:t>
      </w:r>
      <w:r w:rsidRPr="00EE4261">
        <w:rPr>
          <w:rFonts w:ascii="Arial" w:hAnsi="Arial" w:cs="Arial"/>
          <w:i/>
          <w:iCs/>
        </w:rPr>
        <w:t>Journal of Open Innovation: Technology, Market, and Complexity, 6(</w:t>
      </w:r>
      <w:r w:rsidRPr="00EE4261">
        <w:rPr>
          <w:rFonts w:ascii="Arial" w:hAnsi="Arial" w:cs="Arial"/>
        </w:rPr>
        <w:t>4), 95.</w:t>
      </w:r>
    </w:p>
    <w:p w14:paraId="67F7EE03" w14:textId="77777777" w:rsidR="00EE4261" w:rsidRPr="00EE4261" w:rsidRDefault="00EE4261" w:rsidP="00EE4261">
      <w:pPr>
        <w:spacing w:line="360" w:lineRule="auto"/>
        <w:rPr>
          <w:rFonts w:ascii="Arial" w:hAnsi="Arial" w:cs="Arial"/>
        </w:rPr>
      </w:pPr>
      <w:r w:rsidRPr="00EE4261">
        <w:rPr>
          <w:rFonts w:ascii="Arial" w:hAnsi="Arial" w:cs="Arial"/>
        </w:rPr>
        <w:t>Trends, G. (2017</w:t>
      </w:r>
      <w:r w:rsidRPr="005C7D27">
        <w:rPr>
          <w:rFonts w:ascii="Arial" w:hAnsi="Arial" w:cs="Arial"/>
          <w:i/>
          <w:iCs/>
        </w:rPr>
        <w:t>). Challenges and opportunities in the implementation of the Sustainable Development Goals.</w:t>
      </w:r>
      <w:r w:rsidRPr="00EE4261">
        <w:rPr>
          <w:rFonts w:ascii="Arial" w:hAnsi="Arial" w:cs="Arial"/>
        </w:rPr>
        <w:t xml:space="preserve"> United Nations Development Programme &amp; United Nations Research Institute for Social Development.</w:t>
      </w:r>
    </w:p>
    <w:p w14:paraId="2C783367" w14:textId="77777777" w:rsidR="00EE4261" w:rsidRPr="00EE4261" w:rsidRDefault="00EE4261" w:rsidP="00EE4261">
      <w:pPr>
        <w:spacing w:line="360" w:lineRule="auto"/>
        <w:rPr>
          <w:rFonts w:ascii="Arial" w:hAnsi="Arial" w:cs="Arial"/>
        </w:rPr>
      </w:pPr>
      <w:r w:rsidRPr="00EE4261">
        <w:rPr>
          <w:rFonts w:ascii="Arial" w:hAnsi="Arial" w:cs="Arial"/>
        </w:rPr>
        <w:t xml:space="preserve">Waqar, A., Shafiq, N., Othman, I., Alqahtani, F. K., Alshehri, A. M., Sherif, M. A., &amp; </w:t>
      </w:r>
      <w:proofErr w:type="spellStart"/>
      <w:r w:rsidRPr="00EE4261">
        <w:rPr>
          <w:rFonts w:ascii="Arial" w:hAnsi="Arial" w:cs="Arial"/>
        </w:rPr>
        <w:t>Almujibah</w:t>
      </w:r>
      <w:proofErr w:type="spellEnd"/>
      <w:r w:rsidRPr="00EE4261">
        <w:rPr>
          <w:rFonts w:ascii="Arial" w:hAnsi="Arial" w:cs="Arial"/>
        </w:rPr>
        <w:t>, H. R. (2024</w:t>
      </w:r>
      <w:r w:rsidRPr="005C7D27">
        <w:rPr>
          <w:rFonts w:ascii="Arial" w:hAnsi="Arial" w:cs="Arial"/>
          <w:i/>
          <w:iCs/>
        </w:rPr>
        <w:t xml:space="preserve">). Examining the impact of BIM implementation on the external </w:t>
      </w:r>
      <w:r w:rsidRPr="005C7D27">
        <w:rPr>
          <w:rFonts w:ascii="Arial" w:hAnsi="Arial" w:cs="Arial"/>
          <w:i/>
          <w:iCs/>
        </w:rPr>
        <w:lastRenderedPageBreak/>
        <w:t>environment of AEC industry: A PEST analysis perspective</w:t>
      </w:r>
      <w:r w:rsidRPr="00EE4261">
        <w:rPr>
          <w:rFonts w:ascii="Arial" w:hAnsi="Arial" w:cs="Arial"/>
        </w:rPr>
        <w:t>. Developments in the Built Environment, 17, 100347.</w:t>
      </w:r>
    </w:p>
    <w:p w14:paraId="59B0A2E0" w14:textId="77777777" w:rsidR="00EE4261" w:rsidRPr="00EE4261" w:rsidRDefault="00EE4261" w:rsidP="00EE4261">
      <w:pPr>
        <w:spacing w:line="360" w:lineRule="auto"/>
        <w:rPr>
          <w:rFonts w:ascii="Arial" w:hAnsi="Arial" w:cs="Arial"/>
        </w:rPr>
      </w:pPr>
      <w:proofErr w:type="spellStart"/>
      <w:r w:rsidRPr="00EE4261">
        <w:rPr>
          <w:rFonts w:ascii="Arial" w:hAnsi="Arial" w:cs="Arial"/>
        </w:rPr>
        <w:t>Zhykharieva</w:t>
      </w:r>
      <w:proofErr w:type="spellEnd"/>
      <w:r w:rsidRPr="00EE4261">
        <w:rPr>
          <w:rFonts w:ascii="Arial" w:hAnsi="Arial" w:cs="Arial"/>
        </w:rPr>
        <w:t xml:space="preserve">, V., Vlasenko, O., </w:t>
      </w:r>
      <w:proofErr w:type="spellStart"/>
      <w:r w:rsidRPr="00EE4261">
        <w:rPr>
          <w:rFonts w:ascii="Arial" w:hAnsi="Arial" w:cs="Arial"/>
        </w:rPr>
        <w:t>Poznanska</w:t>
      </w:r>
      <w:proofErr w:type="spellEnd"/>
      <w:r w:rsidRPr="00EE4261">
        <w:rPr>
          <w:rFonts w:ascii="Arial" w:hAnsi="Arial" w:cs="Arial"/>
        </w:rPr>
        <w:t xml:space="preserve">, I., </w:t>
      </w:r>
      <w:proofErr w:type="spellStart"/>
      <w:r w:rsidRPr="00EE4261">
        <w:rPr>
          <w:rFonts w:ascii="Arial" w:hAnsi="Arial" w:cs="Arial"/>
        </w:rPr>
        <w:t>Matviienko</w:t>
      </w:r>
      <w:proofErr w:type="spellEnd"/>
      <w:r w:rsidRPr="00EE4261">
        <w:rPr>
          <w:rFonts w:ascii="Arial" w:hAnsi="Arial" w:cs="Arial"/>
        </w:rPr>
        <w:t xml:space="preserve">, M., &amp; Sokolova, M. (2021). </w:t>
      </w:r>
      <w:r w:rsidRPr="005C7D27">
        <w:rPr>
          <w:rFonts w:ascii="Arial" w:hAnsi="Arial" w:cs="Arial"/>
          <w:i/>
          <w:iCs/>
        </w:rPr>
        <w:t>The role of human resource management in the concept of sustainable enterprise development.</w:t>
      </w:r>
      <w:r w:rsidRPr="00EE4261">
        <w:rPr>
          <w:rFonts w:ascii="Arial" w:hAnsi="Arial" w:cs="Arial"/>
        </w:rPr>
        <w:t xml:space="preserve"> In E3S Web of Conferences (Vol. 255, p. 01024). EDP Sciences.</w:t>
      </w:r>
    </w:p>
    <w:p w14:paraId="0A09F5E4" w14:textId="5F35091F" w:rsidR="00EE4261" w:rsidRPr="00A545EF" w:rsidRDefault="00EE4261" w:rsidP="00EE4261">
      <w:pPr>
        <w:spacing w:line="360" w:lineRule="auto"/>
        <w:rPr>
          <w:rFonts w:ascii="Arial" w:hAnsi="Arial" w:cs="Arial"/>
        </w:rPr>
      </w:pPr>
      <w:r w:rsidRPr="00EE4261">
        <w:rPr>
          <w:rFonts w:ascii="Arial" w:hAnsi="Arial" w:cs="Arial"/>
        </w:rPr>
        <w:t xml:space="preserve">Zu, L. (2013). </w:t>
      </w:r>
      <w:r w:rsidRPr="005C7D27">
        <w:rPr>
          <w:rFonts w:ascii="Arial" w:hAnsi="Arial" w:cs="Arial"/>
          <w:i/>
          <w:iCs/>
        </w:rPr>
        <w:t>Sustainable enterprise development.</w:t>
      </w:r>
      <w:r w:rsidRPr="00EE4261">
        <w:rPr>
          <w:rFonts w:ascii="Arial" w:hAnsi="Arial" w:cs="Arial"/>
        </w:rPr>
        <w:t xml:space="preserve"> In </w:t>
      </w:r>
      <w:r w:rsidR="005C7D27" w:rsidRPr="00EE4261">
        <w:rPr>
          <w:rFonts w:ascii="Arial" w:hAnsi="Arial" w:cs="Arial"/>
        </w:rPr>
        <w:t>Encyclopaedia</w:t>
      </w:r>
      <w:r w:rsidRPr="00EE4261">
        <w:rPr>
          <w:rFonts w:ascii="Arial" w:hAnsi="Arial" w:cs="Arial"/>
        </w:rPr>
        <w:t xml:space="preserve"> of Corporate Social Responsibility (pp. 2449–2458). Berlin, Heidelberg: Springer.</w:t>
      </w:r>
    </w:p>
    <w:sectPr w:rsidR="00EE4261" w:rsidRPr="00A545EF" w:rsidSect="00EE4261">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78821" w14:textId="77777777" w:rsidR="00861649" w:rsidRDefault="00861649" w:rsidP="005C7D27">
      <w:pPr>
        <w:spacing w:after="0" w:line="240" w:lineRule="auto"/>
      </w:pPr>
      <w:r>
        <w:separator/>
      </w:r>
    </w:p>
  </w:endnote>
  <w:endnote w:type="continuationSeparator" w:id="0">
    <w:p w14:paraId="7E534B35" w14:textId="77777777" w:rsidR="00861649" w:rsidRDefault="00861649" w:rsidP="005C7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273A6" w14:textId="77777777" w:rsidR="00861649" w:rsidRDefault="00861649" w:rsidP="005C7D27">
      <w:pPr>
        <w:spacing w:after="0" w:line="240" w:lineRule="auto"/>
      </w:pPr>
      <w:r>
        <w:separator/>
      </w:r>
    </w:p>
  </w:footnote>
  <w:footnote w:type="continuationSeparator" w:id="0">
    <w:p w14:paraId="732F6267" w14:textId="77777777" w:rsidR="00861649" w:rsidRDefault="00861649" w:rsidP="005C7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52393"/>
      <w:docPartObj>
        <w:docPartGallery w:val="Page Numbers (Top of Page)"/>
        <w:docPartUnique/>
      </w:docPartObj>
    </w:sdtPr>
    <w:sdtEndPr>
      <w:rPr>
        <w:noProof/>
      </w:rPr>
    </w:sdtEndPr>
    <w:sdtContent>
      <w:p w14:paraId="0C474479" w14:textId="67918F76" w:rsidR="005C7D27" w:rsidRDefault="005C7D2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72CE6B9" w14:textId="77777777" w:rsidR="005C7D27" w:rsidRDefault="005C7D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055A7"/>
    <w:multiLevelType w:val="hybridMultilevel"/>
    <w:tmpl w:val="733EA3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8759D"/>
    <w:multiLevelType w:val="hybridMultilevel"/>
    <w:tmpl w:val="B01C9C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404B"/>
    <w:multiLevelType w:val="hybridMultilevel"/>
    <w:tmpl w:val="08E48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0D02C7"/>
    <w:multiLevelType w:val="hybridMultilevel"/>
    <w:tmpl w:val="67024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01D79"/>
    <w:multiLevelType w:val="hybridMultilevel"/>
    <w:tmpl w:val="30824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47F3E"/>
    <w:multiLevelType w:val="hybridMultilevel"/>
    <w:tmpl w:val="6F1C1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107AE4"/>
    <w:multiLevelType w:val="hybridMultilevel"/>
    <w:tmpl w:val="8DCE8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35E3C"/>
    <w:multiLevelType w:val="hybridMultilevel"/>
    <w:tmpl w:val="BF7A29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A20EBB"/>
    <w:multiLevelType w:val="hybridMultilevel"/>
    <w:tmpl w:val="A33E0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692FAF"/>
    <w:multiLevelType w:val="hybridMultilevel"/>
    <w:tmpl w:val="110EBD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504424"/>
    <w:multiLevelType w:val="hybridMultilevel"/>
    <w:tmpl w:val="A0A8F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D12816"/>
    <w:multiLevelType w:val="hybridMultilevel"/>
    <w:tmpl w:val="C6309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DE6114"/>
    <w:multiLevelType w:val="hybridMultilevel"/>
    <w:tmpl w:val="F4841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3A3852"/>
    <w:multiLevelType w:val="hybridMultilevel"/>
    <w:tmpl w:val="A45613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8634A9"/>
    <w:multiLevelType w:val="hybridMultilevel"/>
    <w:tmpl w:val="0B76F0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D77BEC"/>
    <w:multiLevelType w:val="hybridMultilevel"/>
    <w:tmpl w:val="B1849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F34642"/>
    <w:multiLevelType w:val="hybridMultilevel"/>
    <w:tmpl w:val="234466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266919">
    <w:abstractNumId w:val="0"/>
  </w:num>
  <w:num w:numId="2" w16cid:durableId="883326960">
    <w:abstractNumId w:val="11"/>
  </w:num>
  <w:num w:numId="3" w16cid:durableId="1392314570">
    <w:abstractNumId w:val="13"/>
  </w:num>
  <w:num w:numId="4" w16cid:durableId="1401749579">
    <w:abstractNumId w:val="14"/>
  </w:num>
  <w:num w:numId="5" w16cid:durableId="583563861">
    <w:abstractNumId w:val="12"/>
  </w:num>
  <w:num w:numId="6" w16cid:durableId="1416975490">
    <w:abstractNumId w:val="5"/>
  </w:num>
  <w:num w:numId="7" w16cid:durableId="477722028">
    <w:abstractNumId w:val="6"/>
  </w:num>
  <w:num w:numId="8" w16cid:durableId="1415863020">
    <w:abstractNumId w:val="9"/>
  </w:num>
  <w:num w:numId="9" w16cid:durableId="121310138">
    <w:abstractNumId w:val="1"/>
  </w:num>
  <w:num w:numId="10" w16cid:durableId="2141532896">
    <w:abstractNumId w:val="16"/>
  </w:num>
  <w:num w:numId="11" w16cid:durableId="1401319979">
    <w:abstractNumId w:val="8"/>
  </w:num>
  <w:num w:numId="12" w16cid:durableId="390540482">
    <w:abstractNumId w:val="10"/>
  </w:num>
  <w:num w:numId="13" w16cid:durableId="830945611">
    <w:abstractNumId w:val="7"/>
  </w:num>
  <w:num w:numId="14" w16cid:durableId="595098669">
    <w:abstractNumId w:val="4"/>
  </w:num>
  <w:num w:numId="15" w16cid:durableId="2133132957">
    <w:abstractNumId w:val="15"/>
  </w:num>
  <w:num w:numId="16" w16cid:durableId="552353275">
    <w:abstractNumId w:val="2"/>
  </w:num>
  <w:num w:numId="17" w16cid:durableId="854460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5EF"/>
    <w:rsid w:val="00467E66"/>
    <w:rsid w:val="005C7D27"/>
    <w:rsid w:val="00861649"/>
    <w:rsid w:val="00A545EF"/>
    <w:rsid w:val="00C93356"/>
    <w:rsid w:val="00DB201C"/>
    <w:rsid w:val="00EE4261"/>
    <w:rsid w:val="00EF596A"/>
    <w:rsid w:val="00F96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B1CB9"/>
  <w15:chartTrackingRefBased/>
  <w15:docId w15:val="{CA2912AE-9432-40DB-9636-B01250E1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5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5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5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5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5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5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5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5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5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5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5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5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5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5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5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5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5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5EF"/>
    <w:rPr>
      <w:rFonts w:eastAsiaTheme="majorEastAsia" w:cstheme="majorBidi"/>
      <w:color w:val="272727" w:themeColor="text1" w:themeTint="D8"/>
    </w:rPr>
  </w:style>
  <w:style w:type="paragraph" w:styleId="Title">
    <w:name w:val="Title"/>
    <w:basedOn w:val="Normal"/>
    <w:next w:val="Normal"/>
    <w:link w:val="TitleChar"/>
    <w:uiPriority w:val="10"/>
    <w:qFormat/>
    <w:rsid w:val="00A545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5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5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5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5EF"/>
    <w:pPr>
      <w:spacing w:before="160"/>
      <w:jc w:val="center"/>
    </w:pPr>
    <w:rPr>
      <w:i/>
      <w:iCs/>
      <w:color w:val="404040" w:themeColor="text1" w:themeTint="BF"/>
    </w:rPr>
  </w:style>
  <w:style w:type="character" w:customStyle="1" w:styleId="QuoteChar">
    <w:name w:val="Quote Char"/>
    <w:basedOn w:val="DefaultParagraphFont"/>
    <w:link w:val="Quote"/>
    <w:uiPriority w:val="29"/>
    <w:rsid w:val="00A545EF"/>
    <w:rPr>
      <w:i/>
      <w:iCs/>
      <w:color w:val="404040" w:themeColor="text1" w:themeTint="BF"/>
    </w:rPr>
  </w:style>
  <w:style w:type="paragraph" w:styleId="ListParagraph">
    <w:name w:val="List Paragraph"/>
    <w:basedOn w:val="Normal"/>
    <w:uiPriority w:val="34"/>
    <w:qFormat/>
    <w:rsid w:val="00A545EF"/>
    <w:pPr>
      <w:ind w:left="720"/>
      <w:contextualSpacing/>
    </w:pPr>
  </w:style>
  <w:style w:type="character" w:styleId="IntenseEmphasis">
    <w:name w:val="Intense Emphasis"/>
    <w:basedOn w:val="DefaultParagraphFont"/>
    <w:uiPriority w:val="21"/>
    <w:qFormat/>
    <w:rsid w:val="00A545EF"/>
    <w:rPr>
      <w:i/>
      <w:iCs/>
      <w:color w:val="0F4761" w:themeColor="accent1" w:themeShade="BF"/>
    </w:rPr>
  </w:style>
  <w:style w:type="paragraph" w:styleId="IntenseQuote">
    <w:name w:val="Intense Quote"/>
    <w:basedOn w:val="Normal"/>
    <w:next w:val="Normal"/>
    <w:link w:val="IntenseQuoteChar"/>
    <w:uiPriority w:val="30"/>
    <w:qFormat/>
    <w:rsid w:val="00A545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5EF"/>
    <w:rPr>
      <w:i/>
      <w:iCs/>
      <w:color w:val="0F4761" w:themeColor="accent1" w:themeShade="BF"/>
    </w:rPr>
  </w:style>
  <w:style w:type="character" w:styleId="IntenseReference">
    <w:name w:val="Intense Reference"/>
    <w:basedOn w:val="DefaultParagraphFont"/>
    <w:uiPriority w:val="32"/>
    <w:qFormat/>
    <w:rsid w:val="00A545EF"/>
    <w:rPr>
      <w:b/>
      <w:bCs/>
      <w:smallCaps/>
      <w:color w:val="0F4761" w:themeColor="accent1" w:themeShade="BF"/>
      <w:spacing w:val="5"/>
    </w:rPr>
  </w:style>
  <w:style w:type="paragraph" w:styleId="NoSpacing">
    <w:name w:val="No Spacing"/>
    <w:link w:val="NoSpacingChar"/>
    <w:uiPriority w:val="1"/>
    <w:qFormat/>
    <w:rsid w:val="00EE426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E4261"/>
    <w:rPr>
      <w:rFonts w:eastAsiaTheme="minorEastAsia"/>
      <w:kern w:val="0"/>
      <w:sz w:val="22"/>
      <w:szCs w:val="22"/>
      <w:lang w:val="en-US"/>
      <w14:ligatures w14:val="none"/>
    </w:rPr>
  </w:style>
  <w:style w:type="character" w:styleId="Hyperlink">
    <w:name w:val="Hyperlink"/>
    <w:basedOn w:val="DefaultParagraphFont"/>
    <w:uiPriority w:val="99"/>
    <w:unhideWhenUsed/>
    <w:rsid w:val="00EE4261"/>
    <w:rPr>
      <w:color w:val="467886" w:themeColor="hyperlink"/>
      <w:u w:val="single"/>
    </w:rPr>
  </w:style>
  <w:style w:type="character" w:styleId="UnresolvedMention">
    <w:name w:val="Unresolved Mention"/>
    <w:basedOn w:val="DefaultParagraphFont"/>
    <w:uiPriority w:val="99"/>
    <w:semiHidden/>
    <w:unhideWhenUsed/>
    <w:rsid w:val="00EE4261"/>
    <w:rPr>
      <w:color w:val="605E5C"/>
      <w:shd w:val="clear" w:color="auto" w:fill="E1DFDD"/>
    </w:rPr>
  </w:style>
  <w:style w:type="paragraph" w:styleId="Header">
    <w:name w:val="header"/>
    <w:basedOn w:val="Normal"/>
    <w:link w:val="HeaderChar"/>
    <w:uiPriority w:val="99"/>
    <w:unhideWhenUsed/>
    <w:rsid w:val="005C7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D27"/>
  </w:style>
  <w:style w:type="paragraph" w:styleId="Footer">
    <w:name w:val="footer"/>
    <w:basedOn w:val="Normal"/>
    <w:link w:val="FooterChar"/>
    <w:uiPriority w:val="99"/>
    <w:unhideWhenUsed/>
    <w:rsid w:val="005C7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3754">
      <w:bodyDiv w:val="1"/>
      <w:marLeft w:val="0"/>
      <w:marRight w:val="0"/>
      <w:marTop w:val="0"/>
      <w:marBottom w:val="0"/>
      <w:divBdr>
        <w:top w:val="none" w:sz="0" w:space="0" w:color="auto"/>
        <w:left w:val="none" w:sz="0" w:space="0" w:color="auto"/>
        <w:bottom w:val="none" w:sz="0" w:space="0" w:color="auto"/>
        <w:right w:val="none" w:sz="0" w:space="0" w:color="auto"/>
      </w:divBdr>
    </w:div>
    <w:div w:id="36860904">
      <w:bodyDiv w:val="1"/>
      <w:marLeft w:val="0"/>
      <w:marRight w:val="0"/>
      <w:marTop w:val="0"/>
      <w:marBottom w:val="0"/>
      <w:divBdr>
        <w:top w:val="none" w:sz="0" w:space="0" w:color="auto"/>
        <w:left w:val="none" w:sz="0" w:space="0" w:color="auto"/>
        <w:bottom w:val="none" w:sz="0" w:space="0" w:color="auto"/>
        <w:right w:val="none" w:sz="0" w:space="0" w:color="auto"/>
      </w:divBdr>
    </w:div>
    <w:div w:id="209877399">
      <w:bodyDiv w:val="1"/>
      <w:marLeft w:val="0"/>
      <w:marRight w:val="0"/>
      <w:marTop w:val="0"/>
      <w:marBottom w:val="0"/>
      <w:divBdr>
        <w:top w:val="none" w:sz="0" w:space="0" w:color="auto"/>
        <w:left w:val="none" w:sz="0" w:space="0" w:color="auto"/>
        <w:bottom w:val="none" w:sz="0" w:space="0" w:color="auto"/>
        <w:right w:val="none" w:sz="0" w:space="0" w:color="auto"/>
      </w:divBdr>
    </w:div>
    <w:div w:id="229312160">
      <w:bodyDiv w:val="1"/>
      <w:marLeft w:val="0"/>
      <w:marRight w:val="0"/>
      <w:marTop w:val="0"/>
      <w:marBottom w:val="0"/>
      <w:divBdr>
        <w:top w:val="none" w:sz="0" w:space="0" w:color="auto"/>
        <w:left w:val="none" w:sz="0" w:space="0" w:color="auto"/>
        <w:bottom w:val="none" w:sz="0" w:space="0" w:color="auto"/>
        <w:right w:val="none" w:sz="0" w:space="0" w:color="auto"/>
      </w:divBdr>
    </w:div>
    <w:div w:id="671420028">
      <w:bodyDiv w:val="1"/>
      <w:marLeft w:val="0"/>
      <w:marRight w:val="0"/>
      <w:marTop w:val="0"/>
      <w:marBottom w:val="0"/>
      <w:divBdr>
        <w:top w:val="none" w:sz="0" w:space="0" w:color="auto"/>
        <w:left w:val="none" w:sz="0" w:space="0" w:color="auto"/>
        <w:bottom w:val="none" w:sz="0" w:space="0" w:color="auto"/>
        <w:right w:val="none" w:sz="0" w:space="0" w:color="auto"/>
      </w:divBdr>
    </w:div>
    <w:div w:id="1403331045">
      <w:bodyDiv w:val="1"/>
      <w:marLeft w:val="0"/>
      <w:marRight w:val="0"/>
      <w:marTop w:val="0"/>
      <w:marBottom w:val="0"/>
      <w:divBdr>
        <w:top w:val="none" w:sz="0" w:space="0" w:color="auto"/>
        <w:left w:val="none" w:sz="0" w:space="0" w:color="auto"/>
        <w:bottom w:val="none" w:sz="0" w:space="0" w:color="auto"/>
        <w:right w:val="none" w:sz="0" w:space="0" w:color="auto"/>
      </w:divBdr>
    </w:div>
    <w:div w:id="1552578301">
      <w:bodyDiv w:val="1"/>
      <w:marLeft w:val="0"/>
      <w:marRight w:val="0"/>
      <w:marTop w:val="0"/>
      <w:marBottom w:val="0"/>
      <w:divBdr>
        <w:top w:val="none" w:sz="0" w:space="0" w:color="auto"/>
        <w:left w:val="none" w:sz="0" w:space="0" w:color="auto"/>
        <w:bottom w:val="none" w:sz="0" w:space="0" w:color="auto"/>
        <w:right w:val="none" w:sz="0" w:space="0" w:color="auto"/>
      </w:divBdr>
    </w:div>
    <w:div w:id="1615016977">
      <w:bodyDiv w:val="1"/>
      <w:marLeft w:val="0"/>
      <w:marRight w:val="0"/>
      <w:marTop w:val="0"/>
      <w:marBottom w:val="0"/>
      <w:divBdr>
        <w:top w:val="none" w:sz="0" w:space="0" w:color="auto"/>
        <w:left w:val="none" w:sz="0" w:space="0" w:color="auto"/>
        <w:bottom w:val="none" w:sz="0" w:space="0" w:color="auto"/>
        <w:right w:val="none" w:sz="0" w:space="0" w:color="auto"/>
      </w:divBdr>
    </w:div>
    <w:div w:id="1817064713">
      <w:bodyDiv w:val="1"/>
      <w:marLeft w:val="0"/>
      <w:marRight w:val="0"/>
      <w:marTop w:val="0"/>
      <w:marBottom w:val="0"/>
      <w:divBdr>
        <w:top w:val="none" w:sz="0" w:space="0" w:color="auto"/>
        <w:left w:val="none" w:sz="0" w:space="0" w:color="auto"/>
        <w:bottom w:val="none" w:sz="0" w:space="0" w:color="auto"/>
        <w:right w:val="none" w:sz="0" w:space="0" w:color="auto"/>
      </w:divBdr>
    </w:div>
    <w:div w:id="198450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ustainabledevelopment/inequal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DDC96E7F0B4B48825D16DF36CFA285"/>
        <w:category>
          <w:name w:val="General"/>
          <w:gallery w:val="placeholder"/>
        </w:category>
        <w:types>
          <w:type w:val="bbPlcHdr"/>
        </w:types>
        <w:behaviors>
          <w:behavior w:val="content"/>
        </w:behaviors>
        <w:guid w:val="{3FD5C564-6BF0-4AA6-AC17-C454383652B4}"/>
      </w:docPartPr>
      <w:docPartBody>
        <w:p w:rsidR="00000000" w:rsidRDefault="003E110D" w:rsidP="003E110D">
          <w:pPr>
            <w:pStyle w:val="45DDC96E7F0B4B48825D16DF36CFA285"/>
          </w:pPr>
          <w:r>
            <w:rPr>
              <w:color w:val="156082" w:themeColor="accent1"/>
              <w:sz w:val="28"/>
              <w:szCs w:val="28"/>
            </w:rPr>
            <w:t>[Author name]</w:t>
          </w:r>
        </w:p>
      </w:docPartBody>
    </w:docPart>
    <w:docPart>
      <w:docPartPr>
        <w:name w:val="573F023DE9AC4B1B9A63338451656894"/>
        <w:category>
          <w:name w:val="General"/>
          <w:gallery w:val="placeholder"/>
        </w:category>
        <w:types>
          <w:type w:val="bbPlcHdr"/>
        </w:types>
        <w:behaviors>
          <w:behavior w:val="content"/>
        </w:behaviors>
        <w:guid w:val="{687FA86C-B4E8-4C94-8CFF-8E1ED12FA06D}"/>
      </w:docPartPr>
      <w:docPartBody>
        <w:p w:rsidR="00000000" w:rsidRDefault="003E110D" w:rsidP="003E110D">
          <w:pPr>
            <w:pStyle w:val="573F023DE9AC4B1B9A63338451656894"/>
          </w:pPr>
          <w:r>
            <w:rPr>
              <w:color w:val="156082" w:themeColor="accent1"/>
              <w:sz w:val="28"/>
              <w:szCs w:val="28"/>
            </w:rPr>
            <w:t>[Date]</w:t>
          </w:r>
        </w:p>
      </w:docPartBody>
    </w:docPart>
    <w:docPart>
      <w:docPartPr>
        <w:name w:val="76AAEC159A2F4EB49F4998B63E75A2D7"/>
        <w:category>
          <w:name w:val="General"/>
          <w:gallery w:val="placeholder"/>
        </w:category>
        <w:types>
          <w:type w:val="bbPlcHdr"/>
        </w:types>
        <w:behaviors>
          <w:behavior w:val="content"/>
        </w:behaviors>
        <w:guid w:val="{AFF997C7-00B5-41BE-9741-703EBCEACC27}"/>
      </w:docPartPr>
      <w:docPartBody>
        <w:p w:rsidR="00000000" w:rsidRDefault="003E110D" w:rsidP="003E110D">
          <w:pPr>
            <w:pStyle w:val="76AAEC159A2F4EB49F4998B63E75A2D7"/>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10D"/>
    <w:rsid w:val="003E110D"/>
    <w:rsid w:val="00B3021A"/>
    <w:rsid w:val="00F96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9ED07250824234AECB89A728E9A161">
    <w:name w:val="989ED07250824234AECB89A728E9A161"/>
    <w:rsid w:val="003E110D"/>
  </w:style>
  <w:style w:type="paragraph" w:customStyle="1" w:styleId="ED417690A19847BEBCA7E3E2274125A3">
    <w:name w:val="ED417690A19847BEBCA7E3E2274125A3"/>
    <w:rsid w:val="003E110D"/>
  </w:style>
  <w:style w:type="paragraph" w:customStyle="1" w:styleId="D412E8A2CB084E47A7C26E76DF690AF5">
    <w:name w:val="D412E8A2CB084E47A7C26E76DF690AF5"/>
    <w:rsid w:val="003E110D"/>
  </w:style>
  <w:style w:type="paragraph" w:customStyle="1" w:styleId="45DDC96E7F0B4B48825D16DF36CFA285">
    <w:name w:val="45DDC96E7F0B4B48825D16DF36CFA285"/>
    <w:rsid w:val="003E110D"/>
  </w:style>
  <w:style w:type="paragraph" w:customStyle="1" w:styleId="573F023DE9AC4B1B9A63338451656894">
    <w:name w:val="573F023DE9AC4B1B9A63338451656894"/>
    <w:rsid w:val="003E110D"/>
  </w:style>
  <w:style w:type="paragraph" w:customStyle="1" w:styleId="76AAEC159A2F4EB49F4998B63E75A2D7">
    <w:name w:val="76AAEC159A2F4EB49F4998B63E75A2D7"/>
    <w:rsid w:val="003E11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2025-07-18T00:00:00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
  <dc:creator>Student name: Flavius Fangli</dc:creator>
  <cp:keywords/>
  <dc:description/>
  <cp:lastModifiedBy>Mirabela Voican (1907947)</cp:lastModifiedBy>
  <cp:revision>1</cp:revision>
  <dcterms:created xsi:type="dcterms:W3CDTF">2025-07-18T19:24:00Z</dcterms:created>
  <dcterms:modified xsi:type="dcterms:W3CDTF">2025-07-18T20:26:00Z</dcterms:modified>
</cp:coreProperties>
</file>