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104B6" w14:textId="3B3E9BFA" w:rsidR="001500B6" w:rsidRDefault="00AC240E" w:rsidP="00626177">
      <w:pPr>
        <w:spacing w:after="0"/>
      </w:pPr>
      <w:r>
        <w:t>Assignment 8</w:t>
      </w:r>
    </w:p>
    <w:p w14:paraId="4D72EE06" w14:textId="2CC40D58" w:rsidR="00722814" w:rsidRDefault="00722814" w:rsidP="00626177">
      <w:pPr>
        <w:spacing w:after="0"/>
      </w:pPr>
      <w:r>
        <w:t>M Leather</w:t>
      </w:r>
      <w:r w:rsidR="00EB6929">
        <w:t xml:space="preserve"> - </w:t>
      </w:r>
      <w:r>
        <w:t>Level 4</w:t>
      </w:r>
    </w:p>
    <w:p w14:paraId="03B08124" w14:textId="01B1CC9D" w:rsidR="00722814" w:rsidRDefault="00722814" w:rsidP="00626177">
      <w:pPr>
        <w:spacing w:after="0"/>
      </w:pPr>
      <w:r>
        <w:t xml:space="preserve">The Colonial Project and </w:t>
      </w:r>
      <w:r w:rsidR="00626177">
        <w:t xml:space="preserve">the </w:t>
      </w:r>
      <w:r>
        <w:t>Humanities</w:t>
      </w:r>
      <w:r w:rsidR="00626177">
        <w:t xml:space="preserve"> (HPH4006)</w:t>
      </w:r>
    </w:p>
    <w:p w14:paraId="1D03462E" w14:textId="77777777" w:rsidR="00626177" w:rsidRDefault="00626177" w:rsidP="00626177">
      <w:pPr>
        <w:spacing w:after="0"/>
      </w:pPr>
    </w:p>
    <w:p w14:paraId="72C736DB" w14:textId="7FA1674C" w:rsidR="00AC240E" w:rsidRPr="00722814" w:rsidRDefault="0097395B">
      <w:pPr>
        <w:rPr>
          <w:b/>
          <w:bCs/>
          <w:sz w:val="24"/>
          <w:szCs w:val="24"/>
        </w:rPr>
      </w:pPr>
      <w:r>
        <w:rPr>
          <w:b/>
          <w:bCs/>
          <w:sz w:val="24"/>
          <w:szCs w:val="24"/>
        </w:rPr>
        <w:t>The Lands of South Africa</w:t>
      </w:r>
      <w:r w:rsidR="00AC240E" w:rsidRPr="00722814">
        <w:rPr>
          <w:b/>
          <w:bCs/>
          <w:sz w:val="24"/>
          <w:szCs w:val="24"/>
        </w:rPr>
        <w:t xml:space="preserve"> and Colonialisation</w:t>
      </w:r>
    </w:p>
    <w:p w14:paraId="6DB7C8F8" w14:textId="212E8555" w:rsidR="003C0DA9" w:rsidRPr="003C0DA9" w:rsidRDefault="003C0DA9">
      <w:pPr>
        <w:rPr>
          <w:b/>
          <w:bCs/>
          <w:sz w:val="24"/>
          <w:szCs w:val="24"/>
        </w:rPr>
      </w:pPr>
      <w:r w:rsidRPr="003C0DA9">
        <w:rPr>
          <w:b/>
          <w:bCs/>
          <w:sz w:val="24"/>
          <w:szCs w:val="24"/>
        </w:rPr>
        <w:t>Introduction</w:t>
      </w:r>
    </w:p>
    <w:p w14:paraId="78D5537F" w14:textId="2674F81C" w:rsidR="00AC240E" w:rsidRDefault="003C1B53" w:rsidP="00722814">
      <w:pPr>
        <w:ind w:left="720"/>
        <w:jc w:val="both"/>
      </w:pPr>
      <w:r>
        <w:t>The Union of International Associations</w:t>
      </w:r>
      <w:r w:rsidR="007E55E7">
        <w:t>, (UIA),</w:t>
      </w:r>
      <w:r w:rsidR="00AC240E">
        <w:t xml:space="preserve"> </w:t>
      </w:r>
      <w:r>
        <w:t>state that</w:t>
      </w:r>
      <w:r w:rsidR="00AC240E">
        <w:t xml:space="preserve"> colonialism</w:t>
      </w:r>
      <w:r>
        <w:t>, in its recognised form of</w:t>
      </w:r>
      <w:r w:rsidR="00AC240E">
        <w:t xml:space="preserve"> </w:t>
      </w:r>
      <w:r>
        <w:rPr>
          <w:rFonts w:ascii="Source Sans Pro" w:hAnsi="Source Sans Pro"/>
          <w:color w:val="000000"/>
        </w:rPr>
        <w:t>“the establishment and maintenance, for an extended time, of rule over a people that is separate from and subordinate to the ruling power”</w:t>
      </w:r>
      <w:r>
        <w:rPr>
          <w:rStyle w:val="FootnoteReference"/>
          <w:rFonts w:ascii="Source Sans Pro" w:hAnsi="Source Sans Pro"/>
          <w:color w:val="000000"/>
        </w:rPr>
        <w:footnoteReference w:id="1"/>
      </w:r>
      <w:r w:rsidR="00EB6929">
        <w:rPr>
          <w:rFonts w:ascii="Source Sans Pro" w:hAnsi="Source Sans Pro"/>
          <w:color w:val="000000"/>
        </w:rPr>
        <w:t xml:space="preserve">, </w:t>
      </w:r>
      <w:r w:rsidR="00AC240E">
        <w:t xml:space="preserve">is a thing of the past and </w:t>
      </w:r>
      <w:r w:rsidR="007E55E7">
        <w:t>current issues globally are a result of other issues borne out of the initial colonisation</w:t>
      </w:r>
      <w:r w:rsidR="00AC240E">
        <w:t>.</w:t>
      </w:r>
      <w:r w:rsidR="007E55E7">
        <w:t xml:space="preserve"> As you can see from Figure 1, UIA’s own visual interpretation of the issues stem from and are connected to the core</w:t>
      </w:r>
      <w:r w:rsidR="00391002">
        <w:t>.</w:t>
      </w:r>
      <w:r w:rsidR="00AC240E">
        <w:t xml:space="preserve"> This essay will seek to explain that </w:t>
      </w:r>
      <w:r w:rsidR="00285310">
        <w:t>their</w:t>
      </w:r>
      <w:r w:rsidR="00552D3A">
        <w:t xml:space="preserve"> view</w:t>
      </w:r>
      <w:r w:rsidR="00AC240E">
        <w:t xml:space="preserve"> is not the case and in fact, Colonialism</w:t>
      </w:r>
      <w:r w:rsidR="00552D3A">
        <w:t>, in whatever title you want to give it,</w:t>
      </w:r>
      <w:r w:rsidR="00AC240E">
        <w:t xml:space="preserve"> is alive and well and hopefully entering its latter stages of application</w:t>
      </w:r>
      <w:r w:rsidR="003C0DA9">
        <w:t xml:space="preserve"> </w:t>
      </w:r>
      <w:r w:rsidR="007E55E7">
        <w:t>through development and m</w:t>
      </w:r>
      <w:r w:rsidR="003C0DA9">
        <w:t>odernisation and the issues that raises</w:t>
      </w:r>
      <w:r w:rsidR="00AC240E">
        <w:t xml:space="preserve">. As an area to focus on, the essay will look at </w:t>
      </w:r>
      <w:r w:rsidR="007E19E2">
        <w:t>historical l</w:t>
      </w:r>
      <w:r w:rsidR="00AC240E">
        <w:t>and</w:t>
      </w:r>
      <w:r w:rsidR="007E19E2">
        <w:t xml:space="preserve"> occupation and the subsequent</w:t>
      </w:r>
      <w:r w:rsidR="00AC240E">
        <w:t xml:space="preserve"> reclamation that is currently an issue in South Africa and is, but only in part, responsible for the upheaval that is the county’s present predicament.</w:t>
      </w:r>
    </w:p>
    <w:p w14:paraId="2059B347" w14:textId="49DE46CD" w:rsidR="003C1B53" w:rsidRDefault="003C1B53" w:rsidP="00391002">
      <w:pPr>
        <w:ind w:left="720"/>
        <w:jc w:val="center"/>
      </w:pPr>
      <w:r>
        <w:rPr>
          <w:noProof/>
        </w:rPr>
        <w:drawing>
          <wp:inline distT="0" distB="0" distL="0" distR="0" wp14:anchorId="3FD7479E" wp14:editId="57DBBEB8">
            <wp:extent cx="4593945" cy="45939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28153" cy="4628153"/>
                    </a:xfrm>
                    <a:prstGeom prst="rect">
                      <a:avLst/>
                    </a:prstGeom>
                  </pic:spPr>
                </pic:pic>
              </a:graphicData>
            </a:graphic>
          </wp:inline>
        </w:drawing>
      </w:r>
    </w:p>
    <w:p w14:paraId="6F4F0D92" w14:textId="23930276" w:rsidR="007E55E7" w:rsidRPr="00391002" w:rsidRDefault="007E55E7" w:rsidP="00391002">
      <w:pPr>
        <w:ind w:left="720"/>
        <w:jc w:val="center"/>
        <w:rPr>
          <w:rFonts w:cstheme="minorHAnsi"/>
          <w:sz w:val="20"/>
          <w:szCs w:val="20"/>
        </w:rPr>
      </w:pPr>
      <w:r w:rsidRPr="00391002">
        <w:rPr>
          <w:sz w:val="20"/>
          <w:szCs w:val="20"/>
        </w:rPr>
        <w:t xml:space="preserve">Figure 1. UIA’s </w:t>
      </w:r>
      <w:r w:rsidRPr="00391002">
        <w:rPr>
          <w:rFonts w:cstheme="minorHAnsi"/>
          <w:sz w:val="20"/>
          <w:szCs w:val="20"/>
        </w:rPr>
        <w:t>Experimental visualization of narrower problems</w:t>
      </w:r>
    </w:p>
    <w:p w14:paraId="62405B1B" w14:textId="47934B77" w:rsidR="00722814" w:rsidRDefault="00084871" w:rsidP="00AC240E">
      <w:pPr>
        <w:jc w:val="both"/>
        <w:rPr>
          <w:b/>
          <w:bCs/>
          <w:sz w:val="24"/>
          <w:szCs w:val="24"/>
        </w:rPr>
      </w:pPr>
      <w:r>
        <w:rPr>
          <w:b/>
          <w:bCs/>
          <w:sz w:val="24"/>
          <w:szCs w:val="24"/>
        </w:rPr>
        <w:lastRenderedPageBreak/>
        <w:t>South Africa’s Colonialism</w:t>
      </w:r>
      <w:r w:rsidR="003C0DA9" w:rsidRPr="003C0DA9">
        <w:rPr>
          <w:b/>
          <w:bCs/>
          <w:sz w:val="24"/>
          <w:szCs w:val="24"/>
        </w:rPr>
        <w:t xml:space="preserve"> </w:t>
      </w:r>
      <w:r w:rsidR="00722814">
        <w:rPr>
          <w:b/>
          <w:bCs/>
          <w:sz w:val="24"/>
          <w:szCs w:val="24"/>
        </w:rPr>
        <w:tab/>
      </w:r>
    </w:p>
    <w:p w14:paraId="5B08ADB8" w14:textId="3D4C47B6" w:rsidR="003C0DA9" w:rsidRDefault="007F2688" w:rsidP="002C2277">
      <w:pPr>
        <w:ind w:left="720"/>
        <w:jc w:val="both"/>
      </w:pPr>
      <w:r>
        <w:t xml:space="preserve">It is accepted by historians everywhere that Colonisation started with Columbus’s voyage of 1492, The colonisation of South Africa emerged much later with the arrival of the Dutch East India Company in </w:t>
      </w:r>
      <w:r w:rsidR="00EF0717">
        <w:t>1652 to set up a ‘refreshment station’ to service the needs of their fleet heading for East Asia at the time.</w:t>
      </w:r>
      <w:r w:rsidR="00EF0717">
        <w:rPr>
          <w:rStyle w:val="FootnoteReference"/>
        </w:rPr>
        <w:footnoteReference w:id="2"/>
      </w:r>
      <w:r>
        <w:t xml:space="preserve"> </w:t>
      </w:r>
      <w:r w:rsidR="00EF0717">
        <w:t xml:space="preserve">Britain became involved </w:t>
      </w:r>
      <w:r w:rsidR="00552D3A">
        <w:t xml:space="preserve">later </w:t>
      </w:r>
      <w:r w:rsidR="00EF0717">
        <w:t xml:space="preserve">in the occupation of The Cape in South </w:t>
      </w:r>
      <w:r w:rsidR="00572B2A">
        <w:t>Africa in</w:t>
      </w:r>
      <w:r w:rsidR="00EF0717">
        <w:t xml:space="preserve"> as a result of wars in Europe with France</w:t>
      </w:r>
      <w:r w:rsidR="00572B2A">
        <w:t xml:space="preserve">, </w:t>
      </w:r>
      <w:r w:rsidR="00552D3A">
        <w:t xml:space="preserve">with </w:t>
      </w:r>
      <w:r w:rsidR="00572B2A">
        <w:t>the beginning of the Napoleonic Wars</w:t>
      </w:r>
      <w:r w:rsidR="00EF0717">
        <w:t xml:space="preserve"> and a need to protect the trade routes</w:t>
      </w:r>
      <w:r w:rsidR="00572B2A">
        <w:t xml:space="preserve"> to Asia. They </w:t>
      </w:r>
      <w:r w:rsidR="00552D3A">
        <w:t xml:space="preserve">first </w:t>
      </w:r>
      <w:r w:rsidR="00572B2A">
        <w:t xml:space="preserve">occupied it in 1806. </w:t>
      </w:r>
      <w:r w:rsidR="00552D3A">
        <w:t>After some toing and froing with the Dutch, t</w:t>
      </w:r>
      <w:r w:rsidR="00572B2A">
        <w:t>he end of the</w:t>
      </w:r>
      <w:r w:rsidR="00552D3A">
        <w:t xml:space="preserve"> Napoleonic</w:t>
      </w:r>
      <w:r w:rsidR="00572B2A">
        <w:t xml:space="preserve"> wars</w:t>
      </w:r>
      <w:r w:rsidR="00697EB1">
        <w:t xml:space="preserve"> in 1820 saw an influx of settlers arrive in South Africa and these were given parcels of land on which to settle.</w:t>
      </w:r>
      <w:r w:rsidR="00697EB1">
        <w:rPr>
          <w:rStyle w:val="FootnoteReference"/>
        </w:rPr>
        <w:footnoteReference w:id="3"/>
      </w:r>
      <w:r w:rsidR="00572B2A">
        <w:t xml:space="preserve"> </w:t>
      </w:r>
      <w:r w:rsidR="00697EB1">
        <w:t>The numerical expansion of these settlers led to the need for more land and labour with which to build towns and farm the land as most settlers were of artisan trades and not natural farmers. This led to internal slavery as well as the seizing of land</w:t>
      </w:r>
      <w:r w:rsidR="00340E80">
        <w:t>, achieved by British Military intervention</w:t>
      </w:r>
      <w:r w:rsidR="00697EB1">
        <w:t>, forcing the indigenous people</w:t>
      </w:r>
      <w:r w:rsidR="00340E80">
        <w:t xml:space="preserve"> out</w:t>
      </w:r>
      <w:r w:rsidR="008B6FBB">
        <w:rPr>
          <w:rStyle w:val="FootnoteReference"/>
        </w:rPr>
        <w:footnoteReference w:id="4"/>
      </w:r>
      <w:r w:rsidR="00340E80">
        <w:t>.</w:t>
      </w:r>
      <w:r w:rsidR="002C2277">
        <w:t xml:space="preserve"> The Great Trek</w:t>
      </w:r>
      <w:r w:rsidR="00E00E2D">
        <w:t xml:space="preserve"> between 1835 and 1870</w:t>
      </w:r>
      <w:r w:rsidR="002C2277">
        <w:t xml:space="preserve"> by the Dutch pushed the frontiers further north and east as they sought to </w:t>
      </w:r>
      <w:r w:rsidR="00E00E2D">
        <w:t xml:space="preserve">not only </w:t>
      </w:r>
      <w:r w:rsidR="002C2277">
        <w:t>distance themselves from the British’s decision to abolish slavery completely</w:t>
      </w:r>
      <w:r w:rsidR="00E00E2D">
        <w:t>,</w:t>
      </w:r>
      <w:r w:rsidR="002C2277">
        <w:t xml:space="preserve"> and release the 35,000 that were still ‘incarcerated’</w:t>
      </w:r>
      <w:r w:rsidR="00E00E2D">
        <w:t>,</w:t>
      </w:r>
      <w:r w:rsidR="002C2277">
        <w:rPr>
          <w:rStyle w:val="FootnoteReference"/>
        </w:rPr>
        <w:footnoteReference w:id="5"/>
      </w:r>
      <w:r w:rsidR="00E00E2D">
        <w:t xml:space="preserve"> but more as an escape from the long period of land seizures and colonial labour raids.</w:t>
      </w:r>
    </w:p>
    <w:p w14:paraId="4997DFEF" w14:textId="4D16B9EC" w:rsidR="009B5776" w:rsidRDefault="009B5776" w:rsidP="002C2277">
      <w:pPr>
        <w:ind w:left="720"/>
        <w:jc w:val="both"/>
      </w:pPr>
      <w:r>
        <w:t>Civil Wars between indigenous people, Afrikaans and the British continued unabated for many years and in many forms including the Delagoa Bay Slave Trade, the Great Trek and the South African War, all to</w:t>
      </w:r>
      <w:r w:rsidR="00552D3A">
        <w:t>o</w:t>
      </w:r>
      <w:r>
        <w:t xml:space="preserve"> in depth to cover the fine detail</w:t>
      </w:r>
      <w:r w:rsidR="00552D3A">
        <w:t>,</w:t>
      </w:r>
      <w:r>
        <w:t xml:space="preserve"> but sufficient to say that </w:t>
      </w:r>
      <w:r w:rsidR="00583C9B">
        <w:t>there</w:t>
      </w:r>
      <w:r>
        <w:t xml:space="preserve"> was a constant moving and re-distribution of territories during this period.  </w:t>
      </w:r>
      <w:r w:rsidR="00583C9B">
        <w:t xml:space="preserve">Both British and Afrikaans had their own </w:t>
      </w:r>
      <w:r w:rsidR="00552D3A">
        <w:t xml:space="preserve">opposing </w:t>
      </w:r>
      <w:r w:rsidR="00583C9B">
        <w:t>political leaders in Alfred Milner, (British), and Paul Kruger, (</w:t>
      </w:r>
      <w:r w:rsidR="00285310">
        <w:t>Afrikaans</w:t>
      </w:r>
      <w:r w:rsidR="00583C9B">
        <w:t xml:space="preserve"> President)</w:t>
      </w:r>
      <w:r w:rsidR="00285310">
        <w:t xml:space="preserve"> vying for power and control</w:t>
      </w:r>
      <w:r w:rsidR="00552D3A">
        <w:t>.</w:t>
      </w:r>
      <w:r w:rsidR="007F0AAF">
        <w:t xml:space="preserve"> </w:t>
      </w:r>
      <w:r w:rsidR="00552D3A">
        <w:t>The</w:t>
      </w:r>
      <w:r w:rsidR="00583C9B">
        <w:t xml:space="preserve"> </w:t>
      </w:r>
      <w:r w:rsidR="00552D3A">
        <w:t xml:space="preserve">British </w:t>
      </w:r>
      <w:r w:rsidR="00583C9B">
        <w:t xml:space="preserve">High Commissioner </w:t>
      </w:r>
      <w:r w:rsidR="00552D3A">
        <w:t xml:space="preserve">Milner </w:t>
      </w:r>
      <w:r w:rsidR="00583C9B">
        <w:t xml:space="preserve">moved his </w:t>
      </w:r>
      <w:r w:rsidR="00552D3A">
        <w:t>h</w:t>
      </w:r>
      <w:r w:rsidR="00583C9B">
        <w:t xml:space="preserve">eadquarters from Cape Town to Pretoria which effectively indicated the </w:t>
      </w:r>
      <w:r w:rsidR="00552D3A">
        <w:t xml:space="preserve">British dominance and the </w:t>
      </w:r>
      <w:r w:rsidR="00583C9B">
        <w:t>centrality of the Transvaal and promoting his vision of a country politically dominated by English speaking whites; this failed.</w:t>
      </w:r>
      <w:r w:rsidR="00583C9B">
        <w:rPr>
          <w:rStyle w:val="FootnoteReference"/>
        </w:rPr>
        <w:footnoteReference w:id="6"/>
      </w:r>
      <w:r w:rsidR="007F0AAF">
        <w:t xml:space="preserve"> Even the ensuing Treaty of Vereeniging</w:t>
      </w:r>
      <w:r w:rsidR="007F0AAF">
        <w:rPr>
          <w:rStyle w:val="FootnoteReference"/>
        </w:rPr>
        <w:footnoteReference w:id="7"/>
      </w:r>
      <w:r w:rsidR="001900F4">
        <w:t xml:space="preserve"> following the South African war failed to deliver promises of returning land back to the defeated Boers.</w:t>
      </w:r>
    </w:p>
    <w:p w14:paraId="2C84F49D" w14:textId="2D812A8E" w:rsidR="00722814" w:rsidRDefault="00402C9F" w:rsidP="00AC240E">
      <w:pPr>
        <w:jc w:val="both"/>
        <w:rPr>
          <w:b/>
          <w:bCs/>
          <w:sz w:val="24"/>
          <w:szCs w:val="24"/>
        </w:rPr>
      </w:pPr>
      <w:r>
        <w:rPr>
          <w:b/>
          <w:bCs/>
          <w:sz w:val="24"/>
          <w:szCs w:val="24"/>
        </w:rPr>
        <w:t>False Dawn</w:t>
      </w:r>
    </w:p>
    <w:p w14:paraId="08D40640" w14:textId="77777777" w:rsidR="00285310" w:rsidRDefault="00BF363F" w:rsidP="00722814">
      <w:pPr>
        <w:ind w:left="720"/>
        <w:jc w:val="both"/>
        <w:rPr>
          <w:rFonts w:ascii="Georgia" w:hAnsi="Georgia"/>
          <w:color w:val="282828"/>
          <w:sz w:val="26"/>
          <w:szCs w:val="26"/>
          <w:shd w:val="clear" w:color="auto" w:fill="FFFFFF"/>
        </w:rPr>
      </w:pPr>
      <w:r>
        <w:t xml:space="preserve">The </w:t>
      </w:r>
      <w:r w:rsidR="001900F4">
        <w:t>discovery</w:t>
      </w:r>
      <w:r>
        <w:t xml:space="preserve"> of Gold and Diamonds in the South African economy brought about a </w:t>
      </w:r>
      <w:r w:rsidR="001900F4">
        <w:t>resurgence</w:t>
      </w:r>
      <w:r>
        <w:t xml:space="preserve"> in South Africa that led to the development of the mining industry around Kimberley and a sequence of imperial interventions by Britain.</w:t>
      </w:r>
      <w:r w:rsidR="001900F4">
        <w:t xml:space="preserve"> Although even this brought about land disputes over the diamond zone between the different factions as to ownership. </w:t>
      </w:r>
      <w:r w:rsidR="00552D3A">
        <w:t>Progress</w:t>
      </w:r>
      <w:r w:rsidR="001900F4">
        <w:t xml:space="preserve"> eventually brought about </w:t>
      </w:r>
      <w:r w:rsidR="00285310">
        <w:t xml:space="preserve">the </w:t>
      </w:r>
      <w:r w:rsidR="001900F4">
        <w:t>Union of South Africa in 1910</w:t>
      </w:r>
      <w:r w:rsidR="00386C46">
        <w:t xml:space="preserve"> by a constitutional convention</w:t>
      </w:r>
      <w:r w:rsidR="00285310">
        <w:t>, resulting in independence,</w:t>
      </w:r>
      <w:r w:rsidR="003A1667">
        <w:t xml:space="preserve"> </w:t>
      </w:r>
      <w:r w:rsidR="00285310">
        <w:t>instigated</w:t>
      </w:r>
      <w:r w:rsidR="003A1667">
        <w:t xml:space="preserve"> by the four colonies of Orange Free State, </w:t>
      </w:r>
      <w:r w:rsidR="003A1667">
        <w:lastRenderedPageBreak/>
        <w:t>Cape, Natal and Transvaal. This gave them sovereignty over their domestic affairs with Britain dealing with the wider world relations.</w:t>
      </w:r>
      <w:r w:rsidR="003A1667">
        <w:rPr>
          <w:rStyle w:val="FootnoteReference"/>
        </w:rPr>
        <w:footnoteReference w:id="8"/>
      </w:r>
      <w:r w:rsidR="001900F4">
        <w:t xml:space="preserve"> </w:t>
      </w:r>
      <w:r w:rsidR="00386C46">
        <w:t xml:space="preserve">However, </w:t>
      </w:r>
      <w:r w:rsidR="008B2FDB">
        <w:t>this did lead also to segregation of the blacks and Afrikaans</w:t>
      </w:r>
      <w:r w:rsidR="00386C46">
        <w:t>, giving priority to the minority settlers over the majority blacks</w:t>
      </w:r>
      <w:r w:rsidR="005563B2">
        <w:t xml:space="preserve"> which was compounded by blacks living in any of the four territories being excluded from any political involvement</w:t>
      </w:r>
      <w:r w:rsidR="00386C46">
        <w:t>.</w:t>
      </w:r>
      <w:r w:rsidR="00386C46">
        <w:rPr>
          <w:rStyle w:val="FootnoteReference"/>
        </w:rPr>
        <w:footnoteReference w:id="9"/>
      </w:r>
      <w:r w:rsidR="00386C46">
        <w:t xml:space="preserve"> </w:t>
      </w:r>
      <w:r w:rsidR="005563B2">
        <w:t>In the first 20 years of this union, mainly under the leadership of J. M. B. Hertzog, new legislation provided racial separation in all aspects of the economy including territorial, administrative</w:t>
      </w:r>
      <w:r w:rsidR="00FF5E5A">
        <w:t xml:space="preserve"> </w:t>
      </w:r>
      <w:r w:rsidR="005563B2">
        <w:t>and residential</w:t>
      </w:r>
      <w:r w:rsidR="009E2EE8">
        <w:t xml:space="preserve"> </w:t>
      </w:r>
      <w:r w:rsidR="00FF5E5A">
        <w:t>issues;</w:t>
      </w:r>
      <w:r w:rsidR="009E2EE8">
        <w:t xml:space="preserve"> </w:t>
      </w:r>
      <w:r w:rsidR="00EB6929">
        <w:t>t</w:t>
      </w:r>
      <w:r w:rsidR="009E2EE8">
        <w:t xml:space="preserve">he </w:t>
      </w:r>
      <w:r w:rsidR="00EB6929">
        <w:t>b</w:t>
      </w:r>
      <w:r w:rsidR="009E2EE8">
        <w:t xml:space="preserve">lack South Africans were now </w:t>
      </w:r>
      <w:r w:rsidR="00EB6929">
        <w:t>forced to live</w:t>
      </w:r>
      <w:r w:rsidR="009E2EE8">
        <w:t xml:space="preserve"> on designated reservations</w:t>
      </w:r>
      <w:r w:rsidR="00EB6929">
        <w:t xml:space="preserve"> </w:t>
      </w:r>
      <w:r w:rsidR="00FF5E5A">
        <w:t>w</w:t>
      </w:r>
      <w:r w:rsidR="00EB6929">
        <w:t>hich later became known as Bantustans</w:t>
      </w:r>
      <w:r w:rsidR="00305C24">
        <w:t xml:space="preserve"> in 1959</w:t>
      </w:r>
      <w:r w:rsidR="009E2EE8">
        <w:t>.</w:t>
      </w:r>
      <w:r w:rsidR="00305C24" w:rsidRPr="00305C24">
        <w:rPr>
          <w:rFonts w:ascii="Georgia" w:hAnsi="Georgia"/>
          <w:color w:val="282828"/>
          <w:sz w:val="26"/>
          <w:szCs w:val="26"/>
          <w:shd w:val="clear" w:color="auto" w:fill="FFFFFF"/>
        </w:rPr>
        <w:t xml:space="preserve"> </w:t>
      </w:r>
    </w:p>
    <w:p w14:paraId="1AFF3E9D" w14:textId="5E339948" w:rsidR="00285310" w:rsidRDefault="00687674" w:rsidP="00285310">
      <w:pPr>
        <w:spacing w:after="0"/>
        <w:ind w:left="720"/>
        <w:jc w:val="both"/>
        <w:rPr>
          <w:rFonts w:cstheme="minorHAnsi"/>
          <w:color w:val="282828"/>
          <w:shd w:val="clear" w:color="auto" w:fill="FFFFFF"/>
        </w:rPr>
      </w:pPr>
      <w:r>
        <w:rPr>
          <w:rFonts w:cstheme="minorHAnsi"/>
          <w:color w:val="282828"/>
          <w:shd w:val="clear" w:color="auto" w:fill="FFFFFF"/>
        </w:rPr>
        <w:t xml:space="preserve">The </w:t>
      </w:r>
      <w:r w:rsidR="00305C24" w:rsidRPr="00305C24">
        <w:rPr>
          <w:rFonts w:cstheme="minorHAnsi"/>
          <w:color w:val="282828"/>
          <w:shd w:val="clear" w:color="auto" w:fill="FFFFFF"/>
        </w:rPr>
        <w:t>Black Land Act, which came into force 19 June 1913</w:t>
      </w:r>
      <w:r w:rsidR="00285310">
        <w:rPr>
          <w:rFonts w:cstheme="minorHAnsi"/>
          <w:color w:val="282828"/>
          <w:shd w:val="clear" w:color="auto" w:fill="FFFFFF"/>
        </w:rPr>
        <w:t xml:space="preserve"> under Hertzog stated it; </w:t>
      </w:r>
    </w:p>
    <w:p w14:paraId="176DF00B" w14:textId="712A2C84" w:rsidR="003C0DA9" w:rsidRDefault="00305C24" w:rsidP="00285310">
      <w:pPr>
        <w:spacing w:after="0"/>
        <w:ind w:left="720"/>
        <w:jc w:val="both"/>
      </w:pPr>
      <w:proofErr w:type="gramStart"/>
      <w:r>
        <w:rPr>
          <w:rFonts w:cstheme="minorHAnsi"/>
          <w:color w:val="282828"/>
          <w:shd w:val="clear" w:color="auto" w:fill="FFFFFF"/>
        </w:rPr>
        <w:t>“</w:t>
      </w:r>
      <w:r w:rsidR="00432BAC">
        <w:rPr>
          <w:rFonts w:cstheme="minorHAnsi"/>
          <w:color w:val="282828"/>
          <w:shd w:val="clear" w:color="auto" w:fill="FFFFFF"/>
        </w:rPr>
        <w:t>..</w:t>
      </w:r>
      <w:proofErr w:type="gramEnd"/>
      <w:r w:rsidRPr="00305C24">
        <w:rPr>
          <w:rFonts w:cstheme="minorHAnsi"/>
          <w:color w:val="282828"/>
          <w:shd w:val="clear" w:color="auto" w:fill="FFFFFF"/>
        </w:rPr>
        <w:t>legally established the idea that Black South Africans did not belong in much of South Africa, and later legislation and policies were built around this law. In 1959, these reserves were converted to Bantustans, and in 1976, four of them were actually declared "independent" states within South Africa, a move that stripped those born in those four territories of their South African citizenship</w:t>
      </w:r>
      <w:r>
        <w:rPr>
          <w:rFonts w:ascii="Georgia" w:hAnsi="Georgia"/>
          <w:color w:val="282828"/>
          <w:sz w:val="26"/>
          <w:szCs w:val="26"/>
          <w:shd w:val="clear" w:color="auto" w:fill="FFFFFF"/>
        </w:rPr>
        <w:t>.</w:t>
      </w:r>
      <w:r w:rsidRPr="00305C24">
        <w:rPr>
          <w:rFonts w:cstheme="minorHAnsi"/>
          <w:color w:val="282828"/>
          <w:shd w:val="clear" w:color="auto" w:fill="FFFFFF"/>
        </w:rPr>
        <w:t>, Black South Africans were no longer be able to own, or even rent, land outside of designated reserves</w:t>
      </w:r>
      <w:r>
        <w:rPr>
          <w:rFonts w:cstheme="minorHAnsi"/>
          <w:color w:val="282828"/>
          <w:shd w:val="clear" w:color="auto" w:fill="FFFFFF"/>
        </w:rPr>
        <w:t>”</w:t>
      </w:r>
      <w:r>
        <w:rPr>
          <w:rStyle w:val="FootnoteReference"/>
          <w:rFonts w:cstheme="minorHAnsi"/>
          <w:color w:val="282828"/>
          <w:shd w:val="clear" w:color="auto" w:fill="FFFFFF"/>
        </w:rPr>
        <w:footnoteReference w:id="10"/>
      </w:r>
      <w:r>
        <w:t xml:space="preserve"> </w:t>
      </w:r>
    </w:p>
    <w:p w14:paraId="7917B057" w14:textId="65F0F7F0" w:rsidR="004C00F0" w:rsidRDefault="00EB6929" w:rsidP="00722814">
      <w:pPr>
        <w:ind w:left="720"/>
        <w:jc w:val="both"/>
      </w:pPr>
      <w:r>
        <w:rPr>
          <w:noProof/>
        </w:rPr>
        <w:drawing>
          <wp:inline distT="0" distB="0" distL="0" distR="0" wp14:anchorId="12BBD4C5" wp14:editId="67394FF3">
            <wp:extent cx="5050217" cy="4448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054116" cy="4451609"/>
                    </a:xfrm>
                    <a:prstGeom prst="rect">
                      <a:avLst/>
                    </a:prstGeom>
                  </pic:spPr>
                </pic:pic>
              </a:graphicData>
            </a:graphic>
          </wp:inline>
        </w:drawing>
      </w:r>
    </w:p>
    <w:p w14:paraId="6864AD71" w14:textId="4076FFA4" w:rsidR="00EB6929" w:rsidRDefault="00EB6929" w:rsidP="00EB6929">
      <w:pPr>
        <w:ind w:left="720"/>
        <w:jc w:val="center"/>
      </w:pPr>
      <w:r>
        <w:t>Fig 2</w:t>
      </w:r>
      <w:r w:rsidRPr="00EB6929">
        <w:rPr>
          <w:rFonts w:cstheme="minorHAnsi"/>
          <w:sz w:val="20"/>
          <w:szCs w:val="20"/>
        </w:rPr>
        <w:t xml:space="preserve">. </w:t>
      </w:r>
      <w:r w:rsidRPr="00EB6929">
        <w:rPr>
          <w:rFonts w:cstheme="minorHAnsi"/>
          <w:color w:val="282828"/>
          <w:sz w:val="20"/>
          <w:szCs w:val="20"/>
          <w:shd w:val="clear" w:color="auto" w:fill="FFFFFF"/>
        </w:rPr>
        <w:t>Map showing the Bantustans in South Africa</w:t>
      </w:r>
      <w:r w:rsidRPr="00EB6929">
        <w:rPr>
          <w:rStyle w:val="FootnoteReference"/>
          <w:rFonts w:cstheme="minorHAnsi"/>
          <w:color w:val="282828"/>
          <w:sz w:val="20"/>
          <w:szCs w:val="20"/>
          <w:shd w:val="clear" w:color="auto" w:fill="FFFFFF"/>
        </w:rPr>
        <w:footnoteReference w:id="11"/>
      </w:r>
    </w:p>
    <w:p w14:paraId="4CB26CDB" w14:textId="6CA195C3" w:rsidR="00722814" w:rsidRDefault="00353CD8" w:rsidP="00AC240E">
      <w:pPr>
        <w:jc w:val="both"/>
        <w:rPr>
          <w:b/>
          <w:bCs/>
          <w:sz w:val="24"/>
          <w:szCs w:val="24"/>
        </w:rPr>
      </w:pPr>
      <w:r>
        <w:rPr>
          <w:b/>
          <w:bCs/>
          <w:sz w:val="24"/>
          <w:szCs w:val="24"/>
        </w:rPr>
        <w:lastRenderedPageBreak/>
        <w:t>Colonialism</w:t>
      </w:r>
      <w:r w:rsidR="003C0DA9" w:rsidRPr="003C0DA9">
        <w:rPr>
          <w:b/>
          <w:bCs/>
          <w:sz w:val="24"/>
          <w:szCs w:val="24"/>
        </w:rPr>
        <w:t xml:space="preserve"> </w:t>
      </w:r>
      <w:r w:rsidR="009E2EE8">
        <w:rPr>
          <w:b/>
          <w:bCs/>
          <w:sz w:val="24"/>
          <w:szCs w:val="24"/>
        </w:rPr>
        <w:t xml:space="preserve">Hands </w:t>
      </w:r>
      <w:proofErr w:type="gramStart"/>
      <w:r w:rsidR="009E2EE8">
        <w:rPr>
          <w:b/>
          <w:bCs/>
          <w:sz w:val="24"/>
          <w:szCs w:val="24"/>
        </w:rPr>
        <w:t>The</w:t>
      </w:r>
      <w:proofErr w:type="gramEnd"/>
      <w:r w:rsidR="009E2EE8">
        <w:rPr>
          <w:b/>
          <w:bCs/>
          <w:sz w:val="24"/>
          <w:szCs w:val="24"/>
        </w:rPr>
        <w:t xml:space="preserve"> Baton To Apartheid</w:t>
      </w:r>
    </w:p>
    <w:p w14:paraId="7E81A92F" w14:textId="1AF0CC7E" w:rsidR="00353CD8" w:rsidRDefault="00353CD8" w:rsidP="00353CD8">
      <w:pPr>
        <w:ind w:left="720"/>
        <w:jc w:val="both"/>
        <w:rPr>
          <w:rFonts w:eastAsia="Times New Roman" w:cstheme="minorHAnsi"/>
          <w:lang w:eastAsia="en-GB"/>
        </w:rPr>
      </w:pPr>
      <w:r w:rsidRPr="00353CD8">
        <w:rPr>
          <w:rFonts w:eastAsia="Times New Roman" w:cstheme="minorHAnsi"/>
          <w:lang w:eastAsia="en-GB"/>
        </w:rPr>
        <w:t>The Hertzog government achieved a major goal in 1931 when the British Parliament passed the</w:t>
      </w:r>
      <w:hyperlink r:id="rId10" w:history="1">
        <w:r w:rsidRPr="00353CD8">
          <w:rPr>
            <w:rFonts w:eastAsia="Times New Roman" w:cstheme="minorHAnsi"/>
            <w:lang w:eastAsia="en-GB"/>
          </w:rPr>
          <w:t> Statute of Westminster</w:t>
        </w:r>
      </w:hyperlink>
      <w:r w:rsidR="00321AF5">
        <w:rPr>
          <w:rStyle w:val="FootnoteReference"/>
          <w:rFonts w:eastAsia="Times New Roman" w:cstheme="minorHAnsi"/>
          <w:lang w:eastAsia="en-GB"/>
        </w:rPr>
        <w:footnoteReference w:id="12"/>
      </w:r>
      <w:r w:rsidRPr="00353CD8">
        <w:rPr>
          <w:rFonts w:eastAsia="Times New Roman" w:cstheme="minorHAnsi"/>
          <w:lang w:eastAsia="en-GB"/>
        </w:rPr>
        <w:t>, which removed the </w:t>
      </w:r>
      <w:hyperlink r:id="rId11" w:history="1">
        <w:r w:rsidRPr="00353CD8">
          <w:rPr>
            <w:rFonts w:eastAsia="Times New Roman" w:cstheme="minorHAnsi"/>
            <w:lang w:eastAsia="en-GB"/>
          </w:rPr>
          <w:t>last vestiges of British legal authority</w:t>
        </w:r>
      </w:hyperlink>
      <w:r w:rsidRPr="00353CD8">
        <w:rPr>
          <w:rFonts w:eastAsia="Times New Roman" w:cstheme="minorHAnsi"/>
          <w:lang w:eastAsia="en-GB"/>
        </w:rPr>
        <w:t> over South Africa</w:t>
      </w:r>
      <w:r w:rsidR="00321AF5">
        <w:rPr>
          <w:rFonts w:eastAsia="Times New Roman" w:cstheme="minorHAnsi"/>
          <w:lang w:eastAsia="en-GB"/>
        </w:rPr>
        <w:t>, amongst other nations</w:t>
      </w:r>
      <w:r w:rsidR="005563B2">
        <w:rPr>
          <w:rFonts w:eastAsia="Times New Roman" w:cstheme="minorHAnsi"/>
          <w:lang w:eastAsia="en-GB"/>
        </w:rPr>
        <w:t xml:space="preserve">, however it was still </w:t>
      </w:r>
      <w:r w:rsidR="00285310">
        <w:rPr>
          <w:rFonts w:eastAsia="Times New Roman" w:cstheme="minorHAnsi"/>
          <w:lang w:eastAsia="en-GB"/>
        </w:rPr>
        <w:t>tied as a member of</w:t>
      </w:r>
      <w:r w:rsidR="005563B2">
        <w:rPr>
          <w:rFonts w:eastAsia="Times New Roman" w:cstheme="minorHAnsi"/>
          <w:lang w:eastAsia="en-GB"/>
        </w:rPr>
        <w:t xml:space="preserve"> the commonwealth, (colonialism in a different form!)</w:t>
      </w:r>
      <w:r w:rsidRPr="00353CD8">
        <w:rPr>
          <w:rFonts w:eastAsia="Times New Roman" w:cstheme="minorHAnsi"/>
          <w:lang w:eastAsia="en-GB"/>
        </w:rPr>
        <w:t>. Three years later</w:t>
      </w:r>
      <w:r w:rsidR="00AE6D77">
        <w:rPr>
          <w:rFonts w:eastAsia="Times New Roman" w:cstheme="minorHAnsi"/>
          <w:lang w:eastAsia="en-GB"/>
        </w:rPr>
        <w:t>, in 1934</w:t>
      </w:r>
      <w:r w:rsidRPr="00353CD8">
        <w:rPr>
          <w:rFonts w:eastAsia="Times New Roman" w:cstheme="minorHAnsi"/>
          <w:lang w:eastAsia="en-GB"/>
        </w:rPr>
        <w:t xml:space="preserve"> the South African Parliament secured that decision by enacting the Status of the Union Act, which declared the </w:t>
      </w:r>
      <w:hyperlink r:id="rId12" w:history="1">
        <w:r w:rsidRPr="00353CD8">
          <w:rPr>
            <w:rFonts w:eastAsia="Times New Roman" w:cstheme="minorHAnsi"/>
            <w:lang w:eastAsia="en-GB"/>
          </w:rPr>
          <w:t>country</w:t>
        </w:r>
      </w:hyperlink>
      <w:r w:rsidRPr="00353CD8">
        <w:rPr>
          <w:rFonts w:eastAsia="Times New Roman" w:cstheme="minorHAnsi"/>
          <w:lang w:eastAsia="en-GB"/>
        </w:rPr>
        <w:t> to be “a </w:t>
      </w:r>
      <w:hyperlink r:id="rId13" w:history="1">
        <w:r w:rsidRPr="00353CD8">
          <w:rPr>
            <w:rFonts w:eastAsia="Times New Roman" w:cstheme="minorHAnsi"/>
            <w:lang w:eastAsia="en-GB"/>
          </w:rPr>
          <w:t>sovereign</w:t>
        </w:r>
      </w:hyperlink>
      <w:r w:rsidRPr="00353CD8">
        <w:rPr>
          <w:rFonts w:eastAsia="Times New Roman" w:cstheme="minorHAnsi"/>
          <w:lang w:eastAsia="en-GB"/>
        </w:rPr>
        <w:t> independent state.”</w:t>
      </w:r>
      <w:r w:rsidR="008815F9">
        <w:rPr>
          <w:rStyle w:val="FootnoteReference"/>
          <w:rFonts w:eastAsia="Times New Roman" w:cstheme="minorHAnsi"/>
          <w:lang w:eastAsia="en-GB"/>
        </w:rPr>
        <w:footnoteReference w:id="13"/>
      </w:r>
      <w:r w:rsidR="00FF211F">
        <w:rPr>
          <w:rFonts w:eastAsia="Times New Roman" w:cstheme="minorHAnsi"/>
          <w:lang w:eastAsia="en-GB"/>
        </w:rPr>
        <w:t xml:space="preserve"> This seemed to unleash apartheid with the suppression of the black community by the dominant whites with numerous legislation </w:t>
      </w:r>
      <w:r w:rsidR="00F90419">
        <w:rPr>
          <w:rFonts w:eastAsia="Times New Roman" w:cstheme="minorHAnsi"/>
          <w:lang w:eastAsia="en-GB"/>
        </w:rPr>
        <w:t xml:space="preserve">including </w:t>
      </w:r>
      <w:r w:rsidR="00FF211F">
        <w:rPr>
          <w:rFonts w:eastAsia="Times New Roman" w:cstheme="minorHAnsi"/>
          <w:lang w:eastAsia="en-GB"/>
        </w:rPr>
        <w:t>the Bantu</w:t>
      </w:r>
      <w:r w:rsidR="00F90419">
        <w:rPr>
          <w:rFonts w:eastAsia="Times New Roman" w:cstheme="minorHAnsi"/>
          <w:lang w:eastAsia="en-GB"/>
        </w:rPr>
        <w:t xml:space="preserve"> Amendment Act</w:t>
      </w:r>
      <w:r w:rsidR="00FF211F">
        <w:rPr>
          <w:rFonts w:eastAsia="Times New Roman" w:cstheme="minorHAnsi"/>
          <w:lang w:eastAsia="en-GB"/>
        </w:rPr>
        <w:t xml:space="preserve"> which allowed the eviction of Blacks from any townships or white farming land at any time.</w:t>
      </w:r>
      <w:r w:rsidR="00FF211F">
        <w:rPr>
          <w:rStyle w:val="FootnoteReference"/>
          <w:rFonts w:eastAsia="Times New Roman" w:cstheme="minorHAnsi"/>
          <w:lang w:eastAsia="en-GB"/>
        </w:rPr>
        <w:footnoteReference w:id="14"/>
      </w:r>
      <w:r w:rsidR="00F90419">
        <w:rPr>
          <w:rFonts w:eastAsia="Times New Roman" w:cstheme="minorHAnsi"/>
          <w:lang w:eastAsia="en-GB"/>
        </w:rPr>
        <w:t xml:space="preserve"> </w:t>
      </w:r>
      <w:r w:rsidR="0097395B">
        <w:rPr>
          <w:rFonts w:eastAsia="Times New Roman" w:cstheme="minorHAnsi"/>
          <w:lang w:eastAsia="en-GB"/>
        </w:rPr>
        <w:t>a</w:t>
      </w:r>
      <w:r w:rsidR="00F90419">
        <w:rPr>
          <w:rFonts w:eastAsia="Times New Roman" w:cstheme="minorHAnsi"/>
          <w:lang w:eastAsia="en-GB"/>
        </w:rPr>
        <w:t>nd the 1953 Bantu Education Act which ensured that blacks would only ever aspire to unskilled and manual labour jobs.</w:t>
      </w:r>
      <w:r w:rsidR="00F90419">
        <w:rPr>
          <w:rStyle w:val="FootnoteReference"/>
          <w:rFonts w:eastAsia="Times New Roman" w:cstheme="minorHAnsi"/>
          <w:lang w:eastAsia="en-GB"/>
        </w:rPr>
        <w:footnoteReference w:id="15"/>
      </w:r>
      <w:r w:rsidR="00AE6D77">
        <w:rPr>
          <w:rFonts w:eastAsia="Times New Roman" w:cstheme="minorHAnsi"/>
          <w:lang w:eastAsia="en-GB"/>
        </w:rPr>
        <w:t xml:space="preserve"> There was still white dominance but now it came from within, rather than from a sovereign state.</w:t>
      </w:r>
      <w:r w:rsidR="009E2EE8">
        <w:rPr>
          <w:rFonts w:eastAsia="Times New Roman" w:cstheme="minorHAnsi"/>
          <w:lang w:eastAsia="en-GB"/>
        </w:rPr>
        <w:t xml:space="preserve"> </w:t>
      </w:r>
      <w:r w:rsidR="001B0DB7">
        <w:rPr>
          <w:rFonts w:eastAsia="Times New Roman" w:cstheme="minorHAnsi"/>
          <w:lang w:eastAsia="en-GB"/>
        </w:rPr>
        <w:t xml:space="preserve"> There were many laws that were passed during this period. As well as the two aforementioned Acts, there were others under the title of the Group Areas Act 1950.</w:t>
      </w:r>
      <w:r w:rsidR="001B0DB7">
        <w:rPr>
          <w:rStyle w:val="FootnoteReference"/>
          <w:rFonts w:eastAsia="Times New Roman" w:cstheme="minorHAnsi"/>
          <w:lang w:eastAsia="en-GB"/>
        </w:rPr>
        <w:footnoteReference w:id="16"/>
      </w:r>
    </w:p>
    <w:p w14:paraId="376AE3A8" w14:textId="23B1522C" w:rsidR="009E2EE8" w:rsidRPr="00353CD8" w:rsidRDefault="009E2EE8" w:rsidP="00353CD8">
      <w:pPr>
        <w:ind w:left="720"/>
        <w:jc w:val="both"/>
        <w:rPr>
          <w:rFonts w:eastAsia="Times New Roman" w:cstheme="minorHAnsi"/>
          <w:lang w:eastAsia="en-GB"/>
        </w:rPr>
      </w:pPr>
      <w:r>
        <w:rPr>
          <w:rFonts w:eastAsia="Times New Roman" w:cstheme="minorHAnsi"/>
          <w:lang w:eastAsia="en-GB"/>
        </w:rPr>
        <w:t>As a result of the USA and Britain abandoning the gold standard in the early 1930’s, South Africa or more correctly, the white Farmers</w:t>
      </w:r>
      <w:r w:rsidR="00285310">
        <w:rPr>
          <w:rFonts w:eastAsia="Times New Roman" w:cstheme="minorHAnsi"/>
          <w:lang w:eastAsia="en-GB"/>
        </w:rPr>
        <w:t>,</w:t>
      </w:r>
      <w:r>
        <w:rPr>
          <w:rFonts w:eastAsia="Times New Roman" w:cstheme="minorHAnsi"/>
          <w:lang w:eastAsia="en-GB"/>
        </w:rPr>
        <w:t xml:space="preserve"> prospered and new industries emerged resulting in South Africans of all denomination moving to the urban areas. The standard of living for </w:t>
      </w:r>
      <w:r w:rsidR="004C00F0">
        <w:rPr>
          <w:rFonts w:eastAsia="Times New Roman" w:cstheme="minorHAnsi"/>
          <w:lang w:eastAsia="en-GB"/>
        </w:rPr>
        <w:t xml:space="preserve">only the </w:t>
      </w:r>
      <w:r>
        <w:rPr>
          <w:rFonts w:eastAsia="Times New Roman" w:cstheme="minorHAnsi"/>
          <w:lang w:eastAsia="en-GB"/>
        </w:rPr>
        <w:t>whites improved</w:t>
      </w:r>
      <w:r w:rsidR="004C00F0">
        <w:rPr>
          <w:rFonts w:eastAsia="Times New Roman" w:cstheme="minorHAnsi"/>
          <w:lang w:eastAsia="en-GB"/>
        </w:rPr>
        <w:t xml:space="preserve"> although Hertzog did add some land to </w:t>
      </w:r>
      <w:r w:rsidR="00285310">
        <w:rPr>
          <w:rFonts w:eastAsia="Times New Roman" w:cstheme="minorHAnsi"/>
          <w:lang w:eastAsia="en-GB"/>
        </w:rPr>
        <w:t xml:space="preserve">allow expansion of </w:t>
      </w:r>
      <w:r w:rsidR="004C00F0">
        <w:rPr>
          <w:rFonts w:eastAsia="Times New Roman" w:cstheme="minorHAnsi"/>
          <w:lang w:eastAsia="en-GB"/>
        </w:rPr>
        <w:t>the reserves.</w:t>
      </w:r>
      <w:r w:rsidR="004C00F0">
        <w:rPr>
          <w:rStyle w:val="FootnoteReference"/>
          <w:rFonts w:eastAsia="Times New Roman" w:cstheme="minorHAnsi"/>
          <w:lang w:eastAsia="en-GB"/>
        </w:rPr>
        <w:footnoteReference w:id="17"/>
      </w:r>
      <w:r w:rsidR="0048778B">
        <w:rPr>
          <w:rFonts w:eastAsia="Times New Roman" w:cstheme="minorHAnsi"/>
          <w:lang w:eastAsia="en-GB"/>
        </w:rPr>
        <w:t xml:space="preserve">. The effect of the second world war was one of </w:t>
      </w:r>
      <w:r w:rsidR="00FF5E5A">
        <w:rPr>
          <w:rFonts w:eastAsia="Times New Roman" w:cstheme="minorHAnsi"/>
          <w:lang w:eastAsia="en-GB"/>
        </w:rPr>
        <w:t>mixed economic</w:t>
      </w:r>
      <w:r w:rsidR="0048778B">
        <w:rPr>
          <w:rFonts w:eastAsia="Times New Roman" w:cstheme="minorHAnsi"/>
          <w:lang w:eastAsia="en-GB"/>
        </w:rPr>
        <w:t xml:space="preserve"> fortunes as the poor wages and inflation led to continuing protests at the end of it</w:t>
      </w:r>
      <w:r w:rsidR="00EE011D">
        <w:rPr>
          <w:rFonts w:eastAsia="Times New Roman" w:cstheme="minorHAnsi"/>
          <w:lang w:eastAsia="en-GB"/>
        </w:rPr>
        <w:t>. However,</w:t>
      </w:r>
      <w:r w:rsidR="0048778B">
        <w:rPr>
          <w:rFonts w:eastAsia="Times New Roman" w:cstheme="minorHAnsi"/>
          <w:lang w:eastAsia="en-GB"/>
        </w:rPr>
        <w:t xml:space="preserve"> it also led to rapidly expanding manufacturing and services which opened the door for an increase in the flow of black labour into the towns resulting in the setting up of squatter camps and shelters.</w:t>
      </w:r>
      <w:r w:rsidR="0048778B">
        <w:rPr>
          <w:rStyle w:val="FootnoteReference"/>
          <w:rFonts w:eastAsia="Times New Roman" w:cstheme="minorHAnsi"/>
          <w:lang w:eastAsia="en-GB"/>
        </w:rPr>
        <w:footnoteReference w:id="18"/>
      </w:r>
      <w:r w:rsidR="0048778B">
        <w:rPr>
          <w:rFonts w:eastAsia="Times New Roman" w:cstheme="minorHAnsi"/>
          <w:lang w:eastAsia="en-GB"/>
        </w:rPr>
        <w:t xml:space="preserve"> This resulted in the Government at the time easing the apartheid rules and relaxing the pass laws</w:t>
      </w:r>
      <w:r w:rsidR="001B0DB7">
        <w:rPr>
          <w:rStyle w:val="FootnoteReference"/>
          <w:rFonts w:eastAsia="Times New Roman" w:cstheme="minorHAnsi"/>
          <w:lang w:eastAsia="en-GB"/>
        </w:rPr>
        <w:footnoteReference w:id="19"/>
      </w:r>
      <w:r w:rsidR="0048778B">
        <w:rPr>
          <w:rFonts w:eastAsia="Times New Roman" w:cstheme="minorHAnsi"/>
          <w:lang w:eastAsia="en-GB"/>
        </w:rPr>
        <w:t xml:space="preserve"> that restricted the right of blacks to work in white areas.</w:t>
      </w:r>
    </w:p>
    <w:p w14:paraId="6621D8BB" w14:textId="2F824B3E" w:rsidR="00722814" w:rsidRDefault="00724DE4" w:rsidP="00AC240E">
      <w:pPr>
        <w:jc w:val="both"/>
        <w:rPr>
          <w:b/>
          <w:bCs/>
          <w:sz w:val="24"/>
          <w:szCs w:val="24"/>
        </w:rPr>
      </w:pPr>
      <w:r>
        <w:rPr>
          <w:b/>
          <w:bCs/>
          <w:sz w:val="24"/>
          <w:szCs w:val="24"/>
        </w:rPr>
        <w:t>Modernisation</w:t>
      </w:r>
    </w:p>
    <w:p w14:paraId="2A47D9E2" w14:textId="28A05E99" w:rsidR="006C6668" w:rsidRDefault="004C00F0" w:rsidP="00722814">
      <w:pPr>
        <w:ind w:left="720"/>
        <w:jc w:val="both"/>
      </w:pPr>
      <w:r>
        <w:t xml:space="preserve">Up until the end of apartheid, almost nine tenths of the land in South Africa belonged to the whites and included the bulk of the mineral finds and the best farming land. </w:t>
      </w:r>
      <w:r w:rsidR="00285310">
        <w:t>In contrast, t</w:t>
      </w:r>
      <w:r>
        <w:t>he condition of the land on the reserves was becoming progressively worse.</w:t>
      </w:r>
      <w:r>
        <w:rPr>
          <w:rStyle w:val="FootnoteReference"/>
        </w:rPr>
        <w:footnoteReference w:id="20"/>
      </w:r>
      <w:r>
        <w:t xml:space="preserve"> </w:t>
      </w:r>
      <w:r w:rsidR="006C6668">
        <w:t>The freeing and subsequent election of Nelson Mandela brought an end to apartheid</w:t>
      </w:r>
      <w:r w:rsidR="00724DE4">
        <w:t xml:space="preserve"> on paper</w:t>
      </w:r>
      <w:r w:rsidR="006C6668">
        <w:t xml:space="preserve">, the repealing of the Bantu Laws and the formation of the </w:t>
      </w:r>
      <w:r w:rsidR="00C71F8E">
        <w:t>Truth and Reconciliation Commission, (TRC), brought in after his election in 1994 to deal with what happened under apartheid through 3 distinct committees, amnesty, reparation and rehabilitation and human rights violations</w:t>
      </w:r>
      <w:r w:rsidR="00EE011D">
        <w:t xml:space="preserve"> and </w:t>
      </w:r>
      <w:r w:rsidR="00EE011D">
        <w:lastRenderedPageBreak/>
        <w:t>to bolster its credence the leadership of it was given to Bishop Desmond Tutu</w:t>
      </w:r>
      <w:r w:rsidR="00C3063E">
        <w:t>.</w:t>
      </w:r>
      <w:r w:rsidR="009A03D3">
        <w:rPr>
          <w:rStyle w:val="FootnoteReference"/>
        </w:rPr>
        <w:footnoteReference w:id="21"/>
      </w:r>
      <w:r w:rsidR="00724DE4">
        <w:t xml:space="preserve"> Although why the police officers who murdered Stephen Biko went through the TRC </w:t>
      </w:r>
      <w:r w:rsidR="00AA4C25">
        <w:t>seeking amnesty for human rights violations in 1997</w:t>
      </w:r>
      <w:r w:rsidR="00AA4C25">
        <w:rPr>
          <w:rStyle w:val="FootnoteReference"/>
        </w:rPr>
        <w:footnoteReference w:id="22"/>
      </w:r>
      <w:r w:rsidR="00AA4C25">
        <w:t xml:space="preserve"> </w:t>
      </w:r>
      <w:r w:rsidR="00724DE4">
        <w:t>instead of straight to trial is reflective of the ineffectiveness of South Africa’s systems.</w:t>
      </w:r>
      <w:r w:rsidR="00EE011D">
        <w:t xml:space="preserve"> </w:t>
      </w:r>
      <w:r w:rsidR="00231C8A">
        <w:t>To date t</w:t>
      </w:r>
      <w:r w:rsidR="00EE011D">
        <w:t xml:space="preserve">he TRC has been going now for nearly 30 years and reaction to it is mixed. The whites see </w:t>
      </w:r>
      <w:proofErr w:type="spellStart"/>
      <w:r w:rsidR="00EE011D">
        <w:t>it’s</w:t>
      </w:r>
      <w:proofErr w:type="spellEnd"/>
      <w:r w:rsidR="00EE011D">
        <w:t xml:space="preserve"> focus as targeting them and the blacks consider it a charade that allows people guilty of crimes during apartheid, to go free. And who can blame then when </w:t>
      </w:r>
      <w:r w:rsidR="009A03D3">
        <w:t xml:space="preserve">the former president and prominent politician during apartheid, P. W. Botha is found guilty and fined </w:t>
      </w:r>
      <w:r w:rsidR="00231C8A">
        <w:t>$</w:t>
      </w:r>
      <w:r w:rsidR="009A03D3">
        <w:t>10,000 Rand with a suspended sentence that is overturned on appeal.</w:t>
      </w:r>
    </w:p>
    <w:p w14:paraId="6D89EF54" w14:textId="2822901B" w:rsidR="003C0DA9" w:rsidRDefault="003C0DA9" w:rsidP="00AC240E">
      <w:pPr>
        <w:jc w:val="both"/>
        <w:rPr>
          <w:b/>
          <w:bCs/>
          <w:sz w:val="24"/>
          <w:szCs w:val="24"/>
        </w:rPr>
      </w:pPr>
      <w:r w:rsidRPr="003C0DA9">
        <w:rPr>
          <w:b/>
          <w:bCs/>
          <w:sz w:val="24"/>
          <w:szCs w:val="24"/>
        </w:rPr>
        <w:t>Conclusion</w:t>
      </w:r>
    </w:p>
    <w:p w14:paraId="228D6D59" w14:textId="2C734FF1" w:rsidR="00675C8F" w:rsidRDefault="0023127B" w:rsidP="0023127B">
      <w:pPr>
        <w:ind w:left="720"/>
        <w:jc w:val="both"/>
      </w:pPr>
      <w:r>
        <w:t xml:space="preserve">That land reclamation in South Africa is an issue is not contested but it most certainly is not the solution to the problems </w:t>
      </w:r>
      <w:r w:rsidR="00231C8A">
        <w:t>in</w:t>
      </w:r>
      <w:r>
        <w:t xml:space="preserve"> South Africa that inevitably erupt in violence. You can concur with the UIA that there is a </w:t>
      </w:r>
      <w:r w:rsidR="00231C8A">
        <w:t xml:space="preserve">vague </w:t>
      </w:r>
      <w:r>
        <w:t xml:space="preserve">connection </w:t>
      </w:r>
      <w:r w:rsidR="00F90419">
        <w:t xml:space="preserve">to the distribution of land </w:t>
      </w:r>
      <w:r>
        <w:t>that goes back to the original colonisation</w:t>
      </w:r>
      <w:r w:rsidR="00231C8A">
        <w:t>,</w:t>
      </w:r>
      <w:r>
        <w:t xml:space="preserve"> but as their visual example shows</w:t>
      </w:r>
      <w:r w:rsidR="00231C8A">
        <w:t>,</w:t>
      </w:r>
      <w:r>
        <w:t xml:space="preserve"> the bigger the circle gets, the more diverse the issues will multiply into. If UIA was to add another circle, the issues would multiply further and narrow the individual focus on narrower fields.</w:t>
      </w:r>
      <w:r w:rsidR="009E0951">
        <w:t xml:space="preserve"> </w:t>
      </w:r>
      <w:r w:rsidR="00231C8A">
        <w:t>Please also note that the</w:t>
      </w:r>
      <w:r>
        <w:t xml:space="preserve"> UIA is an NGO research centre based in Brussels, (</w:t>
      </w:r>
      <w:r w:rsidR="00675C8F">
        <w:t xml:space="preserve">Eurocentrism?), that does not offer solutions </w:t>
      </w:r>
      <w:r w:rsidR="00231C8A">
        <w:t xml:space="preserve">and only </w:t>
      </w:r>
      <w:r w:rsidR="00675C8F">
        <w:t xml:space="preserve">focuses on </w:t>
      </w:r>
      <w:r w:rsidR="00231C8A">
        <w:t>what the problems are, which critically achieves nothing by its existence but a source of opiniated information.</w:t>
      </w:r>
    </w:p>
    <w:p w14:paraId="1EBEEC96" w14:textId="4DC75DE8" w:rsidR="00662A72" w:rsidRDefault="00E70BA1" w:rsidP="0023127B">
      <w:pPr>
        <w:ind w:left="720"/>
        <w:jc w:val="both"/>
      </w:pPr>
      <w:r>
        <w:t xml:space="preserve">When </w:t>
      </w:r>
      <w:r w:rsidR="00675C8F">
        <w:t>Pam Christie states that</w:t>
      </w:r>
      <w:r w:rsidR="0022750C">
        <w:t xml:space="preserve"> “…an awareness that the earth needed to be considered in its own terms beyond human exploitation.”</w:t>
      </w:r>
      <w:r w:rsidR="0022750C">
        <w:rPr>
          <w:rStyle w:val="FootnoteReference"/>
        </w:rPr>
        <w:footnoteReference w:id="23"/>
      </w:r>
      <w:r w:rsidR="0022750C">
        <w:t xml:space="preserve">. She is referring to a more utopian overview in which the </w:t>
      </w:r>
      <w:r w:rsidR="009E0951">
        <w:t xml:space="preserve">population of South Africa stop looking at </w:t>
      </w:r>
      <w:r w:rsidR="008815F9">
        <w:t>themselves</w:t>
      </w:r>
      <w:r w:rsidR="009E0951">
        <w:t xml:space="preserve"> in terms of the 4 categories that the TRC and </w:t>
      </w:r>
      <w:r w:rsidR="008815F9" w:rsidRPr="008815F9">
        <w:t>James L. Gibson</w:t>
      </w:r>
      <w:r w:rsidR="008815F9" w:rsidRPr="008815F9">
        <w:rPr>
          <w:rStyle w:val="FootnoteReference"/>
        </w:rPr>
        <w:footnoteReference w:id="24"/>
      </w:r>
      <w:r w:rsidR="009E0951" w:rsidRPr="008815F9">
        <w:t xml:space="preserve"> </w:t>
      </w:r>
      <w:r w:rsidR="009E0951">
        <w:t>refer</w:t>
      </w:r>
      <w:r w:rsidR="00F90419">
        <w:t xml:space="preserve"> </w:t>
      </w:r>
      <w:r>
        <w:t xml:space="preserve">to </w:t>
      </w:r>
      <w:r w:rsidR="00F90419">
        <w:t>in trying to re-distribute or compensate persons / institutions / businesses in respect of the land,</w:t>
      </w:r>
      <w:r w:rsidR="009E0951">
        <w:t xml:space="preserve"> but more in terms of just South Africans regardless of their origin and concentrate on their place of birth.</w:t>
      </w:r>
      <w:r>
        <w:t xml:space="preserve"> Generations earlier, the population could reflect on their origins but now, so many generations have passed that these origins should no longer be an issue.</w:t>
      </w:r>
      <w:r w:rsidR="009E0951">
        <w:t xml:space="preserve"> N</w:t>
      </w:r>
      <w:r>
        <w:t>one of these</w:t>
      </w:r>
      <w:r w:rsidR="009E0951">
        <w:t xml:space="preserve"> categories should look at the land grabs decades, even centuries earlier; it cannot be resolved!! The simple fact that development and infrastructure that has arisen since then negates the return of the land added to which it has legally passed between several hands since its initial acquisition that no court could fairly ignore the rights of the present owners against those of the historical ones. Monetary compensation would also</w:t>
      </w:r>
      <w:r w:rsidR="009138F4">
        <w:t xml:space="preserve"> have similar </w:t>
      </w:r>
      <w:r w:rsidR="00237628">
        <w:t>issues</w:t>
      </w:r>
      <w:r w:rsidR="009138F4">
        <w:t xml:space="preserve"> in valuing a piece of the Transvaal that now has factories, housing and infrastructure on it</w:t>
      </w:r>
      <w:r w:rsidR="00237628">
        <w:t xml:space="preserve"> in regards to whether it should be the historical or </w:t>
      </w:r>
      <w:r w:rsidR="008815F9">
        <w:t>present-day</w:t>
      </w:r>
      <w:r w:rsidR="00237628">
        <w:t xml:space="preserve"> values applied</w:t>
      </w:r>
      <w:r w:rsidR="009138F4">
        <w:t>.</w:t>
      </w:r>
    </w:p>
    <w:p w14:paraId="0B9ACF74" w14:textId="4E53A931" w:rsidR="00662A72" w:rsidRDefault="00662A72" w:rsidP="0023127B">
      <w:pPr>
        <w:ind w:left="720"/>
        <w:jc w:val="both"/>
      </w:pPr>
      <w:r>
        <w:t>Van Rooyen gives a grim oversight of the state of South Africa in chapter 4 of his book</w:t>
      </w:r>
      <w:r>
        <w:rPr>
          <w:rStyle w:val="FootnoteReference"/>
        </w:rPr>
        <w:footnoteReference w:id="25"/>
      </w:r>
      <w:r>
        <w:t>, a few of the</w:t>
      </w:r>
      <w:r w:rsidR="00E70BA1">
        <w:t xml:space="preserve"> statistics</w:t>
      </w:r>
      <w:r>
        <w:t xml:space="preserve"> I have used below:</w:t>
      </w:r>
    </w:p>
    <w:p w14:paraId="3C1D971F" w14:textId="6619A031" w:rsidR="008F1E2B" w:rsidRDefault="008F1E2B" w:rsidP="00C7251F">
      <w:pPr>
        <w:pStyle w:val="ListParagraph"/>
        <w:numPr>
          <w:ilvl w:val="0"/>
          <w:numId w:val="1"/>
        </w:numPr>
        <w:spacing w:after="0"/>
        <w:jc w:val="both"/>
      </w:pPr>
      <w:r>
        <w:lastRenderedPageBreak/>
        <w:t>Non -political deaths in the 90’s in South Africa</w:t>
      </w:r>
      <w:r>
        <w:tab/>
      </w:r>
      <w:r>
        <w:tab/>
      </w:r>
      <w:r>
        <w:tab/>
      </w:r>
      <w:r>
        <w:tab/>
        <w:t>300,000</w:t>
      </w:r>
    </w:p>
    <w:p w14:paraId="57154763" w14:textId="1047829E" w:rsidR="008F1E2B" w:rsidRDefault="008F1E2B" w:rsidP="00C7251F">
      <w:pPr>
        <w:pStyle w:val="ListParagraph"/>
        <w:numPr>
          <w:ilvl w:val="0"/>
          <w:numId w:val="1"/>
        </w:numPr>
        <w:spacing w:after="0"/>
        <w:jc w:val="both"/>
      </w:pPr>
      <w:r>
        <w:t>Political Deaths for the same period</w:t>
      </w:r>
      <w:r>
        <w:tab/>
      </w:r>
      <w:r>
        <w:tab/>
      </w:r>
      <w:r>
        <w:tab/>
      </w:r>
      <w:r>
        <w:tab/>
      </w:r>
      <w:proofErr w:type="gramStart"/>
      <w:r w:rsidR="00386C46">
        <w:tab/>
      </w:r>
      <w:r>
        <w:t xml:space="preserve">  23,000</w:t>
      </w:r>
      <w:proofErr w:type="gramEnd"/>
    </w:p>
    <w:p w14:paraId="1533AAB7" w14:textId="7AF938B6" w:rsidR="008F1E2B" w:rsidRDefault="008F1E2B" w:rsidP="00C7251F">
      <w:pPr>
        <w:pStyle w:val="ListParagraph"/>
        <w:numPr>
          <w:ilvl w:val="0"/>
          <w:numId w:val="1"/>
        </w:numPr>
        <w:spacing w:after="0"/>
        <w:jc w:val="both"/>
      </w:pPr>
      <w:r>
        <w:t xml:space="preserve">Deaths from the conflict between ANC – IFP in </w:t>
      </w:r>
      <w:r w:rsidR="007005D5">
        <w:t>KwaZulu-Natal</w:t>
      </w:r>
      <w:r>
        <w:t xml:space="preserve"> </w:t>
      </w:r>
      <w:r w:rsidR="00BF5527">
        <w:t>unrest</w:t>
      </w:r>
      <w:proofErr w:type="gramStart"/>
      <w:r w:rsidR="00BF5527">
        <w:tab/>
        <w:t xml:space="preserve">  20,000</w:t>
      </w:r>
      <w:proofErr w:type="gramEnd"/>
    </w:p>
    <w:p w14:paraId="15021BE9" w14:textId="77777777" w:rsidR="00C7251F" w:rsidRDefault="00C7251F" w:rsidP="00C7251F">
      <w:pPr>
        <w:spacing w:after="0"/>
        <w:ind w:left="720"/>
        <w:jc w:val="both"/>
      </w:pPr>
    </w:p>
    <w:p w14:paraId="38B775AB" w14:textId="5B851224" w:rsidR="00BF5527" w:rsidRDefault="003E6133" w:rsidP="0023127B">
      <w:pPr>
        <w:ind w:left="720"/>
        <w:jc w:val="both"/>
      </w:pPr>
      <w:r>
        <w:t>These statistics</w:t>
      </w:r>
      <w:r w:rsidR="00BF5527">
        <w:t xml:space="preserve"> correlate to 65 innocent people a day. This is the 3</w:t>
      </w:r>
      <w:r w:rsidR="00BF5527" w:rsidRPr="00BF5527">
        <w:rPr>
          <w:vertAlign w:val="superscript"/>
        </w:rPr>
        <w:t>rd</w:t>
      </w:r>
      <w:r w:rsidR="00BF5527">
        <w:t xml:space="preserve"> highest in the world beaten only by Columbia and Russia. In 1998, 49,000 rapes were reported bearing in mind that not all rapes are reported. In South Africa, Rooyen reflects that this could be as high as 1 in 20 making the tally 1.2 million!</w:t>
      </w:r>
    </w:p>
    <w:p w14:paraId="3E3272B3" w14:textId="45C6191A" w:rsidR="003C0DA9" w:rsidRDefault="007F0AAF" w:rsidP="0023127B">
      <w:pPr>
        <w:ind w:left="720"/>
        <w:jc w:val="both"/>
      </w:pPr>
      <w:r>
        <w:t xml:space="preserve">You only have to read </w:t>
      </w:r>
      <w:r w:rsidR="008F1E2B">
        <w:t xml:space="preserve">Johann Van Rooyen’s book, in particularly the chapter on crime, </w:t>
      </w:r>
      <w:r w:rsidR="006501E6">
        <w:t>(</w:t>
      </w:r>
      <w:r w:rsidR="008F1E2B">
        <w:t>the statistics above were taken from there</w:t>
      </w:r>
      <w:r w:rsidR="006501E6">
        <w:t>)</w:t>
      </w:r>
      <w:r w:rsidR="008F1E2B">
        <w:t xml:space="preserve">, to see that the Land issue is just an ingredient in the South African stew pot that has boiled over </w:t>
      </w:r>
      <w:r w:rsidR="006501E6">
        <w:t>with</w:t>
      </w:r>
      <w:r w:rsidR="008F1E2B">
        <w:t xml:space="preserve"> no one is putting out the flames!!</w:t>
      </w:r>
    </w:p>
    <w:p w14:paraId="0BABC788" w14:textId="714B9773" w:rsidR="00662A72" w:rsidRDefault="00E55391" w:rsidP="0023127B">
      <w:pPr>
        <w:ind w:left="720"/>
        <w:jc w:val="both"/>
      </w:pPr>
      <w:r>
        <w:t xml:space="preserve">The land injustice issues in South Africa are part of a bigger issue and that is one of </w:t>
      </w:r>
      <w:r w:rsidR="00E70BA1">
        <w:t>“</w:t>
      </w:r>
      <w:r>
        <w:t>Transitional Justice</w:t>
      </w:r>
      <w:r w:rsidR="00E70BA1">
        <w:t>”</w:t>
      </w:r>
      <w:r>
        <w:t>. Gibson</w:t>
      </w:r>
      <w:r w:rsidR="00E70BA1">
        <w:t xml:space="preserve"> 2009</w:t>
      </w:r>
      <w:r w:rsidR="003E6133">
        <w:rPr>
          <w:rStyle w:val="FootnoteReference"/>
        </w:rPr>
        <w:footnoteReference w:id="26"/>
      </w:r>
      <w:r>
        <w:t xml:space="preserve"> argues that a new field of research is emerging where researchers are looking into the effects of legal outcomes </w:t>
      </w:r>
      <w:r w:rsidR="00E70BA1">
        <w:t xml:space="preserve">that </w:t>
      </w:r>
      <w:r>
        <w:t xml:space="preserve">are </w:t>
      </w:r>
      <w:r w:rsidR="003E6133">
        <w:t>shaping “</w:t>
      </w:r>
      <w:r>
        <w:t xml:space="preserve">socio-legal </w:t>
      </w:r>
      <w:r w:rsidR="003E6133">
        <w:t>preferences</w:t>
      </w:r>
      <w:r>
        <w:t xml:space="preserve"> and behaviour</w:t>
      </w:r>
      <w:r w:rsidR="003E6133">
        <w:t xml:space="preserve"> and ultimately political institutions and transitions,” The resultant perception of the people to see the institutions and processes as fairer than the old ones is key to the future transitions. How the land issue is dealt with rather than who ultimately gets the land is of higher importance.  The Graph below taken from Gibson supports the notion that the land reclamation is not the cure South Africa is looking for</w:t>
      </w:r>
      <w:r w:rsidR="00E70BA1">
        <w:t>, just one of the issues seeking fair justice.</w:t>
      </w:r>
    </w:p>
    <w:p w14:paraId="196D6FC4" w14:textId="0FFCF921" w:rsidR="00662A72" w:rsidRDefault="003E6133" w:rsidP="0023127B">
      <w:pPr>
        <w:ind w:left="720"/>
        <w:jc w:val="both"/>
      </w:pPr>
      <w:r>
        <w:t xml:space="preserve"> </w:t>
      </w:r>
      <w:r w:rsidR="001A3344">
        <w:rPr>
          <w:noProof/>
        </w:rPr>
        <w:drawing>
          <wp:inline distT="0" distB="0" distL="0" distR="0" wp14:anchorId="72005B92" wp14:editId="5D292F00">
            <wp:extent cx="5010150" cy="34725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13225" cy="3474710"/>
                    </a:xfrm>
                    <a:prstGeom prst="rect">
                      <a:avLst/>
                    </a:prstGeom>
                  </pic:spPr>
                </pic:pic>
              </a:graphicData>
            </a:graphic>
          </wp:inline>
        </w:drawing>
      </w:r>
    </w:p>
    <w:p w14:paraId="76EE3091" w14:textId="3E73EA00" w:rsidR="001A3344" w:rsidRDefault="001A3344" w:rsidP="0023127B">
      <w:pPr>
        <w:ind w:left="720"/>
        <w:jc w:val="both"/>
      </w:pPr>
      <w:r>
        <w:t xml:space="preserve">Fig 3. The Perceived Importance </w:t>
      </w:r>
      <w:proofErr w:type="gramStart"/>
      <w:r>
        <w:t>Of</w:t>
      </w:r>
      <w:proofErr w:type="gramEnd"/>
      <w:r>
        <w:t xml:space="preserve"> Various Social Problems in South Africa, 2004</w:t>
      </w:r>
      <w:r>
        <w:rPr>
          <w:rStyle w:val="FootnoteReference"/>
        </w:rPr>
        <w:footnoteReference w:id="27"/>
      </w:r>
    </w:p>
    <w:p w14:paraId="27B7DDDA" w14:textId="590EA661" w:rsidR="00662A72" w:rsidRDefault="00E55391" w:rsidP="00662A72">
      <w:pPr>
        <w:ind w:left="720"/>
        <w:jc w:val="both"/>
      </w:pPr>
      <w:r>
        <w:t xml:space="preserve"> </w:t>
      </w:r>
      <w:r w:rsidR="00662A72">
        <w:t xml:space="preserve">The Land Reclamation in South Africa is a plaster over the wound of the real problem, one of parity. The different factions of South Africa don’t want the </w:t>
      </w:r>
      <w:r w:rsidR="00E70BA1">
        <w:t>land;</w:t>
      </w:r>
      <w:r w:rsidR="00662A72">
        <w:t xml:space="preserve"> they want a system that </w:t>
      </w:r>
      <w:r w:rsidR="00662A72">
        <w:lastRenderedPageBreak/>
        <w:t>would allow them EQUAL opportunity to have the land. Parity in access to Education, jobs etc. A Government in South Africa that could achieve this internally without external influences in its execution would be moving in the right direction.</w:t>
      </w:r>
    </w:p>
    <w:p w14:paraId="0E5F79BF" w14:textId="5CD8C5A4" w:rsidR="00A707CA" w:rsidRDefault="00A707CA" w:rsidP="0023127B">
      <w:pPr>
        <w:ind w:left="720"/>
        <w:jc w:val="both"/>
      </w:pPr>
      <w:r>
        <w:t xml:space="preserve">The land that is disputed is the same pieces of land that are disputed the world over and </w:t>
      </w:r>
      <w:r w:rsidR="00687674">
        <w:t xml:space="preserve">that land </w:t>
      </w:r>
      <w:r>
        <w:t>is still there years after the people have departed, sometimes it has arbitrary lines drawn on an illustration of it, its name changes but it remains largely uncha</w:t>
      </w:r>
      <w:r w:rsidR="00E70BA1">
        <w:t>ng</w:t>
      </w:r>
      <w:r>
        <w:t xml:space="preserve">ed. </w:t>
      </w:r>
      <w:r w:rsidR="00687674">
        <w:t xml:space="preserve">At best it is only borrowed. </w:t>
      </w:r>
      <w:r>
        <w:t>The</w:t>
      </w:r>
      <w:r w:rsidR="00687674">
        <w:t>se</w:t>
      </w:r>
      <w:r>
        <w:t xml:space="preserve"> people</w:t>
      </w:r>
      <w:r w:rsidR="00687674">
        <w:t xml:space="preserve"> </w:t>
      </w:r>
      <w:r>
        <w:t xml:space="preserve">along with many others </w:t>
      </w:r>
      <w:r w:rsidR="007005D5">
        <w:t>worldwide</w:t>
      </w:r>
      <w:r>
        <w:t xml:space="preserve"> need to focus on </w:t>
      </w:r>
      <w:r w:rsidR="00687674">
        <w:t>this approach</w:t>
      </w:r>
      <w:r>
        <w:t xml:space="preserve"> and it might, just might lead to some sense being brought to the party</w:t>
      </w:r>
      <w:r w:rsidR="00C7251F">
        <w:t xml:space="preserve"> because the current approach is not working</w:t>
      </w:r>
      <w:r>
        <w:t>.</w:t>
      </w:r>
      <w:r w:rsidR="007005D5">
        <w:t xml:space="preserve"> Gibson’s</w:t>
      </w:r>
      <w:r w:rsidR="007005D5">
        <w:rPr>
          <w:rStyle w:val="FootnoteReference"/>
        </w:rPr>
        <w:footnoteReference w:id="28"/>
      </w:r>
      <w:r w:rsidR="007005D5">
        <w:t xml:space="preserve"> concluding remarks and his reference to one of his sources supports the futility</w:t>
      </w:r>
      <w:r w:rsidR="00687674">
        <w:t xml:space="preserve"> of it all</w:t>
      </w:r>
      <w:r w:rsidR="007005D5">
        <w:t>.</w:t>
      </w:r>
      <w:r w:rsidR="009610D6">
        <w:t xml:space="preserve"> Bearing in mind that Gibson’s book on land reclamation is the third one in his series of “</w:t>
      </w:r>
      <w:r w:rsidR="009610D6" w:rsidRPr="009610D6">
        <w:rPr>
          <w:i/>
          <w:iCs/>
        </w:rPr>
        <w:t>Overcoming Historical Injustices</w:t>
      </w:r>
      <w:r w:rsidR="009610D6">
        <w:t>”.</w:t>
      </w:r>
    </w:p>
    <w:p w14:paraId="2C99CC5D" w14:textId="2341C58F" w:rsidR="00E70BA1" w:rsidRDefault="00E70BA1" w:rsidP="0023127B">
      <w:pPr>
        <w:ind w:left="720"/>
        <w:jc w:val="both"/>
      </w:pPr>
    </w:p>
    <w:p w14:paraId="7158F719" w14:textId="7D0C7FE7" w:rsidR="009610D6" w:rsidRDefault="009610D6">
      <w:r>
        <w:br w:type="page"/>
      </w:r>
    </w:p>
    <w:p w14:paraId="6393C191" w14:textId="49EAF37A" w:rsidR="009610D6" w:rsidRDefault="009610D6" w:rsidP="009610D6">
      <w:pPr>
        <w:jc w:val="both"/>
        <w:rPr>
          <w:b/>
          <w:bCs/>
          <w:sz w:val="24"/>
          <w:szCs w:val="24"/>
        </w:rPr>
      </w:pPr>
      <w:r w:rsidRPr="009610D6">
        <w:rPr>
          <w:b/>
          <w:bCs/>
          <w:sz w:val="24"/>
          <w:szCs w:val="24"/>
        </w:rPr>
        <w:lastRenderedPageBreak/>
        <w:t>References</w:t>
      </w:r>
      <w:r>
        <w:rPr>
          <w:b/>
          <w:bCs/>
          <w:sz w:val="24"/>
          <w:szCs w:val="24"/>
        </w:rPr>
        <w:t>:</w:t>
      </w:r>
    </w:p>
    <w:p w14:paraId="558B7E83" w14:textId="45E9C6FA" w:rsidR="009610D6" w:rsidRDefault="009610D6" w:rsidP="009610D6">
      <w:pPr>
        <w:jc w:val="both"/>
        <w:rPr>
          <w:rFonts w:cstheme="minorHAnsi"/>
          <w:color w:val="202122"/>
          <w:shd w:val="clear" w:color="auto" w:fill="FFFFFF"/>
        </w:rPr>
      </w:pPr>
      <w:r w:rsidRPr="00084871">
        <w:rPr>
          <w:rFonts w:cstheme="minorHAnsi"/>
          <w:color w:val="202122"/>
          <w:shd w:val="clear" w:color="auto" w:fill="FFFFFF"/>
        </w:rPr>
        <w:t xml:space="preserve">Adrian Greaves, </w:t>
      </w:r>
      <w:hyperlink r:id="rId15" w:history="1">
        <w:r w:rsidRPr="00084871">
          <w:rPr>
            <w:rFonts w:cstheme="minorHAnsi"/>
            <w:i/>
            <w:iCs/>
            <w:u w:val="single"/>
          </w:rPr>
          <w:t>The Tribe that Washed its Spears: The Zulus at War</w:t>
        </w:r>
      </w:hyperlink>
      <w:r w:rsidRPr="00084871">
        <w:rPr>
          <w:rFonts w:cstheme="minorHAnsi"/>
          <w:shd w:val="clear" w:color="auto" w:fill="FFFFFF"/>
        </w:rPr>
        <w:t>.</w:t>
      </w:r>
      <w:r w:rsidRPr="00084871">
        <w:rPr>
          <w:rFonts w:cstheme="minorHAnsi"/>
          <w:color w:val="202122"/>
          <w:shd w:val="clear" w:color="auto" w:fill="FFFFFF"/>
        </w:rPr>
        <w:t xml:space="preserve"> Barnsley: Pen &amp; Sword Military</w:t>
      </w:r>
      <w:r w:rsidR="002273F9">
        <w:rPr>
          <w:rFonts w:cstheme="minorHAnsi"/>
          <w:color w:val="202122"/>
          <w:shd w:val="clear" w:color="auto" w:fill="FFFFFF"/>
        </w:rPr>
        <w:t>, (2013)</w:t>
      </w:r>
      <w:r w:rsidRPr="00084871">
        <w:rPr>
          <w:rFonts w:cstheme="minorHAnsi"/>
          <w:color w:val="202122"/>
          <w:shd w:val="clear" w:color="auto" w:fill="FFFFFF"/>
        </w:rPr>
        <w:t>.</w:t>
      </w:r>
    </w:p>
    <w:p w14:paraId="382783B2" w14:textId="15825F1C" w:rsidR="009610D6" w:rsidRDefault="00000000" w:rsidP="009610D6">
      <w:pPr>
        <w:jc w:val="both"/>
        <w:rPr>
          <w:rFonts w:cstheme="minorHAnsi"/>
          <w:color w:val="202122"/>
          <w:shd w:val="clear" w:color="auto" w:fill="FFFFFF"/>
        </w:rPr>
      </w:pPr>
      <w:hyperlink r:id="rId16" w:history="1">
        <w:r w:rsidR="009610D6" w:rsidRPr="009610D6">
          <w:rPr>
            <w:rStyle w:val="Hyperlink"/>
            <w:rFonts w:eastAsia="Times New Roman" w:cstheme="minorHAnsi"/>
            <w:color w:val="auto"/>
            <w:u w:val="none"/>
            <w:lang w:eastAsia="en-GB"/>
          </w:rPr>
          <w:t>Alistair Boddy-Evans</w:t>
        </w:r>
      </w:hyperlink>
      <w:r w:rsidR="009610D6" w:rsidRPr="009610D6">
        <w:rPr>
          <w:rFonts w:eastAsia="Times New Roman" w:cstheme="minorHAnsi"/>
          <w:lang w:eastAsia="en-GB"/>
        </w:rPr>
        <w:t xml:space="preserve">, </w:t>
      </w:r>
      <w:r w:rsidR="009610D6" w:rsidRPr="009610D6">
        <w:rPr>
          <w:i/>
          <w:iCs/>
        </w:rPr>
        <w:t>Thought co</w:t>
      </w:r>
      <w:r w:rsidR="009610D6" w:rsidRPr="009610D6">
        <w:t xml:space="preserve">. </w:t>
      </w:r>
      <w:hyperlink r:id="rId17" w:history="1">
        <w:r w:rsidR="009610D6" w:rsidRPr="009610D6">
          <w:rPr>
            <w:rStyle w:val="Hyperlink"/>
            <w:color w:val="auto"/>
          </w:rPr>
          <w:t>https://w</w:t>
        </w:r>
        <w:r w:rsidR="009610D6" w:rsidRPr="009610D6">
          <w:rPr>
            <w:rStyle w:val="Hyperlink"/>
            <w:color w:val="auto"/>
          </w:rPr>
          <w:t>w</w:t>
        </w:r>
        <w:r w:rsidR="009610D6" w:rsidRPr="009610D6">
          <w:rPr>
            <w:rStyle w:val="Hyperlink"/>
            <w:color w:val="auto"/>
          </w:rPr>
          <w:t>w.thoughtco.com/pre-apartheid-era-laws-43472</w:t>
        </w:r>
      </w:hyperlink>
      <w:r w:rsidR="00E17C75">
        <w:rPr>
          <w:rStyle w:val="Hyperlink"/>
          <w:color w:val="auto"/>
        </w:rPr>
        <w:t>.</w:t>
      </w:r>
    </w:p>
    <w:p w14:paraId="247B5BD1" w14:textId="1B90AB90" w:rsidR="009610D6" w:rsidRDefault="009610D6" w:rsidP="009610D6">
      <w:pPr>
        <w:jc w:val="both"/>
        <w:rPr>
          <w:rStyle w:val="Hyperlink"/>
          <w:color w:val="auto"/>
        </w:rPr>
      </w:pPr>
      <w:r>
        <w:t xml:space="preserve">Britannica.com </w:t>
      </w:r>
      <w:hyperlink r:id="rId18" w:history="1">
        <w:r w:rsidRPr="008B6FBB">
          <w:rPr>
            <w:rStyle w:val="Hyperlink"/>
            <w:color w:val="auto"/>
          </w:rPr>
          <w:t>https://www.britannica.com/place/South-Africa/British-occupation-of-the-Cape</w:t>
        </w:r>
      </w:hyperlink>
      <w:r w:rsidR="00E17C75">
        <w:rPr>
          <w:rStyle w:val="Hyperlink"/>
          <w:color w:val="auto"/>
        </w:rPr>
        <w:t>.</w:t>
      </w:r>
    </w:p>
    <w:p w14:paraId="302A5E22" w14:textId="6C267CDA" w:rsidR="009610D6" w:rsidRDefault="009610D6" w:rsidP="009610D6">
      <w:pPr>
        <w:jc w:val="both"/>
        <w:rPr>
          <w:rStyle w:val="Hyperlink"/>
          <w:color w:val="auto"/>
        </w:rPr>
      </w:pPr>
      <w:r w:rsidRPr="006501E6">
        <w:t xml:space="preserve">British Government. </w:t>
      </w:r>
      <w:hyperlink r:id="rId19" w:history="1">
        <w:r w:rsidRPr="006501E6">
          <w:rPr>
            <w:rStyle w:val="Hyperlink"/>
            <w:color w:val="auto"/>
          </w:rPr>
          <w:t>https://www.legislation.gov.uk/ukpga/1931/4/pdfs/ukpga_19310004_en.pdf</w:t>
        </w:r>
      </w:hyperlink>
      <w:r w:rsidR="00E17C75">
        <w:rPr>
          <w:rStyle w:val="Hyperlink"/>
          <w:color w:val="auto"/>
        </w:rPr>
        <w:t>.</w:t>
      </w:r>
    </w:p>
    <w:p w14:paraId="31654CD1" w14:textId="16C05917" w:rsidR="009610D6" w:rsidRDefault="009610D6" w:rsidP="009610D6">
      <w:r>
        <w:t xml:space="preserve">Helen </w:t>
      </w:r>
      <w:proofErr w:type="spellStart"/>
      <w:r w:rsidRPr="001B0DB7">
        <w:t>Suzman</w:t>
      </w:r>
      <w:proofErr w:type="spellEnd"/>
      <w:r w:rsidRPr="001B0DB7">
        <w:t xml:space="preserve">, </w:t>
      </w:r>
      <w:r w:rsidRPr="001B0DB7">
        <w:rPr>
          <w:i/>
          <w:iCs/>
        </w:rPr>
        <w:t xml:space="preserve">Apartheid Key Legislation </w:t>
      </w:r>
      <w:proofErr w:type="gramStart"/>
      <w:r w:rsidRPr="001B0DB7">
        <w:rPr>
          <w:i/>
          <w:iCs/>
        </w:rPr>
        <w:t>In</w:t>
      </w:r>
      <w:proofErr w:type="gramEnd"/>
      <w:r w:rsidRPr="001B0DB7">
        <w:rPr>
          <w:i/>
          <w:iCs/>
        </w:rPr>
        <w:t xml:space="preserve"> The Formation Of Apartheid</w:t>
      </w:r>
      <w:r w:rsidRPr="001B0DB7">
        <w:t xml:space="preserve">,  </w:t>
      </w:r>
      <w:hyperlink r:id="rId20" w:history="1">
        <w:r w:rsidRPr="009610D6">
          <w:rPr>
            <w:rStyle w:val="Hyperlink"/>
            <w:color w:val="auto"/>
          </w:rPr>
          <w:t>https://www.cortland.edu/cgis/suzman/apartheid.htm</w:t>
        </w:r>
        <w:r w:rsidRPr="001B0DB7">
          <w:rPr>
            <w:rStyle w:val="Hyperlink"/>
            <w:color w:val="auto"/>
          </w:rPr>
          <w:t>l</w:t>
        </w:r>
      </w:hyperlink>
      <w:r w:rsidR="00E17C75">
        <w:t>.</w:t>
      </w:r>
    </w:p>
    <w:p w14:paraId="69D15AB4" w14:textId="273BEB45" w:rsidR="00E17C75" w:rsidRDefault="00E17C75" w:rsidP="009610D6">
      <w:r>
        <w:t xml:space="preserve">James L Gibson, </w:t>
      </w:r>
      <w:r w:rsidRPr="00E17C75">
        <w:rPr>
          <w:i/>
          <w:iCs/>
        </w:rPr>
        <w:t>Overcoming Historical Injustices, Land Reconciliation in South Africa</w:t>
      </w:r>
      <w:r>
        <w:t xml:space="preserve">, Cambridge University Press, </w:t>
      </w:r>
      <w:r w:rsidR="002273F9">
        <w:t>(</w:t>
      </w:r>
      <w:r>
        <w:t>2009</w:t>
      </w:r>
      <w:r w:rsidR="002273F9">
        <w:t>)</w:t>
      </w:r>
      <w:r>
        <w:t>.</w:t>
      </w:r>
    </w:p>
    <w:p w14:paraId="261F028C" w14:textId="41C27A6A" w:rsidR="00E17C75" w:rsidRDefault="00E17C75" w:rsidP="009610D6">
      <w:r>
        <w:t xml:space="preserve">Johann Van Rooyen, </w:t>
      </w:r>
      <w:r w:rsidRPr="008F1E2B">
        <w:rPr>
          <w:i/>
          <w:iCs/>
        </w:rPr>
        <w:t>The New Great Trek;</w:t>
      </w:r>
      <w:r>
        <w:rPr>
          <w:i/>
          <w:iCs/>
        </w:rPr>
        <w:t xml:space="preserve"> </w:t>
      </w:r>
      <w:r w:rsidRPr="008F1E2B">
        <w:rPr>
          <w:i/>
          <w:iCs/>
        </w:rPr>
        <w:t xml:space="preserve">The Story </w:t>
      </w:r>
      <w:proofErr w:type="gramStart"/>
      <w:r w:rsidRPr="008F1E2B">
        <w:rPr>
          <w:i/>
          <w:iCs/>
        </w:rPr>
        <w:t>Of</w:t>
      </w:r>
      <w:proofErr w:type="gramEnd"/>
      <w:r w:rsidRPr="008F1E2B">
        <w:rPr>
          <w:i/>
          <w:iCs/>
        </w:rPr>
        <w:t xml:space="preserve"> South Africa</w:t>
      </w:r>
      <w:r>
        <w:rPr>
          <w:i/>
          <w:iCs/>
        </w:rPr>
        <w:t>’</w:t>
      </w:r>
      <w:r w:rsidRPr="008F1E2B">
        <w:rPr>
          <w:i/>
          <w:iCs/>
        </w:rPr>
        <w:t>s White Exodus</w:t>
      </w:r>
      <w:r>
        <w:t xml:space="preserve">, Unisa Press, </w:t>
      </w:r>
      <w:r w:rsidR="002273F9">
        <w:t>(</w:t>
      </w:r>
      <w:r>
        <w:t>2000</w:t>
      </w:r>
      <w:r w:rsidR="002273F9">
        <w:t>)</w:t>
      </w:r>
      <w:r>
        <w:t>.</w:t>
      </w:r>
    </w:p>
    <w:p w14:paraId="74EB650D" w14:textId="0F779CFA" w:rsidR="00E17C75" w:rsidRDefault="009610D6" w:rsidP="009610D6">
      <w:pPr>
        <w:rPr>
          <w:rStyle w:val="Hyperlink"/>
          <w:color w:val="auto"/>
        </w:rPr>
      </w:pPr>
      <w:r>
        <w:t xml:space="preserve">Padraig O’Malley, </w:t>
      </w:r>
      <w:r w:rsidRPr="009610D6">
        <w:rPr>
          <w:i/>
          <w:iCs/>
        </w:rPr>
        <w:t>The Heart of Hope</w:t>
      </w:r>
      <w:r>
        <w:t xml:space="preserve">, </w:t>
      </w:r>
      <w:hyperlink r:id="rId21" w:history="1">
        <w:r w:rsidRPr="00FF211F">
          <w:rPr>
            <w:rStyle w:val="Hyperlink"/>
            <w:color w:val="auto"/>
          </w:rPr>
          <w:t>https://omalley.nelsonmandela.org/index.php/site/q/03lv01538/04lv01828/05lv01829/06lv01917.htm</w:t>
        </w:r>
      </w:hyperlink>
      <w:r w:rsidR="00E17C75">
        <w:rPr>
          <w:rStyle w:val="Hyperlink"/>
          <w:color w:val="auto"/>
        </w:rPr>
        <w:t>.</w:t>
      </w:r>
    </w:p>
    <w:p w14:paraId="4DE19B97" w14:textId="3F45A596" w:rsidR="00E17C75" w:rsidRDefault="00E17C75" w:rsidP="009610D6">
      <w:r>
        <w:t xml:space="preserve">Pam Christie, </w:t>
      </w:r>
      <w:r w:rsidRPr="0022750C">
        <w:rPr>
          <w:i/>
          <w:iCs/>
        </w:rPr>
        <w:t xml:space="preserve">De-colonising Schools </w:t>
      </w:r>
      <w:proofErr w:type="gramStart"/>
      <w:r w:rsidRPr="0022750C">
        <w:rPr>
          <w:i/>
          <w:iCs/>
        </w:rPr>
        <w:t>In</w:t>
      </w:r>
      <w:proofErr w:type="gramEnd"/>
      <w:r w:rsidRPr="0022750C">
        <w:rPr>
          <w:i/>
          <w:iCs/>
        </w:rPr>
        <w:t xml:space="preserve"> South Africa: The Impossible Dream</w:t>
      </w:r>
      <w:r>
        <w:t>, Routledge Francis and Taylor Group</w:t>
      </w:r>
      <w:r w:rsidR="002273F9">
        <w:t>, (2020).</w:t>
      </w:r>
      <w:r w:rsidR="009610D6" w:rsidRPr="009610D6">
        <w:t xml:space="preserve"> </w:t>
      </w:r>
    </w:p>
    <w:p w14:paraId="40DB8F7D" w14:textId="5D1CE582" w:rsidR="00E17C75" w:rsidRDefault="009610D6" w:rsidP="009610D6">
      <w:r>
        <w:t xml:space="preserve">South African History </w:t>
      </w:r>
      <w:proofErr w:type="gramStart"/>
      <w:r>
        <w:t>On</w:t>
      </w:r>
      <w:proofErr w:type="gramEnd"/>
      <w:r>
        <w:t xml:space="preserve"> Lin</w:t>
      </w:r>
      <w:r w:rsidRPr="00E17C75">
        <w:t xml:space="preserve">e  </w:t>
      </w:r>
      <w:hyperlink r:id="rId22" w:history="1">
        <w:r w:rsidR="00E17C75" w:rsidRPr="00E17C75">
          <w:rPr>
            <w:rStyle w:val="Hyperlink"/>
            <w:color w:val="auto"/>
          </w:rPr>
          <w:t>https://www.sahistory.org.za</w:t>
        </w:r>
      </w:hyperlink>
      <w:r w:rsidR="00E17C75">
        <w:t>.</w:t>
      </w:r>
    </w:p>
    <w:p w14:paraId="4E5AAE57" w14:textId="0A6B9AC3" w:rsidR="009610D6" w:rsidRDefault="00E17C75" w:rsidP="009610D6">
      <w:pPr>
        <w:rPr>
          <w:rStyle w:val="Hyperlink"/>
          <w:color w:val="auto"/>
        </w:rPr>
      </w:pPr>
      <w:r>
        <w:t xml:space="preserve">Thought co. </w:t>
      </w:r>
      <w:hyperlink r:id="rId23" w:history="1">
        <w:r w:rsidRPr="00EB6929">
          <w:rPr>
            <w:rStyle w:val="Hyperlink"/>
            <w:color w:val="auto"/>
          </w:rPr>
          <w:t>https://www.thoughtco.com/pre-apartheid-era-laws-43472</w:t>
        </w:r>
      </w:hyperlink>
      <w:r>
        <w:rPr>
          <w:rStyle w:val="Hyperlink"/>
          <w:color w:val="auto"/>
        </w:rPr>
        <w:t>.</w:t>
      </w:r>
    </w:p>
    <w:p w14:paraId="3C99DC51" w14:textId="4A5A6F46" w:rsidR="00E17C75" w:rsidRDefault="00E17C75" w:rsidP="009610D6">
      <w:pPr>
        <w:rPr>
          <w:rStyle w:val="Hyperlink"/>
          <w:color w:val="auto"/>
        </w:rPr>
      </w:pPr>
      <w:r>
        <w:t xml:space="preserve">Union Of International Associations </w:t>
      </w:r>
      <w:hyperlink r:id="rId24" w:history="1">
        <w:r w:rsidRPr="007E19E2">
          <w:rPr>
            <w:rStyle w:val="Hyperlink"/>
            <w:color w:val="auto"/>
          </w:rPr>
          <w:t>http://encyclopedia.uia.org/en/problem/132691</w:t>
        </w:r>
      </w:hyperlink>
      <w:r>
        <w:rPr>
          <w:rStyle w:val="Hyperlink"/>
          <w:color w:val="auto"/>
        </w:rPr>
        <w:t>.</w:t>
      </w:r>
    </w:p>
    <w:p w14:paraId="17CB93A1" w14:textId="77777777" w:rsidR="009610D6" w:rsidRDefault="009610D6" w:rsidP="009610D6">
      <w:pPr>
        <w:rPr>
          <w:rStyle w:val="Hyperlink"/>
          <w:color w:val="auto"/>
        </w:rPr>
      </w:pPr>
    </w:p>
    <w:p w14:paraId="308F4E03" w14:textId="77777777" w:rsidR="009610D6" w:rsidRDefault="009610D6" w:rsidP="009610D6">
      <w:pPr>
        <w:jc w:val="both"/>
        <w:rPr>
          <w:b/>
          <w:bCs/>
          <w:sz w:val="24"/>
          <w:szCs w:val="24"/>
        </w:rPr>
      </w:pPr>
    </w:p>
    <w:p w14:paraId="093B8CA0" w14:textId="77777777" w:rsidR="009610D6" w:rsidRPr="009610D6" w:rsidRDefault="009610D6" w:rsidP="009610D6">
      <w:pPr>
        <w:jc w:val="both"/>
        <w:rPr>
          <w:b/>
          <w:bCs/>
          <w:sz w:val="24"/>
          <w:szCs w:val="24"/>
        </w:rPr>
      </w:pPr>
    </w:p>
    <w:sectPr w:rsidR="009610D6" w:rsidRPr="009610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D410B" w14:textId="77777777" w:rsidR="00BC24A1" w:rsidRDefault="00BC24A1" w:rsidP="003C1B53">
      <w:pPr>
        <w:spacing w:after="0" w:line="240" w:lineRule="auto"/>
      </w:pPr>
      <w:r>
        <w:separator/>
      </w:r>
    </w:p>
  </w:endnote>
  <w:endnote w:type="continuationSeparator" w:id="0">
    <w:p w14:paraId="678C1BD4" w14:textId="77777777" w:rsidR="00BC24A1" w:rsidRDefault="00BC24A1" w:rsidP="003C1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8EDBDD" w14:textId="77777777" w:rsidR="00BC24A1" w:rsidRDefault="00BC24A1" w:rsidP="003C1B53">
      <w:pPr>
        <w:spacing w:after="0" w:line="240" w:lineRule="auto"/>
      </w:pPr>
      <w:r>
        <w:separator/>
      </w:r>
    </w:p>
  </w:footnote>
  <w:footnote w:type="continuationSeparator" w:id="0">
    <w:p w14:paraId="67C0D91C" w14:textId="77777777" w:rsidR="00BC24A1" w:rsidRDefault="00BC24A1" w:rsidP="003C1B53">
      <w:pPr>
        <w:spacing w:after="0" w:line="240" w:lineRule="auto"/>
      </w:pPr>
      <w:r>
        <w:continuationSeparator/>
      </w:r>
    </w:p>
  </w:footnote>
  <w:footnote w:id="1">
    <w:p w14:paraId="33CCF5D8" w14:textId="5E5A19A7" w:rsidR="003C1B53" w:rsidRDefault="003C1B53">
      <w:pPr>
        <w:pStyle w:val="FootnoteText"/>
      </w:pPr>
      <w:r>
        <w:rPr>
          <w:rStyle w:val="FootnoteReference"/>
        </w:rPr>
        <w:footnoteRef/>
      </w:r>
      <w:r>
        <w:t xml:space="preserve"> </w:t>
      </w:r>
      <w:bookmarkStart w:id="0" w:name="_Hlk126846256"/>
      <w:r>
        <w:t xml:space="preserve">Union Of International Associations </w:t>
      </w:r>
      <w:hyperlink r:id="rId1" w:history="1">
        <w:r w:rsidRPr="007E19E2">
          <w:rPr>
            <w:rStyle w:val="Hyperlink"/>
            <w:color w:val="auto"/>
          </w:rPr>
          <w:t>http://encyclopedia.uia.org/en/problem/132691</w:t>
        </w:r>
      </w:hyperlink>
      <w:bookmarkEnd w:id="0"/>
      <w:r w:rsidR="00391002" w:rsidRPr="007E19E2">
        <w:t xml:space="preserve"> accessed </w:t>
      </w:r>
      <w:r w:rsidR="00391002">
        <w:t>4th Feb 2023</w:t>
      </w:r>
    </w:p>
  </w:footnote>
  <w:footnote w:id="2">
    <w:p w14:paraId="581A26BB" w14:textId="73AFC9BC" w:rsidR="00432BAC" w:rsidRDefault="00EF0717">
      <w:pPr>
        <w:pStyle w:val="FootnoteText"/>
      </w:pPr>
      <w:r>
        <w:rPr>
          <w:rStyle w:val="FootnoteReference"/>
        </w:rPr>
        <w:footnoteRef/>
      </w:r>
      <w:r>
        <w:t xml:space="preserve"> South African History </w:t>
      </w:r>
      <w:proofErr w:type="gramStart"/>
      <w:r>
        <w:t>On</w:t>
      </w:r>
      <w:proofErr w:type="gramEnd"/>
      <w:r>
        <w:t xml:space="preserve"> Line  </w:t>
      </w:r>
      <w:hyperlink r:id="rId2" w:history="1">
        <w:r w:rsidR="00432BAC" w:rsidRPr="00C25968">
          <w:rPr>
            <w:rStyle w:val="Hyperlink"/>
          </w:rPr>
          <w:t>https://www</w:t>
        </w:r>
        <w:r w:rsidR="00432BAC" w:rsidRPr="00C25968">
          <w:rPr>
            <w:rStyle w:val="Hyperlink"/>
          </w:rPr>
          <w:t>.</w:t>
        </w:r>
        <w:r w:rsidR="00432BAC" w:rsidRPr="00C25968">
          <w:rPr>
            <w:rStyle w:val="Hyperlink"/>
          </w:rPr>
          <w:t xml:space="preserve">sahistory.org.za/article/dutch-east-india-company-deicvoc ,  </w:t>
        </w:r>
      </w:hyperlink>
      <w:r w:rsidR="00432BAC" w:rsidRPr="00432BAC">
        <w:t xml:space="preserve"> </w:t>
      </w:r>
    </w:p>
    <w:p w14:paraId="78D5C414" w14:textId="5002D9F4" w:rsidR="00EF0717" w:rsidRPr="00697EB1" w:rsidRDefault="00432BAC">
      <w:pPr>
        <w:pStyle w:val="FootnoteText"/>
      </w:pPr>
      <w:r>
        <w:t>Produced 30</w:t>
      </w:r>
      <w:r w:rsidRPr="00432BAC">
        <w:rPr>
          <w:vertAlign w:val="superscript"/>
        </w:rPr>
        <w:t>th</w:t>
      </w:r>
      <w:r>
        <w:t xml:space="preserve"> Mar 2011, </w:t>
      </w:r>
      <w:r w:rsidRPr="00432BAC">
        <w:t>u</w:t>
      </w:r>
      <w:r>
        <w:t>pdated 27</w:t>
      </w:r>
      <w:r w:rsidRPr="00432BAC">
        <w:rPr>
          <w:vertAlign w:val="superscript"/>
        </w:rPr>
        <w:t>th</w:t>
      </w:r>
      <w:r>
        <w:t xml:space="preserve"> Aug 2019, </w:t>
      </w:r>
      <w:r w:rsidR="00EF0717" w:rsidRPr="00697EB1">
        <w:t>accessed 4th Feb 2023</w:t>
      </w:r>
    </w:p>
  </w:footnote>
  <w:footnote w:id="3">
    <w:p w14:paraId="3DD672F0" w14:textId="1D85FE7F" w:rsidR="00697EB1" w:rsidRPr="00697EB1" w:rsidRDefault="00697EB1">
      <w:pPr>
        <w:pStyle w:val="FootnoteText"/>
      </w:pPr>
      <w:r w:rsidRPr="00697EB1">
        <w:rPr>
          <w:rStyle w:val="FootnoteReference"/>
        </w:rPr>
        <w:footnoteRef/>
      </w:r>
      <w:r w:rsidRPr="00697EB1">
        <w:t xml:space="preserve"> South African History </w:t>
      </w:r>
      <w:r>
        <w:t>O</w:t>
      </w:r>
      <w:r w:rsidRPr="00697EB1">
        <w:t xml:space="preserve">n Line </w:t>
      </w:r>
      <w:hyperlink r:id="rId3" w:history="1">
        <w:r w:rsidRPr="00697EB1">
          <w:rPr>
            <w:rStyle w:val="Hyperlink"/>
            <w:color w:val="auto"/>
          </w:rPr>
          <w:t>https://www.sahisto</w:t>
        </w:r>
        <w:r w:rsidRPr="00697EB1">
          <w:rPr>
            <w:rStyle w:val="Hyperlink"/>
            <w:color w:val="auto"/>
          </w:rPr>
          <w:t>r</w:t>
        </w:r>
        <w:r w:rsidRPr="00697EB1">
          <w:rPr>
            <w:rStyle w:val="Hyperlink"/>
            <w:color w:val="auto"/>
          </w:rPr>
          <w:t>y.org.za/dated-event/first-1820-british-settlers-arrive-south-africa</w:t>
        </w:r>
      </w:hyperlink>
      <w:r w:rsidRPr="00697EB1">
        <w:t xml:space="preserve"> </w:t>
      </w:r>
      <w:r w:rsidR="00432BAC">
        <w:t>Produced 16</w:t>
      </w:r>
      <w:r w:rsidR="00432BAC" w:rsidRPr="00432BAC">
        <w:rPr>
          <w:vertAlign w:val="superscript"/>
        </w:rPr>
        <w:t>th</w:t>
      </w:r>
      <w:r w:rsidR="00432BAC">
        <w:t xml:space="preserve"> Mar 2011, updated 6</w:t>
      </w:r>
      <w:r w:rsidR="00432BAC" w:rsidRPr="00432BAC">
        <w:rPr>
          <w:vertAlign w:val="superscript"/>
        </w:rPr>
        <w:t>th</w:t>
      </w:r>
      <w:r w:rsidR="00432BAC">
        <w:t xml:space="preserve"> Sep 2022, </w:t>
      </w:r>
      <w:r w:rsidRPr="00697EB1">
        <w:t>accessed 4th Feb 2023</w:t>
      </w:r>
    </w:p>
  </w:footnote>
  <w:footnote w:id="4">
    <w:p w14:paraId="48BDEE20" w14:textId="2F863760" w:rsidR="008B6FBB" w:rsidRDefault="008B6FBB">
      <w:pPr>
        <w:pStyle w:val="FootnoteText"/>
      </w:pPr>
      <w:r>
        <w:rPr>
          <w:rStyle w:val="FootnoteReference"/>
        </w:rPr>
        <w:footnoteRef/>
      </w:r>
      <w:r>
        <w:t xml:space="preserve"> </w:t>
      </w:r>
      <w:bookmarkStart w:id="1" w:name="_Hlk126845668"/>
      <w:r>
        <w:t xml:space="preserve"> Britannica</w:t>
      </w:r>
      <w:r w:rsidR="009610D6">
        <w:t>.com</w:t>
      </w:r>
      <w:r w:rsidR="002905C8">
        <w:t xml:space="preserve">, </w:t>
      </w:r>
      <w:r w:rsidR="002905C8" w:rsidRPr="002905C8">
        <w:rPr>
          <w:i/>
          <w:iCs/>
        </w:rPr>
        <w:t>South Africa, History</w:t>
      </w:r>
      <w:r w:rsidR="002905C8">
        <w:t xml:space="preserve">, </w:t>
      </w:r>
      <w:r>
        <w:t xml:space="preserve"> </w:t>
      </w:r>
      <w:bookmarkStart w:id="2" w:name="_Hlk126599721"/>
      <w:r>
        <w:fldChar w:fldCharType="begin"/>
      </w:r>
      <w:r>
        <w:instrText>HYPERLINK "https://www.britannica.com/place/South-Africa/British-occupation-of-the-Cape"</w:instrText>
      </w:r>
      <w:r>
        <w:fldChar w:fldCharType="separate"/>
      </w:r>
      <w:r w:rsidRPr="008B6FBB">
        <w:rPr>
          <w:rStyle w:val="Hyperlink"/>
          <w:color w:val="auto"/>
        </w:rPr>
        <w:t>https://www.britannica.com/place</w:t>
      </w:r>
      <w:r w:rsidRPr="008B6FBB">
        <w:rPr>
          <w:rStyle w:val="Hyperlink"/>
          <w:color w:val="auto"/>
        </w:rPr>
        <w:t>/</w:t>
      </w:r>
      <w:r w:rsidRPr="008B6FBB">
        <w:rPr>
          <w:rStyle w:val="Hyperlink"/>
          <w:color w:val="auto"/>
        </w:rPr>
        <w:t>South</w:t>
      </w:r>
      <w:r w:rsidRPr="008B6FBB">
        <w:rPr>
          <w:rStyle w:val="Hyperlink"/>
          <w:color w:val="auto"/>
        </w:rPr>
        <w:t>-</w:t>
      </w:r>
      <w:r w:rsidRPr="008B6FBB">
        <w:rPr>
          <w:rStyle w:val="Hyperlink"/>
          <w:color w:val="auto"/>
        </w:rPr>
        <w:t>Africa/British-occupation-of-the-Cape</w:t>
      </w:r>
      <w:r>
        <w:rPr>
          <w:rStyle w:val="Hyperlink"/>
          <w:color w:val="auto"/>
        </w:rPr>
        <w:fldChar w:fldCharType="end"/>
      </w:r>
      <w:bookmarkEnd w:id="1"/>
      <w:bookmarkEnd w:id="2"/>
      <w:r w:rsidRPr="008B6FBB">
        <w:t xml:space="preserve"> accessed </w:t>
      </w:r>
      <w:r>
        <w:t xml:space="preserve">4th Feb 2023 </w:t>
      </w:r>
    </w:p>
  </w:footnote>
  <w:footnote w:id="5">
    <w:p w14:paraId="6DB73FE5" w14:textId="1E51C842" w:rsidR="002C2277" w:rsidRPr="00084871" w:rsidRDefault="002C2277">
      <w:pPr>
        <w:pStyle w:val="FootnoteText"/>
        <w:rPr>
          <w:rFonts w:cstheme="minorHAnsi"/>
        </w:rPr>
      </w:pPr>
      <w:r>
        <w:rPr>
          <w:rStyle w:val="FootnoteReference"/>
        </w:rPr>
        <w:footnoteRef/>
      </w:r>
      <w:r>
        <w:t xml:space="preserve"> </w:t>
      </w:r>
      <w:r w:rsidRPr="00084871">
        <w:rPr>
          <w:rFonts w:cstheme="minorHAnsi"/>
          <w:color w:val="202122"/>
          <w:shd w:val="clear" w:color="auto" w:fill="FFFFFF"/>
        </w:rPr>
        <w:t xml:space="preserve">Adrian Greaves, </w:t>
      </w:r>
      <w:hyperlink r:id="rId4" w:history="1">
        <w:r w:rsidRPr="00084871">
          <w:rPr>
            <w:rFonts w:cstheme="minorHAnsi"/>
            <w:i/>
            <w:iCs/>
            <w:u w:val="single"/>
          </w:rPr>
          <w:t>The Tribe that Washed its Spears: T</w:t>
        </w:r>
        <w:r w:rsidRPr="00084871">
          <w:rPr>
            <w:rFonts w:cstheme="minorHAnsi"/>
            <w:i/>
            <w:iCs/>
            <w:u w:val="single"/>
          </w:rPr>
          <w:t>h</w:t>
        </w:r>
        <w:r w:rsidRPr="00084871">
          <w:rPr>
            <w:rFonts w:cstheme="minorHAnsi"/>
            <w:i/>
            <w:iCs/>
            <w:u w:val="single"/>
          </w:rPr>
          <w:t>e Zulus at War</w:t>
        </w:r>
      </w:hyperlink>
      <w:r w:rsidRPr="00084871">
        <w:rPr>
          <w:rFonts w:cstheme="minorHAnsi"/>
          <w:shd w:val="clear" w:color="auto" w:fill="FFFFFF"/>
        </w:rPr>
        <w:t>.</w:t>
      </w:r>
      <w:r w:rsidRPr="00084871">
        <w:rPr>
          <w:rFonts w:cstheme="minorHAnsi"/>
          <w:color w:val="202122"/>
          <w:shd w:val="clear" w:color="auto" w:fill="FFFFFF"/>
        </w:rPr>
        <w:t xml:space="preserve"> 2013 Barnsley: Pen &amp; Sword Military. pp</w:t>
      </w:r>
      <w:r w:rsidRPr="00084871">
        <w:rPr>
          <w:rFonts w:cstheme="minorHAnsi"/>
          <w:shd w:val="clear" w:color="auto" w:fill="FFFFFF"/>
        </w:rPr>
        <w:t>. 36–55.</w:t>
      </w:r>
    </w:p>
  </w:footnote>
  <w:footnote w:id="6">
    <w:p w14:paraId="55CA87D9" w14:textId="26FCC271" w:rsidR="00583C9B" w:rsidRPr="006501E6" w:rsidRDefault="00583C9B">
      <w:pPr>
        <w:pStyle w:val="FootnoteText"/>
      </w:pPr>
      <w:r w:rsidRPr="006501E6">
        <w:rPr>
          <w:rStyle w:val="FootnoteReference"/>
        </w:rPr>
        <w:footnoteRef/>
      </w:r>
      <w:r w:rsidRPr="006501E6">
        <w:t xml:space="preserve"> </w:t>
      </w:r>
      <w:bookmarkStart w:id="3" w:name="_Hlk126757089"/>
      <w:r w:rsidR="00BF363F" w:rsidRPr="006501E6">
        <w:t>Britannia.com ibid</w:t>
      </w:r>
      <w:bookmarkEnd w:id="3"/>
    </w:p>
  </w:footnote>
  <w:footnote w:id="7">
    <w:p w14:paraId="4DC50561" w14:textId="40A46EE9" w:rsidR="007F0AAF" w:rsidRPr="006501E6" w:rsidRDefault="007F0AAF">
      <w:pPr>
        <w:pStyle w:val="FootnoteText"/>
      </w:pPr>
      <w:r w:rsidRPr="006501E6">
        <w:rPr>
          <w:rStyle w:val="FootnoteReference"/>
        </w:rPr>
        <w:footnoteRef/>
      </w:r>
      <w:r w:rsidRPr="006501E6">
        <w:t xml:space="preserve">South Africa History </w:t>
      </w:r>
      <w:proofErr w:type="gramStart"/>
      <w:r w:rsidRPr="006501E6">
        <w:t>On</w:t>
      </w:r>
      <w:proofErr w:type="gramEnd"/>
      <w:r w:rsidRPr="006501E6">
        <w:t xml:space="preserve"> Line </w:t>
      </w:r>
      <w:hyperlink r:id="rId5" w:history="1">
        <w:r w:rsidRPr="006501E6">
          <w:rPr>
            <w:rStyle w:val="Hyperlink"/>
            <w:color w:val="auto"/>
          </w:rPr>
          <w:t>https://www.sahisto</w:t>
        </w:r>
        <w:r w:rsidRPr="006501E6">
          <w:rPr>
            <w:rStyle w:val="Hyperlink"/>
            <w:color w:val="auto"/>
          </w:rPr>
          <w:t>r</w:t>
        </w:r>
        <w:r w:rsidRPr="006501E6">
          <w:rPr>
            <w:rStyle w:val="Hyperlink"/>
            <w:color w:val="auto"/>
          </w:rPr>
          <w:t>y.org.za/archive/peace-treaty-vereeniging-original-document</w:t>
        </w:r>
      </w:hyperlink>
      <w:r w:rsidRPr="006501E6">
        <w:t xml:space="preserve"> </w:t>
      </w:r>
      <w:r w:rsidR="00B14157">
        <w:t>Produced 10</w:t>
      </w:r>
      <w:r w:rsidR="00B14157" w:rsidRPr="00B14157">
        <w:rPr>
          <w:vertAlign w:val="superscript"/>
        </w:rPr>
        <w:t>th</w:t>
      </w:r>
      <w:r w:rsidR="00B14157">
        <w:t xml:space="preserve"> Nov 2011, updated 26</w:t>
      </w:r>
      <w:r w:rsidR="00B14157" w:rsidRPr="00B14157">
        <w:rPr>
          <w:vertAlign w:val="superscript"/>
        </w:rPr>
        <w:t>th</w:t>
      </w:r>
      <w:r w:rsidR="00B14157">
        <w:t xml:space="preserve"> June 2019, </w:t>
      </w:r>
      <w:r w:rsidRPr="006501E6">
        <w:t>Accessed 6th Feb 2023</w:t>
      </w:r>
    </w:p>
  </w:footnote>
  <w:footnote w:id="8">
    <w:p w14:paraId="59E1C4EC" w14:textId="5FEC071A" w:rsidR="003A1667" w:rsidRDefault="003A1667">
      <w:pPr>
        <w:pStyle w:val="FootnoteText"/>
      </w:pPr>
      <w:r>
        <w:rPr>
          <w:rStyle w:val="FootnoteReference"/>
        </w:rPr>
        <w:footnoteRef/>
      </w:r>
      <w:r>
        <w:t xml:space="preserve"> Office of the </w:t>
      </w:r>
      <w:r w:rsidRPr="003A1667">
        <w:t xml:space="preserve">Historian  </w:t>
      </w:r>
      <w:hyperlink r:id="rId6" w:history="1">
        <w:r w:rsidRPr="003A1667">
          <w:rPr>
            <w:rStyle w:val="Hyperlink"/>
            <w:color w:val="auto"/>
          </w:rPr>
          <w:t>https://history.state</w:t>
        </w:r>
        <w:r w:rsidRPr="003A1667">
          <w:rPr>
            <w:rStyle w:val="Hyperlink"/>
            <w:color w:val="auto"/>
          </w:rPr>
          <w:t>.</w:t>
        </w:r>
        <w:r w:rsidRPr="003A1667">
          <w:rPr>
            <w:rStyle w:val="Hyperlink"/>
            <w:color w:val="auto"/>
          </w:rPr>
          <w:t>gov/countries/south-africa</w:t>
        </w:r>
      </w:hyperlink>
      <w:r w:rsidRPr="003A1667">
        <w:t xml:space="preserve"> </w:t>
      </w:r>
      <w:r>
        <w:t xml:space="preserve">accessed 8th Feb 2023 </w:t>
      </w:r>
    </w:p>
  </w:footnote>
  <w:footnote w:id="9">
    <w:p w14:paraId="15936112" w14:textId="51E2667F" w:rsidR="00386C46" w:rsidRDefault="00386C46">
      <w:pPr>
        <w:pStyle w:val="FootnoteText"/>
      </w:pPr>
      <w:r>
        <w:rPr>
          <w:rStyle w:val="FootnoteReference"/>
        </w:rPr>
        <w:footnoteRef/>
      </w:r>
      <w:r>
        <w:t xml:space="preserve"> </w:t>
      </w:r>
      <w:r w:rsidRPr="006501E6">
        <w:t>Britannia.com ibid</w:t>
      </w:r>
    </w:p>
  </w:footnote>
  <w:footnote w:id="10">
    <w:p w14:paraId="734047D4" w14:textId="46BCF895" w:rsidR="00305C24" w:rsidRPr="00305C24" w:rsidRDefault="00305C24" w:rsidP="00305C24">
      <w:pPr>
        <w:spacing w:after="0"/>
        <w:rPr>
          <w:sz w:val="20"/>
          <w:szCs w:val="20"/>
        </w:rPr>
      </w:pPr>
      <w:r>
        <w:rPr>
          <w:rStyle w:val="FootnoteReference"/>
        </w:rPr>
        <w:footnoteRef/>
      </w:r>
      <w:hyperlink r:id="rId7" w:history="1">
        <w:r w:rsidRPr="00305C24">
          <w:rPr>
            <w:rStyle w:val="Hyperlink"/>
            <w:rFonts w:eastAsia="Times New Roman" w:cstheme="minorHAnsi"/>
            <w:color w:val="auto"/>
            <w:sz w:val="20"/>
            <w:szCs w:val="20"/>
            <w:u w:val="none"/>
            <w:lang w:eastAsia="en-GB"/>
          </w:rPr>
          <w:t>Alistair Boddy-Evans</w:t>
        </w:r>
      </w:hyperlink>
      <w:r w:rsidRPr="00687674">
        <w:rPr>
          <w:rFonts w:eastAsia="Times New Roman" w:cstheme="minorHAnsi"/>
          <w:sz w:val="20"/>
          <w:szCs w:val="20"/>
          <w:lang w:eastAsia="en-GB"/>
        </w:rPr>
        <w:t xml:space="preserve">, </w:t>
      </w:r>
      <w:r w:rsidR="00B14157" w:rsidRPr="00B14157">
        <w:rPr>
          <w:rFonts w:cstheme="minorHAnsi"/>
          <w:i/>
          <w:iCs/>
          <w:color w:val="282828"/>
          <w:sz w:val="20"/>
          <w:szCs w:val="20"/>
          <w:shd w:val="clear" w:color="auto" w:fill="FFFFFF"/>
        </w:rPr>
        <w:t>Pre-Apartheid Era Laws: Natives (or Black) Land Act No. 27 of 1913</w:t>
      </w:r>
      <w:r w:rsidR="00B14157">
        <w:rPr>
          <w:i/>
          <w:iCs/>
          <w:sz w:val="20"/>
          <w:szCs w:val="20"/>
        </w:rPr>
        <w:t xml:space="preserve">, </w:t>
      </w:r>
      <w:r w:rsidRPr="00B14157">
        <w:rPr>
          <w:sz w:val="20"/>
          <w:szCs w:val="20"/>
        </w:rPr>
        <w:t>Thought co.</w:t>
      </w:r>
      <w:r w:rsidRPr="00305C24">
        <w:rPr>
          <w:sz w:val="20"/>
          <w:szCs w:val="20"/>
        </w:rPr>
        <w:t xml:space="preserve"> </w:t>
      </w:r>
      <w:hyperlink r:id="rId8" w:history="1">
        <w:r w:rsidRPr="00305C24">
          <w:rPr>
            <w:rStyle w:val="Hyperlink"/>
            <w:color w:val="auto"/>
            <w:sz w:val="20"/>
            <w:szCs w:val="20"/>
          </w:rPr>
          <w:t>https://www.thoug</w:t>
        </w:r>
        <w:r w:rsidRPr="00305C24">
          <w:rPr>
            <w:rStyle w:val="Hyperlink"/>
            <w:color w:val="auto"/>
            <w:sz w:val="20"/>
            <w:szCs w:val="20"/>
          </w:rPr>
          <w:t>h</w:t>
        </w:r>
        <w:r w:rsidRPr="00305C24">
          <w:rPr>
            <w:rStyle w:val="Hyperlink"/>
            <w:color w:val="auto"/>
            <w:sz w:val="20"/>
            <w:szCs w:val="20"/>
          </w:rPr>
          <w:t>tco.com/pre-apartheid-era-laws-43472</w:t>
        </w:r>
      </w:hyperlink>
      <w:r>
        <w:rPr>
          <w:sz w:val="20"/>
          <w:szCs w:val="20"/>
        </w:rPr>
        <w:t>, updated 1</w:t>
      </w:r>
      <w:r w:rsidR="002905C8">
        <w:rPr>
          <w:sz w:val="20"/>
          <w:szCs w:val="20"/>
        </w:rPr>
        <w:t>3</w:t>
      </w:r>
      <w:r w:rsidRPr="00305C24">
        <w:rPr>
          <w:sz w:val="20"/>
          <w:szCs w:val="20"/>
          <w:vertAlign w:val="superscript"/>
        </w:rPr>
        <w:t>th</w:t>
      </w:r>
      <w:r>
        <w:rPr>
          <w:sz w:val="20"/>
          <w:szCs w:val="20"/>
        </w:rPr>
        <w:t xml:space="preserve"> </w:t>
      </w:r>
      <w:r w:rsidR="002905C8">
        <w:rPr>
          <w:sz w:val="20"/>
          <w:szCs w:val="20"/>
        </w:rPr>
        <w:t>Sept</w:t>
      </w:r>
      <w:r>
        <w:rPr>
          <w:sz w:val="20"/>
          <w:szCs w:val="20"/>
        </w:rPr>
        <w:t xml:space="preserve"> 20</w:t>
      </w:r>
      <w:r w:rsidR="002905C8">
        <w:rPr>
          <w:sz w:val="20"/>
          <w:szCs w:val="20"/>
        </w:rPr>
        <w:t>20,</w:t>
      </w:r>
      <w:r w:rsidRPr="00305C24">
        <w:rPr>
          <w:sz w:val="20"/>
          <w:szCs w:val="20"/>
        </w:rPr>
        <w:t xml:space="preserve"> accessed 8th Feb 2023</w:t>
      </w:r>
      <w:r>
        <w:rPr>
          <w:sz w:val="20"/>
          <w:szCs w:val="20"/>
        </w:rPr>
        <w:t>.</w:t>
      </w:r>
    </w:p>
  </w:footnote>
  <w:footnote w:id="11">
    <w:p w14:paraId="76D712B3" w14:textId="04117349" w:rsidR="00EB6929" w:rsidRDefault="00EB6929" w:rsidP="00305C24">
      <w:pPr>
        <w:pStyle w:val="FootnoteText"/>
      </w:pPr>
      <w:r>
        <w:rPr>
          <w:rStyle w:val="FootnoteReference"/>
        </w:rPr>
        <w:footnoteRef/>
      </w:r>
      <w:r>
        <w:t xml:space="preserve"> </w:t>
      </w:r>
      <w:bookmarkStart w:id="4" w:name="_Hlk126846216"/>
      <w:bookmarkStart w:id="5" w:name="_Hlk126767289"/>
      <w:r>
        <w:t xml:space="preserve">Thought co. </w:t>
      </w:r>
      <w:hyperlink r:id="rId9" w:history="1">
        <w:r w:rsidRPr="00EB6929">
          <w:rPr>
            <w:rStyle w:val="Hyperlink"/>
            <w:color w:val="auto"/>
          </w:rPr>
          <w:t>https://www.thoughtco.com/pre-apartheid-era-laws-43472</w:t>
        </w:r>
      </w:hyperlink>
      <w:bookmarkEnd w:id="4"/>
      <w:r w:rsidRPr="00EB6929">
        <w:t xml:space="preserve"> accessed </w:t>
      </w:r>
      <w:r>
        <w:t>8th Feb 2023</w:t>
      </w:r>
      <w:bookmarkEnd w:id="5"/>
    </w:p>
  </w:footnote>
  <w:footnote w:id="12">
    <w:p w14:paraId="6B21BDB4" w14:textId="629AB125" w:rsidR="00321AF5" w:rsidRDefault="00321AF5" w:rsidP="00305C24">
      <w:pPr>
        <w:pStyle w:val="FootnoteText"/>
      </w:pPr>
      <w:r w:rsidRPr="006501E6">
        <w:rPr>
          <w:rStyle w:val="FootnoteReference"/>
        </w:rPr>
        <w:footnoteRef/>
      </w:r>
      <w:bookmarkStart w:id="6" w:name="_Hlk126845777"/>
      <w:r w:rsidR="006501E6" w:rsidRPr="006501E6">
        <w:t>British Government.</w:t>
      </w:r>
      <w:r w:rsidRPr="006501E6">
        <w:t xml:space="preserve"> </w:t>
      </w:r>
      <w:hyperlink r:id="rId10" w:history="1">
        <w:r w:rsidR="006501E6" w:rsidRPr="006501E6">
          <w:rPr>
            <w:rStyle w:val="Hyperlink"/>
            <w:color w:val="auto"/>
          </w:rPr>
          <w:t>https://www.legislation.g</w:t>
        </w:r>
        <w:r w:rsidR="006501E6" w:rsidRPr="006501E6">
          <w:rPr>
            <w:rStyle w:val="Hyperlink"/>
            <w:color w:val="auto"/>
          </w:rPr>
          <w:t>o</w:t>
        </w:r>
        <w:r w:rsidR="006501E6" w:rsidRPr="006501E6">
          <w:rPr>
            <w:rStyle w:val="Hyperlink"/>
            <w:color w:val="auto"/>
          </w:rPr>
          <w:t>v.uk/ukpga/1931/4/pdfs/ukpga_19310004_en.pdf</w:t>
        </w:r>
      </w:hyperlink>
      <w:bookmarkEnd w:id="6"/>
      <w:r w:rsidR="006501E6" w:rsidRPr="006501E6">
        <w:t xml:space="preserve"> Accessed 6th Feb 2023</w:t>
      </w:r>
    </w:p>
  </w:footnote>
  <w:footnote w:id="13">
    <w:p w14:paraId="2845C10D" w14:textId="1BD27DCF" w:rsidR="008815F9" w:rsidRDefault="008815F9">
      <w:pPr>
        <w:pStyle w:val="FootnoteText"/>
      </w:pPr>
      <w:r>
        <w:rPr>
          <w:rStyle w:val="FootnoteReference"/>
        </w:rPr>
        <w:footnoteRef/>
      </w:r>
      <w:r>
        <w:t xml:space="preserve"> </w:t>
      </w:r>
      <w:bookmarkStart w:id="7" w:name="_Hlk126604486"/>
      <w:r>
        <w:t>Britannia</w:t>
      </w:r>
      <w:r w:rsidR="00BF363F">
        <w:t>.com ibid</w:t>
      </w:r>
      <w:bookmarkEnd w:id="7"/>
    </w:p>
  </w:footnote>
  <w:footnote w:id="14">
    <w:p w14:paraId="4AA2BC89" w14:textId="00195114" w:rsidR="00FF211F" w:rsidRDefault="00FF211F">
      <w:pPr>
        <w:pStyle w:val="FootnoteText"/>
      </w:pPr>
      <w:r>
        <w:rPr>
          <w:rStyle w:val="FootnoteReference"/>
        </w:rPr>
        <w:footnoteRef/>
      </w:r>
      <w:r>
        <w:t xml:space="preserve"> </w:t>
      </w:r>
      <w:bookmarkStart w:id="8" w:name="_Hlk126845889"/>
      <w:r>
        <w:t xml:space="preserve">Padraig O’Malley, </w:t>
      </w:r>
      <w:r w:rsidRPr="009610D6">
        <w:rPr>
          <w:i/>
          <w:iCs/>
        </w:rPr>
        <w:t>The Heart of Hope</w:t>
      </w:r>
      <w:r>
        <w:t xml:space="preserve">, </w:t>
      </w:r>
      <w:hyperlink r:id="rId11" w:history="1">
        <w:r w:rsidRPr="00FF211F">
          <w:rPr>
            <w:rStyle w:val="Hyperlink"/>
            <w:color w:val="auto"/>
          </w:rPr>
          <w:t>https://omalley.nelsonmandela.org/index.php/site/q</w:t>
        </w:r>
        <w:r w:rsidRPr="00FF211F">
          <w:rPr>
            <w:rStyle w:val="Hyperlink"/>
            <w:color w:val="auto"/>
          </w:rPr>
          <w:t>/</w:t>
        </w:r>
        <w:r w:rsidRPr="00FF211F">
          <w:rPr>
            <w:rStyle w:val="Hyperlink"/>
            <w:color w:val="auto"/>
          </w:rPr>
          <w:t>03lv01538/04lv01828/05lv01829/06lv01917.htm</w:t>
        </w:r>
      </w:hyperlink>
      <w:bookmarkEnd w:id="8"/>
      <w:r w:rsidRPr="00FF211F">
        <w:t xml:space="preserve"> </w:t>
      </w:r>
      <w:r>
        <w:t xml:space="preserve">accessed 6th Feb 2023 </w:t>
      </w:r>
    </w:p>
  </w:footnote>
  <w:footnote w:id="15">
    <w:p w14:paraId="7157D10A" w14:textId="033FEE3B" w:rsidR="00F90419" w:rsidRPr="00AA4C25" w:rsidRDefault="00F90419">
      <w:pPr>
        <w:pStyle w:val="FootnoteText"/>
      </w:pPr>
      <w:r>
        <w:rPr>
          <w:rStyle w:val="FootnoteReference"/>
        </w:rPr>
        <w:footnoteRef/>
      </w:r>
      <w:r>
        <w:t xml:space="preserve"> South Africa; Overcoming Apartheid, Building Democracy, </w:t>
      </w:r>
      <w:hyperlink r:id="rId12" w:history="1">
        <w:r w:rsidRPr="00AA4C25">
          <w:rPr>
            <w:rStyle w:val="Hyperlink"/>
            <w:color w:val="auto"/>
          </w:rPr>
          <w:t>https://overcomingaparth</w:t>
        </w:r>
        <w:r w:rsidRPr="00AA4C25">
          <w:rPr>
            <w:rStyle w:val="Hyperlink"/>
            <w:color w:val="auto"/>
          </w:rPr>
          <w:t>e</w:t>
        </w:r>
        <w:r w:rsidRPr="00AA4C25">
          <w:rPr>
            <w:rStyle w:val="Hyperlink"/>
            <w:color w:val="auto"/>
          </w:rPr>
          <w:t>id.msu.edu/sidebar.php?kid=163-581-2</w:t>
        </w:r>
      </w:hyperlink>
      <w:r w:rsidRPr="00AA4C25">
        <w:t xml:space="preserve">  Accessed 6</w:t>
      </w:r>
      <w:r w:rsidRPr="00AA4C25">
        <w:rPr>
          <w:vertAlign w:val="superscript"/>
        </w:rPr>
        <w:t>th</w:t>
      </w:r>
      <w:r w:rsidRPr="00AA4C25">
        <w:t xml:space="preserve"> Feb 2023</w:t>
      </w:r>
    </w:p>
  </w:footnote>
  <w:footnote w:id="16">
    <w:p w14:paraId="22E1B6A5" w14:textId="35B55F27" w:rsidR="001B0DB7" w:rsidRDefault="001B0DB7">
      <w:pPr>
        <w:pStyle w:val="FootnoteText"/>
      </w:pPr>
      <w:bookmarkStart w:id="9" w:name="_Hlk126845814"/>
      <w:r>
        <w:rPr>
          <w:rStyle w:val="FootnoteReference"/>
        </w:rPr>
        <w:footnoteRef/>
      </w:r>
      <w:r>
        <w:t xml:space="preserve"> Helen </w:t>
      </w:r>
      <w:proofErr w:type="spellStart"/>
      <w:r w:rsidRPr="001B0DB7">
        <w:t>Suzman</w:t>
      </w:r>
      <w:proofErr w:type="spellEnd"/>
      <w:r w:rsidRPr="001B0DB7">
        <w:t xml:space="preserve">, </w:t>
      </w:r>
      <w:r w:rsidRPr="001B0DB7">
        <w:rPr>
          <w:i/>
          <w:iCs/>
        </w:rPr>
        <w:t xml:space="preserve">Apartheid Key Legislation </w:t>
      </w:r>
      <w:proofErr w:type="gramStart"/>
      <w:r w:rsidRPr="001B0DB7">
        <w:rPr>
          <w:i/>
          <w:iCs/>
        </w:rPr>
        <w:t>In</w:t>
      </w:r>
      <w:proofErr w:type="gramEnd"/>
      <w:r w:rsidRPr="001B0DB7">
        <w:rPr>
          <w:i/>
          <w:iCs/>
        </w:rPr>
        <w:t xml:space="preserve"> The Formation Of Apartheid</w:t>
      </w:r>
      <w:r w:rsidRPr="001B0DB7">
        <w:t xml:space="preserve">,  </w:t>
      </w:r>
      <w:hyperlink r:id="rId13" w:history="1">
        <w:r w:rsidRPr="001B0DB7">
          <w:rPr>
            <w:rStyle w:val="Hyperlink"/>
            <w:color w:val="auto"/>
          </w:rPr>
          <w:t>https://www.cortland.edu/cgis/suzman/apartheid.html</w:t>
        </w:r>
      </w:hyperlink>
      <w:bookmarkEnd w:id="9"/>
      <w:r w:rsidRPr="001B0DB7">
        <w:t xml:space="preserve"> Accessed </w:t>
      </w:r>
      <w:r>
        <w:t>9th Feb 2023</w:t>
      </w:r>
    </w:p>
  </w:footnote>
  <w:footnote w:id="17">
    <w:p w14:paraId="2D3B830E" w14:textId="196AFA56" w:rsidR="004C00F0" w:rsidRDefault="004C00F0">
      <w:pPr>
        <w:pStyle w:val="FootnoteText"/>
      </w:pPr>
      <w:r>
        <w:rPr>
          <w:rStyle w:val="FootnoteReference"/>
        </w:rPr>
        <w:footnoteRef/>
      </w:r>
      <w:r>
        <w:t xml:space="preserve"> </w:t>
      </w:r>
      <w:bookmarkStart w:id="10" w:name="_Hlk126767166"/>
      <w:r>
        <w:t>Britannia.com ibid</w:t>
      </w:r>
      <w:bookmarkEnd w:id="10"/>
    </w:p>
  </w:footnote>
  <w:footnote w:id="18">
    <w:p w14:paraId="20BE1AF6" w14:textId="663C5907" w:rsidR="0048778B" w:rsidRDefault="0048778B">
      <w:pPr>
        <w:pStyle w:val="FootnoteText"/>
      </w:pPr>
      <w:r>
        <w:rPr>
          <w:rStyle w:val="FootnoteReference"/>
        </w:rPr>
        <w:footnoteRef/>
      </w:r>
      <w:r>
        <w:t xml:space="preserve"> Britannia.com ibid</w:t>
      </w:r>
    </w:p>
  </w:footnote>
  <w:footnote w:id="19">
    <w:p w14:paraId="64AA3514" w14:textId="78F3898F" w:rsidR="001B0DB7" w:rsidRDefault="001B0DB7">
      <w:pPr>
        <w:pStyle w:val="FootnoteText"/>
      </w:pPr>
      <w:r>
        <w:rPr>
          <w:rStyle w:val="FootnoteReference"/>
        </w:rPr>
        <w:footnoteRef/>
      </w:r>
      <w:r>
        <w:t xml:space="preserve"> </w:t>
      </w:r>
      <w:proofErr w:type="spellStart"/>
      <w:r>
        <w:t>Suzman</w:t>
      </w:r>
      <w:proofErr w:type="spellEnd"/>
      <w:r>
        <w:t xml:space="preserve"> ibid</w:t>
      </w:r>
    </w:p>
  </w:footnote>
  <w:footnote w:id="20">
    <w:p w14:paraId="74113C0D" w14:textId="017F62FF" w:rsidR="004C00F0" w:rsidRDefault="004C00F0">
      <w:pPr>
        <w:pStyle w:val="FootnoteText"/>
      </w:pPr>
      <w:r>
        <w:rPr>
          <w:rStyle w:val="FootnoteReference"/>
        </w:rPr>
        <w:footnoteRef/>
      </w:r>
      <w:r>
        <w:t xml:space="preserve"> Britannia.com ibid</w:t>
      </w:r>
    </w:p>
  </w:footnote>
  <w:footnote w:id="21">
    <w:p w14:paraId="36024B80" w14:textId="45701B1E" w:rsidR="009A03D3" w:rsidRDefault="009A03D3">
      <w:pPr>
        <w:pStyle w:val="FootnoteText"/>
      </w:pPr>
      <w:r w:rsidRPr="009A03D3">
        <w:rPr>
          <w:rStyle w:val="FootnoteReference"/>
        </w:rPr>
        <w:footnoteRef/>
      </w:r>
      <w:r w:rsidRPr="009A03D3">
        <w:t xml:space="preserve">  The Apartheid Museum, </w:t>
      </w:r>
      <w:hyperlink r:id="rId14" w:history="1">
        <w:r w:rsidRPr="009A03D3">
          <w:rPr>
            <w:rStyle w:val="Hyperlink"/>
            <w:color w:val="auto"/>
          </w:rPr>
          <w:t>https://www.apartheidmuseum.org/exhibitions/the-truth-and-reconciliation-commission-trc</w:t>
        </w:r>
      </w:hyperlink>
      <w:r w:rsidRPr="009A03D3">
        <w:t xml:space="preserve"> accessed 9th Feb 2023</w:t>
      </w:r>
    </w:p>
  </w:footnote>
  <w:footnote w:id="22">
    <w:p w14:paraId="02F8F2CA" w14:textId="4C869B9B" w:rsidR="00AA4C25" w:rsidRDefault="00AA4C25">
      <w:pPr>
        <w:pStyle w:val="FootnoteText"/>
      </w:pPr>
      <w:r w:rsidRPr="00AA4C25">
        <w:rPr>
          <w:rStyle w:val="FootnoteReference"/>
        </w:rPr>
        <w:footnoteRef/>
      </w:r>
      <w:r>
        <w:t xml:space="preserve">South Africa History </w:t>
      </w:r>
      <w:proofErr w:type="gramStart"/>
      <w:r w:rsidR="00084871">
        <w:t>O</w:t>
      </w:r>
      <w:r>
        <w:t>n</w:t>
      </w:r>
      <w:proofErr w:type="gramEnd"/>
      <w:r>
        <w:t xml:space="preserve"> Line</w:t>
      </w:r>
      <w:r w:rsidR="00084871">
        <w:t xml:space="preserve">, </w:t>
      </w:r>
      <w:r w:rsidRPr="00AA4C25">
        <w:t xml:space="preserve"> </w:t>
      </w:r>
      <w:hyperlink r:id="rId15" w:history="1">
        <w:r w:rsidRPr="00AA4C25">
          <w:rPr>
            <w:rStyle w:val="Hyperlink"/>
            <w:color w:val="auto"/>
          </w:rPr>
          <w:t>https://www.sahistory.org.za/dated-event/apartheid-police-officers-admit-killing-biko-trc</w:t>
        </w:r>
      </w:hyperlink>
      <w:r w:rsidRPr="00AA4C25">
        <w:t xml:space="preserve"> Accessed </w:t>
      </w:r>
      <w:r>
        <w:t>6th Feb 2023</w:t>
      </w:r>
    </w:p>
  </w:footnote>
  <w:footnote w:id="23">
    <w:p w14:paraId="4606C403" w14:textId="1E83F793" w:rsidR="0022750C" w:rsidRDefault="0022750C">
      <w:pPr>
        <w:pStyle w:val="FootnoteText"/>
      </w:pPr>
      <w:r>
        <w:rPr>
          <w:rStyle w:val="FootnoteReference"/>
        </w:rPr>
        <w:footnoteRef/>
      </w:r>
      <w:r>
        <w:t xml:space="preserve"> Pam Christie, </w:t>
      </w:r>
      <w:r w:rsidRPr="0022750C">
        <w:rPr>
          <w:i/>
          <w:iCs/>
        </w:rPr>
        <w:t>De-colonising Schools In South Africa: The Impossible Dream</w:t>
      </w:r>
      <w:r>
        <w:t>, 2020, Routledge Francis and Taylor Group, Ch 10 p3.</w:t>
      </w:r>
    </w:p>
  </w:footnote>
  <w:footnote w:id="24">
    <w:p w14:paraId="25A06CED" w14:textId="0AC3DAA0" w:rsidR="008815F9" w:rsidRDefault="008815F9">
      <w:pPr>
        <w:pStyle w:val="FootnoteText"/>
      </w:pPr>
      <w:r>
        <w:rPr>
          <w:rStyle w:val="FootnoteReference"/>
        </w:rPr>
        <w:footnoteRef/>
      </w:r>
      <w:r>
        <w:t xml:space="preserve"> </w:t>
      </w:r>
      <w:bookmarkStart w:id="11" w:name="_Hlk126846098"/>
      <w:r>
        <w:t xml:space="preserve">James L Gibson, </w:t>
      </w:r>
      <w:r w:rsidRPr="00E17C75">
        <w:rPr>
          <w:i/>
          <w:iCs/>
        </w:rPr>
        <w:t>Overcoming Historical Injustices, Land Reconciliation in South Africa</w:t>
      </w:r>
      <w:r>
        <w:t>, Appendix A, p219, Cambridge University Press, 2009</w:t>
      </w:r>
      <w:bookmarkEnd w:id="11"/>
    </w:p>
  </w:footnote>
  <w:footnote w:id="25">
    <w:p w14:paraId="721015F5" w14:textId="77777777" w:rsidR="00662A72" w:rsidRDefault="00662A72" w:rsidP="00662A72">
      <w:pPr>
        <w:pStyle w:val="FootnoteText"/>
      </w:pPr>
      <w:r>
        <w:rPr>
          <w:rStyle w:val="FootnoteReference"/>
        </w:rPr>
        <w:footnoteRef/>
      </w:r>
      <w:r>
        <w:t xml:space="preserve"> </w:t>
      </w:r>
      <w:bookmarkStart w:id="12" w:name="_Hlk126846153"/>
      <w:r>
        <w:t xml:space="preserve">Johann Van Rooyen, </w:t>
      </w:r>
      <w:r w:rsidRPr="008F1E2B">
        <w:rPr>
          <w:i/>
          <w:iCs/>
        </w:rPr>
        <w:t>The New Great Trek;</w:t>
      </w:r>
      <w:r>
        <w:rPr>
          <w:i/>
          <w:iCs/>
        </w:rPr>
        <w:t xml:space="preserve"> </w:t>
      </w:r>
      <w:r w:rsidRPr="008F1E2B">
        <w:rPr>
          <w:i/>
          <w:iCs/>
        </w:rPr>
        <w:t>The Story Of South Africa</w:t>
      </w:r>
      <w:r>
        <w:rPr>
          <w:i/>
          <w:iCs/>
        </w:rPr>
        <w:t>’</w:t>
      </w:r>
      <w:r w:rsidRPr="008F1E2B">
        <w:rPr>
          <w:i/>
          <w:iCs/>
        </w:rPr>
        <w:t>s White Exodus</w:t>
      </w:r>
      <w:r>
        <w:t>, Chapter 4, Unisa Press, 2000</w:t>
      </w:r>
      <w:bookmarkEnd w:id="12"/>
      <w:r>
        <w:t xml:space="preserve">. </w:t>
      </w:r>
    </w:p>
    <w:p w14:paraId="6AD74474" w14:textId="6E275415" w:rsidR="00662A72" w:rsidRDefault="00662A72">
      <w:pPr>
        <w:pStyle w:val="FootnoteText"/>
      </w:pPr>
    </w:p>
  </w:footnote>
  <w:footnote w:id="26">
    <w:p w14:paraId="00F91EC8" w14:textId="5F782714" w:rsidR="003E6133" w:rsidRDefault="003E6133">
      <w:pPr>
        <w:pStyle w:val="FootnoteText"/>
      </w:pPr>
      <w:r>
        <w:rPr>
          <w:rStyle w:val="FootnoteReference"/>
        </w:rPr>
        <w:footnoteRef/>
      </w:r>
      <w:r>
        <w:t xml:space="preserve"> Gibson</w:t>
      </w:r>
      <w:r w:rsidR="00A921A2">
        <w:t xml:space="preserve">, </w:t>
      </w:r>
      <w:bookmarkStart w:id="13" w:name="_Hlk126846747"/>
      <w:r w:rsidR="00A921A2" w:rsidRPr="00A921A2">
        <w:rPr>
          <w:i/>
          <w:iCs/>
        </w:rPr>
        <w:t>Overcoming Historical Injustices</w:t>
      </w:r>
      <w:r w:rsidR="00A921A2">
        <w:t>, (2009)</w:t>
      </w:r>
      <w:bookmarkEnd w:id="13"/>
      <w:r>
        <w:t xml:space="preserve"> ibid p2</w:t>
      </w:r>
    </w:p>
  </w:footnote>
  <w:footnote w:id="27">
    <w:p w14:paraId="7FE4CF8C" w14:textId="476C8D48" w:rsidR="001A3344" w:rsidRDefault="001A3344">
      <w:pPr>
        <w:pStyle w:val="FootnoteText"/>
      </w:pPr>
      <w:r>
        <w:rPr>
          <w:rStyle w:val="FootnoteReference"/>
        </w:rPr>
        <w:footnoteRef/>
      </w:r>
      <w:r>
        <w:t xml:space="preserve"> Gibson</w:t>
      </w:r>
      <w:r w:rsidR="00A921A2">
        <w:t xml:space="preserve">, </w:t>
      </w:r>
      <w:r w:rsidR="00A921A2" w:rsidRPr="00A921A2">
        <w:rPr>
          <w:i/>
          <w:iCs/>
        </w:rPr>
        <w:t>Overcoming Historical Injustices</w:t>
      </w:r>
      <w:r w:rsidR="00A921A2">
        <w:t>, (2009)</w:t>
      </w:r>
      <w:r>
        <w:t xml:space="preserve"> ibid </w:t>
      </w:r>
      <w:r w:rsidR="00A921A2">
        <w:t>p</w:t>
      </w:r>
      <w:r>
        <w:t>35</w:t>
      </w:r>
    </w:p>
  </w:footnote>
  <w:footnote w:id="28">
    <w:p w14:paraId="357272F2" w14:textId="617994A0" w:rsidR="007005D5" w:rsidRDefault="007005D5">
      <w:pPr>
        <w:pStyle w:val="FootnoteText"/>
      </w:pPr>
      <w:r>
        <w:rPr>
          <w:rStyle w:val="FootnoteReference"/>
        </w:rPr>
        <w:footnoteRef/>
      </w:r>
      <w:r>
        <w:t xml:space="preserve"> </w:t>
      </w:r>
      <w:bookmarkStart w:id="14" w:name="_Hlk126822277"/>
      <w:r>
        <w:t>Gibson</w:t>
      </w:r>
      <w:r w:rsidR="00BB2877" w:rsidRPr="00BB2877">
        <w:rPr>
          <w:i/>
          <w:iCs/>
        </w:rPr>
        <w:t xml:space="preserve"> </w:t>
      </w:r>
      <w:r w:rsidR="00BB2877" w:rsidRPr="00A921A2">
        <w:rPr>
          <w:i/>
          <w:iCs/>
        </w:rPr>
        <w:t>Overcoming Historical Injustices</w:t>
      </w:r>
      <w:r w:rsidR="00BB2877">
        <w:t>, (2009</w:t>
      </w:r>
      <w:proofErr w:type="gramStart"/>
      <w:r w:rsidR="00BB2877">
        <w:t>)</w:t>
      </w:r>
      <w:r w:rsidR="00BB2877">
        <w:t xml:space="preserve">, </w:t>
      </w:r>
      <w:r>
        <w:t xml:space="preserve"> ibid</w:t>
      </w:r>
      <w:proofErr w:type="gramEnd"/>
      <w:r>
        <w:t xml:space="preserve"> p218</w:t>
      </w:r>
      <w:bookmarkEnd w:id="14"/>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C23F6"/>
    <w:multiLevelType w:val="hybridMultilevel"/>
    <w:tmpl w:val="98D6D7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62758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40E"/>
    <w:rsid w:val="00084871"/>
    <w:rsid w:val="001500B6"/>
    <w:rsid w:val="001900F4"/>
    <w:rsid w:val="001A3344"/>
    <w:rsid w:val="001B0DB7"/>
    <w:rsid w:val="002273F9"/>
    <w:rsid w:val="0022750C"/>
    <w:rsid w:val="0023127B"/>
    <w:rsid w:val="00231C8A"/>
    <w:rsid w:val="00237628"/>
    <w:rsid w:val="00285310"/>
    <w:rsid w:val="002905C8"/>
    <w:rsid w:val="002C2277"/>
    <w:rsid w:val="00305C24"/>
    <w:rsid w:val="00321AF5"/>
    <w:rsid w:val="00340E80"/>
    <w:rsid w:val="00353CD8"/>
    <w:rsid w:val="00386C46"/>
    <w:rsid w:val="00391002"/>
    <w:rsid w:val="003A1667"/>
    <w:rsid w:val="003C0DA9"/>
    <w:rsid w:val="003C1B53"/>
    <w:rsid w:val="003E6133"/>
    <w:rsid w:val="00402C9F"/>
    <w:rsid w:val="00432BAC"/>
    <w:rsid w:val="00457238"/>
    <w:rsid w:val="0048778B"/>
    <w:rsid w:val="004C00F0"/>
    <w:rsid w:val="00552D3A"/>
    <w:rsid w:val="005563B2"/>
    <w:rsid w:val="00572B2A"/>
    <w:rsid w:val="00583C9B"/>
    <w:rsid w:val="00616391"/>
    <w:rsid w:val="00626177"/>
    <w:rsid w:val="006501E6"/>
    <w:rsid w:val="00662A72"/>
    <w:rsid w:val="00675C8F"/>
    <w:rsid w:val="00687674"/>
    <w:rsid w:val="00697EB1"/>
    <w:rsid w:val="006C6668"/>
    <w:rsid w:val="007005D5"/>
    <w:rsid w:val="00722814"/>
    <w:rsid w:val="00724DE4"/>
    <w:rsid w:val="007E19E2"/>
    <w:rsid w:val="007E55E7"/>
    <w:rsid w:val="007F0AAF"/>
    <w:rsid w:val="007F2688"/>
    <w:rsid w:val="008815F9"/>
    <w:rsid w:val="0088727B"/>
    <w:rsid w:val="008B2FDB"/>
    <w:rsid w:val="008B6FBB"/>
    <w:rsid w:val="008F1E2B"/>
    <w:rsid w:val="008F5072"/>
    <w:rsid w:val="009138F4"/>
    <w:rsid w:val="009610D6"/>
    <w:rsid w:val="0097395B"/>
    <w:rsid w:val="009A03D3"/>
    <w:rsid w:val="009B5776"/>
    <w:rsid w:val="009E0951"/>
    <w:rsid w:val="009E2EE8"/>
    <w:rsid w:val="009F1028"/>
    <w:rsid w:val="00A707CA"/>
    <w:rsid w:val="00A921A2"/>
    <w:rsid w:val="00AA4C25"/>
    <w:rsid w:val="00AC240E"/>
    <w:rsid w:val="00AE6D77"/>
    <w:rsid w:val="00B14157"/>
    <w:rsid w:val="00B574E7"/>
    <w:rsid w:val="00BB2877"/>
    <w:rsid w:val="00BC24A1"/>
    <w:rsid w:val="00BF363F"/>
    <w:rsid w:val="00BF5527"/>
    <w:rsid w:val="00C1165C"/>
    <w:rsid w:val="00C3063E"/>
    <w:rsid w:val="00C306DB"/>
    <w:rsid w:val="00C71F8E"/>
    <w:rsid w:val="00C7251F"/>
    <w:rsid w:val="00D01244"/>
    <w:rsid w:val="00D42D63"/>
    <w:rsid w:val="00DC5A2B"/>
    <w:rsid w:val="00E00E2D"/>
    <w:rsid w:val="00E04E03"/>
    <w:rsid w:val="00E06ACB"/>
    <w:rsid w:val="00E17501"/>
    <w:rsid w:val="00E17C75"/>
    <w:rsid w:val="00E55391"/>
    <w:rsid w:val="00E70BA1"/>
    <w:rsid w:val="00EB6929"/>
    <w:rsid w:val="00EC7681"/>
    <w:rsid w:val="00EE011D"/>
    <w:rsid w:val="00EF0717"/>
    <w:rsid w:val="00F90419"/>
    <w:rsid w:val="00FD4901"/>
    <w:rsid w:val="00FF211F"/>
    <w:rsid w:val="00FF5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0B5AE"/>
  <w15:chartTrackingRefBased/>
  <w15:docId w15:val="{514BCF46-AAC9-4620-8C29-AA57E3C0E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C1B5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1B53"/>
    <w:rPr>
      <w:sz w:val="20"/>
      <w:szCs w:val="20"/>
    </w:rPr>
  </w:style>
  <w:style w:type="character" w:styleId="FootnoteReference">
    <w:name w:val="footnote reference"/>
    <w:basedOn w:val="DefaultParagraphFont"/>
    <w:uiPriority w:val="99"/>
    <w:semiHidden/>
    <w:unhideWhenUsed/>
    <w:rsid w:val="003C1B53"/>
    <w:rPr>
      <w:vertAlign w:val="superscript"/>
    </w:rPr>
  </w:style>
  <w:style w:type="character" w:styleId="Hyperlink">
    <w:name w:val="Hyperlink"/>
    <w:basedOn w:val="DefaultParagraphFont"/>
    <w:uiPriority w:val="99"/>
    <w:unhideWhenUsed/>
    <w:rsid w:val="003C1B53"/>
    <w:rPr>
      <w:color w:val="0563C1" w:themeColor="hyperlink"/>
      <w:u w:val="single"/>
    </w:rPr>
  </w:style>
  <w:style w:type="character" w:styleId="UnresolvedMention">
    <w:name w:val="Unresolved Mention"/>
    <w:basedOn w:val="DefaultParagraphFont"/>
    <w:uiPriority w:val="99"/>
    <w:semiHidden/>
    <w:unhideWhenUsed/>
    <w:rsid w:val="003C1B53"/>
    <w:rPr>
      <w:color w:val="605E5C"/>
      <w:shd w:val="clear" w:color="auto" w:fill="E1DFDD"/>
    </w:rPr>
  </w:style>
  <w:style w:type="paragraph" w:styleId="ListParagraph">
    <w:name w:val="List Paragraph"/>
    <w:basedOn w:val="Normal"/>
    <w:uiPriority w:val="34"/>
    <w:qFormat/>
    <w:rsid w:val="00C7251F"/>
    <w:pPr>
      <w:ind w:left="720"/>
      <w:contextualSpacing/>
    </w:pPr>
  </w:style>
  <w:style w:type="character" w:styleId="Strong">
    <w:name w:val="Strong"/>
    <w:basedOn w:val="DefaultParagraphFont"/>
    <w:uiPriority w:val="22"/>
    <w:qFormat/>
    <w:rsid w:val="00305C24"/>
    <w:rPr>
      <w:b/>
      <w:bCs/>
    </w:rPr>
  </w:style>
  <w:style w:type="character" w:styleId="FollowedHyperlink">
    <w:name w:val="FollowedHyperlink"/>
    <w:basedOn w:val="DefaultParagraphFont"/>
    <w:uiPriority w:val="99"/>
    <w:semiHidden/>
    <w:unhideWhenUsed/>
    <w:rsid w:val="001B0D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675644">
      <w:bodyDiv w:val="1"/>
      <w:marLeft w:val="0"/>
      <w:marRight w:val="0"/>
      <w:marTop w:val="0"/>
      <w:marBottom w:val="0"/>
      <w:divBdr>
        <w:top w:val="none" w:sz="0" w:space="0" w:color="auto"/>
        <w:left w:val="none" w:sz="0" w:space="0" w:color="auto"/>
        <w:bottom w:val="none" w:sz="0" w:space="0" w:color="auto"/>
        <w:right w:val="none" w:sz="0" w:space="0" w:color="auto"/>
      </w:divBdr>
      <w:divsChild>
        <w:div w:id="17898097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erriam-webster.com/dictionary/sovereign" TargetMode="External"/><Relationship Id="rId18" Type="http://schemas.openxmlformats.org/officeDocument/2006/relationships/hyperlink" Target="https://www.britannica.com/place/South-Africa/British-occupation-of-the-Cap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omalley.nelsonmandela.org/index.php/site/q/03lv01538/04lv01828/05lv01829/06lv01917.htm" TargetMode="External"/><Relationship Id="rId7" Type="http://schemas.openxmlformats.org/officeDocument/2006/relationships/endnotes" Target="endnotes.xml"/><Relationship Id="rId12" Type="http://schemas.openxmlformats.org/officeDocument/2006/relationships/hyperlink" Target="https://www.britannica.com/topic/nation-state" TargetMode="External"/><Relationship Id="rId17" Type="http://schemas.openxmlformats.org/officeDocument/2006/relationships/hyperlink" Target="https://www.thoughtco.com/pre-apartheid-era-laws-4347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F:\University\Alistair%20Boddy-Evans" TargetMode="External"/><Relationship Id="rId20" Type="http://schemas.openxmlformats.org/officeDocument/2006/relationships/hyperlink" Target="https://www.cortland.edu/cgis/suzman/apartheid.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place/British-Empire" TargetMode="External"/><Relationship Id="rId24" Type="http://schemas.openxmlformats.org/officeDocument/2006/relationships/hyperlink" Target="http://encyclopedia.uia.org/en/problem/132691" TargetMode="External"/><Relationship Id="rId5" Type="http://schemas.openxmlformats.org/officeDocument/2006/relationships/webSettings" Target="webSettings.xml"/><Relationship Id="rId15" Type="http://schemas.openxmlformats.org/officeDocument/2006/relationships/hyperlink" Target="https://books.google.com/books?id=4Zn9AwAAQBAJ" TargetMode="External"/><Relationship Id="rId23" Type="http://schemas.openxmlformats.org/officeDocument/2006/relationships/hyperlink" Target="https://www.thoughtco.com/pre-apartheid-era-laws-43472" TargetMode="External"/><Relationship Id="rId10" Type="http://schemas.openxmlformats.org/officeDocument/2006/relationships/hyperlink" Target="https://www.britannica.com/event/Statute-of-Westminster" TargetMode="External"/><Relationship Id="rId19" Type="http://schemas.openxmlformats.org/officeDocument/2006/relationships/hyperlink" Target="https://www.legislation.gov.uk/ukpga/1931/4/pdfs/ukpga_19310004_e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hyperlink" Target="https://www.sahistory.org.za"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thoughtco.com/pre-apartheid-era-laws-43472" TargetMode="External"/><Relationship Id="rId13" Type="http://schemas.openxmlformats.org/officeDocument/2006/relationships/hyperlink" Target="https://www.cortland.edu/cgis/suzman/apartheid.html" TargetMode="External"/><Relationship Id="rId3" Type="http://schemas.openxmlformats.org/officeDocument/2006/relationships/hyperlink" Target="https://www.sahistory.org.za/dated-event/first-1820-british-settlers-arrive-south-africa" TargetMode="External"/><Relationship Id="rId7" Type="http://schemas.openxmlformats.org/officeDocument/2006/relationships/hyperlink" Target="Alistair%20Boddy-Evans" TargetMode="External"/><Relationship Id="rId12" Type="http://schemas.openxmlformats.org/officeDocument/2006/relationships/hyperlink" Target="https://overcomingapartheid.msu.edu/sidebar.php?kid=163-581-2" TargetMode="External"/><Relationship Id="rId2" Type="http://schemas.openxmlformats.org/officeDocument/2006/relationships/hyperlink" Target="https://www.sahistory.org.za/article/dutch-east-india-company-deicvoc%20,%20%20" TargetMode="External"/><Relationship Id="rId1" Type="http://schemas.openxmlformats.org/officeDocument/2006/relationships/hyperlink" Target="http://encyclopedia.uia.org/en/problem/132691" TargetMode="External"/><Relationship Id="rId6" Type="http://schemas.openxmlformats.org/officeDocument/2006/relationships/hyperlink" Target="https://history.state.gov/countries/south-africa" TargetMode="External"/><Relationship Id="rId11" Type="http://schemas.openxmlformats.org/officeDocument/2006/relationships/hyperlink" Target="https://omalley.nelsonmandela.org/index.php/site/q/03lv01538/04lv01828/05lv01829/06lv01917.htm" TargetMode="External"/><Relationship Id="rId5" Type="http://schemas.openxmlformats.org/officeDocument/2006/relationships/hyperlink" Target="https://www.sahistory.org.za/archive/peace-treaty-vereeniging-original-document" TargetMode="External"/><Relationship Id="rId15" Type="http://schemas.openxmlformats.org/officeDocument/2006/relationships/hyperlink" Target="https://www.sahistory.org.za/dated-event/apartheid-police-officers-admit-killing-biko-trc" TargetMode="External"/><Relationship Id="rId10" Type="http://schemas.openxmlformats.org/officeDocument/2006/relationships/hyperlink" Target="https://www.legislation.gov.uk/ukpga/1931/4/pdfs/ukpga_19310004_en.pdf" TargetMode="External"/><Relationship Id="rId4" Type="http://schemas.openxmlformats.org/officeDocument/2006/relationships/hyperlink" Target="https://books.google.com/books?id=4Zn9AwAAQBAJ" TargetMode="External"/><Relationship Id="rId9" Type="http://schemas.openxmlformats.org/officeDocument/2006/relationships/hyperlink" Target="https://www.thoughtco.com/pre-apartheid-era-laws-43472" TargetMode="External"/><Relationship Id="rId14" Type="http://schemas.openxmlformats.org/officeDocument/2006/relationships/hyperlink" Target="https://www.apartheidmuseum.org/exhibitions/the-truth-and-reconciliation-commission-tr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6E095-58D1-4E9D-9F72-4B304640A8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670</TotalTime>
  <Pages>1</Pages>
  <Words>2415</Words>
  <Characters>13766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dc:creator>
  <cp:keywords/>
  <dc:description/>
  <cp:lastModifiedBy>Michael</cp:lastModifiedBy>
  <cp:revision>37</cp:revision>
  <dcterms:created xsi:type="dcterms:W3CDTF">2023-02-01T15:41:00Z</dcterms:created>
  <dcterms:modified xsi:type="dcterms:W3CDTF">2023-02-09T15:24:00Z</dcterms:modified>
</cp:coreProperties>
</file>