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C3A37" w14:textId="2BA8A46C" w:rsidR="001243F7" w:rsidRDefault="00FF1194" w:rsidP="00FF1194">
      <w:pPr>
        <w:pStyle w:val="paragraph"/>
        <w:spacing w:before="0" w:beforeAutospacing="0" w:after="0" w:afterAutospacing="0"/>
        <w:jc w:val="right"/>
        <w:textAlignment w:val="baseline"/>
        <w:rPr>
          <w:rFonts w:ascii="Segoe UI" w:hAnsi="Segoe UI" w:cs="Segoe UI"/>
          <w:sz w:val="18"/>
          <w:szCs w:val="18"/>
        </w:rPr>
      </w:pPr>
      <w:r>
        <w:rPr>
          <w:rFonts w:ascii="Segoe UI" w:hAnsi="Segoe UI" w:cs="Segoe UI"/>
          <w:sz w:val="18"/>
          <w:szCs w:val="18"/>
        </w:rPr>
        <w:t>Lorna Kelly</w:t>
      </w:r>
    </w:p>
    <w:p w14:paraId="2C535691" w14:textId="44972946" w:rsidR="0002412F" w:rsidRDefault="009E131A" w:rsidP="001243F7">
      <w:pPr>
        <w:pStyle w:val="paragraph"/>
        <w:spacing w:before="0" w:beforeAutospacing="0" w:after="0" w:afterAutospacing="0"/>
        <w:jc w:val="center"/>
        <w:textAlignment w:val="baseline"/>
        <w:rPr>
          <w:rStyle w:val="normaltextrun"/>
          <w:b/>
          <w:bCs/>
          <w:sz w:val="28"/>
          <w:szCs w:val="28"/>
          <w:u w:val="single"/>
          <w:lang w:val="en-US"/>
        </w:rPr>
      </w:pPr>
      <w:r>
        <w:rPr>
          <w:rStyle w:val="normaltextrun"/>
          <w:b/>
          <w:bCs/>
          <w:sz w:val="28"/>
          <w:szCs w:val="28"/>
          <w:u w:val="single"/>
          <w:lang w:val="en-US"/>
        </w:rPr>
        <w:t xml:space="preserve">Analytical </w:t>
      </w:r>
      <w:r w:rsidR="0002412F">
        <w:rPr>
          <w:rStyle w:val="normaltextrun"/>
          <w:b/>
          <w:bCs/>
          <w:sz w:val="28"/>
          <w:szCs w:val="28"/>
          <w:u w:val="single"/>
          <w:lang w:val="en-US"/>
        </w:rPr>
        <w:t>Essay</w:t>
      </w:r>
    </w:p>
    <w:p w14:paraId="1F521956" w14:textId="2A515615" w:rsidR="001243F7" w:rsidRDefault="00A40B2C" w:rsidP="001243F7">
      <w:pPr>
        <w:pStyle w:val="paragraph"/>
        <w:spacing w:before="0" w:beforeAutospacing="0" w:after="0" w:afterAutospacing="0"/>
        <w:jc w:val="center"/>
        <w:textAlignment w:val="baseline"/>
        <w:rPr>
          <w:rFonts w:ascii="Segoe UI" w:hAnsi="Segoe UI" w:cs="Segoe UI"/>
          <w:sz w:val="18"/>
          <w:szCs w:val="18"/>
        </w:rPr>
      </w:pPr>
      <w:r>
        <w:rPr>
          <w:rStyle w:val="normaltextrun"/>
          <w:b/>
          <w:bCs/>
          <w:sz w:val="28"/>
          <w:szCs w:val="28"/>
          <w:u w:val="single"/>
          <w:lang w:val="en-US"/>
        </w:rPr>
        <w:t>A</w:t>
      </w:r>
      <w:r w:rsidRPr="00A40B2C">
        <w:rPr>
          <w:rStyle w:val="normaltextrun"/>
          <w:b/>
          <w:bCs/>
          <w:sz w:val="28"/>
          <w:szCs w:val="28"/>
          <w:u w:val="single"/>
          <w:lang w:val="en-US"/>
        </w:rPr>
        <w:t xml:space="preserve">n analysis of how the Roman social value </w:t>
      </w:r>
      <w:r>
        <w:rPr>
          <w:rStyle w:val="normaltextrun"/>
          <w:b/>
          <w:bCs/>
          <w:sz w:val="28"/>
          <w:szCs w:val="28"/>
          <w:u w:val="single"/>
          <w:lang w:val="en-US"/>
        </w:rPr>
        <w:t>‘</w:t>
      </w:r>
      <w:r w:rsidRPr="00A40B2C">
        <w:rPr>
          <w:rStyle w:val="normaltextrun"/>
          <w:b/>
          <w:bCs/>
          <w:sz w:val="28"/>
          <w:szCs w:val="28"/>
          <w:u w:val="single"/>
          <w:lang w:val="en-US"/>
        </w:rPr>
        <w:t>kinship</w:t>
      </w:r>
      <w:r>
        <w:rPr>
          <w:rStyle w:val="normaltextrun"/>
          <w:b/>
          <w:bCs/>
          <w:sz w:val="28"/>
          <w:szCs w:val="28"/>
          <w:u w:val="single"/>
          <w:lang w:val="en-US"/>
        </w:rPr>
        <w:t>’</w:t>
      </w:r>
      <w:r w:rsidRPr="00A40B2C">
        <w:rPr>
          <w:rStyle w:val="normaltextrun"/>
          <w:b/>
          <w:bCs/>
          <w:sz w:val="28"/>
          <w:szCs w:val="28"/>
          <w:u w:val="single"/>
          <w:lang w:val="en-US"/>
        </w:rPr>
        <w:t xml:space="preserve"> is presented as patriarchal regarding the relationship between Mary and the sons of Israel in </w:t>
      </w:r>
      <w:r>
        <w:rPr>
          <w:rStyle w:val="normaltextrun"/>
          <w:b/>
          <w:bCs/>
          <w:sz w:val="28"/>
          <w:szCs w:val="28"/>
          <w:u w:val="single"/>
          <w:lang w:val="en-US"/>
        </w:rPr>
        <w:t>t</w:t>
      </w:r>
      <w:r w:rsidRPr="00A40B2C">
        <w:rPr>
          <w:rStyle w:val="normaltextrun"/>
          <w:b/>
          <w:bCs/>
          <w:sz w:val="28"/>
          <w:szCs w:val="28"/>
          <w:u w:val="single"/>
          <w:lang w:val="en-US"/>
        </w:rPr>
        <w:t xml:space="preserve">he </w:t>
      </w:r>
      <w:r>
        <w:rPr>
          <w:rStyle w:val="normaltextrun"/>
          <w:b/>
          <w:bCs/>
          <w:sz w:val="28"/>
          <w:szCs w:val="28"/>
          <w:u w:val="single"/>
          <w:lang w:val="en-US"/>
        </w:rPr>
        <w:t>P</w:t>
      </w:r>
      <w:r w:rsidRPr="00A40B2C">
        <w:rPr>
          <w:rStyle w:val="normaltextrun"/>
          <w:b/>
          <w:bCs/>
          <w:sz w:val="28"/>
          <w:szCs w:val="28"/>
          <w:u w:val="single"/>
          <w:lang w:val="en-US"/>
        </w:rPr>
        <w:t>roto-</w:t>
      </w:r>
      <w:r>
        <w:rPr>
          <w:rStyle w:val="normaltextrun"/>
          <w:b/>
          <w:bCs/>
          <w:sz w:val="28"/>
          <w:szCs w:val="28"/>
          <w:u w:val="single"/>
          <w:lang w:val="en-US"/>
        </w:rPr>
        <w:t>G</w:t>
      </w:r>
      <w:r w:rsidRPr="00A40B2C">
        <w:rPr>
          <w:rStyle w:val="normaltextrun"/>
          <w:b/>
          <w:bCs/>
          <w:sz w:val="28"/>
          <w:szCs w:val="28"/>
          <w:u w:val="single"/>
          <w:lang w:val="en-US"/>
        </w:rPr>
        <w:t xml:space="preserve">ospel of James.  </w:t>
      </w:r>
      <w:r w:rsidR="001243F7">
        <w:rPr>
          <w:rStyle w:val="eop"/>
          <w:sz w:val="28"/>
          <w:szCs w:val="28"/>
        </w:rPr>
        <w:t> </w:t>
      </w:r>
    </w:p>
    <w:p w14:paraId="3E4A103E" w14:textId="77777777" w:rsidR="00A40B2C" w:rsidRDefault="00A40B2C" w:rsidP="001243F7">
      <w:pPr>
        <w:pStyle w:val="paragraph"/>
        <w:spacing w:before="0" w:beforeAutospacing="0" w:after="0" w:afterAutospacing="0"/>
        <w:textAlignment w:val="baseline"/>
        <w:rPr>
          <w:rStyle w:val="normaltextrun"/>
          <w:b/>
          <w:bCs/>
          <w:lang w:val="en-US"/>
        </w:rPr>
      </w:pPr>
    </w:p>
    <w:p w14:paraId="6676C6F3" w14:textId="7D6A64B2" w:rsidR="00792C78" w:rsidRDefault="001243F7" w:rsidP="001243F7">
      <w:pPr>
        <w:pStyle w:val="paragraph"/>
        <w:spacing w:before="0" w:beforeAutospacing="0" w:after="0" w:afterAutospacing="0"/>
        <w:textAlignment w:val="baseline"/>
        <w:rPr>
          <w:rStyle w:val="normaltextrun"/>
          <w:lang w:val="en-US"/>
        </w:rPr>
      </w:pPr>
      <w:r>
        <w:rPr>
          <w:rStyle w:val="normaltextrun"/>
          <w:lang w:val="en-US"/>
        </w:rPr>
        <w:t>Kinship is one of four main Roman social factors, the others being purity, honor and patronage. I chose to focus on kinship because it focuses on the relationship between family or communities that make up the beginning of the millennium.</w:t>
      </w:r>
      <w:r w:rsidR="00792C78">
        <w:rPr>
          <w:rStyle w:val="normaltextrun"/>
          <w:lang w:val="en-US"/>
        </w:rPr>
        <w:t xml:space="preserve"> I will be using ‘kinship’ as defined by DeSilva in </w:t>
      </w:r>
      <w:r w:rsidR="002C742B">
        <w:rPr>
          <w:rStyle w:val="normaltextrun"/>
          <w:lang w:val="en-US"/>
        </w:rPr>
        <w:t>An Introduction to the New Testament</w:t>
      </w:r>
      <w:r w:rsidR="00792C78">
        <w:rPr>
          <w:rStyle w:val="normaltextrun"/>
          <w:lang w:val="en-US"/>
        </w:rPr>
        <w:t xml:space="preserve"> as a roman social value in relation to a primary text. DeSilva </w:t>
      </w:r>
      <w:r w:rsidR="00A504E0">
        <w:rPr>
          <w:rStyle w:val="normaltextrun"/>
          <w:lang w:val="en-US"/>
        </w:rPr>
        <w:t xml:space="preserve">focusses kinship in to key areas, the one I will be using most to analysis my primary source is the idea of kinship based in the household. This means that one family including parent, grandparents, children and unmarried women live in one household, lead by the father </w:t>
      </w:r>
      <w:r w:rsidR="00D10D18">
        <w:rPr>
          <w:rStyle w:val="FootnoteReference"/>
          <w:lang w:val="en-US"/>
        </w:rPr>
        <w:footnoteReference w:id="1"/>
      </w:r>
      <w:r w:rsidR="00A40B2C">
        <w:rPr>
          <w:rStyle w:val="normaltextrun"/>
          <w:lang w:val="en-US"/>
        </w:rPr>
        <w:t>.</w:t>
      </w:r>
      <w:r w:rsidR="00F20606">
        <w:rPr>
          <w:rStyle w:val="normaltextrun"/>
          <w:lang w:val="en-US"/>
        </w:rPr>
        <w:t xml:space="preserve"> These ideas are then </w:t>
      </w:r>
      <w:r w:rsidR="00D10D18">
        <w:rPr>
          <w:rStyle w:val="normaltextrun"/>
          <w:lang w:val="en-US"/>
        </w:rPr>
        <w:t>divided</w:t>
      </w:r>
      <w:r w:rsidR="00F20606">
        <w:rPr>
          <w:rStyle w:val="normaltextrun"/>
          <w:lang w:val="en-US"/>
        </w:rPr>
        <w:t xml:space="preserve"> with </w:t>
      </w:r>
      <w:r w:rsidR="00D10D18">
        <w:rPr>
          <w:rStyle w:val="normaltextrun"/>
          <w:lang w:val="en-US"/>
        </w:rPr>
        <w:t xml:space="preserve">an ideal of US and THEM when regarding strangers </w:t>
      </w:r>
      <w:r w:rsidR="00D10D18">
        <w:rPr>
          <w:rStyle w:val="FootnoteReference"/>
          <w:lang w:val="en-US"/>
        </w:rPr>
        <w:footnoteReference w:id="2"/>
      </w:r>
      <w:r w:rsidR="00D10D18">
        <w:rPr>
          <w:rStyle w:val="normaltextrun"/>
          <w:lang w:val="en-US"/>
        </w:rPr>
        <w:t xml:space="preserve"> or people not of the same household</w:t>
      </w:r>
      <w:r w:rsidR="002C742B">
        <w:rPr>
          <w:rStyle w:val="normaltextrun"/>
          <w:lang w:val="en-US"/>
        </w:rPr>
        <w:t>, clan or tribe</w:t>
      </w:r>
      <w:r w:rsidR="00D10D18">
        <w:rPr>
          <w:rStyle w:val="normaltextrun"/>
          <w:lang w:val="en-US"/>
        </w:rPr>
        <w:t>.</w:t>
      </w:r>
    </w:p>
    <w:p w14:paraId="2EE51C5E" w14:textId="77777777" w:rsidR="00792C78" w:rsidRDefault="00792C78" w:rsidP="001243F7">
      <w:pPr>
        <w:pStyle w:val="paragraph"/>
        <w:spacing w:before="0" w:beforeAutospacing="0" w:after="0" w:afterAutospacing="0"/>
        <w:textAlignment w:val="baseline"/>
        <w:rPr>
          <w:rStyle w:val="normaltextrun"/>
          <w:lang w:val="en-US"/>
        </w:rPr>
      </w:pPr>
    </w:p>
    <w:p w14:paraId="32A6CB64" w14:textId="4A551450" w:rsidR="0002412F" w:rsidRDefault="0002412F" w:rsidP="001243F7">
      <w:pPr>
        <w:pStyle w:val="paragraph"/>
        <w:spacing w:before="0" w:beforeAutospacing="0" w:after="0" w:afterAutospacing="0"/>
        <w:textAlignment w:val="baseline"/>
        <w:rPr>
          <w:rStyle w:val="normaltextrun"/>
          <w:lang w:val="en-US"/>
        </w:rPr>
      </w:pPr>
      <w:r>
        <w:rPr>
          <w:rStyle w:val="normaltextrun"/>
          <w:lang w:val="en-US"/>
        </w:rPr>
        <w:t xml:space="preserve"> I selected the primary source ‘The Proto-gospel of James’ from Bart Eh</w:t>
      </w:r>
      <w:r w:rsidR="00B24F4E">
        <w:rPr>
          <w:rStyle w:val="normaltextrun"/>
          <w:lang w:val="en-US"/>
        </w:rPr>
        <w:t>r</w:t>
      </w:r>
      <w:bookmarkStart w:id="0" w:name="_GoBack"/>
      <w:bookmarkEnd w:id="0"/>
      <w:r>
        <w:rPr>
          <w:rStyle w:val="normaltextrun"/>
          <w:lang w:val="en-US"/>
        </w:rPr>
        <w:t>man</w:t>
      </w:r>
      <w:r w:rsidR="00A40B2C">
        <w:rPr>
          <w:rStyle w:val="normaltextrun"/>
          <w:lang w:val="en-US"/>
        </w:rPr>
        <w:t>’</w:t>
      </w:r>
      <w:r>
        <w:rPr>
          <w:rStyle w:val="normaltextrun"/>
          <w:lang w:val="en-US"/>
        </w:rPr>
        <w:t>s book</w:t>
      </w:r>
      <w:r w:rsidR="00A504E0">
        <w:rPr>
          <w:rStyle w:val="normaltextrun"/>
          <w:lang w:val="en-US"/>
        </w:rPr>
        <w:t xml:space="preserve"> ‘After the New testament, a reader in early Christianity 100-300BC’</w:t>
      </w:r>
      <w:r w:rsidR="00D10D18">
        <w:rPr>
          <w:rStyle w:val="FootnoteReference"/>
          <w:lang w:val="en-US"/>
        </w:rPr>
        <w:footnoteReference w:id="3"/>
      </w:r>
      <w:r w:rsidR="00A504E0">
        <w:rPr>
          <w:rStyle w:val="normaltextrun"/>
          <w:lang w:val="en-US"/>
        </w:rPr>
        <w:t xml:space="preserve">. </w:t>
      </w:r>
      <w:r w:rsidR="00A40B2C">
        <w:rPr>
          <w:rStyle w:val="normaltextrun"/>
          <w:lang w:val="en-US"/>
        </w:rPr>
        <w:t xml:space="preserve">I chose this source for analysis because it gives a wide view of family groups </w:t>
      </w:r>
      <w:r w:rsidR="002C742B">
        <w:rPr>
          <w:rStyle w:val="normaltextrun"/>
          <w:lang w:val="en-US"/>
        </w:rPr>
        <w:t>in their</w:t>
      </w:r>
      <w:r w:rsidR="00A40B2C">
        <w:rPr>
          <w:rStyle w:val="normaltextrun"/>
          <w:lang w:val="en-US"/>
        </w:rPr>
        <w:t xml:space="preserve"> soc</w:t>
      </w:r>
      <w:r w:rsidR="002C742B">
        <w:rPr>
          <w:rStyle w:val="normaltextrun"/>
          <w:lang w:val="en-US"/>
        </w:rPr>
        <w:t>ial setting</w:t>
      </w:r>
      <w:r w:rsidR="00A40B2C">
        <w:rPr>
          <w:rStyle w:val="normaltextrun"/>
          <w:lang w:val="en-US"/>
        </w:rPr>
        <w:t xml:space="preserve"> over the period of Mary’s life</w:t>
      </w:r>
      <w:r w:rsidR="002C742B">
        <w:rPr>
          <w:rStyle w:val="normaltextrun"/>
          <w:lang w:val="en-US"/>
        </w:rPr>
        <w:t xml:space="preserve"> until the birth of Christ</w:t>
      </w:r>
      <w:r w:rsidR="00A40B2C">
        <w:rPr>
          <w:rStyle w:val="normaltextrun"/>
          <w:lang w:val="en-US"/>
        </w:rPr>
        <w:t>. It comments on</w:t>
      </w:r>
      <w:r w:rsidR="002C742B">
        <w:rPr>
          <w:rStyle w:val="normaltextrun"/>
          <w:lang w:val="en-US"/>
        </w:rPr>
        <w:t xml:space="preserve"> the situation regarding</w:t>
      </w:r>
      <w:r w:rsidR="00A40B2C">
        <w:rPr>
          <w:rStyle w:val="normaltextrun"/>
          <w:lang w:val="en-US"/>
        </w:rPr>
        <w:t xml:space="preserve"> her birth through to the birth of Jesus, covering the important males in her live and their influence upon not just her but her mother and cousin also. </w:t>
      </w:r>
    </w:p>
    <w:p w14:paraId="7018E7ED" w14:textId="2F5BC17D" w:rsidR="0002412F" w:rsidRDefault="0002412F" w:rsidP="001243F7">
      <w:pPr>
        <w:pStyle w:val="paragraph"/>
        <w:spacing w:before="0" w:beforeAutospacing="0" w:after="0" w:afterAutospacing="0"/>
        <w:textAlignment w:val="baseline"/>
        <w:rPr>
          <w:rStyle w:val="normaltextrun"/>
          <w:lang w:val="en-US"/>
        </w:rPr>
      </w:pPr>
      <w:r>
        <w:rPr>
          <w:rStyle w:val="normaltextrun"/>
          <w:lang w:val="en-US"/>
        </w:rPr>
        <w:t xml:space="preserve">My </w:t>
      </w:r>
      <w:r w:rsidR="00A40B2C">
        <w:rPr>
          <w:rStyle w:val="normaltextrun"/>
          <w:lang w:val="en-US"/>
        </w:rPr>
        <w:t>t</w:t>
      </w:r>
      <w:r>
        <w:rPr>
          <w:rStyle w:val="normaltextrun"/>
          <w:lang w:val="en-US"/>
        </w:rPr>
        <w:t xml:space="preserve">hesis is </w:t>
      </w:r>
      <w:bookmarkStart w:id="1" w:name="_Hlk514940789"/>
      <w:r w:rsidRPr="009E131A">
        <w:rPr>
          <w:rStyle w:val="normaltextrun"/>
          <w:u w:val="single"/>
          <w:lang w:val="en-US"/>
        </w:rPr>
        <w:t xml:space="preserve">an analysis of how </w:t>
      </w:r>
      <w:r w:rsidR="00060914" w:rsidRPr="009E131A">
        <w:rPr>
          <w:rStyle w:val="normaltextrun"/>
          <w:u w:val="single"/>
          <w:lang w:val="en-US"/>
        </w:rPr>
        <w:t xml:space="preserve">the Roman social value </w:t>
      </w:r>
      <w:r w:rsidR="002C742B">
        <w:rPr>
          <w:rStyle w:val="normaltextrun"/>
          <w:u w:val="single"/>
          <w:lang w:val="en-US"/>
        </w:rPr>
        <w:t>‘</w:t>
      </w:r>
      <w:r w:rsidRPr="009E131A">
        <w:rPr>
          <w:rStyle w:val="normaltextrun"/>
          <w:u w:val="single"/>
          <w:lang w:val="en-US"/>
        </w:rPr>
        <w:t>kinship</w:t>
      </w:r>
      <w:r w:rsidR="002C742B">
        <w:rPr>
          <w:rStyle w:val="normaltextrun"/>
          <w:u w:val="single"/>
          <w:lang w:val="en-US"/>
        </w:rPr>
        <w:t>’</w:t>
      </w:r>
      <w:r w:rsidRPr="009E131A">
        <w:rPr>
          <w:rStyle w:val="normaltextrun"/>
          <w:u w:val="single"/>
          <w:lang w:val="en-US"/>
        </w:rPr>
        <w:t xml:space="preserve"> is presented as </w:t>
      </w:r>
      <w:r w:rsidR="00A40B2C" w:rsidRPr="009E131A">
        <w:rPr>
          <w:rStyle w:val="normaltextrun"/>
          <w:u w:val="single"/>
          <w:lang w:val="en-US"/>
        </w:rPr>
        <w:t>patriarchal regarding</w:t>
      </w:r>
      <w:r w:rsidRPr="009E131A">
        <w:rPr>
          <w:rStyle w:val="normaltextrun"/>
          <w:u w:val="single"/>
          <w:lang w:val="en-US"/>
        </w:rPr>
        <w:t xml:space="preserve"> the relationship between Mary and the sons of Israel</w:t>
      </w:r>
      <w:r w:rsidR="00A40B2C" w:rsidRPr="009E131A">
        <w:rPr>
          <w:rStyle w:val="normaltextrun"/>
          <w:u w:val="single"/>
          <w:lang w:val="en-US"/>
        </w:rPr>
        <w:t xml:space="preserve"> in</w:t>
      </w:r>
      <w:r w:rsidRPr="009E131A">
        <w:rPr>
          <w:rStyle w:val="normaltextrun"/>
          <w:u w:val="single"/>
          <w:lang w:val="en-US"/>
        </w:rPr>
        <w:t xml:space="preserve"> </w:t>
      </w:r>
      <w:r w:rsidR="00A40B2C" w:rsidRPr="009E131A">
        <w:rPr>
          <w:rStyle w:val="normaltextrun"/>
          <w:u w:val="single"/>
          <w:lang w:val="en-US"/>
        </w:rPr>
        <w:t>t</w:t>
      </w:r>
      <w:r w:rsidRPr="009E131A">
        <w:rPr>
          <w:rStyle w:val="normaltextrun"/>
          <w:u w:val="single"/>
          <w:lang w:val="en-US"/>
        </w:rPr>
        <w:t xml:space="preserve">he </w:t>
      </w:r>
      <w:r w:rsidR="00A40B2C" w:rsidRPr="009E131A">
        <w:rPr>
          <w:rStyle w:val="normaltextrun"/>
          <w:u w:val="single"/>
          <w:lang w:val="en-US"/>
        </w:rPr>
        <w:t>P</w:t>
      </w:r>
      <w:r w:rsidRPr="009E131A">
        <w:rPr>
          <w:rStyle w:val="normaltextrun"/>
          <w:u w:val="single"/>
          <w:lang w:val="en-US"/>
        </w:rPr>
        <w:t>roto-</w:t>
      </w:r>
      <w:r w:rsidR="00A40B2C" w:rsidRPr="009E131A">
        <w:rPr>
          <w:rStyle w:val="normaltextrun"/>
          <w:u w:val="single"/>
          <w:lang w:val="en-US"/>
        </w:rPr>
        <w:t>G</w:t>
      </w:r>
      <w:r w:rsidRPr="009E131A">
        <w:rPr>
          <w:rStyle w:val="normaltextrun"/>
          <w:u w:val="single"/>
          <w:lang w:val="en-US"/>
        </w:rPr>
        <w:t>ospel of James.</w:t>
      </w:r>
      <w:r>
        <w:rPr>
          <w:rStyle w:val="normaltextrun"/>
          <w:lang w:val="en-US"/>
        </w:rPr>
        <w:t xml:space="preserve"> </w:t>
      </w:r>
      <w:bookmarkEnd w:id="1"/>
      <w:r w:rsidR="00A40B2C">
        <w:rPr>
          <w:rStyle w:val="normaltextrun"/>
          <w:lang w:val="en-US"/>
        </w:rPr>
        <w:t xml:space="preserve">In this I will explore the different roles the men in the </w:t>
      </w:r>
      <w:r w:rsidR="002C742B">
        <w:rPr>
          <w:rStyle w:val="normaltextrun"/>
          <w:lang w:val="en-US"/>
        </w:rPr>
        <w:t>P</w:t>
      </w:r>
      <w:r w:rsidR="00A40B2C">
        <w:rPr>
          <w:rStyle w:val="normaltextrun"/>
          <w:lang w:val="en-US"/>
        </w:rPr>
        <w:t xml:space="preserve">roto-gospel of James have in relation to the different stages of Mary’s life. This will especially focus on the men whom are the ‘Sons of Israel’ and have </w:t>
      </w:r>
      <w:r w:rsidR="00BC0780">
        <w:rPr>
          <w:rStyle w:val="normaltextrun"/>
          <w:lang w:val="en-US"/>
        </w:rPr>
        <w:t>a collective rule over the tribes, clans and households that make up Judea and Israel.</w:t>
      </w:r>
    </w:p>
    <w:p w14:paraId="1F626CD0" w14:textId="5C241A7C" w:rsidR="001243F7" w:rsidRDefault="001243F7" w:rsidP="001243F7">
      <w:pPr>
        <w:pStyle w:val="paragraph"/>
        <w:spacing w:before="0" w:beforeAutospacing="0" w:after="0" w:afterAutospacing="0"/>
        <w:textAlignment w:val="baseline"/>
        <w:rPr>
          <w:rFonts w:ascii="Segoe UI" w:hAnsi="Segoe UI" w:cs="Segoe UI"/>
          <w:sz w:val="18"/>
          <w:szCs w:val="18"/>
        </w:rPr>
      </w:pPr>
      <w:r>
        <w:rPr>
          <w:rStyle w:val="normaltextrun"/>
          <w:lang w:val="en-US"/>
        </w:rPr>
        <w:t> </w:t>
      </w:r>
      <w:r>
        <w:rPr>
          <w:rStyle w:val="eop"/>
        </w:rPr>
        <w:t> </w:t>
      </w:r>
    </w:p>
    <w:p w14:paraId="2C736F8F" w14:textId="363A414F" w:rsidR="00914480" w:rsidRDefault="006E5627" w:rsidP="001243F7">
      <w:pPr>
        <w:pStyle w:val="paragraph"/>
        <w:spacing w:before="0" w:beforeAutospacing="0" w:after="0" w:afterAutospacing="0"/>
        <w:textAlignment w:val="baseline"/>
        <w:rPr>
          <w:rStyle w:val="normaltextrun"/>
          <w:lang w:val="en-US"/>
        </w:rPr>
      </w:pPr>
      <w:r>
        <w:rPr>
          <w:rStyle w:val="normaltextrun"/>
          <w:lang w:val="en-US"/>
        </w:rPr>
        <w:t>The historical context of my chosen ‘The proto-gospel of James’ is debated to be spreads from the late 2</w:t>
      </w:r>
      <w:r w:rsidRPr="006E5627">
        <w:rPr>
          <w:rStyle w:val="normaltextrun"/>
          <w:vertAlign w:val="superscript"/>
          <w:lang w:val="en-US"/>
        </w:rPr>
        <w:t>nd</w:t>
      </w:r>
      <w:r>
        <w:rPr>
          <w:rStyle w:val="normaltextrun"/>
          <w:lang w:val="en-US"/>
        </w:rPr>
        <w:t xml:space="preserve"> century to the early 4</w:t>
      </w:r>
      <w:r w:rsidRPr="006E5627">
        <w:rPr>
          <w:rStyle w:val="normaltextrun"/>
          <w:vertAlign w:val="superscript"/>
          <w:lang w:val="en-US"/>
        </w:rPr>
        <w:t>th</w:t>
      </w:r>
      <w:r>
        <w:rPr>
          <w:rStyle w:val="normaltextrun"/>
          <w:lang w:val="en-US"/>
        </w:rPr>
        <w:t xml:space="preserve">. </w:t>
      </w:r>
      <w:r w:rsidR="001243F7">
        <w:rPr>
          <w:rStyle w:val="normaltextrun"/>
          <w:lang w:val="en-US"/>
        </w:rPr>
        <w:t>The Proto-Gospel of James was publicized in the early 3</w:t>
      </w:r>
      <w:r w:rsidR="001243F7">
        <w:rPr>
          <w:rStyle w:val="normaltextrun"/>
          <w:sz w:val="19"/>
          <w:szCs w:val="19"/>
          <w:vertAlign w:val="superscript"/>
          <w:lang w:val="en-US"/>
        </w:rPr>
        <w:t>rd</w:t>
      </w:r>
      <w:r w:rsidR="001243F7">
        <w:rPr>
          <w:rStyle w:val="normaltextrun"/>
          <w:lang w:val="en-US"/>
        </w:rPr>
        <w:t> century, giving us the estimate that it was written in the late 2</w:t>
      </w:r>
      <w:r w:rsidR="001243F7">
        <w:rPr>
          <w:rStyle w:val="normaltextrun"/>
          <w:sz w:val="19"/>
          <w:szCs w:val="19"/>
          <w:vertAlign w:val="superscript"/>
          <w:lang w:val="en-US"/>
        </w:rPr>
        <w:t>nd</w:t>
      </w:r>
      <w:r w:rsidR="001243F7">
        <w:rPr>
          <w:rStyle w:val="normaltextrun"/>
          <w:lang w:val="en-US"/>
        </w:rPr>
        <w:t> century</w:t>
      </w:r>
      <w:r w:rsidR="00D10D18">
        <w:rPr>
          <w:rStyle w:val="FootnoteReference"/>
          <w:lang w:val="en-US"/>
        </w:rPr>
        <w:footnoteReference w:id="4"/>
      </w:r>
      <w:r w:rsidR="00A40B2C">
        <w:rPr>
          <w:rStyle w:val="normaltextrun"/>
          <w:lang w:val="en-US"/>
        </w:rPr>
        <w:t>.</w:t>
      </w:r>
      <w:r w:rsidR="001243F7">
        <w:rPr>
          <w:rStyle w:val="normaltextrun"/>
          <w:lang w:val="en-US"/>
        </w:rPr>
        <w:t xml:space="preserve"> </w:t>
      </w:r>
      <w:r w:rsidR="002C742B">
        <w:rPr>
          <w:rStyle w:val="normaltextrun"/>
          <w:lang w:val="en-US"/>
        </w:rPr>
        <w:t xml:space="preserve">These periods are during Roman rule of Jerusalem, which is why roman social values can be comprehensively applied to texts of the period. </w:t>
      </w:r>
      <w:r w:rsidR="00914480">
        <w:rPr>
          <w:rStyle w:val="normaltextrun"/>
          <w:lang w:val="en-US"/>
        </w:rPr>
        <w:t>The Protoevangelium of James are texts which focus on Mary the mother of Jesus, especially on her virginity</w:t>
      </w:r>
      <w:r w:rsidR="002C742B">
        <w:rPr>
          <w:rStyle w:val="normaltextrun"/>
          <w:lang w:val="en-US"/>
        </w:rPr>
        <w:t xml:space="preserve"> and station</w:t>
      </w:r>
      <w:r w:rsidR="00914480">
        <w:rPr>
          <w:rStyle w:val="normaltextrun"/>
          <w:lang w:val="en-US"/>
        </w:rPr>
        <w:t xml:space="preserve">. </w:t>
      </w:r>
      <w:r w:rsidR="00914480">
        <w:rPr>
          <w:rStyle w:val="FootnoteReference"/>
          <w:lang w:val="en-US"/>
        </w:rPr>
        <w:footnoteReference w:id="5"/>
      </w:r>
      <w:r w:rsidR="005B13AE">
        <w:rPr>
          <w:rStyle w:val="normaltextrun"/>
          <w:lang w:val="en-US"/>
        </w:rPr>
        <w:t xml:space="preserve"> Mary’s virginity </w:t>
      </w:r>
      <w:r w:rsidR="00B95FE3">
        <w:rPr>
          <w:rStyle w:val="normaltextrun"/>
          <w:lang w:val="en-US"/>
        </w:rPr>
        <w:t>is a sub-context for James writing though other biblical writers such as Luke also talk on the subject; Jame</w:t>
      </w:r>
      <w:r w:rsidR="00A11B0A">
        <w:rPr>
          <w:rStyle w:val="normaltextrun"/>
          <w:lang w:val="en-US"/>
        </w:rPr>
        <w:t>s’</w:t>
      </w:r>
      <w:r w:rsidR="00B95FE3">
        <w:rPr>
          <w:rStyle w:val="normaltextrun"/>
          <w:lang w:val="en-US"/>
        </w:rPr>
        <w:t xml:space="preserve">s version focusses more on the continual virginity of Mary even after the birth of Jesus. </w:t>
      </w:r>
      <w:r w:rsidR="00B95FE3">
        <w:rPr>
          <w:rStyle w:val="FootnoteReference"/>
          <w:lang w:val="en-US"/>
        </w:rPr>
        <w:footnoteReference w:id="6"/>
      </w:r>
    </w:p>
    <w:p w14:paraId="0EAA7FB2" w14:textId="77777777" w:rsidR="00D10D18" w:rsidRDefault="00D10D18" w:rsidP="001243F7">
      <w:pPr>
        <w:pStyle w:val="paragraph"/>
        <w:spacing w:before="0" w:beforeAutospacing="0" w:after="0" w:afterAutospacing="0"/>
        <w:textAlignment w:val="baseline"/>
        <w:rPr>
          <w:rStyle w:val="eop"/>
        </w:rPr>
      </w:pPr>
    </w:p>
    <w:p w14:paraId="7443DA5C" w14:textId="49D4FF64" w:rsidR="005D0D5F" w:rsidRDefault="005D0D5F" w:rsidP="001243F7">
      <w:pPr>
        <w:pStyle w:val="paragraph"/>
        <w:spacing w:before="0" w:beforeAutospacing="0" w:after="0" w:afterAutospacing="0"/>
        <w:textAlignment w:val="baseline"/>
      </w:pPr>
      <w:r>
        <w:t xml:space="preserve">During the </w:t>
      </w:r>
      <w:r w:rsidR="00A504E0">
        <w:t>period</w:t>
      </w:r>
      <w:r>
        <w:t xml:space="preserve"> the text is estimated to be from it would have been over 100 years since the events it describes came to pass. To add to the </w:t>
      </w:r>
      <w:r w:rsidR="0095604C">
        <w:t xml:space="preserve">worry about authenticity “James the brother of Jesus” died a hundred years before also. While it could be considered a possibility that it was an oral tale told by travellers before this point where it was then written by a man named James, this is not favourably for authenticity. The fact it must have been subject to changing interpretations before the point it was written signals the fact that it could have been changes or altered even slightly every time it was told, like a massive game of Chinese whispers. </w:t>
      </w:r>
    </w:p>
    <w:p w14:paraId="302AEE9F" w14:textId="05EB7F56" w:rsidR="0010162E" w:rsidRDefault="00B17B7B" w:rsidP="001243F7">
      <w:pPr>
        <w:pStyle w:val="paragraph"/>
        <w:spacing w:before="0" w:beforeAutospacing="0" w:after="0" w:afterAutospacing="0"/>
        <w:textAlignment w:val="baseline"/>
      </w:pPr>
      <w:r>
        <w:t>Due to A</w:t>
      </w:r>
      <w:r w:rsidR="008F7407">
        <w:t>u</w:t>
      </w:r>
      <w:r>
        <w:t xml:space="preserve">gustus’s laws regarding marriage and family, which favoured those with children highly over those without, along with decreeing people only marry into their own for example senate level above should not marry a ‘freedwoman’ </w:t>
      </w:r>
      <w:r w:rsidR="008F7407">
        <w:t>to</w:t>
      </w:r>
      <w:r>
        <w:t xml:space="preserve"> get ‘freedmen’ to do so </w:t>
      </w:r>
      <w:r w:rsidR="00D10D18">
        <w:rPr>
          <w:rStyle w:val="FootnoteReference"/>
        </w:rPr>
        <w:footnoteReference w:id="7"/>
      </w:r>
      <w:r w:rsidR="00BC0780">
        <w:t>.</w:t>
      </w:r>
      <w:r w:rsidR="00D10D18">
        <w:t xml:space="preserve"> These are important to consider when reading the text because it colours Mary’s parents desire for a child. </w:t>
      </w:r>
      <w:r w:rsidR="008F7407">
        <w:t>This is because not having a child could not only be considered grounds for divorce but also due to having children being a sign of prosperity and a legacy. Augustus even went as far to reward Romans for having children while insulting those that didn’t.</w:t>
      </w:r>
      <w:r w:rsidR="008F7407">
        <w:rPr>
          <w:rStyle w:val="FootnoteReference"/>
        </w:rPr>
        <w:footnoteReference w:id="8"/>
      </w:r>
      <w:r w:rsidR="007D27DE">
        <w:t xml:space="preserve"> These laws also connected to the new idea of ‘sentimental marriage’ and the idea of ‘love’, this not only increased the woman’s power in roman marriage it also promoted ideas of fidelity.</w:t>
      </w:r>
      <w:r w:rsidR="007D27DE">
        <w:rPr>
          <w:rStyle w:val="FootnoteReference"/>
        </w:rPr>
        <w:footnoteReference w:id="9"/>
      </w:r>
      <w:r w:rsidR="007D27DE">
        <w:t xml:space="preserve"> Though some texts such as Luke and Matthew speak in antifamilial terms saying that marriage takes away from the time pleasing and devout to God. </w:t>
      </w:r>
      <w:r w:rsidR="007D27DE">
        <w:rPr>
          <w:rStyle w:val="FootnoteReference"/>
        </w:rPr>
        <w:footnoteReference w:id="10"/>
      </w:r>
    </w:p>
    <w:p w14:paraId="15125219" w14:textId="77777777" w:rsidR="0010162E" w:rsidRDefault="0010162E" w:rsidP="001243F7">
      <w:pPr>
        <w:pStyle w:val="paragraph"/>
        <w:spacing w:before="0" w:beforeAutospacing="0" w:after="0" w:afterAutospacing="0"/>
        <w:textAlignment w:val="baseline"/>
        <w:rPr>
          <w:rStyle w:val="normaltextrun"/>
        </w:rPr>
      </w:pPr>
    </w:p>
    <w:p w14:paraId="4AE2277F" w14:textId="7E2F7B82" w:rsidR="0010162E" w:rsidRPr="0010162E" w:rsidRDefault="0010162E" w:rsidP="001243F7">
      <w:pPr>
        <w:pStyle w:val="paragraph"/>
        <w:spacing w:before="0" w:beforeAutospacing="0" w:after="0" w:afterAutospacing="0"/>
        <w:textAlignment w:val="baseline"/>
        <w:rPr>
          <w:rStyle w:val="normaltextrun"/>
        </w:rPr>
      </w:pPr>
      <w:r>
        <w:rPr>
          <w:rStyle w:val="normaltextrun"/>
        </w:rPr>
        <w:t>The Proto-gospel of James begins with showing the importance of kinship to patriarchal social standing, especially that of producing children in Israel. Joachim</w:t>
      </w:r>
      <w:r w:rsidR="00082650">
        <w:rPr>
          <w:rStyle w:val="normaltextrun"/>
        </w:rPr>
        <w:t>, father of Mary</w:t>
      </w:r>
      <w:r>
        <w:rPr>
          <w:rStyle w:val="normaltextrun"/>
        </w:rPr>
        <w:t xml:space="preserve"> was rich</w:t>
      </w:r>
      <w:r w:rsidR="00082650">
        <w:rPr>
          <w:rStyle w:val="normaltextrun"/>
        </w:rPr>
        <w:t xml:space="preserve"> and mentioned in the ‘Histories of the twelve tribes of Israel’</w:t>
      </w:r>
      <w:r w:rsidR="002C742B">
        <w:rPr>
          <w:rStyle w:val="FootnoteReference"/>
        </w:rPr>
        <w:footnoteReference w:id="11"/>
      </w:r>
      <w:r>
        <w:rPr>
          <w:rStyle w:val="normaltextrun"/>
        </w:rPr>
        <w:t xml:space="preserve"> but was told </w:t>
      </w:r>
      <w:r w:rsidR="00082650">
        <w:rPr>
          <w:rStyle w:val="normaltextrun"/>
        </w:rPr>
        <w:t xml:space="preserve">by Reuben another Jew </w:t>
      </w:r>
      <w:r>
        <w:rPr>
          <w:rStyle w:val="normaltextrun"/>
        </w:rPr>
        <w:t>“You are not allowed to offer you gifts first, since you have not produced offspring in Israel.”</w:t>
      </w:r>
      <w:r w:rsidR="00082650">
        <w:rPr>
          <w:rStyle w:val="normaltextrun"/>
        </w:rPr>
        <w:t xml:space="preserve"> </w:t>
      </w:r>
      <w:r w:rsidR="00082650">
        <w:rPr>
          <w:rStyle w:val="FootnoteReference"/>
        </w:rPr>
        <w:footnoteReference w:id="12"/>
      </w:r>
      <w:r w:rsidR="00082650">
        <w:rPr>
          <w:rStyle w:val="normaltextrun"/>
        </w:rPr>
        <w:t xml:space="preserve"> The text then follows his pursuit to see if he is the only one not to have had a child, before the text seems to blame Anne, his wife for the problem. It goes as far to have her mourning the fact she couldn’t have children, her belief that she was a </w:t>
      </w:r>
      <w:r w:rsidR="002C742B">
        <w:rPr>
          <w:rStyle w:val="normaltextrun"/>
        </w:rPr>
        <w:t>“</w:t>
      </w:r>
      <w:r w:rsidR="00082650">
        <w:rPr>
          <w:rStyle w:val="normaltextrun"/>
        </w:rPr>
        <w:t xml:space="preserve">curse before the sons of Israel” </w:t>
      </w:r>
      <w:r w:rsidR="00082650">
        <w:rPr>
          <w:rStyle w:val="FootnoteReference"/>
        </w:rPr>
        <w:footnoteReference w:id="13"/>
      </w:r>
      <w:r w:rsidR="00082650">
        <w:rPr>
          <w:rStyle w:val="normaltextrun"/>
        </w:rPr>
        <w:t xml:space="preserve"> </w:t>
      </w:r>
      <w:r w:rsidR="002C742B">
        <w:rPr>
          <w:rStyle w:val="normaltextrun"/>
        </w:rPr>
        <w:t>reflecting</w:t>
      </w:r>
      <w:r w:rsidR="00082650">
        <w:rPr>
          <w:rStyle w:val="normaltextrun"/>
        </w:rPr>
        <w:t xml:space="preserve"> the pressure placed upon </w:t>
      </w:r>
      <w:r w:rsidR="00914480">
        <w:rPr>
          <w:rStyle w:val="normaltextrun"/>
        </w:rPr>
        <w:t>a woman</w:t>
      </w:r>
      <w:r w:rsidR="00082650">
        <w:rPr>
          <w:rStyle w:val="normaltextrun"/>
        </w:rPr>
        <w:t xml:space="preserve"> to conceive in </w:t>
      </w:r>
      <w:r w:rsidR="002C742B">
        <w:rPr>
          <w:rStyle w:val="normaltextrun"/>
        </w:rPr>
        <w:t xml:space="preserve">roman, Jewish and early Christian </w:t>
      </w:r>
      <w:r w:rsidR="00082650">
        <w:rPr>
          <w:rStyle w:val="normaltextrun"/>
        </w:rPr>
        <w:t xml:space="preserve">society. </w:t>
      </w:r>
      <w:r w:rsidR="00914480">
        <w:rPr>
          <w:rStyle w:val="normaltextrun"/>
        </w:rPr>
        <w:t xml:space="preserve">At the </w:t>
      </w:r>
      <w:r w:rsidR="00914480">
        <w:rPr>
          <w:rStyle w:val="normaltextrun"/>
        </w:rPr>
        <w:t xml:space="preserve">highest </w:t>
      </w:r>
      <w:r w:rsidR="00914480">
        <w:rPr>
          <w:rStyle w:val="normaltextrun"/>
        </w:rPr>
        <w:t>point of their desperation they no longer care if the child is a boy or girl</w:t>
      </w:r>
      <w:r w:rsidR="00914480">
        <w:rPr>
          <w:rStyle w:val="normaltextrun"/>
        </w:rPr>
        <w:t>, showing that the need of offspring overwhelms that of continuing the line of inheritance. As such they turn to God, the text emulating that of Abraham in want of a child</w:t>
      </w:r>
      <w:r w:rsidR="002C742B">
        <w:rPr>
          <w:rStyle w:val="normaltextrun"/>
        </w:rPr>
        <w:t>, even to the point of promise the child into the service of the temple</w:t>
      </w:r>
      <w:r w:rsidR="00914480">
        <w:rPr>
          <w:rStyle w:val="normaltextrun"/>
        </w:rPr>
        <w:t>.</w:t>
      </w:r>
    </w:p>
    <w:p w14:paraId="531C69C1" w14:textId="56FB49BF" w:rsidR="00A72835" w:rsidRPr="00A72835" w:rsidRDefault="00A72835" w:rsidP="001243F7">
      <w:pPr>
        <w:pStyle w:val="paragraph"/>
        <w:spacing w:before="0" w:beforeAutospacing="0" w:after="0" w:afterAutospacing="0"/>
        <w:textAlignment w:val="baseline"/>
        <w:rPr>
          <w:rStyle w:val="eop"/>
          <w:rFonts w:ascii="Segoe UI" w:hAnsi="Segoe UI" w:cs="Segoe UI"/>
          <w:sz w:val="18"/>
          <w:szCs w:val="18"/>
        </w:rPr>
      </w:pPr>
    </w:p>
    <w:p w14:paraId="2631ABCA" w14:textId="7686CC44" w:rsidR="0002412F" w:rsidRDefault="005D0D5F" w:rsidP="001243F7">
      <w:pPr>
        <w:pStyle w:val="paragraph"/>
        <w:spacing w:before="0" w:beforeAutospacing="0" w:after="0" w:afterAutospacing="0"/>
        <w:textAlignment w:val="baseline"/>
        <w:rPr>
          <w:szCs w:val="18"/>
        </w:rPr>
      </w:pPr>
      <w:r>
        <w:rPr>
          <w:szCs w:val="18"/>
        </w:rPr>
        <w:t xml:space="preserve">When I applied the roman social value of ‘kinship’ as defined by DeSilva to The Proto-gospel of James the relationships surrounding Mary stood out. They did this because they changed; they shifted through out her life and even before it. The text begins with her parent’s desperation for a child, then develops into her blessed and prestigious up bring in the temple, followed by a short disgrace upon discovering her pregnancy before once more rising into quiet acclaim. I found these changes in her relation to the men around her, especially the ‘Sons of Israel’ whom she owed much but also was not see </w:t>
      </w:r>
      <w:r w:rsidR="00A11B0A">
        <w:rPr>
          <w:szCs w:val="18"/>
        </w:rPr>
        <w:t xml:space="preserve">her </w:t>
      </w:r>
      <w:r>
        <w:rPr>
          <w:szCs w:val="18"/>
        </w:rPr>
        <w:t>as truthful until tested</w:t>
      </w:r>
      <w:r w:rsidR="000E0148">
        <w:rPr>
          <w:szCs w:val="18"/>
        </w:rPr>
        <w:t xml:space="preserve"> for sin </w:t>
      </w:r>
      <w:r w:rsidR="000E0148">
        <w:rPr>
          <w:szCs w:val="18"/>
        </w:rPr>
        <w:lastRenderedPageBreak/>
        <w:t>in the wilderness along with Joseph</w:t>
      </w:r>
      <w:r>
        <w:rPr>
          <w:szCs w:val="18"/>
        </w:rPr>
        <w:t xml:space="preserve">. </w:t>
      </w:r>
      <w:r w:rsidR="00A504E0">
        <w:rPr>
          <w:szCs w:val="18"/>
        </w:rPr>
        <w:t xml:space="preserve"> Mary is an unmarried girl, a such her honour and chastity are extremely important to the men around her, her father especially owns her virginity. Disgraces are hard to remove </w:t>
      </w:r>
      <w:r w:rsidR="003C5351">
        <w:rPr>
          <w:szCs w:val="18"/>
        </w:rPr>
        <w:t xml:space="preserve">stains from the family, especially in over coming the wrongs of their parents. </w:t>
      </w:r>
      <w:r w:rsidR="00A11B0A">
        <w:rPr>
          <w:szCs w:val="18"/>
        </w:rPr>
        <w:t>This change can be s</w:t>
      </w:r>
      <w:r w:rsidR="00346964">
        <w:rPr>
          <w:szCs w:val="18"/>
        </w:rPr>
        <w:t>een in the difference between verse 7 “the entire house of Israel loved her”</w:t>
      </w:r>
      <w:r w:rsidR="005C3BA2">
        <w:rPr>
          <w:rStyle w:val="FootnoteReference"/>
          <w:szCs w:val="18"/>
        </w:rPr>
        <w:footnoteReference w:id="14"/>
      </w:r>
      <w:r w:rsidR="00346964">
        <w:rPr>
          <w:szCs w:val="18"/>
        </w:rPr>
        <w:t xml:space="preserve"> and verse 15 “Why have you humiliated your soul and forgotten the Lord your God?”</w:t>
      </w:r>
      <w:r w:rsidR="005C3BA2">
        <w:rPr>
          <w:rStyle w:val="FootnoteReference"/>
          <w:szCs w:val="18"/>
        </w:rPr>
        <w:footnoteReference w:id="15"/>
      </w:r>
      <w:r w:rsidR="00346964">
        <w:rPr>
          <w:szCs w:val="18"/>
        </w:rPr>
        <w:t xml:space="preserve"> </w:t>
      </w:r>
    </w:p>
    <w:p w14:paraId="0FAE9F78" w14:textId="392878F7" w:rsidR="005D0D5F" w:rsidRDefault="005D0D5F" w:rsidP="001243F7">
      <w:pPr>
        <w:pStyle w:val="paragraph"/>
        <w:spacing w:before="0" w:beforeAutospacing="0" w:after="0" w:afterAutospacing="0"/>
        <w:textAlignment w:val="baseline"/>
        <w:rPr>
          <w:szCs w:val="18"/>
        </w:rPr>
      </w:pPr>
    </w:p>
    <w:p w14:paraId="6BD0202B" w14:textId="1451533B" w:rsidR="0002412F" w:rsidRDefault="00AD107C" w:rsidP="001243F7">
      <w:pPr>
        <w:pStyle w:val="paragraph"/>
        <w:spacing w:before="0" w:beforeAutospacing="0" w:after="0" w:afterAutospacing="0"/>
        <w:textAlignment w:val="baseline"/>
        <w:rPr>
          <w:szCs w:val="18"/>
        </w:rPr>
      </w:pPr>
      <w:r>
        <w:rPr>
          <w:szCs w:val="18"/>
        </w:rPr>
        <w:t xml:space="preserve">When Joseph </w:t>
      </w:r>
      <w:r w:rsidR="000E0148">
        <w:rPr>
          <w:szCs w:val="18"/>
        </w:rPr>
        <w:t xml:space="preserve">initially </w:t>
      </w:r>
      <w:r>
        <w:rPr>
          <w:szCs w:val="18"/>
        </w:rPr>
        <w:t xml:space="preserve">denies </w:t>
      </w:r>
      <w:r w:rsidR="008F7407">
        <w:rPr>
          <w:szCs w:val="18"/>
        </w:rPr>
        <w:t>Mary, he states “I have sons and am an old man; she is but a child. I do not want to become a laughingstock to the sons of Israel.”</w:t>
      </w:r>
      <w:r w:rsidR="005C3BA2">
        <w:rPr>
          <w:rStyle w:val="FootnoteReference"/>
          <w:szCs w:val="18"/>
        </w:rPr>
        <w:footnoteReference w:id="16"/>
      </w:r>
      <w:r>
        <w:rPr>
          <w:szCs w:val="18"/>
        </w:rPr>
        <w:t xml:space="preserve"> because her age makes him ashamed, I think this means more than just not wanting to marry a 12-year-old girl when he has grown sons older than her. This ‘shame’ may be interpreted as one that his sons couldn’t get rid of due the rule of ‘father like son’.</w:t>
      </w:r>
      <w:r w:rsidR="00D10D18">
        <w:rPr>
          <w:rStyle w:val="FootnoteReference"/>
          <w:szCs w:val="18"/>
        </w:rPr>
        <w:footnoteReference w:id="17"/>
      </w:r>
      <w:r w:rsidR="008F7407">
        <w:rPr>
          <w:szCs w:val="18"/>
        </w:rPr>
        <w:t xml:space="preserve"> This shows that the relationship between Mary and the temple at this time was patriarchal because they were giving her to Joseph, even threatening his house to do so, the text stating “Joseph was afraid and took her into his safe-keeping.”</w:t>
      </w:r>
      <w:r w:rsidR="005C3BA2">
        <w:rPr>
          <w:rStyle w:val="FootnoteReference"/>
          <w:szCs w:val="18"/>
        </w:rPr>
        <w:footnoteReference w:id="18"/>
      </w:r>
      <w:r w:rsidR="0010162E">
        <w:rPr>
          <w:szCs w:val="18"/>
        </w:rPr>
        <w:t xml:space="preserve"> As was custom of the Jews ‘safe-keeping’ was the very long betrothal period before marriage. </w:t>
      </w:r>
      <w:r w:rsidR="00346964">
        <w:rPr>
          <w:szCs w:val="18"/>
        </w:rPr>
        <w:t>Later in the text Joseph is then accused of having “stolen her wedding rights”</w:t>
      </w:r>
      <w:r w:rsidR="0000610C">
        <w:rPr>
          <w:rStyle w:val="FootnoteReference"/>
          <w:szCs w:val="18"/>
        </w:rPr>
        <w:footnoteReference w:id="19"/>
      </w:r>
      <w:r w:rsidR="00346964">
        <w:rPr>
          <w:szCs w:val="18"/>
        </w:rPr>
        <w:t xml:space="preserve"> </w:t>
      </w:r>
      <w:r w:rsidR="000E0148">
        <w:rPr>
          <w:szCs w:val="18"/>
        </w:rPr>
        <w:t xml:space="preserve">when Mary is first discovered pregnant, </w:t>
      </w:r>
      <w:r w:rsidR="00346964">
        <w:rPr>
          <w:szCs w:val="18"/>
        </w:rPr>
        <w:t>though when Joseph first found out about the pregnancy he kept asking himself “what will I do with her?”</w:t>
      </w:r>
      <w:r w:rsidR="0000610C">
        <w:rPr>
          <w:rStyle w:val="FootnoteReference"/>
          <w:szCs w:val="18"/>
        </w:rPr>
        <w:footnoteReference w:id="20"/>
      </w:r>
      <w:r w:rsidR="00346964">
        <w:rPr>
          <w:szCs w:val="18"/>
        </w:rPr>
        <w:t xml:space="preserve"> which supports the view of kinship between Mary and Joseph being patriarchal. </w:t>
      </w:r>
      <w:r w:rsidR="000E0148">
        <w:rPr>
          <w:szCs w:val="18"/>
        </w:rPr>
        <w:t>This because it is worded in a way of a parent or older family member would despair at a child’s thoughtless actions.</w:t>
      </w:r>
    </w:p>
    <w:p w14:paraId="1FC19EDB" w14:textId="61F80089" w:rsidR="00346964" w:rsidRDefault="00346964" w:rsidP="001243F7">
      <w:pPr>
        <w:pStyle w:val="paragraph"/>
        <w:spacing w:before="0" w:beforeAutospacing="0" w:after="0" w:afterAutospacing="0"/>
        <w:textAlignment w:val="baseline"/>
        <w:rPr>
          <w:szCs w:val="18"/>
        </w:rPr>
      </w:pPr>
    </w:p>
    <w:p w14:paraId="023984D4" w14:textId="4824ABBA" w:rsidR="00346964" w:rsidRDefault="00346964" w:rsidP="001243F7">
      <w:pPr>
        <w:pStyle w:val="paragraph"/>
        <w:spacing w:before="0" w:beforeAutospacing="0" w:after="0" w:afterAutospacing="0"/>
        <w:textAlignment w:val="baseline"/>
        <w:rPr>
          <w:szCs w:val="18"/>
        </w:rPr>
      </w:pPr>
      <w:r>
        <w:rPr>
          <w:szCs w:val="18"/>
        </w:rPr>
        <w:t xml:space="preserve">The thought that the society around Mary is patriarchal and bases of family lines from father to son is also supported by </w:t>
      </w:r>
      <w:r w:rsidR="0000610C">
        <w:rPr>
          <w:szCs w:val="18"/>
        </w:rPr>
        <w:t>another</w:t>
      </w:r>
      <w:r>
        <w:rPr>
          <w:szCs w:val="18"/>
        </w:rPr>
        <w:t xml:space="preserve"> wom</w:t>
      </w:r>
      <w:r w:rsidR="0000610C">
        <w:rPr>
          <w:szCs w:val="18"/>
        </w:rPr>
        <w:t>a</w:t>
      </w:r>
      <w:r>
        <w:rPr>
          <w:szCs w:val="18"/>
        </w:rPr>
        <w:t xml:space="preserve">n in the gospel. The </w:t>
      </w:r>
      <w:r w:rsidR="0000610C">
        <w:rPr>
          <w:szCs w:val="18"/>
        </w:rPr>
        <w:t>Hebrew midwife Salome calls out to her ancestors to not make an example of her to the sons of Israel. “God of my fathers, remember I am a descendant of Abraham, Isaac, and Jacob.”</w:t>
      </w:r>
      <w:r w:rsidR="0000610C">
        <w:rPr>
          <w:rStyle w:val="FootnoteReference"/>
          <w:szCs w:val="18"/>
        </w:rPr>
        <w:footnoteReference w:id="21"/>
      </w:r>
      <w:r w:rsidR="0000610C">
        <w:rPr>
          <w:szCs w:val="18"/>
        </w:rPr>
        <w:t xml:space="preserve"> The use of prominent male members of religious history support the patriarchal nature of kinship in this period. The fact Salome calls for the “God of my fathers”</w:t>
      </w:r>
      <w:r w:rsidR="0000610C">
        <w:rPr>
          <w:rStyle w:val="FootnoteReference"/>
          <w:szCs w:val="18"/>
        </w:rPr>
        <w:footnoteReference w:id="22"/>
      </w:r>
      <w:r w:rsidR="0000610C">
        <w:rPr>
          <w:szCs w:val="18"/>
        </w:rPr>
        <w:t xml:space="preserve"> also shows that men have a greater role in the worship of God. </w:t>
      </w:r>
      <w:r w:rsidR="000E0148">
        <w:rPr>
          <w:szCs w:val="18"/>
        </w:rPr>
        <w:t xml:space="preserve">It is almost as if she is calling on someone else’s God rather than her own. </w:t>
      </w:r>
    </w:p>
    <w:p w14:paraId="1C3285EC" w14:textId="594882E1" w:rsidR="00FF1194" w:rsidRDefault="00FF1194" w:rsidP="001243F7">
      <w:pPr>
        <w:pStyle w:val="paragraph"/>
        <w:spacing w:before="0" w:beforeAutospacing="0" w:after="0" w:afterAutospacing="0"/>
        <w:textAlignment w:val="baseline"/>
        <w:rPr>
          <w:szCs w:val="18"/>
        </w:rPr>
      </w:pPr>
    </w:p>
    <w:p w14:paraId="5D629069" w14:textId="793320CD" w:rsidR="000E0148" w:rsidRDefault="000E0148" w:rsidP="000E0148">
      <w:pPr>
        <w:pStyle w:val="paragraph"/>
        <w:spacing w:before="0" w:beforeAutospacing="0" w:after="0" w:afterAutospacing="0"/>
        <w:textAlignment w:val="baseline"/>
        <w:rPr>
          <w:szCs w:val="18"/>
        </w:rPr>
      </w:pPr>
      <w:r>
        <w:rPr>
          <w:szCs w:val="18"/>
        </w:rPr>
        <w:t>The patriarchal nature of Mary’s relationship with the men around her especially the sons of Israel whom held power in the temple and the different tribes is important to understanding the text because it allows us to further comprehend Marys role as a woman at this time. This means showing how the men have control over certain aspects of her life. This can be seen in how her father Joachim has the final say in when she goes to the temple “take her up to the temple to fulfil the promise we made”</w:t>
      </w:r>
      <w:r>
        <w:rPr>
          <w:rStyle w:val="FootnoteReference"/>
          <w:szCs w:val="18"/>
        </w:rPr>
        <w:footnoteReference w:id="23"/>
      </w:r>
      <w:r>
        <w:rPr>
          <w:szCs w:val="18"/>
        </w:rPr>
        <w:t>. Then again when Joseph blames himself when he finds he pregnant for not watching over her when he received her, “I received her from the temple of the Lord God as a virgin, but I did not watch over her.”</w:t>
      </w:r>
      <w:r>
        <w:rPr>
          <w:rStyle w:val="FootnoteReference"/>
          <w:szCs w:val="18"/>
        </w:rPr>
        <w:footnoteReference w:id="24"/>
      </w:r>
      <w:r>
        <w:rPr>
          <w:szCs w:val="18"/>
        </w:rPr>
        <w:t xml:space="preserve"> One of the times I see </w:t>
      </w:r>
      <w:r>
        <w:rPr>
          <w:szCs w:val="18"/>
        </w:rPr>
        <w:lastRenderedPageBreak/>
        <w:t>Mary in a place of power is when Joseph “gave his sons to her”</w:t>
      </w:r>
      <w:r>
        <w:rPr>
          <w:rStyle w:val="FootnoteReference"/>
          <w:szCs w:val="18"/>
        </w:rPr>
        <w:footnoteReference w:id="25"/>
      </w:r>
      <w:r>
        <w:rPr>
          <w:szCs w:val="18"/>
        </w:rPr>
        <w:t xml:space="preserve"> while she was in labour while he went to find a midwife. </w:t>
      </w:r>
    </w:p>
    <w:p w14:paraId="397E4891" w14:textId="77777777" w:rsidR="000E0148" w:rsidRDefault="000E0148" w:rsidP="000E0148">
      <w:pPr>
        <w:pStyle w:val="paragraph"/>
        <w:spacing w:before="0" w:beforeAutospacing="0" w:after="0" w:afterAutospacing="0"/>
        <w:textAlignment w:val="baseline"/>
        <w:rPr>
          <w:szCs w:val="18"/>
        </w:rPr>
      </w:pPr>
    </w:p>
    <w:p w14:paraId="5989A547" w14:textId="10966C63" w:rsidR="009E24C5" w:rsidRDefault="009E24C5" w:rsidP="009E24C5">
      <w:pPr>
        <w:pStyle w:val="paragraph"/>
        <w:spacing w:before="0" w:beforeAutospacing="0" w:after="0" w:afterAutospacing="0"/>
        <w:textAlignment w:val="baseline"/>
        <w:rPr>
          <w:szCs w:val="18"/>
        </w:rPr>
      </w:pPr>
      <w:r>
        <w:rPr>
          <w:szCs w:val="18"/>
        </w:rPr>
        <w:t xml:space="preserve">In conclusion, my analysis of the proto-gospel of James as found in Ehrman’s book though the lenses of DeSilva’s definition of the roman social value ‘kinship’, to explore Mary’s relationship with the sons of Israel has found it was more patriarchal. I found examples of father knows best ideal, where he is ruler of his house and the women within, making decisions about marriage education and children. The text shows the patriarchal nature of Mary’s relationship with the men around her, the fact she needs ‘safe-keeping’ by her future husband and his sons, along with the need of her to marry a widow with children as an attempt to keep her a virgin and pure. </w:t>
      </w:r>
    </w:p>
    <w:p w14:paraId="75C8DDDD" w14:textId="77777777" w:rsidR="009E24C5" w:rsidRDefault="009E24C5" w:rsidP="009E24C5">
      <w:pPr>
        <w:pStyle w:val="paragraph"/>
        <w:spacing w:before="0" w:beforeAutospacing="0" w:after="0" w:afterAutospacing="0"/>
        <w:textAlignment w:val="baseline"/>
        <w:rPr>
          <w:szCs w:val="18"/>
        </w:rPr>
      </w:pPr>
    </w:p>
    <w:p w14:paraId="1994A271" w14:textId="3CB2B253" w:rsidR="005C3BA2" w:rsidRDefault="005C3BA2" w:rsidP="005C3BA2">
      <w:pPr>
        <w:pStyle w:val="paragraph"/>
        <w:spacing w:before="0" w:beforeAutospacing="0" w:after="0" w:afterAutospacing="0"/>
        <w:textAlignment w:val="baseline"/>
        <w:rPr>
          <w:szCs w:val="18"/>
        </w:rPr>
      </w:pPr>
    </w:p>
    <w:p w14:paraId="2E6FF737" w14:textId="77777777" w:rsidR="000E0148" w:rsidRDefault="000E0148" w:rsidP="005C3BA2">
      <w:pPr>
        <w:pStyle w:val="paragraph"/>
        <w:spacing w:before="0" w:beforeAutospacing="0" w:after="0" w:afterAutospacing="0"/>
        <w:textAlignment w:val="baseline"/>
        <w:rPr>
          <w:szCs w:val="18"/>
        </w:rPr>
      </w:pPr>
    </w:p>
    <w:p w14:paraId="78F279D4" w14:textId="77777777" w:rsidR="005C3BA2" w:rsidRPr="00914480" w:rsidRDefault="005C3BA2" w:rsidP="00404263">
      <w:pPr>
        <w:pStyle w:val="paragraph"/>
        <w:spacing w:before="0" w:beforeAutospacing="0" w:after="0" w:afterAutospacing="0"/>
        <w:textAlignment w:val="baseline"/>
        <w:rPr>
          <w:rStyle w:val="normaltextrun"/>
          <w:bCs/>
          <w:lang w:val="en-US"/>
        </w:rPr>
      </w:pPr>
    </w:p>
    <w:p w14:paraId="21FF61C0" w14:textId="3A7A2152" w:rsidR="00914480" w:rsidRDefault="00914480" w:rsidP="00404263">
      <w:pPr>
        <w:pStyle w:val="paragraph"/>
        <w:spacing w:before="0" w:beforeAutospacing="0" w:after="0" w:afterAutospacing="0"/>
        <w:textAlignment w:val="baseline"/>
        <w:rPr>
          <w:rStyle w:val="normaltextrun"/>
          <w:b/>
          <w:bCs/>
          <w:lang w:val="en-US"/>
        </w:rPr>
      </w:pPr>
      <w:r>
        <w:rPr>
          <w:rStyle w:val="normaltextrun"/>
          <w:b/>
          <w:bCs/>
          <w:lang w:val="en-US"/>
        </w:rPr>
        <w:t>Bibliography</w:t>
      </w:r>
    </w:p>
    <w:p w14:paraId="184A07F1" w14:textId="40FC2E8D" w:rsidR="002C742B" w:rsidRPr="002C742B" w:rsidRDefault="00914480"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Pr>
          <w:b/>
          <w:bCs/>
          <w:lang w:val="en-US"/>
        </w:rPr>
        <w:fldChar w:fldCharType="begin" w:fldLock="1"/>
      </w:r>
      <w:r>
        <w:rPr>
          <w:b/>
          <w:bCs/>
          <w:lang w:val="en-US"/>
        </w:rPr>
        <w:instrText xml:space="preserve">ADDIN Mendeley Bibliography CSL_BIBLIOGRAPHY </w:instrText>
      </w:r>
      <w:r>
        <w:rPr>
          <w:b/>
          <w:bCs/>
          <w:lang w:val="en-US"/>
        </w:rPr>
        <w:fldChar w:fldCharType="separate"/>
      </w:r>
      <w:r w:rsidR="002C742B" w:rsidRPr="002C742B">
        <w:rPr>
          <w:rFonts w:ascii="Times New Roman" w:hAnsi="Times New Roman" w:cs="Times New Roman"/>
          <w:noProof/>
          <w:sz w:val="24"/>
          <w:szCs w:val="24"/>
        </w:rPr>
        <w:t xml:space="preserve">Clark, Elizabeth A, ‘Antifamilial Tendencies in Ancient Christianity’, </w:t>
      </w:r>
      <w:r w:rsidR="002C742B" w:rsidRPr="002C742B">
        <w:rPr>
          <w:rFonts w:ascii="Times New Roman" w:hAnsi="Times New Roman" w:cs="Times New Roman"/>
          <w:i/>
          <w:iCs/>
          <w:noProof/>
          <w:sz w:val="24"/>
          <w:szCs w:val="24"/>
        </w:rPr>
        <w:t>Source Journal of the History of Sexuality</w:t>
      </w:r>
      <w:r w:rsidR="002C742B" w:rsidRPr="002C742B">
        <w:rPr>
          <w:rFonts w:ascii="Times New Roman" w:hAnsi="Times New Roman" w:cs="Times New Roman"/>
          <w:noProof/>
          <w:sz w:val="24"/>
          <w:szCs w:val="24"/>
        </w:rPr>
        <w:t>, 5 (1995), 356–80 &lt;http://www.jstor.org/stable/4617178&gt; [accessed 22 May 2018]</w:t>
      </w:r>
    </w:p>
    <w:p w14:paraId="6B1F5641"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sidRPr="002C742B">
        <w:rPr>
          <w:rFonts w:ascii="Times New Roman" w:hAnsi="Times New Roman" w:cs="Times New Roman"/>
          <w:noProof/>
          <w:sz w:val="24"/>
          <w:szCs w:val="24"/>
        </w:rPr>
        <w:t xml:space="preserve">DeSilva, David A., </w:t>
      </w:r>
      <w:r w:rsidRPr="002C742B">
        <w:rPr>
          <w:rFonts w:ascii="Times New Roman" w:hAnsi="Times New Roman" w:cs="Times New Roman"/>
          <w:i/>
          <w:iCs/>
          <w:noProof/>
          <w:sz w:val="24"/>
          <w:szCs w:val="24"/>
        </w:rPr>
        <w:t>An Introduction to the New Testament</w:t>
      </w:r>
      <w:r w:rsidRPr="002C742B">
        <w:rPr>
          <w:rFonts w:ascii="Times New Roman" w:hAnsi="Times New Roman" w:cs="Times New Roman"/>
          <w:noProof/>
          <w:sz w:val="24"/>
          <w:szCs w:val="24"/>
        </w:rPr>
        <w:t xml:space="preserve"> &lt;https://moodle.uwtsd.ac.uk/pluginfile.php/131458/mod_resource/content/0/1. DeSilva Chapter 3%2C 111-44.pdf&gt; [accessed 22 May 2018]</w:t>
      </w:r>
    </w:p>
    <w:p w14:paraId="2C3CF42D"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sidRPr="002C742B">
        <w:rPr>
          <w:rFonts w:ascii="Times New Roman" w:hAnsi="Times New Roman" w:cs="Times New Roman"/>
          <w:noProof/>
          <w:sz w:val="24"/>
          <w:szCs w:val="24"/>
        </w:rPr>
        <w:t xml:space="preserve">Ehrman, Bart D., </w:t>
      </w:r>
      <w:r w:rsidRPr="002C742B">
        <w:rPr>
          <w:rFonts w:ascii="Times New Roman" w:hAnsi="Times New Roman" w:cs="Times New Roman"/>
          <w:i/>
          <w:iCs/>
          <w:noProof/>
          <w:sz w:val="24"/>
          <w:szCs w:val="24"/>
        </w:rPr>
        <w:t>After the New Testament A Reader in Early Christianity 100-300CE</w:t>
      </w:r>
      <w:r w:rsidRPr="002C742B">
        <w:rPr>
          <w:rFonts w:ascii="Times New Roman" w:hAnsi="Times New Roman" w:cs="Times New Roman"/>
          <w:noProof/>
          <w:sz w:val="24"/>
          <w:szCs w:val="24"/>
        </w:rPr>
        <w:t>, 2nd edn (New York: Oxford University Press, 2015) &lt;https://moodle.uwtsd.ac.uk/pluginfile.php/141586/mod_resource/content/0/The Gospel of Mary.pdf&gt; [accessed 22 May 2018]</w:t>
      </w:r>
    </w:p>
    <w:p w14:paraId="39701FDD"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sidRPr="002C742B">
        <w:rPr>
          <w:rFonts w:ascii="Times New Roman" w:hAnsi="Times New Roman" w:cs="Times New Roman"/>
          <w:noProof/>
          <w:sz w:val="24"/>
          <w:szCs w:val="24"/>
        </w:rPr>
        <w:t xml:space="preserve">Foskett, Mary F., </w:t>
      </w:r>
      <w:r w:rsidRPr="002C742B">
        <w:rPr>
          <w:rFonts w:ascii="Times New Roman" w:hAnsi="Times New Roman" w:cs="Times New Roman"/>
          <w:i/>
          <w:iCs/>
          <w:noProof/>
          <w:sz w:val="24"/>
          <w:szCs w:val="24"/>
        </w:rPr>
        <w:t>A Virgin Concieved</w:t>
      </w:r>
      <w:r w:rsidRPr="002C742B">
        <w:rPr>
          <w:rFonts w:ascii="Times New Roman" w:hAnsi="Times New Roman" w:cs="Times New Roman"/>
          <w:noProof/>
          <w:sz w:val="24"/>
          <w:szCs w:val="24"/>
        </w:rPr>
        <w:t xml:space="preserve"> (Indiana: Indiana University Press, 2002)</w:t>
      </w:r>
    </w:p>
    <w:p w14:paraId="1D833FFF"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sidRPr="002C742B">
        <w:rPr>
          <w:rFonts w:ascii="Times New Roman" w:hAnsi="Times New Roman" w:cs="Times New Roman"/>
          <w:noProof/>
          <w:sz w:val="24"/>
          <w:szCs w:val="24"/>
        </w:rPr>
        <w:t>Frank, Richard I, ‘California Studies in Classical Antiquity Augustus’ Legislation on Marriage and Children’, 8 (1975), 41–52 &lt;http://www.jstor.org/stable/25010681&gt; [accessed 22 May 2018]</w:t>
      </w:r>
    </w:p>
    <w:p w14:paraId="4F3AE3E4"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sidRPr="002C742B">
        <w:rPr>
          <w:rFonts w:ascii="Times New Roman" w:hAnsi="Times New Roman" w:cs="Times New Roman"/>
          <w:noProof/>
          <w:sz w:val="24"/>
          <w:szCs w:val="24"/>
        </w:rPr>
        <w:t xml:space="preserve">Horner, Timothy J., and Timothy J Horner, ‘Jewish Aspects of the Protoevangelium of James’, </w:t>
      </w:r>
      <w:r w:rsidRPr="002C742B">
        <w:rPr>
          <w:rFonts w:ascii="Times New Roman" w:hAnsi="Times New Roman" w:cs="Times New Roman"/>
          <w:i/>
          <w:iCs/>
          <w:noProof/>
          <w:sz w:val="24"/>
          <w:szCs w:val="24"/>
        </w:rPr>
        <w:t>Journal of Early Christian Studies</w:t>
      </w:r>
      <w:r w:rsidRPr="002C742B">
        <w:rPr>
          <w:rFonts w:ascii="Times New Roman" w:hAnsi="Times New Roman" w:cs="Times New Roman"/>
          <w:noProof/>
          <w:sz w:val="24"/>
          <w:szCs w:val="24"/>
        </w:rPr>
        <w:t>, 12 (2004), 313–35 &lt;https://doi.org/10.1353/earl.2004.0041&gt;</w:t>
      </w:r>
    </w:p>
    <w:p w14:paraId="21457BE5"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szCs w:val="24"/>
        </w:rPr>
      </w:pPr>
      <w:r w:rsidRPr="002C742B">
        <w:rPr>
          <w:rFonts w:ascii="Times New Roman" w:hAnsi="Times New Roman" w:cs="Times New Roman"/>
          <w:noProof/>
          <w:sz w:val="24"/>
          <w:szCs w:val="24"/>
        </w:rPr>
        <w:t xml:space="preserve">Jacobs, Andrew S, and Rebecca Krawiec, ‘Fathers Know Best? Christian Families in the Age of Asceticism’, </w:t>
      </w:r>
      <w:r w:rsidRPr="002C742B">
        <w:rPr>
          <w:rFonts w:ascii="Times New Roman" w:hAnsi="Times New Roman" w:cs="Times New Roman"/>
          <w:i/>
          <w:iCs/>
          <w:noProof/>
          <w:sz w:val="24"/>
          <w:szCs w:val="24"/>
        </w:rPr>
        <w:t>Journal of Early Christian Studies Fall</w:t>
      </w:r>
      <w:r w:rsidRPr="002C742B">
        <w:rPr>
          <w:rFonts w:ascii="Times New Roman" w:hAnsi="Times New Roman" w:cs="Times New Roman"/>
          <w:noProof/>
          <w:sz w:val="24"/>
          <w:szCs w:val="24"/>
        </w:rPr>
        <w:t>, 11 (2003) &lt;https://moodle.uwtsd.ac.uk/pluginfile.php/144564/mod_resource/content/0/Fathers Know Best.pdf&gt; [accessed 22 May 2018]</w:t>
      </w:r>
    </w:p>
    <w:p w14:paraId="01AEC069" w14:textId="77777777" w:rsidR="002C742B" w:rsidRPr="002C742B" w:rsidRDefault="002C742B" w:rsidP="002C742B">
      <w:pPr>
        <w:widowControl w:val="0"/>
        <w:autoSpaceDE w:val="0"/>
        <w:autoSpaceDN w:val="0"/>
        <w:adjustRightInd w:val="0"/>
        <w:spacing w:after="0" w:line="240" w:lineRule="auto"/>
        <w:ind w:left="480" w:hanging="480"/>
        <w:rPr>
          <w:rFonts w:ascii="Times New Roman" w:hAnsi="Times New Roman" w:cs="Times New Roman"/>
          <w:noProof/>
          <w:sz w:val="24"/>
        </w:rPr>
      </w:pPr>
      <w:r w:rsidRPr="002C742B">
        <w:rPr>
          <w:rFonts w:ascii="Times New Roman" w:hAnsi="Times New Roman" w:cs="Times New Roman"/>
          <w:noProof/>
          <w:sz w:val="24"/>
          <w:szCs w:val="24"/>
        </w:rPr>
        <w:t>Maclntyre, Ferren, ‘Was Religion a Kinship Surrogate?’ &lt;https://doi.org/10.1093/jaarel/lfh063&gt;</w:t>
      </w:r>
    </w:p>
    <w:p w14:paraId="7A5D165C" w14:textId="3AFBB90D" w:rsidR="00914480" w:rsidRPr="00914480" w:rsidRDefault="00914480" w:rsidP="00404263">
      <w:pPr>
        <w:pStyle w:val="paragraph"/>
        <w:spacing w:before="0" w:beforeAutospacing="0" w:after="0" w:afterAutospacing="0"/>
        <w:textAlignment w:val="baseline"/>
        <w:rPr>
          <w:b/>
          <w:bCs/>
          <w:lang w:val="en-US"/>
        </w:rPr>
      </w:pPr>
      <w:r>
        <w:rPr>
          <w:b/>
          <w:bCs/>
          <w:lang w:val="en-US"/>
        </w:rPr>
        <w:fldChar w:fldCharType="end"/>
      </w:r>
    </w:p>
    <w:sectPr w:rsidR="00914480" w:rsidRPr="009144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03079" w14:textId="77777777" w:rsidR="00D92DA4" w:rsidRDefault="00D92DA4" w:rsidP="00D10D18">
      <w:pPr>
        <w:spacing w:after="0" w:line="240" w:lineRule="auto"/>
      </w:pPr>
      <w:r>
        <w:separator/>
      </w:r>
    </w:p>
  </w:endnote>
  <w:endnote w:type="continuationSeparator" w:id="0">
    <w:p w14:paraId="62685152" w14:textId="77777777" w:rsidR="00D92DA4" w:rsidRDefault="00D92DA4" w:rsidP="00D10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4B3D6" w14:textId="77777777" w:rsidR="00D92DA4" w:rsidRDefault="00D92DA4" w:rsidP="00D10D18">
      <w:pPr>
        <w:spacing w:after="0" w:line="240" w:lineRule="auto"/>
      </w:pPr>
      <w:r>
        <w:separator/>
      </w:r>
    </w:p>
  </w:footnote>
  <w:footnote w:type="continuationSeparator" w:id="0">
    <w:p w14:paraId="7037AE52" w14:textId="77777777" w:rsidR="00D92DA4" w:rsidRDefault="00D92DA4" w:rsidP="00D10D18">
      <w:pPr>
        <w:spacing w:after="0" w:line="240" w:lineRule="auto"/>
      </w:pPr>
      <w:r>
        <w:continuationSeparator/>
      </w:r>
    </w:p>
  </w:footnote>
  <w:footnote w:id="1">
    <w:p w14:paraId="20983455" w14:textId="1047E0E1" w:rsidR="00D10D18" w:rsidRDefault="00D10D18">
      <w:pPr>
        <w:pStyle w:val="FootnoteText"/>
      </w:pPr>
      <w:r>
        <w:rPr>
          <w:rStyle w:val="FootnoteReference"/>
        </w:rPr>
        <w:footnoteRef/>
      </w:r>
      <w:r>
        <w:t xml:space="preserve"> </w:t>
      </w:r>
      <w:r>
        <w:fldChar w:fldCharType="begin" w:fldLock="1"/>
      </w:r>
      <w:r w:rsidR="002C742B">
        <w:instrText>ADDIN CSL_CITATION {"citationItems":[{"id":"ITEM-1","itemData":{"abstract":"The Cultural and Social World of the Early Church","author":[{"dropping-particle":"","family":"DeSilva","given":"David A.","non-dropping-particle":"","parse-names":false,"suffix":""}],"id":"ITEM-1","issued":{"date-parts":[["0"]]},"title":"An Introduction to the New Testament","type":"book"},"uris":["http://www.mendeley.com/documents/?uuid=9b0165c2-1d52-3e65-ad9f-1b0c73498a01"]}],"mendeley":{"formattedCitation":"David A. DeSilva, &lt;i&gt;An Introduction to the New Testament&lt;/i&gt; &lt;https://moodle.uwtsd.ac.uk/pluginfile.php/131458/mod_resource/content/0/1. DeSilva Chapter 3%2C 111-44.pdf&gt; [accessed 22 May 2018].","manualFormatting":"David A. DeSilva, An Introduction to the New Testament  [accessed 22 May 2018].","plainTextFormattedCitation":"David A. DeSilva, An Introduction to the New Testament  [accessed 22 May 2018].","previouslyFormattedCitation":"David A. DeSilva, &lt;i&gt;The Cultural and Social World of the Early Church&lt;/i&gt; &lt;https://moodle.uwtsd.ac.uk/pluginfile.php/131458/mod_resource/content/0/1. DeSilva Chapter 3%2C 111-44.pdf&gt; [accessed 22 May 2018]."},"properties":{"noteIndex":1},"schema":"https://github.com/citation-style-language/schema/raw/master/csl-citation.json"}</w:instrText>
      </w:r>
      <w:r>
        <w:fldChar w:fldCharType="separate"/>
      </w:r>
      <w:r w:rsidR="009E24C5" w:rsidRPr="009E24C5">
        <w:rPr>
          <w:noProof/>
        </w:rPr>
        <w:t xml:space="preserve">David A. DeSilva, </w:t>
      </w:r>
      <w:r w:rsidR="002C742B">
        <w:rPr>
          <w:i/>
          <w:noProof/>
        </w:rPr>
        <w:t xml:space="preserve">An Introduction to the New Testament </w:t>
      </w:r>
      <w:r w:rsidR="009E24C5" w:rsidRPr="009E24C5">
        <w:rPr>
          <w:noProof/>
        </w:rPr>
        <w:t>&lt;https://moodle.uwtsd.ac.uk/pluginfile.php/131458/mod_resource/content/0/1. DeSilva Chapter 3%2C 111-44.pdf&gt; [accessed 22 May 2018].</w:t>
      </w:r>
      <w:r>
        <w:fldChar w:fldCharType="end"/>
      </w:r>
    </w:p>
  </w:footnote>
  <w:footnote w:id="2">
    <w:p w14:paraId="5C6F9F45" w14:textId="32734024" w:rsidR="00D10D18" w:rsidRDefault="00D10D18">
      <w:pPr>
        <w:pStyle w:val="FootnoteText"/>
      </w:pPr>
      <w:r>
        <w:rPr>
          <w:rStyle w:val="FootnoteReference"/>
        </w:rPr>
        <w:footnoteRef/>
      </w:r>
      <w:r>
        <w:t xml:space="preserve"> </w:t>
      </w:r>
      <w:r>
        <w:fldChar w:fldCharType="begin" w:fldLock="1"/>
      </w:r>
      <w:r w:rsidR="008F7407">
        <w:instrText>ADDIN CSL_CITATION {"citationItems":[{"id":"ITEM-1","itemData":{"DOI":"10.1093/jaarel/lfh063","author":[{"dropping-particle":"","family":"Maclntyre","given":"Ferren","non-dropping-particle":"","parse-names":false,"suffix":""}],"id":"ITEM-1","issued":{"date-parts":[["0"]]},"title":"Was Religion a Kinship Surrogate?","type":"article-journal"},"uris":["http://www.mendeley.com/documents/?uuid=9a48446c-24ae-339f-8e3f-dd567f6d9880"]}],"mendeley":{"formattedCitation":"Ferren Maclntyre, ‘Was Religion a Kinship Surrogate?’ &lt;https://doi.org/10.1093/jaarel/lfh063&gt;.","plainTextFormattedCitation":"Ferren Maclntyre, ‘Was Religion a Kinship Surrogate?’ .","previouslyFormattedCitation":"Ferren Maclntyre, ‘Was Religion a Kinship Surrogate?’ &lt;https://doi.org/10.1093/jaarel/lfh063&gt;."},"properties":{"noteIndex":2},"schema":"https://github.com/citation-style-language/schema/raw/master/csl-citation.json"}</w:instrText>
      </w:r>
      <w:r>
        <w:fldChar w:fldCharType="separate"/>
      </w:r>
      <w:r w:rsidRPr="002C742B">
        <w:rPr>
          <w:noProof/>
        </w:rPr>
        <w:t>Ferren Maclntyre, ‘Was Religion a Kinship Surrogate?’ &lt;https://doi.org/10.1093/jaarel/lfh063&gt;.</w:t>
      </w:r>
      <w:r>
        <w:fldChar w:fldCharType="end"/>
      </w:r>
    </w:p>
  </w:footnote>
  <w:footnote w:id="3">
    <w:p w14:paraId="5EF0A7E1" w14:textId="36F67444" w:rsidR="00D10D18" w:rsidRDefault="00D10D18">
      <w:pPr>
        <w:pStyle w:val="FootnoteText"/>
      </w:pPr>
      <w:r>
        <w:rPr>
          <w:rStyle w:val="FootnoteReference"/>
        </w:rPr>
        <w:footnoteRef/>
      </w:r>
      <w:r>
        <w:t xml:space="preserve"> </w:t>
      </w:r>
      <w:r>
        <w:fldChar w:fldCharType="begin" w:fldLock="1"/>
      </w:r>
      <w:r w:rsidR="008F7407">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100-300CE","type":"book"},"uris":["http://www.mendeley.com/documents/?uuid=86d9a97d-1fb2-3095-852d-0f9f3755bb1c"]}],"mendeley":{"formattedCitation":"Bart D. Ehrman, &lt;i&gt;After the New Testament A Reader in Early Christianity 100-300CE&lt;/i&gt;, 2nd edn (New York: Oxford University Press, 2015) &lt;https://moodle.uwtsd.ac.uk/pluginfile.php/141586/mod_resource/content/0/The Gospel of Mary.pdf&gt; [accessed 22 May 2018].","plainTextFormattedCitation":"Bart D. Ehrman, After the New Testament A Reader in Early Christianity 100-300CE, 2nd edn (New York: Oxford University Press, 2015)  [accessed 22 May 2018].","previouslyFormattedCitation":"Bart D. Ehrman, &lt;i&gt;After the New Testament A Reader in Early Christianity 100-300CE&lt;/i&gt;, 2nd edn (New York: Oxford University Press, 2015) &lt;https://moodle.uwtsd.ac.uk/pluginfile.php/141586/mod_resource/content/0/The Gospel of Mary.pdf&gt; [accessed 22 May 2018]."},"properties":{"noteIndex":3},"schema":"https://github.com/citation-style-language/schema/raw/master/csl-citation.json"}</w:instrText>
      </w:r>
      <w:r>
        <w:fldChar w:fldCharType="separate"/>
      </w:r>
      <w:r w:rsidR="002C742B" w:rsidRPr="002C742B">
        <w:rPr>
          <w:noProof/>
        </w:rPr>
        <w:t xml:space="preserve">Bart D. Ehrman, </w:t>
      </w:r>
      <w:r w:rsidR="002C742B" w:rsidRPr="002C742B">
        <w:rPr>
          <w:i/>
          <w:noProof/>
        </w:rPr>
        <w:t>After the New Testament A Reader in Early Christianity 100-300CE</w:t>
      </w:r>
      <w:r w:rsidR="002C742B" w:rsidRPr="002C742B">
        <w:rPr>
          <w:noProof/>
        </w:rPr>
        <w:t>, 2nd edn (New York: Oxford University Press, 2015) &lt;https://moodle.uwtsd.ac.uk/pluginfile.php/141586/mod_resource/content/0/The Gospel of Mary.pdf&gt; [accessed 22 May 2018].</w:t>
      </w:r>
      <w:r>
        <w:fldChar w:fldCharType="end"/>
      </w:r>
    </w:p>
  </w:footnote>
  <w:footnote w:id="4">
    <w:p w14:paraId="45C2659F" w14:textId="24CF9B73" w:rsidR="00D10D18" w:rsidRDefault="00D10D18">
      <w:pPr>
        <w:pStyle w:val="FootnoteText"/>
      </w:pPr>
      <w:r>
        <w:rPr>
          <w:rStyle w:val="FootnoteReference"/>
        </w:rPr>
        <w:footnoteRef/>
      </w:r>
      <w:r>
        <w:t xml:space="preserve"> </w:t>
      </w:r>
      <w:r>
        <w:fldChar w:fldCharType="begin" w:fldLock="1"/>
      </w:r>
      <w:r w:rsidR="008F7407">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4},"schema":"https://github.com/citation-style-language/schema/raw/master/csl-citation.json"}</w:instrText>
      </w:r>
      <w:r>
        <w:fldChar w:fldCharType="separate"/>
      </w:r>
      <w:r w:rsidRPr="00D10D18">
        <w:rPr>
          <w:noProof/>
        </w:rPr>
        <w:t>Ehrman.</w:t>
      </w:r>
      <w:r>
        <w:fldChar w:fldCharType="end"/>
      </w:r>
    </w:p>
  </w:footnote>
  <w:footnote w:id="5">
    <w:p w14:paraId="19D71825" w14:textId="72AD3B20" w:rsidR="00914480" w:rsidRDefault="00914480">
      <w:pPr>
        <w:pStyle w:val="FootnoteText"/>
      </w:pPr>
      <w:r>
        <w:rPr>
          <w:rStyle w:val="FootnoteReference"/>
        </w:rPr>
        <w:footnoteRef/>
      </w:r>
      <w:r>
        <w:t xml:space="preserve"> </w:t>
      </w:r>
      <w:r>
        <w:fldChar w:fldCharType="begin" w:fldLock="1"/>
      </w:r>
      <w:r>
        <w:instrText>ADDIN CSL_CITATION {"citationItems":[{"id":"ITEM-1","itemData":{"DOI":"10.1353/earl.2004.0041","ISSN":"1086-3184","abstract":"&lt;p&gt;\nThis essay is a reexamination of the Protoevangelium of James and its Jewish imagery and setting. By reading the Protoevangelium of James alongside the Mishnah several interesting parallels arise. The mishnaic teachings on the process by which girls become women and how they are passed from fathers to husbands provide intriguing parallels. Moreover, the concern in each of the texts is for the preservation and assurance of virginity. The implication for this cultural connection is that the assertion of Mary's postpartum virginity (the real innovation of the Protoevangelium of James) may have come from within a Jewish community (albeit a Christian one).&lt;/p&gt;","author":[{"dropping-particle":"","family":"Horner","given":"Timothy J.","non-dropping-particle":"","parse-names":false,"suffix":""},{"dropping-particle":"","family":"Horner","given":"Timothy J","non-dropping-particle":"","parse-names":false,"suffix":""}],"container-title":"Journal of Early Christian Studies","id":"ITEM-1","issue":"3","issued":{"date-parts":[["2004"]]},"page":"313-335","publisher":"Johns Hopkins University Press","title":"Jewish Aspects of the Protoevangelium of James","type":"article-journal","volume":"12"},"uris":["http://www.mendeley.com/documents/?uuid=23eb81fd-3505-34ec-8ae4-e3d8b961e87b"]}],"mendeley":{"formattedCitation":"Timothy J. Horner and Timothy J Horner, ‘Jewish Aspects of the Protoevangelium of James’, &lt;i&gt;Journal of Early Christian Studies&lt;/i&gt;, 12.3 (2004), 313–35 &lt;https://doi.org/10.1353/earl.2004.0041&gt;.","plainTextFormattedCitation":"Timothy J. Horner and Timothy J Horner, ‘Jewish Aspects of the Protoevangelium of James’, Journal of Early Christian Studies, 12.3 (2004), 313–35 .","previouslyFormattedCitation":"Timothy J. Horner and Timothy J Horner, ‘Jewish Aspects of the Protoevangelium of James’, &lt;i&gt;Journal of Early Christian Studies&lt;/i&gt;, 12.3 (2004), 313–35 &lt;https://doi.org/10.1353/earl.2004.0041&gt;."},"properties":{"noteIndex":5},"schema":"https://github.com/citation-style-language/schema/raw/master/csl-citation.json"}</w:instrText>
      </w:r>
      <w:r>
        <w:fldChar w:fldCharType="separate"/>
      </w:r>
      <w:r w:rsidR="002C742B" w:rsidRPr="002C742B">
        <w:rPr>
          <w:noProof/>
        </w:rPr>
        <w:t xml:space="preserve">Timothy J. Horner and Timothy J Horner, ‘Jewish Aspects of the Protoevangelium of James’, </w:t>
      </w:r>
      <w:r w:rsidR="002C742B" w:rsidRPr="002C742B">
        <w:rPr>
          <w:i/>
          <w:noProof/>
        </w:rPr>
        <w:t>Journal of Early Christian Studies</w:t>
      </w:r>
      <w:r w:rsidR="002C742B" w:rsidRPr="002C742B">
        <w:rPr>
          <w:noProof/>
        </w:rPr>
        <w:t>, 12.3 (2004), 313–35 &lt;https://doi.org/10.1353/earl.2004.0041&gt;.</w:t>
      </w:r>
      <w:r>
        <w:fldChar w:fldCharType="end"/>
      </w:r>
    </w:p>
  </w:footnote>
  <w:footnote w:id="6">
    <w:p w14:paraId="3370088B" w14:textId="15947D3C" w:rsidR="00B95FE3" w:rsidRDefault="00B95FE3">
      <w:pPr>
        <w:pStyle w:val="FootnoteText"/>
      </w:pPr>
      <w:r>
        <w:rPr>
          <w:rStyle w:val="FootnoteReference"/>
        </w:rPr>
        <w:footnoteRef/>
      </w:r>
      <w:r>
        <w:t xml:space="preserve"> </w:t>
      </w:r>
      <w:r>
        <w:fldChar w:fldCharType="begin" w:fldLock="1"/>
      </w:r>
      <w:r w:rsidR="0000610C">
        <w:instrText>ADDIN CSL_CITATION {"citationItems":[{"id":"ITEM-1","itemData":{"ISBN":"0-253-34055-1","author":[{"dropping-particle":"","family":"Foskett","given":"Mary F.","non-dropping-particle":"","parse-names":false,"suffix":""}],"id":"ITEM-1","issued":{"date-parts":[["2002"]]},"publisher":"Indiana University Press","publisher-place":"Indiana","title":"A Virgin Concieved","type":"book"},"uris":["http://www.mendeley.com/documents/?uuid=8531c219-9a12-4f88-99fc-1e28c1db584b"]}],"mendeley":{"formattedCitation":"Mary F. Foskett, &lt;i&gt;A Virgin Concieved&lt;/i&gt; (Indiana: Indiana University Press, 2002).","plainTextFormattedCitation":"Mary F. Foskett, A Virgin Concieved (Indiana: Indiana University Press, 2002).","previouslyFormattedCitation":"Mary F. Foskett, &lt;i&gt;A Virgin Concieved&lt;/i&gt; (Indiana: Indiana University Press, 2002)."},"properties":{"noteIndex":6},"schema":"https://github.com/citation-style-language/schema/raw/master/csl-citation.json"}</w:instrText>
      </w:r>
      <w:r>
        <w:fldChar w:fldCharType="separate"/>
      </w:r>
      <w:r w:rsidRPr="00B95FE3">
        <w:rPr>
          <w:noProof/>
        </w:rPr>
        <w:t xml:space="preserve">Mary F. Foskett, </w:t>
      </w:r>
      <w:r w:rsidRPr="00B95FE3">
        <w:rPr>
          <w:i/>
          <w:noProof/>
        </w:rPr>
        <w:t>A Virgin Concieved</w:t>
      </w:r>
      <w:r w:rsidRPr="00B95FE3">
        <w:rPr>
          <w:noProof/>
        </w:rPr>
        <w:t xml:space="preserve"> (Indiana: Indiana University Press, 2002).</w:t>
      </w:r>
      <w:r>
        <w:fldChar w:fldCharType="end"/>
      </w:r>
    </w:p>
  </w:footnote>
  <w:footnote w:id="7">
    <w:p w14:paraId="567200D3" w14:textId="0FCC003F" w:rsidR="00D10D18" w:rsidRDefault="00D10D18">
      <w:pPr>
        <w:pStyle w:val="FootnoteText"/>
      </w:pPr>
      <w:r>
        <w:rPr>
          <w:rStyle w:val="FootnoteReference"/>
        </w:rPr>
        <w:footnoteRef/>
      </w:r>
      <w:r>
        <w:t xml:space="preserve"> </w:t>
      </w:r>
      <w:r>
        <w:fldChar w:fldCharType="begin" w:fldLock="1"/>
      </w:r>
      <w:r w:rsidR="00B95FE3">
        <w:instrText>ADDIN CSL_CITATION {"citationItems":[{"id":"ITEM-1","itemData":{"abstract":"JSTOR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We are often told that it is impossible to legislate morality. The ancient Romans would have disagreed. One striking example of such an effort is the series of laws sponsored by Augustus to penalize sexual indulgence, promote child-bearing, and restore the family. The texts of these laws have been partially restored' and their provisions have been precisely defined by modern scholars.2 Much still remains to be said, however, about their character and mean ing. My aim here is to propose an interpretation of these laws, with special attention to their origin and historical significance. I Some time around 100 B.C. the Romans discovered romantic It was an unsettling influence, and the results are recorded in L literature. At first romance was evidently imported, to judge the derivative and Alexandrian character of early elegy.3 A g tion later, however, romance and poetry have become part of a way of life. Its poet was Catullus, and here is the vignette in wh with exquisite economy, he sums it all up:","author":[{"dropping-particle":"","family":"Frank","given":"Richard I","non-dropping-particle":"","parse-names":false,"suffix":""}],"id":"ITEM-1","issued":{"date-parts":[["1975"]]},"page":"41-52","title":"California Studies in Classical Antiquity Augustus' Legislation on Marriage and Children","type":"article-journal","volume":"8"},"uris":["http://www.mendeley.com/documents/?uuid=584d6bc5-62a8-3237-a929-2aa7ac5494f0"]}],"mendeley":{"formattedCitation":"Richard I Frank, ‘California Studies in Classical Antiquity Augustus’ Legislation on Marriage and Children’, 8 (1975), 41–52 &lt;http://www.jstor.org/stable/25010681&gt; [accessed 22 May 2018].","plainTextFormattedCitation":"Richard I Frank, ‘California Studies in Classical Antiquity Augustus’ Legislation on Marriage and Children’, 8 (1975), 41–52  [accessed 22 May 2018].","previouslyFormattedCitation":"Richard I Frank, ‘California Studies in Classical Antiquity Augustus’ Legislation on Marriage and Children’, 8 (1975), 41–52 &lt;http://www.jstor.org/stable/25010681&gt; [accessed 22 May 2018]."},"properties":{"noteIndex":7},"schema":"https://github.com/citation-style-language/schema/raw/master/csl-citation.json"}</w:instrText>
      </w:r>
      <w:r>
        <w:fldChar w:fldCharType="separate"/>
      </w:r>
      <w:r w:rsidRPr="002C742B">
        <w:rPr>
          <w:noProof/>
        </w:rPr>
        <w:t>Richard I Frank, ‘California Studies in Classical Antiquity Augustus’ Legislation on Marriage and Children’, 8 (1975), 41–52 &lt;http://www.jstor.org/stable/25010681&gt; [accessed 22 May 2018].</w:t>
      </w:r>
      <w:r>
        <w:fldChar w:fldCharType="end"/>
      </w:r>
    </w:p>
  </w:footnote>
  <w:footnote w:id="8">
    <w:p w14:paraId="75F01BB1" w14:textId="74EE4C9D" w:rsidR="008F7407" w:rsidRDefault="008F7407">
      <w:pPr>
        <w:pStyle w:val="FootnoteText"/>
      </w:pPr>
      <w:r>
        <w:rPr>
          <w:rStyle w:val="FootnoteReference"/>
        </w:rPr>
        <w:footnoteRef/>
      </w:r>
      <w:r>
        <w:t xml:space="preserve"> </w:t>
      </w:r>
      <w:r>
        <w:fldChar w:fldCharType="begin" w:fldLock="1"/>
      </w:r>
      <w:r w:rsidR="00B95FE3">
        <w:instrText>ADDIN CSL_CITATION {"citationItems":[{"id":"ITEM-1","itemData":{"abstract":"JSTOR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We are often told that it is impossible to legislate morality. The ancient Romans would have disagreed. One striking example of such an effort is the series of laws sponsored by Augustus to penalize sexual indulgence, promote child-bearing, and restore the family. The texts of these laws have been partially restored' and their provisions have been precisely defined by modern scholars.2 Much still remains to be said, however, about their character and mean ing. My aim here is to propose an interpretation of these laws, with special attention to their origin and historical significance. I Some time around 100 B.C. the Romans discovered romantic It was an unsettling influence, and the results are recorded in L literature. At first romance was evidently imported, to judge the derivative and Alexandrian character of early elegy.3 A g tion later, however, romance and poetry have become part of a way of life. Its poet was Catullus, and here is the vignette in wh with exquisite economy, he sums it all up:","author":[{"dropping-particle":"","family":"Frank","given":"Richard I","non-dropping-particle":"","parse-names":false,"suffix":""}],"id":"ITEM-1","issued":{"date-parts":[["1975"]]},"page":"41-52","title":"California Studies in Classical Antiquity Augustus' Legislation on Marriage and Children","type":"article-journal","volume":"8"},"uris":["http://www.mendeley.com/documents/?uuid=584d6bc5-62a8-3237-a929-2aa7ac5494f0"]}],"mendeley":{"formattedCitation":"Frank.","plainTextFormattedCitation":"Frank.","previouslyFormattedCitation":"Frank."},"properties":{"noteIndex":8},"schema":"https://github.com/citation-style-language/schema/raw/master/csl-citation.json"}</w:instrText>
      </w:r>
      <w:r>
        <w:fldChar w:fldCharType="separate"/>
      </w:r>
      <w:r w:rsidRPr="008F7407">
        <w:rPr>
          <w:noProof/>
        </w:rPr>
        <w:t>Frank.</w:t>
      </w:r>
      <w:r>
        <w:fldChar w:fldCharType="end"/>
      </w:r>
    </w:p>
  </w:footnote>
  <w:footnote w:id="9">
    <w:p w14:paraId="143B2A36" w14:textId="06DF47B3" w:rsidR="007D27DE" w:rsidRDefault="007D27DE">
      <w:pPr>
        <w:pStyle w:val="FootnoteText"/>
      </w:pPr>
      <w:r>
        <w:rPr>
          <w:rStyle w:val="FootnoteReference"/>
        </w:rPr>
        <w:footnoteRef/>
      </w:r>
      <w:r>
        <w:t xml:space="preserve"> </w:t>
      </w:r>
      <w:r>
        <w:fldChar w:fldCharType="begin" w:fldLock="1"/>
      </w:r>
      <w:r w:rsidR="00B95FE3">
        <w:instrText>ADDIN CSL_CITATION {"citationItems":[{"id":"ITEM-1","itemData":{"abstract":"JSTOR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support@jstor.org.","author":[{"dropping-particle":"","family":"Clark","given":"Elizabeth A","non-dropping-particle":"","parse-names":false,"suffix":""}],"container-title":"Source Journal of the History of Sexuality","id":"ITEM-1","issue":"3","issued":{"date-parts":[["1995"]]},"page":"356-380","publisher":"University of Texas Press","title":"Antifamilial Tendencies in Ancient Christianity","type":"article-journal","volume":"5"},"uris":["http://www.mendeley.com/documents/?uuid=a152ffa6-3307-30c9-b495-de97e9c39c10"]}],"mendeley":{"formattedCitation":"Elizabeth A Clark, ‘Antifamilial Tendencies in Ancient Christianity’, &lt;i&gt;Source Journal of the History of Sexuality&lt;/i&gt;, 5.3 (1995), 356–80 &lt;http://www.jstor.org/stable/4617178&gt; [accessed 22 May 2018].","plainTextFormattedCitation":"Elizabeth A Clark, ‘Antifamilial Tendencies in Ancient Christianity’, Source Journal of the History of Sexuality, 5.3 (1995), 356–80  [accessed 22 May 2018].","previouslyFormattedCitation":"Elizabeth A Clark, ‘Antifamilial Tendencies in Ancient Christianity’, &lt;i&gt;Source Journal of the History of Sexuality&lt;/i&gt;, 5.3 (1995), 356–80 &lt;http://www.jstor.org/stable/4617178&gt; [accessed 22 May 2018]."},"properties":{"noteIndex":9},"schema":"https://github.com/citation-style-language/schema/raw/master/csl-citation.json"}</w:instrText>
      </w:r>
      <w:r>
        <w:fldChar w:fldCharType="separate"/>
      </w:r>
      <w:r w:rsidR="002C742B" w:rsidRPr="002C742B">
        <w:rPr>
          <w:noProof/>
        </w:rPr>
        <w:t xml:space="preserve">Elizabeth A Clark, ‘Antifamilial Tendencies in Ancient Christianity’, </w:t>
      </w:r>
      <w:r w:rsidR="002C742B" w:rsidRPr="002C742B">
        <w:rPr>
          <w:i/>
          <w:noProof/>
        </w:rPr>
        <w:t>Source Journal of the History of Sexuality</w:t>
      </w:r>
      <w:r w:rsidR="002C742B" w:rsidRPr="002C742B">
        <w:rPr>
          <w:noProof/>
        </w:rPr>
        <w:t>, 5.3 (1995), 356–80 &lt;http://www.jstor.org/stable/4617178&gt; [accessed 22 May 2018].</w:t>
      </w:r>
      <w:r>
        <w:fldChar w:fldCharType="end"/>
      </w:r>
    </w:p>
  </w:footnote>
  <w:footnote w:id="10">
    <w:p w14:paraId="059C55F2" w14:textId="6D56A199" w:rsidR="007D27DE" w:rsidRDefault="007D27DE">
      <w:pPr>
        <w:pStyle w:val="FootnoteText"/>
      </w:pPr>
      <w:r>
        <w:rPr>
          <w:rStyle w:val="FootnoteReference"/>
        </w:rPr>
        <w:footnoteRef/>
      </w:r>
      <w:r>
        <w:t xml:space="preserve"> </w:t>
      </w:r>
      <w:r>
        <w:fldChar w:fldCharType="begin" w:fldLock="1"/>
      </w:r>
      <w:r w:rsidR="00B95FE3">
        <w:instrText>ADDIN CSL_CITATION {"citationItems":[{"id":"ITEM-1","itemData":{"abstract":"JSTOR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support@jstor.org.","author":[{"dropping-particle":"","family":"Clark","given":"Elizabeth A","non-dropping-particle":"","parse-names":false,"suffix":""}],"container-title":"Source Journal of the History of Sexuality","id":"ITEM-1","issue":"3","issued":{"date-parts":[["1995"]]},"page":"356-380","publisher":"University of Texas Press","title":"Antifamilial Tendencies in Ancient Christianity","type":"article-journal","volume":"5"},"uris":["http://www.mendeley.com/documents/?uuid=a152ffa6-3307-30c9-b495-de97e9c39c10"]}],"mendeley":{"formattedCitation":"Clark.","plainTextFormattedCitation":"Clark.","previouslyFormattedCitation":"Clark."},"properties":{"noteIndex":10},"schema":"https://github.com/citation-style-language/schema/raw/master/csl-citation.json"}</w:instrText>
      </w:r>
      <w:r>
        <w:fldChar w:fldCharType="separate"/>
      </w:r>
      <w:r w:rsidRPr="007D27DE">
        <w:rPr>
          <w:noProof/>
        </w:rPr>
        <w:t>Clark.</w:t>
      </w:r>
      <w:r>
        <w:fldChar w:fldCharType="end"/>
      </w:r>
    </w:p>
  </w:footnote>
  <w:footnote w:id="11">
    <w:p w14:paraId="16E4BC70" w14:textId="75CEF10E" w:rsidR="002C742B" w:rsidRDefault="002C742B">
      <w:pPr>
        <w:pStyle w:val="FootnoteText"/>
      </w:pPr>
      <w:r>
        <w:rPr>
          <w:rStyle w:val="FootnoteReference"/>
        </w:rPr>
        <w:footnoteRef/>
      </w:r>
      <w:r>
        <w:t xml:space="preserve"> </w:t>
      </w:r>
      <w:r>
        <w:fldChar w:fldCharType="begin" w:fldLock="1"/>
      </w:r>
      <w:r>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operties":{"noteIndex":11},"schema":"https://github.com/citation-style-language/schema/raw/master/csl-citation.json"}</w:instrText>
      </w:r>
      <w:r>
        <w:fldChar w:fldCharType="separate"/>
      </w:r>
      <w:r w:rsidRPr="002C742B">
        <w:rPr>
          <w:noProof/>
        </w:rPr>
        <w:t>Ehrman.</w:t>
      </w:r>
      <w:r>
        <w:fldChar w:fldCharType="end"/>
      </w:r>
    </w:p>
  </w:footnote>
  <w:footnote w:id="12">
    <w:p w14:paraId="214F1752" w14:textId="2AACD88D" w:rsidR="00082650" w:rsidRDefault="00082650">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12},"schema":"https://github.com/citation-style-language/schema/raw/master/csl-citation.json"}</w:instrText>
      </w:r>
      <w:r>
        <w:fldChar w:fldCharType="separate"/>
      </w:r>
      <w:r w:rsidRPr="00082650">
        <w:rPr>
          <w:noProof/>
        </w:rPr>
        <w:t>Ehrman.</w:t>
      </w:r>
      <w:r>
        <w:fldChar w:fldCharType="end"/>
      </w:r>
    </w:p>
  </w:footnote>
  <w:footnote w:id="13">
    <w:p w14:paraId="3AF233FC" w14:textId="23FAD666" w:rsidR="00082650" w:rsidRDefault="00082650">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13},"schema":"https://github.com/citation-style-language/schema/raw/master/csl-citation.json"}</w:instrText>
      </w:r>
      <w:r>
        <w:fldChar w:fldCharType="separate"/>
      </w:r>
      <w:r w:rsidRPr="00082650">
        <w:rPr>
          <w:noProof/>
        </w:rPr>
        <w:t>Ehrman.</w:t>
      </w:r>
      <w:r>
        <w:fldChar w:fldCharType="end"/>
      </w:r>
    </w:p>
  </w:footnote>
  <w:footnote w:id="14">
    <w:p w14:paraId="6857D36A" w14:textId="7C4B9AA2" w:rsidR="005C3BA2" w:rsidRDefault="005C3BA2">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14},"schema":"https://github.com/citation-style-language/schema/raw/master/csl-citation.json"}</w:instrText>
      </w:r>
      <w:r>
        <w:fldChar w:fldCharType="separate"/>
      </w:r>
      <w:r w:rsidRPr="005C3BA2">
        <w:rPr>
          <w:noProof/>
        </w:rPr>
        <w:t>Ehrman.</w:t>
      </w:r>
      <w:r>
        <w:fldChar w:fldCharType="end"/>
      </w:r>
    </w:p>
  </w:footnote>
  <w:footnote w:id="15">
    <w:p w14:paraId="489CE224" w14:textId="26DC3975" w:rsidR="005C3BA2" w:rsidRDefault="005C3BA2">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15},"schema":"https://github.com/citation-style-language/schema/raw/master/csl-citation.json"}</w:instrText>
      </w:r>
      <w:r>
        <w:fldChar w:fldCharType="separate"/>
      </w:r>
      <w:r w:rsidRPr="005C3BA2">
        <w:rPr>
          <w:noProof/>
        </w:rPr>
        <w:t>Ehrman.</w:t>
      </w:r>
      <w:r>
        <w:fldChar w:fldCharType="end"/>
      </w:r>
    </w:p>
  </w:footnote>
  <w:footnote w:id="16">
    <w:p w14:paraId="3F9E5AFB" w14:textId="6D9EB44C" w:rsidR="005C3BA2" w:rsidRDefault="005C3BA2">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16},"schema":"https://github.com/citation-style-language/schema/raw/master/csl-citation.json"}</w:instrText>
      </w:r>
      <w:r>
        <w:fldChar w:fldCharType="separate"/>
      </w:r>
      <w:r w:rsidRPr="005C3BA2">
        <w:rPr>
          <w:noProof/>
        </w:rPr>
        <w:t>Ehrman.</w:t>
      </w:r>
      <w:r>
        <w:fldChar w:fldCharType="end"/>
      </w:r>
    </w:p>
  </w:footnote>
  <w:footnote w:id="17">
    <w:p w14:paraId="2EE22061" w14:textId="7BFB7F75" w:rsidR="00D10D18" w:rsidRDefault="00D10D18">
      <w:pPr>
        <w:pStyle w:val="FootnoteText"/>
      </w:pPr>
      <w:r>
        <w:rPr>
          <w:rStyle w:val="FootnoteReference"/>
        </w:rPr>
        <w:footnoteRef/>
      </w:r>
      <w:r>
        <w:t xml:space="preserve"> </w:t>
      </w:r>
      <w:r>
        <w:fldChar w:fldCharType="begin" w:fldLock="1"/>
      </w:r>
      <w:r w:rsidR="002C742B">
        <w:instrText>ADDIN CSL_CITATION {"citationItems":[{"id":"ITEM-1","itemData":{"author":[{"dropping-particle":"","family":"Jacobs","given":"Andrew S","non-dropping-particle":"","parse-names":false,"suffix":""},{"dropping-particle":"","family":"Krawiec","given":"Rebecca","non-dropping-particle":"","parse-names":false,"suffix":""}],"container-title":"Journal of Early Christian Studies Fall","id":"ITEM-1","issue":"3","issued":{"date-parts":[["2003"]]},"title":"Fathers know best? Christian families in the age of asceticism","type":"article-journal","volume":"11"},"uris":["http://www.mendeley.com/documents/?uuid=d099cf2f-3767-3531-83ac-a6b4d2272229"]}],"mendeley":{"formattedCitation":"Andrew S Jacobs and Rebecca Krawiec, ‘Fathers Know Best? Christian Families in the Age of Asceticism’, &lt;i&gt;Journal of Early Christian Studies Fall&lt;/i&gt;, 11.3 (2003) &lt;https://moodle.uwtsd.ac.uk/pluginfile.php/144564/mod_resource/content/0/Fathers Know Best.pdf&gt; [accessed 22 May 2018].","plainTextFormattedCitation":"Andrew S Jacobs and Rebecca Krawiec, ‘Fathers Know Best? Christian Families in the Age of Asceticism’, Journal of Early Christian Studies Fall, 11.3 (2003)  [accessed 22 May 2018].","previouslyFormattedCitation":"Andrew S Jacobs and Rebecca Krawiec, ‘Fathers Know Best? Christian Families in the Age of Asceticism’, &lt;i&gt;Journal of Early Christian Studies Fall&lt;/i&gt;, 11.3 (2003) &lt;https://moodle.uwtsd.ac.uk/pluginfile.php/144564/mod_resource/content/0/Fathers Know Best.pdf&gt; [accessed 22 May 2018]."},"properties":{"noteIndex":17},"schema":"https://github.com/citation-style-language/schema/raw/master/csl-citation.json"}</w:instrText>
      </w:r>
      <w:r>
        <w:fldChar w:fldCharType="separate"/>
      </w:r>
      <w:r w:rsidR="002C742B" w:rsidRPr="002C742B">
        <w:rPr>
          <w:noProof/>
        </w:rPr>
        <w:t xml:space="preserve">Andrew S Jacobs and Rebecca Krawiec, ‘Fathers Know Best? Christian Families in the Age of Asceticism’, </w:t>
      </w:r>
      <w:r w:rsidR="002C742B" w:rsidRPr="002C742B">
        <w:rPr>
          <w:i/>
          <w:noProof/>
        </w:rPr>
        <w:t>Journal of Early Christian Studies Fall</w:t>
      </w:r>
      <w:r w:rsidR="002C742B" w:rsidRPr="002C742B">
        <w:rPr>
          <w:noProof/>
        </w:rPr>
        <w:t>, 11.3 (2003) &lt;https://moodle.uwtsd.ac.uk/pluginfile.php/144564/mod_resource/content/0/Fathers Know Best.pdf&gt; [accessed 22 May 2018].</w:t>
      </w:r>
      <w:r>
        <w:fldChar w:fldCharType="end"/>
      </w:r>
    </w:p>
  </w:footnote>
  <w:footnote w:id="18">
    <w:p w14:paraId="2570D04E" w14:textId="2493518F" w:rsidR="005C3BA2" w:rsidRDefault="005C3BA2">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18},"schema":"https://github.com/citation-style-language/schema/raw/master/csl-citation.json"}</w:instrText>
      </w:r>
      <w:r>
        <w:fldChar w:fldCharType="separate"/>
      </w:r>
      <w:r w:rsidRPr="005C3BA2">
        <w:rPr>
          <w:noProof/>
        </w:rPr>
        <w:t>Ehrman.</w:t>
      </w:r>
      <w:r>
        <w:fldChar w:fldCharType="end"/>
      </w:r>
    </w:p>
  </w:footnote>
  <w:footnote w:id="19">
    <w:p w14:paraId="0EEA993D" w14:textId="598619FF" w:rsidR="0000610C" w:rsidRDefault="0000610C">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19},"schema":"https://github.com/citation-style-language/schema/raw/master/csl-citation.json"}</w:instrText>
      </w:r>
      <w:r>
        <w:fldChar w:fldCharType="separate"/>
      </w:r>
      <w:r w:rsidRPr="0000610C">
        <w:rPr>
          <w:noProof/>
        </w:rPr>
        <w:t>Ehrman.</w:t>
      </w:r>
      <w:r>
        <w:fldChar w:fldCharType="end"/>
      </w:r>
    </w:p>
  </w:footnote>
  <w:footnote w:id="20">
    <w:p w14:paraId="425B06EA" w14:textId="4A759F55" w:rsidR="0000610C" w:rsidRDefault="0000610C">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20},"schema":"https://github.com/citation-style-language/schema/raw/master/csl-citation.json"}</w:instrText>
      </w:r>
      <w:r>
        <w:fldChar w:fldCharType="separate"/>
      </w:r>
      <w:r w:rsidRPr="0000610C">
        <w:rPr>
          <w:noProof/>
        </w:rPr>
        <w:t>Ehrman.</w:t>
      </w:r>
      <w:r>
        <w:fldChar w:fldCharType="end"/>
      </w:r>
    </w:p>
  </w:footnote>
  <w:footnote w:id="21">
    <w:p w14:paraId="4F1CA5BE" w14:textId="1AD3521D" w:rsidR="0000610C" w:rsidRDefault="0000610C">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21},"schema":"https://github.com/citation-style-language/schema/raw/master/csl-citation.json"}</w:instrText>
      </w:r>
      <w:r>
        <w:fldChar w:fldCharType="separate"/>
      </w:r>
      <w:r w:rsidRPr="0000610C">
        <w:rPr>
          <w:noProof/>
        </w:rPr>
        <w:t>Ehrman.</w:t>
      </w:r>
      <w:r>
        <w:fldChar w:fldCharType="end"/>
      </w:r>
    </w:p>
  </w:footnote>
  <w:footnote w:id="22">
    <w:p w14:paraId="49961233" w14:textId="7D6CF252" w:rsidR="0000610C" w:rsidRDefault="0000610C">
      <w:pPr>
        <w:pStyle w:val="FootnoteText"/>
      </w:pPr>
      <w:r>
        <w:rPr>
          <w:rStyle w:val="FootnoteReference"/>
        </w:rPr>
        <w:footnoteRef/>
      </w:r>
      <w:r>
        <w:t xml:space="preserve"> </w:t>
      </w:r>
      <w:r>
        <w:fldChar w:fldCharType="begin" w:fldLock="1"/>
      </w:r>
      <w:r w:rsidR="002C742B">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22},"schema":"https://github.com/citation-style-language/schema/raw/master/csl-citation.json"}</w:instrText>
      </w:r>
      <w:r>
        <w:fldChar w:fldCharType="separate"/>
      </w:r>
      <w:r w:rsidRPr="0000610C">
        <w:rPr>
          <w:noProof/>
        </w:rPr>
        <w:t>Ehrman.</w:t>
      </w:r>
      <w:r>
        <w:fldChar w:fldCharType="end"/>
      </w:r>
    </w:p>
  </w:footnote>
  <w:footnote w:id="23">
    <w:p w14:paraId="294AE2C3" w14:textId="77777777" w:rsidR="000E0148" w:rsidRDefault="000E0148" w:rsidP="000E0148">
      <w:pPr>
        <w:pStyle w:val="FootnoteText"/>
      </w:pPr>
      <w:r>
        <w:rPr>
          <w:rStyle w:val="FootnoteReference"/>
        </w:rPr>
        <w:footnoteRef/>
      </w:r>
      <w:r>
        <w:t xml:space="preserve"> </w:t>
      </w:r>
      <w:r>
        <w:fldChar w:fldCharType="begin" w:fldLock="1"/>
      </w:r>
      <w:r>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23},"schema":"https://github.com/citation-style-language/schema/raw/master/csl-citation.json"}</w:instrText>
      </w:r>
      <w:r>
        <w:fldChar w:fldCharType="separate"/>
      </w:r>
      <w:r w:rsidRPr="009E24C5">
        <w:rPr>
          <w:noProof/>
        </w:rPr>
        <w:t>Ehrman.</w:t>
      </w:r>
      <w:r>
        <w:fldChar w:fldCharType="end"/>
      </w:r>
    </w:p>
  </w:footnote>
  <w:footnote w:id="24">
    <w:p w14:paraId="38EA2BC8" w14:textId="77777777" w:rsidR="000E0148" w:rsidRDefault="000E0148" w:rsidP="000E0148">
      <w:pPr>
        <w:pStyle w:val="FootnoteText"/>
      </w:pPr>
      <w:r>
        <w:rPr>
          <w:rStyle w:val="FootnoteReference"/>
        </w:rPr>
        <w:footnoteRef/>
      </w:r>
      <w:r>
        <w:t xml:space="preserve"> </w:t>
      </w:r>
      <w:r>
        <w:fldChar w:fldCharType="begin" w:fldLock="1"/>
      </w:r>
      <w:r>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24},"schema":"https://github.com/citation-style-language/schema/raw/master/csl-citation.json"}</w:instrText>
      </w:r>
      <w:r>
        <w:fldChar w:fldCharType="separate"/>
      </w:r>
      <w:r w:rsidRPr="009E24C5">
        <w:rPr>
          <w:noProof/>
        </w:rPr>
        <w:t>Ehrman.</w:t>
      </w:r>
      <w:r>
        <w:fldChar w:fldCharType="end"/>
      </w:r>
    </w:p>
  </w:footnote>
  <w:footnote w:id="25">
    <w:p w14:paraId="0A9E6270" w14:textId="77777777" w:rsidR="000E0148" w:rsidRDefault="000E0148" w:rsidP="000E0148">
      <w:pPr>
        <w:pStyle w:val="FootnoteText"/>
      </w:pPr>
      <w:r>
        <w:rPr>
          <w:rStyle w:val="FootnoteReference"/>
        </w:rPr>
        <w:footnoteRef/>
      </w:r>
      <w:r>
        <w:t xml:space="preserve"> </w:t>
      </w:r>
      <w:r>
        <w:fldChar w:fldCharType="begin" w:fldLock="1"/>
      </w:r>
      <w:r>
        <w:instrText>ADDIN CSL_CITATION {"citationItems":[{"id":"ITEM-1","itemData":{"author":[{"dropping-particle":"","family":"Ehrman","given":"Bart D.","non-dropping-particle":"","parse-names":false,"suffix":""}],"edition":"2","id":"ITEM-1","issued":{"date-parts":[["2015"]]},"publisher":"Oxford University Press","publisher-place":"New York","title":"After the New Testament A reader in early Christianity 100-300CE","type":"book"},"uris":["http://www.mendeley.com/documents/?uuid=86d9a97d-1fb2-3095-852d-0f9f3755bb1c"]}],"mendeley":{"formattedCitation":"Ehrman.","plainTextFormattedCitation":"Ehrman.","previouslyFormattedCitation":"Ehrman."},"properties":{"noteIndex":25},"schema":"https://github.com/citation-style-language/schema/raw/master/csl-citation.json"}</w:instrText>
      </w:r>
      <w:r>
        <w:fldChar w:fldCharType="separate"/>
      </w:r>
      <w:r w:rsidRPr="009E24C5">
        <w:rPr>
          <w:noProof/>
        </w:rPr>
        <w:t>Ehrman.</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3F7"/>
    <w:rsid w:val="0000610C"/>
    <w:rsid w:val="0002412F"/>
    <w:rsid w:val="00060914"/>
    <w:rsid w:val="00067117"/>
    <w:rsid w:val="00082650"/>
    <w:rsid w:val="000E0148"/>
    <w:rsid w:val="0010162E"/>
    <w:rsid w:val="001243F7"/>
    <w:rsid w:val="002C742B"/>
    <w:rsid w:val="00346964"/>
    <w:rsid w:val="003C5351"/>
    <w:rsid w:val="00404263"/>
    <w:rsid w:val="00427CC1"/>
    <w:rsid w:val="00447CF0"/>
    <w:rsid w:val="005B13AE"/>
    <w:rsid w:val="005C3BA2"/>
    <w:rsid w:val="005D0D5F"/>
    <w:rsid w:val="006E5627"/>
    <w:rsid w:val="00705AFF"/>
    <w:rsid w:val="00780024"/>
    <w:rsid w:val="00792C78"/>
    <w:rsid w:val="007B2434"/>
    <w:rsid w:val="007D27DE"/>
    <w:rsid w:val="008F7407"/>
    <w:rsid w:val="00914480"/>
    <w:rsid w:val="0095604C"/>
    <w:rsid w:val="009E131A"/>
    <w:rsid w:val="009E24C5"/>
    <w:rsid w:val="00A11B0A"/>
    <w:rsid w:val="00A40B2C"/>
    <w:rsid w:val="00A504E0"/>
    <w:rsid w:val="00A72835"/>
    <w:rsid w:val="00AD107C"/>
    <w:rsid w:val="00B17B7B"/>
    <w:rsid w:val="00B24F4E"/>
    <w:rsid w:val="00B95FE3"/>
    <w:rsid w:val="00BC0780"/>
    <w:rsid w:val="00D10D18"/>
    <w:rsid w:val="00D92DA4"/>
    <w:rsid w:val="00DF35FB"/>
    <w:rsid w:val="00E27F9C"/>
    <w:rsid w:val="00F20606"/>
    <w:rsid w:val="00FF1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571802"/>
  <w15:chartTrackingRefBased/>
  <w15:docId w15:val="{F2DD41F6-90F7-4F59-BC25-C0E42E379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43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43F7"/>
  </w:style>
  <w:style w:type="character" w:customStyle="1" w:styleId="eop">
    <w:name w:val="eop"/>
    <w:basedOn w:val="DefaultParagraphFont"/>
    <w:rsid w:val="001243F7"/>
  </w:style>
  <w:style w:type="paragraph" w:styleId="FootnoteText">
    <w:name w:val="footnote text"/>
    <w:basedOn w:val="Normal"/>
    <w:link w:val="FootnoteTextChar"/>
    <w:uiPriority w:val="99"/>
    <w:semiHidden/>
    <w:unhideWhenUsed/>
    <w:rsid w:val="00D10D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0D18"/>
    <w:rPr>
      <w:sz w:val="20"/>
      <w:szCs w:val="20"/>
    </w:rPr>
  </w:style>
  <w:style w:type="character" w:styleId="FootnoteReference">
    <w:name w:val="footnote reference"/>
    <w:basedOn w:val="DefaultParagraphFont"/>
    <w:uiPriority w:val="99"/>
    <w:semiHidden/>
    <w:unhideWhenUsed/>
    <w:rsid w:val="00D10D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7160400">
      <w:bodyDiv w:val="1"/>
      <w:marLeft w:val="0"/>
      <w:marRight w:val="0"/>
      <w:marTop w:val="0"/>
      <w:marBottom w:val="0"/>
      <w:divBdr>
        <w:top w:val="none" w:sz="0" w:space="0" w:color="auto"/>
        <w:left w:val="none" w:sz="0" w:space="0" w:color="auto"/>
        <w:bottom w:val="none" w:sz="0" w:space="0" w:color="auto"/>
        <w:right w:val="none" w:sz="0" w:space="0" w:color="auto"/>
      </w:divBdr>
      <w:divsChild>
        <w:div w:id="52042812">
          <w:marLeft w:val="0"/>
          <w:marRight w:val="0"/>
          <w:marTop w:val="0"/>
          <w:marBottom w:val="0"/>
          <w:divBdr>
            <w:top w:val="none" w:sz="0" w:space="0" w:color="auto"/>
            <w:left w:val="none" w:sz="0" w:space="0" w:color="auto"/>
            <w:bottom w:val="none" w:sz="0" w:space="0" w:color="auto"/>
            <w:right w:val="none" w:sz="0" w:space="0" w:color="auto"/>
          </w:divBdr>
        </w:div>
        <w:div w:id="1206717043">
          <w:marLeft w:val="0"/>
          <w:marRight w:val="0"/>
          <w:marTop w:val="0"/>
          <w:marBottom w:val="0"/>
          <w:divBdr>
            <w:top w:val="none" w:sz="0" w:space="0" w:color="auto"/>
            <w:left w:val="none" w:sz="0" w:space="0" w:color="auto"/>
            <w:bottom w:val="none" w:sz="0" w:space="0" w:color="auto"/>
            <w:right w:val="none" w:sz="0" w:space="0" w:color="auto"/>
          </w:divBdr>
        </w:div>
        <w:div w:id="1892108118">
          <w:marLeft w:val="0"/>
          <w:marRight w:val="0"/>
          <w:marTop w:val="0"/>
          <w:marBottom w:val="0"/>
          <w:divBdr>
            <w:top w:val="none" w:sz="0" w:space="0" w:color="auto"/>
            <w:left w:val="none" w:sz="0" w:space="0" w:color="auto"/>
            <w:bottom w:val="none" w:sz="0" w:space="0" w:color="auto"/>
            <w:right w:val="none" w:sz="0" w:space="0" w:color="auto"/>
          </w:divBdr>
        </w:div>
        <w:div w:id="1551307517">
          <w:marLeft w:val="0"/>
          <w:marRight w:val="0"/>
          <w:marTop w:val="0"/>
          <w:marBottom w:val="0"/>
          <w:divBdr>
            <w:top w:val="none" w:sz="0" w:space="0" w:color="auto"/>
            <w:left w:val="none" w:sz="0" w:space="0" w:color="auto"/>
            <w:bottom w:val="none" w:sz="0" w:space="0" w:color="auto"/>
            <w:right w:val="none" w:sz="0" w:space="0" w:color="auto"/>
          </w:divBdr>
        </w:div>
        <w:div w:id="229465331">
          <w:marLeft w:val="0"/>
          <w:marRight w:val="0"/>
          <w:marTop w:val="0"/>
          <w:marBottom w:val="0"/>
          <w:divBdr>
            <w:top w:val="none" w:sz="0" w:space="0" w:color="auto"/>
            <w:left w:val="none" w:sz="0" w:space="0" w:color="auto"/>
            <w:bottom w:val="none" w:sz="0" w:space="0" w:color="auto"/>
            <w:right w:val="none" w:sz="0" w:space="0" w:color="auto"/>
          </w:divBdr>
        </w:div>
        <w:div w:id="1871188103">
          <w:marLeft w:val="0"/>
          <w:marRight w:val="0"/>
          <w:marTop w:val="0"/>
          <w:marBottom w:val="0"/>
          <w:divBdr>
            <w:top w:val="none" w:sz="0" w:space="0" w:color="auto"/>
            <w:left w:val="none" w:sz="0" w:space="0" w:color="auto"/>
            <w:bottom w:val="none" w:sz="0" w:space="0" w:color="auto"/>
            <w:right w:val="none" w:sz="0" w:space="0" w:color="auto"/>
          </w:divBdr>
        </w:div>
        <w:div w:id="87700389">
          <w:marLeft w:val="0"/>
          <w:marRight w:val="0"/>
          <w:marTop w:val="0"/>
          <w:marBottom w:val="0"/>
          <w:divBdr>
            <w:top w:val="none" w:sz="0" w:space="0" w:color="auto"/>
            <w:left w:val="none" w:sz="0" w:space="0" w:color="auto"/>
            <w:bottom w:val="none" w:sz="0" w:space="0" w:color="auto"/>
            <w:right w:val="none" w:sz="0" w:space="0" w:color="auto"/>
          </w:divBdr>
        </w:div>
        <w:div w:id="1623221416">
          <w:marLeft w:val="0"/>
          <w:marRight w:val="0"/>
          <w:marTop w:val="0"/>
          <w:marBottom w:val="0"/>
          <w:divBdr>
            <w:top w:val="none" w:sz="0" w:space="0" w:color="auto"/>
            <w:left w:val="none" w:sz="0" w:space="0" w:color="auto"/>
            <w:bottom w:val="none" w:sz="0" w:space="0" w:color="auto"/>
            <w:right w:val="none" w:sz="0" w:space="0" w:color="auto"/>
          </w:divBdr>
        </w:div>
        <w:div w:id="784739427">
          <w:marLeft w:val="0"/>
          <w:marRight w:val="0"/>
          <w:marTop w:val="0"/>
          <w:marBottom w:val="0"/>
          <w:divBdr>
            <w:top w:val="none" w:sz="0" w:space="0" w:color="auto"/>
            <w:left w:val="none" w:sz="0" w:space="0" w:color="auto"/>
            <w:bottom w:val="none" w:sz="0" w:space="0" w:color="auto"/>
            <w:right w:val="none" w:sz="0" w:space="0" w:color="auto"/>
          </w:divBdr>
        </w:div>
        <w:div w:id="1888443263">
          <w:marLeft w:val="0"/>
          <w:marRight w:val="0"/>
          <w:marTop w:val="0"/>
          <w:marBottom w:val="0"/>
          <w:divBdr>
            <w:top w:val="none" w:sz="0" w:space="0" w:color="auto"/>
            <w:left w:val="none" w:sz="0" w:space="0" w:color="auto"/>
            <w:bottom w:val="none" w:sz="0" w:space="0" w:color="auto"/>
            <w:right w:val="none" w:sz="0" w:space="0" w:color="auto"/>
          </w:divBdr>
        </w:div>
        <w:div w:id="734620846">
          <w:marLeft w:val="0"/>
          <w:marRight w:val="0"/>
          <w:marTop w:val="0"/>
          <w:marBottom w:val="0"/>
          <w:divBdr>
            <w:top w:val="none" w:sz="0" w:space="0" w:color="auto"/>
            <w:left w:val="none" w:sz="0" w:space="0" w:color="auto"/>
            <w:bottom w:val="none" w:sz="0" w:space="0" w:color="auto"/>
            <w:right w:val="none" w:sz="0" w:space="0" w:color="auto"/>
          </w:divBdr>
        </w:div>
        <w:div w:id="45183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A3369-3179-40BE-ABC8-0A0CFF745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4</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Kelly</dc:creator>
  <cp:keywords/>
  <dc:description/>
  <cp:lastModifiedBy>Lorna Kelly</cp:lastModifiedBy>
  <cp:revision>15</cp:revision>
  <dcterms:created xsi:type="dcterms:W3CDTF">2018-05-22T16:56:00Z</dcterms:created>
  <dcterms:modified xsi:type="dcterms:W3CDTF">2018-05-24T21:42:00Z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2b54d2b9-f7fa-3dfc-9aa8-5109bc2fdb3e</vt:lpwstr>
  </property>
  <property fmtid="{D5CDD505-2E9C-101B-9397-08002B2CF9AE}" pid="4" name="Mendeley Citation Style_1">
    <vt:lpwstr>http://www.zotero.org/styles/modern-humanities-research-association</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