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53727F" w14:textId="77777777" w:rsidR="00BD2FBE" w:rsidRPr="000E351A" w:rsidRDefault="00000000" w:rsidP="003C2F17">
      <w:pPr>
        <w:spacing w:before="240"/>
        <w:jc w:val="center"/>
      </w:pPr>
      <w:r w:rsidRPr="000E351A">
        <w:rPr>
          <w:noProof/>
        </w:rPr>
        <w:drawing>
          <wp:inline distT="114300" distB="114300" distL="114300" distR="114300" wp14:anchorId="7091F343" wp14:editId="2A2E39F1">
            <wp:extent cx="4214813" cy="2107406"/>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a:stretch>
                      <a:fillRect/>
                    </a:stretch>
                  </pic:blipFill>
                  <pic:spPr>
                    <a:xfrm>
                      <a:off x="0" y="0"/>
                      <a:ext cx="4214813" cy="2107406"/>
                    </a:xfrm>
                    <a:prstGeom prst="rect">
                      <a:avLst/>
                    </a:prstGeom>
                  </pic:spPr>
                </pic:pic>
              </a:graphicData>
            </a:graphic>
          </wp:inline>
        </w:drawing>
      </w:r>
    </w:p>
    <w:p w14:paraId="6C9ECF4F" w14:textId="77777777" w:rsidR="006D6BC8" w:rsidRDefault="00000000" w:rsidP="006D6BC8">
      <w:pPr>
        <w:spacing w:before="240"/>
        <w:jc w:val="center"/>
        <w:rPr>
          <w:b/>
          <w:bCs/>
          <w:sz w:val="28"/>
          <w:szCs w:val="28"/>
        </w:rPr>
      </w:pPr>
      <w:r w:rsidRPr="000E351A">
        <w:rPr>
          <w:b/>
          <w:bCs/>
          <w:sz w:val="28"/>
          <w:szCs w:val="28"/>
        </w:rPr>
        <w:t>Programme: Master of Business Administration</w:t>
      </w:r>
    </w:p>
    <w:p w14:paraId="71421FEB" w14:textId="77777777" w:rsidR="006D6BC8" w:rsidRDefault="00000000" w:rsidP="006D6BC8">
      <w:pPr>
        <w:spacing w:before="240"/>
        <w:jc w:val="center"/>
        <w:rPr>
          <w:b/>
          <w:bCs/>
          <w:sz w:val="28"/>
          <w:szCs w:val="28"/>
        </w:rPr>
      </w:pPr>
      <w:r w:rsidRPr="000E351A">
        <w:rPr>
          <w:b/>
          <w:bCs/>
          <w:sz w:val="28"/>
          <w:szCs w:val="28"/>
        </w:rPr>
        <w:t>Module: Financial Management</w:t>
      </w:r>
    </w:p>
    <w:p w14:paraId="603ECD2E" w14:textId="77777777" w:rsidR="006D6BC8" w:rsidRDefault="00000000" w:rsidP="006D6BC8">
      <w:pPr>
        <w:spacing w:before="240"/>
        <w:jc w:val="center"/>
        <w:rPr>
          <w:b/>
          <w:bCs/>
          <w:sz w:val="28"/>
          <w:szCs w:val="28"/>
        </w:rPr>
      </w:pPr>
      <w:r w:rsidRPr="000E351A">
        <w:rPr>
          <w:b/>
          <w:bCs/>
          <w:sz w:val="28"/>
          <w:szCs w:val="28"/>
        </w:rPr>
        <w:t>Module code: LCMB7002</w:t>
      </w:r>
    </w:p>
    <w:p w14:paraId="117EC61E" w14:textId="527144FE" w:rsidR="00BD2FBE" w:rsidRPr="000E351A" w:rsidRDefault="00000000" w:rsidP="006D6BC8">
      <w:pPr>
        <w:spacing w:before="240"/>
        <w:jc w:val="center"/>
        <w:rPr>
          <w:b/>
          <w:bCs/>
          <w:sz w:val="28"/>
          <w:szCs w:val="28"/>
        </w:rPr>
      </w:pPr>
      <w:r w:rsidRPr="000E351A">
        <w:rPr>
          <w:b/>
          <w:bCs/>
          <w:sz w:val="28"/>
          <w:szCs w:val="28"/>
        </w:rPr>
        <w:t>Assignment Title: Financial performance and management</w:t>
      </w:r>
    </w:p>
    <w:p w14:paraId="11C64BD3" w14:textId="322E1B5B" w:rsidR="006D6BC8" w:rsidRPr="006D6BC8" w:rsidRDefault="006D6BC8" w:rsidP="006D6BC8">
      <w:pPr>
        <w:spacing w:before="240"/>
        <w:jc w:val="center"/>
        <w:rPr>
          <w:b/>
          <w:bCs/>
          <w:sz w:val="28"/>
          <w:szCs w:val="28"/>
        </w:rPr>
      </w:pPr>
      <w:r w:rsidRPr="006D6BC8">
        <w:rPr>
          <w:b/>
          <w:bCs/>
          <w:sz w:val="28"/>
          <w:szCs w:val="28"/>
        </w:rPr>
        <w:t>Lecturer: Patrick Yeboah (Birmingham)</w:t>
      </w:r>
    </w:p>
    <w:p w14:paraId="27EF6E15" w14:textId="77777777" w:rsidR="006D6BC8" w:rsidRPr="006D6BC8" w:rsidRDefault="006D6BC8" w:rsidP="009D1026">
      <w:pPr>
        <w:spacing w:before="240" w:line="240" w:lineRule="auto"/>
        <w:jc w:val="center"/>
        <w:rPr>
          <w:b/>
          <w:bCs/>
          <w:sz w:val="28"/>
          <w:szCs w:val="28"/>
        </w:rPr>
      </w:pPr>
      <w:r w:rsidRPr="006D6BC8">
        <w:rPr>
          <w:b/>
          <w:bCs/>
          <w:sz w:val="28"/>
          <w:szCs w:val="28"/>
        </w:rPr>
        <w:t>Student name: Akashkumar Dharmendrakumar</w:t>
      </w:r>
    </w:p>
    <w:p w14:paraId="275EDAB8" w14:textId="77777777" w:rsidR="006D6BC8" w:rsidRPr="006D6BC8" w:rsidRDefault="006D6BC8" w:rsidP="009D1026">
      <w:pPr>
        <w:spacing w:before="240" w:line="240" w:lineRule="auto"/>
        <w:jc w:val="center"/>
        <w:rPr>
          <w:b/>
          <w:bCs/>
          <w:sz w:val="28"/>
          <w:szCs w:val="28"/>
        </w:rPr>
      </w:pPr>
      <w:r w:rsidRPr="006D6BC8">
        <w:rPr>
          <w:b/>
          <w:bCs/>
          <w:sz w:val="28"/>
          <w:szCs w:val="28"/>
        </w:rPr>
        <w:t>Prajapati</w:t>
      </w:r>
    </w:p>
    <w:p w14:paraId="4C6F5E77" w14:textId="77777777" w:rsidR="009D1026" w:rsidRDefault="006D6BC8" w:rsidP="009D1026">
      <w:pPr>
        <w:spacing w:before="240" w:line="240" w:lineRule="auto"/>
        <w:jc w:val="center"/>
        <w:rPr>
          <w:b/>
          <w:bCs/>
          <w:sz w:val="28"/>
          <w:szCs w:val="28"/>
        </w:rPr>
      </w:pPr>
      <w:r w:rsidRPr="006D6BC8">
        <w:rPr>
          <w:b/>
          <w:bCs/>
          <w:sz w:val="28"/>
          <w:szCs w:val="28"/>
        </w:rPr>
        <w:t>Student ID number: 2438331</w:t>
      </w:r>
    </w:p>
    <w:p w14:paraId="0B36234B" w14:textId="4A12C07D" w:rsidR="00974681" w:rsidRDefault="00000000" w:rsidP="009D1026">
      <w:pPr>
        <w:spacing w:before="240" w:line="240" w:lineRule="auto"/>
        <w:jc w:val="center"/>
        <w:rPr>
          <w:b/>
          <w:bCs/>
          <w:sz w:val="28"/>
          <w:szCs w:val="28"/>
        </w:rPr>
      </w:pPr>
      <w:r w:rsidRPr="000E351A">
        <w:rPr>
          <w:b/>
          <w:bCs/>
          <w:sz w:val="28"/>
          <w:szCs w:val="28"/>
        </w:rPr>
        <w:t>Word count:</w:t>
      </w:r>
      <w:r w:rsidR="005744BE">
        <w:rPr>
          <w:b/>
          <w:bCs/>
          <w:sz w:val="28"/>
          <w:szCs w:val="28"/>
        </w:rPr>
        <w:t xml:space="preserve"> 513</w:t>
      </w:r>
      <w:r w:rsidR="00D741E7">
        <w:rPr>
          <w:b/>
          <w:bCs/>
          <w:sz w:val="28"/>
          <w:szCs w:val="28"/>
        </w:rPr>
        <w:t>2</w:t>
      </w:r>
    </w:p>
    <w:p w14:paraId="2E3ACF4C" w14:textId="77777777" w:rsidR="009D1026" w:rsidRDefault="009D1026" w:rsidP="009D1026">
      <w:pPr>
        <w:spacing w:line="240" w:lineRule="auto"/>
        <w:jc w:val="center"/>
        <w:rPr>
          <w:b/>
          <w:bCs/>
          <w:sz w:val="28"/>
          <w:szCs w:val="28"/>
        </w:rPr>
      </w:pPr>
    </w:p>
    <w:p w14:paraId="27C68352" w14:textId="5BB8B7A1" w:rsidR="006D6BC8" w:rsidRPr="000E351A" w:rsidRDefault="006D6BC8" w:rsidP="009D1026">
      <w:pPr>
        <w:spacing w:line="240" w:lineRule="auto"/>
        <w:jc w:val="center"/>
        <w:rPr>
          <w:b/>
          <w:bCs/>
          <w:sz w:val="28"/>
          <w:szCs w:val="28"/>
        </w:rPr>
      </w:pPr>
      <w:r w:rsidRPr="006D6BC8">
        <w:rPr>
          <w:b/>
          <w:bCs/>
          <w:sz w:val="28"/>
          <w:szCs w:val="28"/>
        </w:rPr>
        <w:t>Submission date: 24th November 2025</w:t>
      </w:r>
    </w:p>
    <w:p w14:paraId="36F4B0B7" w14:textId="77777777" w:rsidR="00974681" w:rsidRPr="000E351A" w:rsidRDefault="00000000" w:rsidP="003C2F17">
      <w:pPr>
        <w:jc w:val="left"/>
        <w:rPr>
          <w:b/>
          <w:bCs/>
          <w:sz w:val="28"/>
          <w:szCs w:val="28"/>
        </w:rPr>
      </w:pPr>
      <w:r w:rsidRPr="000E351A">
        <w:rPr>
          <w:b/>
          <w:bCs/>
          <w:sz w:val="28"/>
          <w:szCs w:val="28"/>
        </w:rPr>
        <w:br w:type="page"/>
      </w:r>
    </w:p>
    <w:p w14:paraId="642C265C" w14:textId="77777777" w:rsidR="003B3588" w:rsidRPr="000E351A" w:rsidRDefault="00000000" w:rsidP="003C2F17">
      <w:pPr>
        <w:jc w:val="center"/>
        <w:rPr>
          <w:b/>
          <w:bCs/>
          <w:sz w:val="28"/>
          <w:szCs w:val="28"/>
        </w:rPr>
      </w:pPr>
      <w:r w:rsidRPr="000E351A">
        <w:rPr>
          <w:b/>
          <w:bCs/>
          <w:sz w:val="28"/>
          <w:szCs w:val="28"/>
        </w:rPr>
        <w:lastRenderedPageBreak/>
        <w:t>Executive summary</w:t>
      </w:r>
    </w:p>
    <w:p w14:paraId="0CC87503" w14:textId="77777777" w:rsidR="0012613E" w:rsidRPr="000E351A" w:rsidRDefault="00000000" w:rsidP="003C2F17">
      <w:pPr>
        <w:spacing w:before="240"/>
      </w:pPr>
      <w:r w:rsidRPr="000E351A">
        <w:t xml:space="preserve">The report assesses the financial performance of the said organisation based on major ratios categories, such as profitability, liquidity, solvency, efficiency and coverage. The net profit ratio is also employed to determine profitability by determining the strength of earnings, whereas liquidity ratios, including the current and quick ratios, are used to discuss the short-term financial stability of the firm. An analysis of solvency is related to the debt-equity ratio, which means the risk of long-term leverage. Stock, debtors, and creditors turnover ratios are efficiency ratios that portray how well working capital is managed. The interest coverage ratio sheds light on the capacity of the firm to cover the financing expenses. </w:t>
      </w:r>
      <w:r w:rsidR="00346C81" w:rsidRPr="000E351A">
        <w:t xml:space="preserve">Additionally, it highlights the essence of considering international aspects like currency fluctuation, inflation, and tax impositions in line with ethical considerations for the alignment of the financial restructuring options. After assessing different capital budgeting techniques like </w:t>
      </w:r>
      <w:r w:rsidR="00346C81" w:rsidRPr="000E351A">
        <w:rPr>
          <w:i/>
          <w:iCs/>
        </w:rPr>
        <w:t>net present value, accounting rate of return, internal rate of return, profitability index, and payback period</w:t>
      </w:r>
      <w:r w:rsidR="00346C81" w:rsidRPr="000E351A">
        <w:t>, Project C has been found suitable and most favourable for long-term value creation and embedding financial stability in the business.</w:t>
      </w:r>
      <w:r w:rsidR="00982C34" w:rsidRPr="000E351A">
        <w:t xml:space="preserve"> </w:t>
      </w:r>
      <w:r w:rsidRPr="000E351A">
        <w:t xml:space="preserve">Hence, the analysis provides a </w:t>
      </w:r>
      <w:r w:rsidR="00982C34" w:rsidRPr="000E351A">
        <w:t>clear</w:t>
      </w:r>
      <w:r w:rsidRPr="000E351A">
        <w:t xml:space="preserve"> perspective on the financial performance and </w:t>
      </w:r>
      <w:r w:rsidR="00757352" w:rsidRPr="000E351A">
        <w:t xml:space="preserve">viability of General Electronics. </w:t>
      </w:r>
    </w:p>
    <w:p w14:paraId="013DA28D" w14:textId="77777777" w:rsidR="0012613E" w:rsidRPr="000E351A" w:rsidRDefault="00000000" w:rsidP="003C2F17">
      <w:pPr>
        <w:jc w:val="left"/>
      </w:pPr>
      <w:r w:rsidRPr="000E351A">
        <w:br w:type="page"/>
      </w:r>
    </w:p>
    <w:sdt>
      <w:sdtPr>
        <w:rPr>
          <w:rFonts w:ascii="Arial" w:eastAsia="Arial" w:hAnsi="Arial" w:cs="Arial"/>
          <w:color w:val="auto"/>
          <w:sz w:val="24"/>
          <w:szCs w:val="24"/>
          <w:lang w:val="en-GB" w:eastAsia="en-GB"/>
        </w:rPr>
        <w:id w:val="203145283"/>
        <w:docPartObj>
          <w:docPartGallery w:val="Table of Contents"/>
          <w:docPartUnique/>
        </w:docPartObj>
      </w:sdtPr>
      <w:sdtEndPr>
        <w:rPr>
          <w:b/>
          <w:bCs/>
          <w:noProof/>
        </w:rPr>
      </w:sdtEndPr>
      <w:sdtContent>
        <w:p w14:paraId="3491A003" w14:textId="77777777" w:rsidR="0012613E" w:rsidRPr="000E351A" w:rsidRDefault="00000000" w:rsidP="003C2F17">
          <w:pPr>
            <w:pStyle w:val="TOCHeading"/>
            <w:spacing w:line="360" w:lineRule="auto"/>
            <w:jc w:val="center"/>
            <w:rPr>
              <w:rFonts w:ascii="Arial" w:hAnsi="Arial" w:cs="Arial"/>
              <w:b/>
              <w:bCs/>
              <w:color w:val="0D0D0D" w:themeColor="text1" w:themeTint="F2"/>
              <w:sz w:val="28"/>
              <w:szCs w:val="28"/>
            </w:rPr>
          </w:pPr>
          <w:r w:rsidRPr="000E351A">
            <w:rPr>
              <w:rFonts w:ascii="Arial" w:hAnsi="Arial" w:cs="Arial"/>
              <w:b/>
              <w:bCs/>
              <w:color w:val="0D0D0D" w:themeColor="text1" w:themeTint="F2"/>
              <w:sz w:val="28"/>
              <w:szCs w:val="28"/>
            </w:rPr>
            <w:t>Table of Contents</w:t>
          </w:r>
        </w:p>
        <w:p w14:paraId="51B4740C" w14:textId="77777777" w:rsidR="00DB6CC3" w:rsidRPr="000E351A" w:rsidRDefault="00000000" w:rsidP="003C2F17">
          <w:pPr>
            <w:pStyle w:val="TOC1"/>
            <w:tabs>
              <w:tab w:val="right" w:leader="dot" w:pos="9019"/>
            </w:tabs>
            <w:rPr>
              <w:rFonts w:eastAsiaTheme="minorEastAsia"/>
              <w:noProof/>
              <w:kern w:val="2"/>
              <w14:ligatures w14:val="standardContextual"/>
            </w:rPr>
          </w:pPr>
          <w:r w:rsidRPr="000E351A">
            <w:fldChar w:fldCharType="begin"/>
          </w:r>
          <w:r w:rsidRPr="000E351A">
            <w:instrText xml:space="preserve"> TOC \o "1-3" \h \z \u </w:instrText>
          </w:r>
          <w:r w:rsidRPr="000E351A">
            <w:fldChar w:fldCharType="separate"/>
          </w:r>
          <w:hyperlink w:anchor="_Toc214722833" w:history="1">
            <w:r w:rsidR="00DB6CC3" w:rsidRPr="000E351A">
              <w:rPr>
                <w:rStyle w:val="Hyperlink"/>
                <w:noProof/>
              </w:rPr>
              <w:t>1. Introduction</w:t>
            </w:r>
            <w:r w:rsidR="00DB6CC3" w:rsidRPr="000E351A">
              <w:rPr>
                <w:noProof/>
                <w:webHidden/>
              </w:rPr>
              <w:tab/>
            </w:r>
            <w:r w:rsidR="00DB6CC3" w:rsidRPr="000E351A">
              <w:rPr>
                <w:noProof/>
                <w:webHidden/>
              </w:rPr>
              <w:fldChar w:fldCharType="begin"/>
            </w:r>
            <w:r w:rsidR="00DB6CC3" w:rsidRPr="000E351A">
              <w:rPr>
                <w:noProof/>
                <w:webHidden/>
              </w:rPr>
              <w:instrText xml:space="preserve"> PAGEREF _Toc214722833 \h </w:instrText>
            </w:r>
            <w:r w:rsidR="00DB6CC3" w:rsidRPr="000E351A">
              <w:rPr>
                <w:noProof/>
                <w:webHidden/>
              </w:rPr>
            </w:r>
            <w:r w:rsidR="00DB6CC3" w:rsidRPr="000E351A">
              <w:rPr>
                <w:noProof/>
                <w:webHidden/>
              </w:rPr>
              <w:fldChar w:fldCharType="separate"/>
            </w:r>
            <w:r w:rsidR="00DB6CC3" w:rsidRPr="000E351A">
              <w:rPr>
                <w:noProof/>
                <w:webHidden/>
              </w:rPr>
              <w:t>5</w:t>
            </w:r>
            <w:r w:rsidR="00DB6CC3" w:rsidRPr="000E351A">
              <w:rPr>
                <w:noProof/>
                <w:webHidden/>
              </w:rPr>
              <w:fldChar w:fldCharType="end"/>
            </w:r>
          </w:hyperlink>
        </w:p>
        <w:p w14:paraId="12D4D75A" w14:textId="77777777" w:rsidR="00DB6CC3" w:rsidRPr="000E351A" w:rsidRDefault="00DB6CC3" w:rsidP="003C2F17">
          <w:pPr>
            <w:pStyle w:val="TOC1"/>
            <w:tabs>
              <w:tab w:val="right" w:leader="dot" w:pos="9019"/>
            </w:tabs>
            <w:rPr>
              <w:rFonts w:eastAsiaTheme="minorEastAsia"/>
              <w:noProof/>
              <w:kern w:val="2"/>
              <w14:ligatures w14:val="standardContextual"/>
            </w:rPr>
          </w:pPr>
          <w:hyperlink w:anchor="_Toc214722834" w:history="1">
            <w:r w:rsidRPr="000E351A">
              <w:rPr>
                <w:rStyle w:val="Hyperlink"/>
                <w:noProof/>
              </w:rPr>
              <w:t>2. Financial Health Check</w:t>
            </w:r>
            <w:r w:rsidRPr="000E351A">
              <w:rPr>
                <w:noProof/>
                <w:webHidden/>
              </w:rPr>
              <w:tab/>
            </w:r>
            <w:r w:rsidRPr="000E351A">
              <w:rPr>
                <w:noProof/>
                <w:webHidden/>
              </w:rPr>
              <w:fldChar w:fldCharType="begin"/>
            </w:r>
            <w:r w:rsidRPr="000E351A">
              <w:rPr>
                <w:noProof/>
                <w:webHidden/>
              </w:rPr>
              <w:instrText xml:space="preserve"> PAGEREF _Toc214722834 \h </w:instrText>
            </w:r>
            <w:r w:rsidRPr="000E351A">
              <w:rPr>
                <w:noProof/>
                <w:webHidden/>
              </w:rPr>
            </w:r>
            <w:r w:rsidRPr="000E351A">
              <w:rPr>
                <w:noProof/>
                <w:webHidden/>
              </w:rPr>
              <w:fldChar w:fldCharType="separate"/>
            </w:r>
            <w:r w:rsidRPr="000E351A">
              <w:rPr>
                <w:noProof/>
                <w:webHidden/>
              </w:rPr>
              <w:t>5</w:t>
            </w:r>
            <w:r w:rsidRPr="000E351A">
              <w:rPr>
                <w:noProof/>
                <w:webHidden/>
              </w:rPr>
              <w:fldChar w:fldCharType="end"/>
            </w:r>
          </w:hyperlink>
        </w:p>
        <w:p w14:paraId="0A56518B"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35" w:history="1">
            <w:r w:rsidRPr="000E351A">
              <w:rPr>
                <w:rStyle w:val="Hyperlink"/>
                <w:noProof/>
              </w:rPr>
              <w:t>2.1 Financial statements analysis of General electronics</w:t>
            </w:r>
            <w:r w:rsidRPr="000E351A">
              <w:rPr>
                <w:noProof/>
                <w:webHidden/>
              </w:rPr>
              <w:tab/>
            </w:r>
            <w:r w:rsidRPr="000E351A">
              <w:rPr>
                <w:noProof/>
                <w:webHidden/>
              </w:rPr>
              <w:fldChar w:fldCharType="begin"/>
            </w:r>
            <w:r w:rsidRPr="000E351A">
              <w:rPr>
                <w:noProof/>
                <w:webHidden/>
              </w:rPr>
              <w:instrText xml:space="preserve"> PAGEREF _Toc214722835 \h </w:instrText>
            </w:r>
            <w:r w:rsidRPr="000E351A">
              <w:rPr>
                <w:noProof/>
                <w:webHidden/>
              </w:rPr>
            </w:r>
            <w:r w:rsidRPr="000E351A">
              <w:rPr>
                <w:noProof/>
                <w:webHidden/>
              </w:rPr>
              <w:fldChar w:fldCharType="separate"/>
            </w:r>
            <w:r w:rsidRPr="000E351A">
              <w:rPr>
                <w:noProof/>
                <w:webHidden/>
              </w:rPr>
              <w:t>5</w:t>
            </w:r>
            <w:r w:rsidRPr="000E351A">
              <w:rPr>
                <w:noProof/>
                <w:webHidden/>
              </w:rPr>
              <w:fldChar w:fldCharType="end"/>
            </w:r>
          </w:hyperlink>
        </w:p>
        <w:p w14:paraId="2C82FDAA"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36" w:history="1">
            <w:r w:rsidRPr="000E351A">
              <w:rPr>
                <w:rStyle w:val="Hyperlink"/>
                <w:noProof/>
              </w:rPr>
              <w:t>2.2 Complete ratio analysis</w:t>
            </w:r>
            <w:r w:rsidRPr="000E351A">
              <w:rPr>
                <w:noProof/>
                <w:webHidden/>
              </w:rPr>
              <w:tab/>
            </w:r>
            <w:r w:rsidRPr="000E351A">
              <w:rPr>
                <w:noProof/>
                <w:webHidden/>
              </w:rPr>
              <w:fldChar w:fldCharType="begin"/>
            </w:r>
            <w:r w:rsidRPr="000E351A">
              <w:rPr>
                <w:noProof/>
                <w:webHidden/>
              </w:rPr>
              <w:instrText xml:space="preserve"> PAGEREF _Toc214722836 \h </w:instrText>
            </w:r>
            <w:r w:rsidRPr="000E351A">
              <w:rPr>
                <w:noProof/>
                <w:webHidden/>
              </w:rPr>
            </w:r>
            <w:r w:rsidRPr="000E351A">
              <w:rPr>
                <w:noProof/>
                <w:webHidden/>
              </w:rPr>
              <w:fldChar w:fldCharType="separate"/>
            </w:r>
            <w:r w:rsidRPr="000E351A">
              <w:rPr>
                <w:noProof/>
                <w:webHidden/>
              </w:rPr>
              <w:t>5</w:t>
            </w:r>
            <w:r w:rsidRPr="000E351A">
              <w:rPr>
                <w:noProof/>
                <w:webHidden/>
              </w:rPr>
              <w:fldChar w:fldCharType="end"/>
            </w:r>
          </w:hyperlink>
        </w:p>
        <w:p w14:paraId="384A3721"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37" w:history="1">
            <w:r w:rsidRPr="000E351A">
              <w:rPr>
                <w:rStyle w:val="Hyperlink"/>
                <w:noProof/>
              </w:rPr>
              <w:t>2.3 Trends, strengths and threats for General electronics</w:t>
            </w:r>
            <w:r w:rsidRPr="000E351A">
              <w:rPr>
                <w:noProof/>
                <w:webHidden/>
              </w:rPr>
              <w:tab/>
            </w:r>
            <w:r w:rsidRPr="000E351A">
              <w:rPr>
                <w:noProof/>
                <w:webHidden/>
              </w:rPr>
              <w:fldChar w:fldCharType="begin"/>
            </w:r>
            <w:r w:rsidRPr="000E351A">
              <w:rPr>
                <w:noProof/>
                <w:webHidden/>
              </w:rPr>
              <w:instrText xml:space="preserve"> PAGEREF _Toc214722837 \h </w:instrText>
            </w:r>
            <w:r w:rsidRPr="000E351A">
              <w:rPr>
                <w:noProof/>
                <w:webHidden/>
              </w:rPr>
            </w:r>
            <w:r w:rsidRPr="000E351A">
              <w:rPr>
                <w:noProof/>
                <w:webHidden/>
              </w:rPr>
              <w:fldChar w:fldCharType="separate"/>
            </w:r>
            <w:r w:rsidRPr="000E351A">
              <w:rPr>
                <w:noProof/>
                <w:webHidden/>
              </w:rPr>
              <w:t>11</w:t>
            </w:r>
            <w:r w:rsidRPr="000E351A">
              <w:rPr>
                <w:noProof/>
                <w:webHidden/>
              </w:rPr>
              <w:fldChar w:fldCharType="end"/>
            </w:r>
          </w:hyperlink>
        </w:p>
        <w:p w14:paraId="1231B4B3"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38" w:history="1">
            <w:r w:rsidRPr="000E351A">
              <w:rPr>
                <w:rStyle w:val="Hyperlink"/>
                <w:noProof/>
              </w:rPr>
              <w:t>2.4 Corporate failure prediction model of Altman Z-Score evaluation</w:t>
            </w:r>
            <w:r w:rsidRPr="000E351A">
              <w:rPr>
                <w:noProof/>
                <w:webHidden/>
              </w:rPr>
              <w:tab/>
            </w:r>
            <w:r w:rsidRPr="000E351A">
              <w:rPr>
                <w:noProof/>
                <w:webHidden/>
              </w:rPr>
              <w:fldChar w:fldCharType="begin"/>
            </w:r>
            <w:r w:rsidRPr="000E351A">
              <w:rPr>
                <w:noProof/>
                <w:webHidden/>
              </w:rPr>
              <w:instrText xml:space="preserve"> PAGEREF _Toc214722838 \h </w:instrText>
            </w:r>
            <w:r w:rsidRPr="000E351A">
              <w:rPr>
                <w:noProof/>
                <w:webHidden/>
              </w:rPr>
            </w:r>
            <w:r w:rsidRPr="000E351A">
              <w:rPr>
                <w:noProof/>
                <w:webHidden/>
              </w:rPr>
              <w:fldChar w:fldCharType="separate"/>
            </w:r>
            <w:r w:rsidRPr="000E351A">
              <w:rPr>
                <w:noProof/>
                <w:webHidden/>
              </w:rPr>
              <w:t>12</w:t>
            </w:r>
            <w:r w:rsidRPr="000E351A">
              <w:rPr>
                <w:noProof/>
                <w:webHidden/>
              </w:rPr>
              <w:fldChar w:fldCharType="end"/>
            </w:r>
          </w:hyperlink>
        </w:p>
        <w:p w14:paraId="17EDE3FD" w14:textId="77777777" w:rsidR="00DB6CC3" w:rsidRPr="000E351A" w:rsidRDefault="00DB6CC3" w:rsidP="003C2F17">
          <w:pPr>
            <w:pStyle w:val="TOC1"/>
            <w:tabs>
              <w:tab w:val="right" w:leader="dot" w:pos="9019"/>
            </w:tabs>
            <w:rPr>
              <w:rFonts w:eastAsiaTheme="minorEastAsia"/>
              <w:noProof/>
              <w:kern w:val="2"/>
              <w14:ligatures w14:val="standardContextual"/>
            </w:rPr>
          </w:pPr>
          <w:hyperlink w:anchor="_Toc214722839" w:history="1">
            <w:r w:rsidRPr="000E351A">
              <w:rPr>
                <w:rStyle w:val="Hyperlink"/>
                <w:noProof/>
              </w:rPr>
              <w:t>3. Working Capital Management Analysis</w:t>
            </w:r>
            <w:r w:rsidRPr="000E351A">
              <w:rPr>
                <w:noProof/>
                <w:webHidden/>
              </w:rPr>
              <w:tab/>
            </w:r>
            <w:r w:rsidRPr="000E351A">
              <w:rPr>
                <w:noProof/>
                <w:webHidden/>
              </w:rPr>
              <w:fldChar w:fldCharType="begin"/>
            </w:r>
            <w:r w:rsidRPr="000E351A">
              <w:rPr>
                <w:noProof/>
                <w:webHidden/>
              </w:rPr>
              <w:instrText xml:space="preserve"> PAGEREF _Toc214722839 \h </w:instrText>
            </w:r>
            <w:r w:rsidRPr="000E351A">
              <w:rPr>
                <w:noProof/>
                <w:webHidden/>
              </w:rPr>
            </w:r>
            <w:r w:rsidRPr="000E351A">
              <w:rPr>
                <w:noProof/>
                <w:webHidden/>
              </w:rPr>
              <w:fldChar w:fldCharType="separate"/>
            </w:r>
            <w:r w:rsidRPr="000E351A">
              <w:rPr>
                <w:noProof/>
                <w:webHidden/>
              </w:rPr>
              <w:t>13</w:t>
            </w:r>
            <w:r w:rsidRPr="000E351A">
              <w:rPr>
                <w:noProof/>
                <w:webHidden/>
              </w:rPr>
              <w:fldChar w:fldCharType="end"/>
            </w:r>
          </w:hyperlink>
        </w:p>
        <w:p w14:paraId="1C5013CA"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40" w:history="1">
            <w:r w:rsidRPr="000E351A">
              <w:rPr>
                <w:rStyle w:val="Hyperlink"/>
                <w:noProof/>
              </w:rPr>
              <w:t>3.1  Cash operating cycle analysis</w:t>
            </w:r>
            <w:r w:rsidRPr="000E351A">
              <w:rPr>
                <w:noProof/>
                <w:webHidden/>
              </w:rPr>
              <w:tab/>
            </w:r>
            <w:r w:rsidRPr="000E351A">
              <w:rPr>
                <w:noProof/>
                <w:webHidden/>
              </w:rPr>
              <w:fldChar w:fldCharType="begin"/>
            </w:r>
            <w:r w:rsidRPr="000E351A">
              <w:rPr>
                <w:noProof/>
                <w:webHidden/>
              </w:rPr>
              <w:instrText xml:space="preserve"> PAGEREF _Toc214722840 \h </w:instrText>
            </w:r>
            <w:r w:rsidRPr="000E351A">
              <w:rPr>
                <w:noProof/>
                <w:webHidden/>
              </w:rPr>
            </w:r>
            <w:r w:rsidRPr="000E351A">
              <w:rPr>
                <w:noProof/>
                <w:webHidden/>
              </w:rPr>
              <w:fldChar w:fldCharType="separate"/>
            </w:r>
            <w:r w:rsidRPr="000E351A">
              <w:rPr>
                <w:noProof/>
                <w:webHidden/>
              </w:rPr>
              <w:t>13</w:t>
            </w:r>
            <w:r w:rsidRPr="000E351A">
              <w:rPr>
                <w:noProof/>
                <w:webHidden/>
              </w:rPr>
              <w:fldChar w:fldCharType="end"/>
            </w:r>
          </w:hyperlink>
        </w:p>
        <w:p w14:paraId="4713ECAC"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41" w:history="1">
            <w:r w:rsidRPr="000E351A">
              <w:rPr>
                <w:rStyle w:val="Hyperlink"/>
                <w:noProof/>
              </w:rPr>
              <w:t>3.2 Strategies to improve liquidity through working capital reforms</w:t>
            </w:r>
            <w:r w:rsidRPr="000E351A">
              <w:rPr>
                <w:noProof/>
                <w:webHidden/>
              </w:rPr>
              <w:tab/>
            </w:r>
            <w:r w:rsidRPr="000E351A">
              <w:rPr>
                <w:noProof/>
                <w:webHidden/>
              </w:rPr>
              <w:fldChar w:fldCharType="begin"/>
            </w:r>
            <w:r w:rsidRPr="000E351A">
              <w:rPr>
                <w:noProof/>
                <w:webHidden/>
              </w:rPr>
              <w:instrText xml:space="preserve"> PAGEREF _Toc214722841 \h </w:instrText>
            </w:r>
            <w:r w:rsidRPr="000E351A">
              <w:rPr>
                <w:noProof/>
                <w:webHidden/>
              </w:rPr>
            </w:r>
            <w:r w:rsidRPr="000E351A">
              <w:rPr>
                <w:noProof/>
                <w:webHidden/>
              </w:rPr>
              <w:fldChar w:fldCharType="separate"/>
            </w:r>
            <w:r w:rsidRPr="000E351A">
              <w:rPr>
                <w:noProof/>
                <w:webHidden/>
              </w:rPr>
              <w:t>14</w:t>
            </w:r>
            <w:r w:rsidRPr="000E351A">
              <w:rPr>
                <w:noProof/>
                <w:webHidden/>
              </w:rPr>
              <w:fldChar w:fldCharType="end"/>
            </w:r>
          </w:hyperlink>
        </w:p>
        <w:p w14:paraId="626B567A"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42" w:history="1">
            <w:r w:rsidRPr="000E351A">
              <w:rPr>
                <w:rStyle w:val="Hyperlink"/>
                <w:noProof/>
              </w:rPr>
              <w:t>3.3 Comparison of short-term vs long-term financing options</w:t>
            </w:r>
            <w:r w:rsidRPr="000E351A">
              <w:rPr>
                <w:noProof/>
                <w:webHidden/>
              </w:rPr>
              <w:tab/>
            </w:r>
            <w:r w:rsidRPr="000E351A">
              <w:rPr>
                <w:noProof/>
                <w:webHidden/>
              </w:rPr>
              <w:fldChar w:fldCharType="begin"/>
            </w:r>
            <w:r w:rsidRPr="000E351A">
              <w:rPr>
                <w:noProof/>
                <w:webHidden/>
              </w:rPr>
              <w:instrText xml:space="preserve"> PAGEREF _Toc214722842 \h </w:instrText>
            </w:r>
            <w:r w:rsidRPr="000E351A">
              <w:rPr>
                <w:noProof/>
                <w:webHidden/>
              </w:rPr>
            </w:r>
            <w:r w:rsidRPr="000E351A">
              <w:rPr>
                <w:noProof/>
                <w:webHidden/>
              </w:rPr>
              <w:fldChar w:fldCharType="separate"/>
            </w:r>
            <w:r w:rsidRPr="000E351A">
              <w:rPr>
                <w:noProof/>
                <w:webHidden/>
              </w:rPr>
              <w:t>15</w:t>
            </w:r>
            <w:r w:rsidRPr="000E351A">
              <w:rPr>
                <w:noProof/>
                <w:webHidden/>
              </w:rPr>
              <w:fldChar w:fldCharType="end"/>
            </w:r>
          </w:hyperlink>
        </w:p>
        <w:p w14:paraId="4AE177E9" w14:textId="77777777" w:rsidR="00DB6CC3" w:rsidRPr="000E351A" w:rsidRDefault="00DB6CC3" w:rsidP="003C2F17">
          <w:pPr>
            <w:pStyle w:val="TOC1"/>
            <w:tabs>
              <w:tab w:val="right" w:leader="dot" w:pos="9019"/>
            </w:tabs>
            <w:rPr>
              <w:rFonts w:eastAsiaTheme="minorEastAsia"/>
              <w:noProof/>
              <w:kern w:val="2"/>
              <w14:ligatures w14:val="standardContextual"/>
            </w:rPr>
          </w:pPr>
          <w:hyperlink w:anchor="_Toc214722843" w:history="1">
            <w:r w:rsidRPr="000E351A">
              <w:rPr>
                <w:rStyle w:val="Hyperlink"/>
                <w:noProof/>
              </w:rPr>
              <w:t>4. Strategic financial restructuring plan</w:t>
            </w:r>
            <w:r w:rsidRPr="000E351A">
              <w:rPr>
                <w:noProof/>
                <w:webHidden/>
              </w:rPr>
              <w:tab/>
            </w:r>
            <w:r w:rsidRPr="000E351A">
              <w:rPr>
                <w:noProof/>
                <w:webHidden/>
              </w:rPr>
              <w:fldChar w:fldCharType="begin"/>
            </w:r>
            <w:r w:rsidRPr="000E351A">
              <w:rPr>
                <w:noProof/>
                <w:webHidden/>
              </w:rPr>
              <w:instrText xml:space="preserve"> PAGEREF _Toc214722843 \h </w:instrText>
            </w:r>
            <w:r w:rsidRPr="000E351A">
              <w:rPr>
                <w:noProof/>
                <w:webHidden/>
              </w:rPr>
            </w:r>
            <w:r w:rsidRPr="000E351A">
              <w:rPr>
                <w:noProof/>
                <w:webHidden/>
              </w:rPr>
              <w:fldChar w:fldCharType="separate"/>
            </w:r>
            <w:r w:rsidRPr="000E351A">
              <w:rPr>
                <w:noProof/>
                <w:webHidden/>
              </w:rPr>
              <w:t>16</w:t>
            </w:r>
            <w:r w:rsidRPr="000E351A">
              <w:rPr>
                <w:noProof/>
                <w:webHidden/>
              </w:rPr>
              <w:fldChar w:fldCharType="end"/>
            </w:r>
          </w:hyperlink>
        </w:p>
        <w:p w14:paraId="46C20D92"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44" w:history="1">
            <w:r w:rsidRPr="000E351A">
              <w:rPr>
                <w:rStyle w:val="Hyperlink"/>
                <w:noProof/>
              </w:rPr>
              <w:t>4.1 Recommend financial restructuring options</w:t>
            </w:r>
            <w:r w:rsidRPr="000E351A">
              <w:rPr>
                <w:noProof/>
                <w:webHidden/>
              </w:rPr>
              <w:tab/>
            </w:r>
            <w:r w:rsidRPr="000E351A">
              <w:rPr>
                <w:noProof/>
                <w:webHidden/>
              </w:rPr>
              <w:fldChar w:fldCharType="begin"/>
            </w:r>
            <w:r w:rsidRPr="000E351A">
              <w:rPr>
                <w:noProof/>
                <w:webHidden/>
              </w:rPr>
              <w:instrText xml:space="preserve"> PAGEREF _Toc214722844 \h </w:instrText>
            </w:r>
            <w:r w:rsidRPr="000E351A">
              <w:rPr>
                <w:noProof/>
                <w:webHidden/>
              </w:rPr>
            </w:r>
            <w:r w:rsidRPr="000E351A">
              <w:rPr>
                <w:noProof/>
                <w:webHidden/>
              </w:rPr>
              <w:fldChar w:fldCharType="separate"/>
            </w:r>
            <w:r w:rsidRPr="000E351A">
              <w:rPr>
                <w:noProof/>
                <w:webHidden/>
              </w:rPr>
              <w:t>16</w:t>
            </w:r>
            <w:r w:rsidRPr="000E351A">
              <w:rPr>
                <w:noProof/>
                <w:webHidden/>
              </w:rPr>
              <w:fldChar w:fldCharType="end"/>
            </w:r>
          </w:hyperlink>
        </w:p>
        <w:p w14:paraId="1D8F7168"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45" w:history="1">
            <w:r w:rsidRPr="000E351A">
              <w:rPr>
                <w:rStyle w:val="Hyperlink"/>
                <w:noProof/>
              </w:rPr>
              <w:t>4.2 Impact evaluation on shareholder value, debt structure, and operational flexibility</w:t>
            </w:r>
            <w:r w:rsidRPr="000E351A">
              <w:rPr>
                <w:noProof/>
                <w:webHidden/>
              </w:rPr>
              <w:tab/>
            </w:r>
            <w:r w:rsidRPr="000E351A">
              <w:rPr>
                <w:noProof/>
                <w:webHidden/>
              </w:rPr>
              <w:fldChar w:fldCharType="begin"/>
            </w:r>
            <w:r w:rsidRPr="000E351A">
              <w:rPr>
                <w:noProof/>
                <w:webHidden/>
              </w:rPr>
              <w:instrText xml:space="preserve"> PAGEREF _Toc214722845 \h </w:instrText>
            </w:r>
            <w:r w:rsidRPr="000E351A">
              <w:rPr>
                <w:noProof/>
                <w:webHidden/>
              </w:rPr>
            </w:r>
            <w:r w:rsidRPr="000E351A">
              <w:rPr>
                <w:noProof/>
                <w:webHidden/>
              </w:rPr>
              <w:fldChar w:fldCharType="separate"/>
            </w:r>
            <w:r w:rsidRPr="000E351A">
              <w:rPr>
                <w:noProof/>
                <w:webHidden/>
              </w:rPr>
              <w:t>17</w:t>
            </w:r>
            <w:r w:rsidRPr="000E351A">
              <w:rPr>
                <w:noProof/>
                <w:webHidden/>
              </w:rPr>
              <w:fldChar w:fldCharType="end"/>
            </w:r>
          </w:hyperlink>
        </w:p>
        <w:p w14:paraId="22FE74AE"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46" w:history="1">
            <w:r w:rsidRPr="000E351A">
              <w:rPr>
                <w:rStyle w:val="Hyperlink"/>
                <w:noProof/>
              </w:rPr>
              <w:t>4.3 international and ethical considerations</w:t>
            </w:r>
            <w:r w:rsidRPr="000E351A">
              <w:rPr>
                <w:noProof/>
                <w:webHidden/>
              </w:rPr>
              <w:tab/>
            </w:r>
            <w:r w:rsidRPr="000E351A">
              <w:rPr>
                <w:noProof/>
                <w:webHidden/>
              </w:rPr>
              <w:fldChar w:fldCharType="begin"/>
            </w:r>
            <w:r w:rsidRPr="000E351A">
              <w:rPr>
                <w:noProof/>
                <w:webHidden/>
              </w:rPr>
              <w:instrText xml:space="preserve"> PAGEREF _Toc214722846 \h </w:instrText>
            </w:r>
            <w:r w:rsidRPr="000E351A">
              <w:rPr>
                <w:noProof/>
                <w:webHidden/>
              </w:rPr>
            </w:r>
            <w:r w:rsidRPr="000E351A">
              <w:rPr>
                <w:noProof/>
                <w:webHidden/>
              </w:rPr>
              <w:fldChar w:fldCharType="separate"/>
            </w:r>
            <w:r w:rsidRPr="000E351A">
              <w:rPr>
                <w:noProof/>
                <w:webHidden/>
              </w:rPr>
              <w:t>18</w:t>
            </w:r>
            <w:r w:rsidRPr="000E351A">
              <w:rPr>
                <w:noProof/>
                <w:webHidden/>
              </w:rPr>
              <w:fldChar w:fldCharType="end"/>
            </w:r>
          </w:hyperlink>
        </w:p>
        <w:p w14:paraId="16CEFF25" w14:textId="77777777" w:rsidR="00DB6CC3" w:rsidRPr="000E351A" w:rsidRDefault="00DB6CC3" w:rsidP="003C2F17">
          <w:pPr>
            <w:pStyle w:val="TOC1"/>
            <w:tabs>
              <w:tab w:val="right" w:leader="dot" w:pos="9019"/>
            </w:tabs>
            <w:rPr>
              <w:rFonts w:eastAsiaTheme="minorEastAsia"/>
              <w:noProof/>
              <w:kern w:val="2"/>
              <w14:ligatures w14:val="standardContextual"/>
            </w:rPr>
          </w:pPr>
          <w:hyperlink w:anchor="_Toc214722847" w:history="1">
            <w:r w:rsidRPr="000E351A">
              <w:rPr>
                <w:rStyle w:val="Hyperlink"/>
                <w:noProof/>
              </w:rPr>
              <w:t>5. Investment appraisal and capital budgeting</w:t>
            </w:r>
            <w:r w:rsidRPr="000E351A">
              <w:rPr>
                <w:noProof/>
                <w:webHidden/>
              </w:rPr>
              <w:tab/>
            </w:r>
            <w:r w:rsidRPr="000E351A">
              <w:rPr>
                <w:noProof/>
                <w:webHidden/>
              </w:rPr>
              <w:fldChar w:fldCharType="begin"/>
            </w:r>
            <w:r w:rsidRPr="000E351A">
              <w:rPr>
                <w:noProof/>
                <w:webHidden/>
              </w:rPr>
              <w:instrText xml:space="preserve"> PAGEREF _Toc214722847 \h </w:instrText>
            </w:r>
            <w:r w:rsidRPr="000E351A">
              <w:rPr>
                <w:noProof/>
                <w:webHidden/>
              </w:rPr>
            </w:r>
            <w:r w:rsidRPr="000E351A">
              <w:rPr>
                <w:noProof/>
                <w:webHidden/>
              </w:rPr>
              <w:fldChar w:fldCharType="separate"/>
            </w:r>
            <w:r w:rsidRPr="000E351A">
              <w:rPr>
                <w:noProof/>
                <w:webHidden/>
              </w:rPr>
              <w:t>20</w:t>
            </w:r>
            <w:r w:rsidRPr="000E351A">
              <w:rPr>
                <w:noProof/>
                <w:webHidden/>
              </w:rPr>
              <w:fldChar w:fldCharType="end"/>
            </w:r>
          </w:hyperlink>
        </w:p>
        <w:p w14:paraId="1E1EF04E"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48" w:history="1">
            <w:r w:rsidRPr="000E351A">
              <w:rPr>
                <w:rStyle w:val="Hyperlink"/>
                <w:noProof/>
              </w:rPr>
              <w:t>5.1 Proposal of Investment Projects</w:t>
            </w:r>
            <w:r w:rsidRPr="000E351A">
              <w:rPr>
                <w:noProof/>
                <w:webHidden/>
              </w:rPr>
              <w:tab/>
            </w:r>
            <w:r w:rsidRPr="000E351A">
              <w:rPr>
                <w:noProof/>
                <w:webHidden/>
              </w:rPr>
              <w:fldChar w:fldCharType="begin"/>
            </w:r>
            <w:r w:rsidRPr="000E351A">
              <w:rPr>
                <w:noProof/>
                <w:webHidden/>
              </w:rPr>
              <w:instrText xml:space="preserve"> PAGEREF _Toc214722848 \h </w:instrText>
            </w:r>
            <w:r w:rsidRPr="000E351A">
              <w:rPr>
                <w:noProof/>
                <w:webHidden/>
              </w:rPr>
            </w:r>
            <w:r w:rsidRPr="000E351A">
              <w:rPr>
                <w:noProof/>
                <w:webHidden/>
              </w:rPr>
              <w:fldChar w:fldCharType="separate"/>
            </w:r>
            <w:r w:rsidRPr="000E351A">
              <w:rPr>
                <w:noProof/>
                <w:webHidden/>
              </w:rPr>
              <w:t>20</w:t>
            </w:r>
            <w:r w:rsidRPr="000E351A">
              <w:rPr>
                <w:noProof/>
                <w:webHidden/>
              </w:rPr>
              <w:fldChar w:fldCharType="end"/>
            </w:r>
          </w:hyperlink>
        </w:p>
        <w:p w14:paraId="23F5AD37"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49" w:history="1">
            <w:r w:rsidRPr="000E351A">
              <w:rPr>
                <w:rStyle w:val="Hyperlink"/>
                <w:noProof/>
              </w:rPr>
              <w:t>5.2 Final investment recommendation with capital rationing estimation</w:t>
            </w:r>
            <w:r w:rsidRPr="000E351A">
              <w:rPr>
                <w:noProof/>
                <w:webHidden/>
              </w:rPr>
              <w:tab/>
            </w:r>
            <w:r w:rsidRPr="000E351A">
              <w:rPr>
                <w:noProof/>
                <w:webHidden/>
              </w:rPr>
              <w:fldChar w:fldCharType="begin"/>
            </w:r>
            <w:r w:rsidRPr="000E351A">
              <w:rPr>
                <w:noProof/>
                <w:webHidden/>
              </w:rPr>
              <w:instrText xml:space="preserve"> PAGEREF _Toc214722849 \h </w:instrText>
            </w:r>
            <w:r w:rsidRPr="000E351A">
              <w:rPr>
                <w:noProof/>
                <w:webHidden/>
              </w:rPr>
            </w:r>
            <w:r w:rsidRPr="000E351A">
              <w:rPr>
                <w:noProof/>
                <w:webHidden/>
              </w:rPr>
              <w:fldChar w:fldCharType="separate"/>
            </w:r>
            <w:r w:rsidRPr="000E351A">
              <w:rPr>
                <w:noProof/>
                <w:webHidden/>
              </w:rPr>
              <w:t>26</w:t>
            </w:r>
            <w:r w:rsidRPr="000E351A">
              <w:rPr>
                <w:noProof/>
                <w:webHidden/>
              </w:rPr>
              <w:fldChar w:fldCharType="end"/>
            </w:r>
          </w:hyperlink>
        </w:p>
        <w:p w14:paraId="2302D865"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50" w:history="1">
            <w:r w:rsidRPr="000E351A">
              <w:rPr>
                <w:rStyle w:val="Hyperlink"/>
                <w:noProof/>
              </w:rPr>
              <w:t>5.3 Justification with reference to financial performance and project risk assessment</w:t>
            </w:r>
            <w:r w:rsidRPr="000E351A">
              <w:rPr>
                <w:noProof/>
                <w:webHidden/>
              </w:rPr>
              <w:tab/>
            </w:r>
            <w:r w:rsidRPr="000E351A">
              <w:rPr>
                <w:noProof/>
                <w:webHidden/>
              </w:rPr>
              <w:fldChar w:fldCharType="begin"/>
            </w:r>
            <w:r w:rsidRPr="000E351A">
              <w:rPr>
                <w:noProof/>
                <w:webHidden/>
              </w:rPr>
              <w:instrText xml:space="preserve"> PAGEREF _Toc214722850 \h </w:instrText>
            </w:r>
            <w:r w:rsidRPr="000E351A">
              <w:rPr>
                <w:noProof/>
                <w:webHidden/>
              </w:rPr>
            </w:r>
            <w:r w:rsidRPr="000E351A">
              <w:rPr>
                <w:noProof/>
                <w:webHidden/>
              </w:rPr>
              <w:fldChar w:fldCharType="separate"/>
            </w:r>
            <w:r w:rsidRPr="000E351A">
              <w:rPr>
                <w:noProof/>
                <w:webHidden/>
              </w:rPr>
              <w:t>26</w:t>
            </w:r>
            <w:r w:rsidRPr="000E351A">
              <w:rPr>
                <w:noProof/>
                <w:webHidden/>
              </w:rPr>
              <w:fldChar w:fldCharType="end"/>
            </w:r>
          </w:hyperlink>
        </w:p>
        <w:p w14:paraId="3F34641F" w14:textId="77777777" w:rsidR="00DB6CC3" w:rsidRPr="000E351A" w:rsidRDefault="00DB6CC3" w:rsidP="003C2F17">
          <w:pPr>
            <w:pStyle w:val="TOC1"/>
            <w:tabs>
              <w:tab w:val="right" w:leader="dot" w:pos="9019"/>
            </w:tabs>
            <w:rPr>
              <w:rFonts w:eastAsiaTheme="minorEastAsia"/>
              <w:noProof/>
              <w:kern w:val="2"/>
              <w14:ligatures w14:val="standardContextual"/>
            </w:rPr>
          </w:pPr>
          <w:hyperlink w:anchor="_Toc214722851" w:history="1">
            <w:r w:rsidRPr="000E351A">
              <w:rPr>
                <w:rStyle w:val="Hyperlink"/>
                <w:noProof/>
              </w:rPr>
              <w:t>6. Conclusion</w:t>
            </w:r>
            <w:r w:rsidRPr="000E351A">
              <w:rPr>
                <w:noProof/>
                <w:webHidden/>
              </w:rPr>
              <w:tab/>
            </w:r>
            <w:r w:rsidRPr="000E351A">
              <w:rPr>
                <w:noProof/>
                <w:webHidden/>
              </w:rPr>
              <w:fldChar w:fldCharType="begin"/>
            </w:r>
            <w:r w:rsidRPr="000E351A">
              <w:rPr>
                <w:noProof/>
                <w:webHidden/>
              </w:rPr>
              <w:instrText xml:space="preserve"> PAGEREF _Toc214722851 \h </w:instrText>
            </w:r>
            <w:r w:rsidRPr="000E351A">
              <w:rPr>
                <w:noProof/>
                <w:webHidden/>
              </w:rPr>
            </w:r>
            <w:r w:rsidRPr="000E351A">
              <w:rPr>
                <w:noProof/>
                <w:webHidden/>
              </w:rPr>
              <w:fldChar w:fldCharType="separate"/>
            </w:r>
            <w:r w:rsidRPr="000E351A">
              <w:rPr>
                <w:noProof/>
                <w:webHidden/>
              </w:rPr>
              <w:t>27</w:t>
            </w:r>
            <w:r w:rsidRPr="000E351A">
              <w:rPr>
                <w:noProof/>
                <w:webHidden/>
              </w:rPr>
              <w:fldChar w:fldCharType="end"/>
            </w:r>
          </w:hyperlink>
        </w:p>
        <w:p w14:paraId="57F1D366" w14:textId="77777777" w:rsidR="00DB6CC3" w:rsidRPr="000E351A" w:rsidRDefault="00DB6CC3" w:rsidP="003C2F17">
          <w:pPr>
            <w:pStyle w:val="TOC1"/>
            <w:tabs>
              <w:tab w:val="right" w:leader="dot" w:pos="9019"/>
            </w:tabs>
            <w:rPr>
              <w:rFonts w:eastAsiaTheme="minorEastAsia"/>
              <w:noProof/>
              <w:kern w:val="2"/>
              <w14:ligatures w14:val="standardContextual"/>
            </w:rPr>
          </w:pPr>
          <w:hyperlink w:anchor="_Toc214722852" w:history="1">
            <w:r w:rsidRPr="000E351A">
              <w:rPr>
                <w:rStyle w:val="Hyperlink"/>
                <w:noProof/>
              </w:rPr>
              <w:t>Reference list</w:t>
            </w:r>
            <w:r w:rsidRPr="000E351A">
              <w:rPr>
                <w:noProof/>
                <w:webHidden/>
              </w:rPr>
              <w:tab/>
            </w:r>
            <w:r w:rsidRPr="000E351A">
              <w:rPr>
                <w:noProof/>
                <w:webHidden/>
              </w:rPr>
              <w:fldChar w:fldCharType="begin"/>
            </w:r>
            <w:r w:rsidRPr="000E351A">
              <w:rPr>
                <w:noProof/>
                <w:webHidden/>
              </w:rPr>
              <w:instrText xml:space="preserve"> PAGEREF _Toc214722852 \h </w:instrText>
            </w:r>
            <w:r w:rsidRPr="000E351A">
              <w:rPr>
                <w:noProof/>
                <w:webHidden/>
              </w:rPr>
            </w:r>
            <w:r w:rsidRPr="000E351A">
              <w:rPr>
                <w:noProof/>
                <w:webHidden/>
              </w:rPr>
              <w:fldChar w:fldCharType="separate"/>
            </w:r>
            <w:r w:rsidRPr="000E351A">
              <w:rPr>
                <w:noProof/>
                <w:webHidden/>
              </w:rPr>
              <w:t>28</w:t>
            </w:r>
            <w:r w:rsidRPr="000E351A">
              <w:rPr>
                <w:noProof/>
                <w:webHidden/>
              </w:rPr>
              <w:fldChar w:fldCharType="end"/>
            </w:r>
          </w:hyperlink>
        </w:p>
        <w:p w14:paraId="7347DD99" w14:textId="77777777" w:rsidR="00DB6CC3" w:rsidRPr="000E351A" w:rsidRDefault="00DB6CC3" w:rsidP="003C2F17">
          <w:pPr>
            <w:pStyle w:val="TOC1"/>
            <w:tabs>
              <w:tab w:val="right" w:leader="dot" w:pos="9019"/>
            </w:tabs>
            <w:rPr>
              <w:rFonts w:eastAsiaTheme="minorEastAsia"/>
              <w:noProof/>
              <w:kern w:val="2"/>
              <w14:ligatures w14:val="standardContextual"/>
            </w:rPr>
          </w:pPr>
          <w:hyperlink w:anchor="_Toc214722853" w:history="1">
            <w:r w:rsidRPr="000E351A">
              <w:rPr>
                <w:rStyle w:val="Hyperlink"/>
                <w:noProof/>
              </w:rPr>
              <w:t>Appendices</w:t>
            </w:r>
            <w:r w:rsidRPr="000E351A">
              <w:rPr>
                <w:noProof/>
                <w:webHidden/>
              </w:rPr>
              <w:tab/>
            </w:r>
            <w:r w:rsidRPr="000E351A">
              <w:rPr>
                <w:noProof/>
                <w:webHidden/>
              </w:rPr>
              <w:fldChar w:fldCharType="begin"/>
            </w:r>
            <w:r w:rsidRPr="000E351A">
              <w:rPr>
                <w:noProof/>
                <w:webHidden/>
              </w:rPr>
              <w:instrText xml:space="preserve"> PAGEREF _Toc214722853 \h </w:instrText>
            </w:r>
            <w:r w:rsidRPr="000E351A">
              <w:rPr>
                <w:noProof/>
                <w:webHidden/>
              </w:rPr>
            </w:r>
            <w:r w:rsidRPr="000E351A">
              <w:rPr>
                <w:noProof/>
                <w:webHidden/>
              </w:rPr>
              <w:fldChar w:fldCharType="separate"/>
            </w:r>
            <w:r w:rsidRPr="000E351A">
              <w:rPr>
                <w:noProof/>
                <w:webHidden/>
              </w:rPr>
              <w:t>34</w:t>
            </w:r>
            <w:r w:rsidRPr="000E351A">
              <w:rPr>
                <w:noProof/>
                <w:webHidden/>
              </w:rPr>
              <w:fldChar w:fldCharType="end"/>
            </w:r>
          </w:hyperlink>
        </w:p>
        <w:p w14:paraId="270D25DA"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54" w:history="1">
            <w:r w:rsidRPr="000E351A">
              <w:rPr>
                <w:rStyle w:val="Hyperlink"/>
                <w:noProof/>
              </w:rPr>
              <w:t>Appendix 1: Financial ratios</w:t>
            </w:r>
            <w:r w:rsidRPr="000E351A">
              <w:rPr>
                <w:noProof/>
                <w:webHidden/>
              </w:rPr>
              <w:tab/>
            </w:r>
            <w:r w:rsidRPr="000E351A">
              <w:rPr>
                <w:noProof/>
                <w:webHidden/>
              </w:rPr>
              <w:fldChar w:fldCharType="begin"/>
            </w:r>
            <w:r w:rsidRPr="000E351A">
              <w:rPr>
                <w:noProof/>
                <w:webHidden/>
              </w:rPr>
              <w:instrText xml:space="preserve"> PAGEREF _Toc214722854 \h </w:instrText>
            </w:r>
            <w:r w:rsidRPr="000E351A">
              <w:rPr>
                <w:noProof/>
                <w:webHidden/>
              </w:rPr>
            </w:r>
            <w:r w:rsidRPr="000E351A">
              <w:rPr>
                <w:noProof/>
                <w:webHidden/>
              </w:rPr>
              <w:fldChar w:fldCharType="separate"/>
            </w:r>
            <w:r w:rsidRPr="000E351A">
              <w:rPr>
                <w:noProof/>
                <w:webHidden/>
              </w:rPr>
              <w:t>34</w:t>
            </w:r>
            <w:r w:rsidRPr="000E351A">
              <w:rPr>
                <w:noProof/>
                <w:webHidden/>
              </w:rPr>
              <w:fldChar w:fldCharType="end"/>
            </w:r>
          </w:hyperlink>
        </w:p>
        <w:p w14:paraId="3E71EBFF"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55" w:history="1">
            <w:r w:rsidRPr="000E351A">
              <w:rPr>
                <w:rStyle w:val="Hyperlink"/>
                <w:noProof/>
              </w:rPr>
              <w:t>Appendix 2: Corporate failure prediction model with Altman Z</w:t>
            </w:r>
            <w:r w:rsidRPr="000E351A">
              <w:rPr>
                <w:noProof/>
                <w:webHidden/>
              </w:rPr>
              <w:tab/>
            </w:r>
            <w:r w:rsidRPr="000E351A">
              <w:rPr>
                <w:noProof/>
                <w:webHidden/>
              </w:rPr>
              <w:fldChar w:fldCharType="begin"/>
            </w:r>
            <w:r w:rsidRPr="000E351A">
              <w:rPr>
                <w:noProof/>
                <w:webHidden/>
              </w:rPr>
              <w:instrText xml:space="preserve"> PAGEREF _Toc214722855 \h </w:instrText>
            </w:r>
            <w:r w:rsidRPr="000E351A">
              <w:rPr>
                <w:noProof/>
                <w:webHidden/>
              </w:rPr>
            </w:r>
            <w:r w:rsidRPr="000E351A">
              <w:rPr>
                <w:noProof/>
                <w:webHidden/>
              </w:rPr>
              <w:fldChar w:fldCharType="separate"/>
            </w:r>
            <w:r w:rsidRPr="000E351A">
              <w:rPr>
                <w:noProof/>
                <w:webHidden/>
              </w:rPr>
              <w:t>35</w:t>
            </w:r>
            <w:r w:rsidRPr="000E351A">
              <w:rPr>
                <w:noProof/>
                <w:webHidden/>
              </w:rPr>
              <w:fldChar w:fldCharType="end"/>
            </w:r>
          </w:hyperlink>
        </w:p>
        <w:p w14:paraId="33775A46" w14:textId="77777777" w:rsidR="00DB6CC3" w:rsidRPr="000E351A" w:rsidRDefault="00DB6CC3" w:rsidP="003C2F17">
          <w:pPr>
            <w:pStyle w:val="TOC2"/>
            <w:tabs>
              <w:tab w:val="right" w:leader="dot" w:pos="9019"/>
            </w:tabs>
            <w:rPr>
              <w:rFonts w:eastAsiaTheme="minorEastAsia"/>
              <w:noProof/>
              <w:kern w:val="2"/>
              <w14:ligatures w14:val="standardContextual"/>
            </w:rPr>
          </w:pPr>
          <w:hyperlink w:anchor="_Toc214722856" w:history="1">
            <w:r w:rsidRPr="000E351A">
              <w:rPr>
                <w:rStyle w:val="Hyperlink"/>
                <w:noProof/>
              </w:rPr>
              <w:t>Appendix 3: Investment appraisal calculations</w:t>
            </w:r>
            <w:r w:rsidRPr="000E351A">
              <w:rPr>
                <w:noProof/>
                <w:webHidden/>
              </w:rPr>
              <w:tab/>
            </w:r>
            <w:r w:rsidRPr="000E351A">
              <w:rPr>
                <w:noProof/>
                <w:webHidden/>
              </w:rPr>
              <w:fldChar w:fldCharType="begin"/>
            </w:r>
            <w:r w:rsidRPr="000E351A">
              <w:rPr>
                <w:noProof/>
                <w:webHidden/>
              </w:rPr>
              <w:instrText xml:space="preserve"> PAGEREF _Toc214722856 \h </w:instrText>
            </w:r>
            <w:r w:rsidRPr="000E351A">
              <w:rPr>
                <w:noProof/>
                <w:webHidden/>
              </w:rPr>
            </w:r>
            <w:r w:rsidRPr="000E351A">
              <w:rPr>
                <w:noProof/>
                <w:webHidden/>
              </w:rPr>
              <w:fldChar w:fldCharType="separate"/>
            </w:r>
            <w:r w:rsidRPr="000E351A">
              <w:rPr>
                <w:noProof/>
                <w:webHidden/>
              </w:rPr>
              <w:t>36</w:t>
            </w:r>
            <w:r w:rsidRPr="000E351A">
              <w:rPr>
                <w:noProof/>
                <w:webHidden/>
              </w:rPr>
              <w:fldChar w:fldCharType="end"/>
            </w:r>
          </w:hyperlink>
        </w:p>
        <w:p w14:paraId="04CEF198" w14:textId="77777777" w:rsidR="006A1D9A" w:rsidRPr="000E351A" w:rsidRDefault="00000000" w:rsidP="003C2F17">
          <w:pPr>
            <w:rPr>
              <w:b/>
              <w:bCs/>
              <w:noProof/>
            </w:rPr>
          </w:pPr>
          <w:r w:rsidRPr="000E351A">
            <w:rPr>
              <w:b/>
              <w:bCs/>
              <w:noProof/>
            </w:rPr>
            <w:fldChar w:fldCharType="end"/>
          </w:r>
        </w:p>
      </w:sdtContent>
    </w:sdt>
    <w:p w14:paraId="1217169C" w14:textId="77777777" w:rsidR="006F533D" w:rsidRPr="000E351A" w:rsidRDefault="00000000" w:rsidP="003C2F17">
      <w:pPr>
        <w:pStyle w:val="Heading1"/>
      </w:pPr>
      <w:bookmarkStart w:id="0" w:name="_Toc214722833"/>
      <w:r w:rsidRPr="000E351A">
        <w:lastRenderedPageBreak/>
        <w:t>1. Introduction</w:t>
      </w:r>
      <w:bookmarkEnd w:id="0"/>
    </w:p>
    <w:p w14:paraId="1ACB0F9A" w14:textId="77777777" w:rsidR="00282186" w:rsidRPr="000E351A" w:rsidRDefault="00000000" w:rsidP="003C2F17">
      <w:r w:rsidRPr="000E351A">
        <w:t xml:space="preserve">This report entails a detailed financial analysis of General Electronics, an international consumer electronics company that </w:t>
      </w:r>
      <w:r w:rsidR="00344C7C" w:rsidRPr="000E351A">
        <w:t>needs</w:t>
      </w:r>
      <w:r w:rsidRPr="000E351A">
        <w:t xml:space="preserve"> performance improvement </w:t>
      </w:r>
      <w:r w:rsidR="00FD79F9" w:rsidRPr="000E351A">
        <w:t>now</w:t>
      </w:r>
      <w:r w:rsidRPr="000E351A">
        <w:t>. Through the application of ratio analysis, working-capital analysis, restructuring options and investment appraisal methodologies, the study has come up with fundamental financial weaknesses and proposes a feasible turnaround plan that can turn the organisation back on track in terms of stability, profitability and long-term growth.</w:t>
      </w:r>
    </w:p>
    <w:p w14:paraId="7B2251DF" w14:textId="77777777" w:rsidR="006F533D" w:rsidRPr="000E351A" w:rsidRDefault="00000000" w:rsidP="003C2F17">
      <w:pPr>
        <w:pStyle w:val="Heading1"/>
        <w:rPr>
          <w:highlight w:val="green"/>
        </w:rPr>
      </w:pPr>
      <w:bookmarkStart w:id="1" w:name="_fou19zc65npl" w:colFirst="0" w:colLast="0"/>
      <w:bookmarkStart w:id="2" w:name="_Toc214722834"/>
      <w:bookmarkEnd w:id="1"/>
      <w:r w:rsidRPr="000E351A">
        <w:t>2. Financial Health Check</w:t>
      </w:r>
      <w:bookmarkEnd w:id="2"/>
    </w:p>
    <w:p w14:paraId="6EABCA6D" w14:textId="77777777" w:rsidR="006F533D" w:rsidRPr="000E351A" w:rsidRDefault="00000000" w:rsidP="003C2F17">
      <w:pPr>
        <w:pStyle w:val="Heading2"/>
      </w:pPr>
      <w:bookmarkStart w:id="3" w:name="_mqjsk78ctjxq" w:colFirst="0" w:colLast="0"/>
      <w:bookmarkStart w:id="4" w:name="_Toc214722835"/>
      <w:bookmarkEnd w:id="3"/>
      <w:r w:rsidRPr="000E351A">
        <w:t>2.1 Financial statements analysis of General electronics</w:t>
      </w:r>
      <w:bookmarkEnd w:id="4"/>
      <w:r w:rsidRPr="000E351A">
        <w:t xml:space="preserve"> </w:t>
      </w:r>
    </w:p>
    <w:p w14:paraId="4F819F86" w14:textId="77777777" w:rsidR="00282186" w:rsidRPr="000E351A" w:rsidRDefault="00000000" w:rsidP="003C2F17">
      <w:r w:rsidRPr="000E351A">
        <w:t>Evaluating the profitability, liquidity, efficiency, and solvency of a firm and making a meaningful comparison between the periods and with industry practices is a common method of financial ratio analysis (Jackson, 2022). The 2020-2024 financial statements of General Electric indicate an evident drop in profits between moderate profitability and long-term distress. Revenue has dropped drastically; 614,680 m in 2020 to</w:t>
      </w:r>
      <w:r w:rsidR="006E4367" w:rsidRPr="000E351A">
        <w:t xml:space="preserve"> </w:t>
      </w:r>
      <w:r w:rsidRPr="000E351A">
        <w:t xml:space="preserve">394,879 m in 2024. The share of the market has taken a hit, the price has taken a hit, and the product may be outdated. Cost of Sales were on the decline, although not in proportion, and operating expenses were still high and volatile, with significant impairments generating a </w:t>
      </w:r>
      <w:r w:rsidR="0017334F" w:rsidRPr="000E351A">
        <w:t>significant</w:t>
      </w:r>
      <w:r w:rsidRPr="000E351A">
        <w:t xml:space="preserve"> operating loss in 2023. The net profit dropped to 38,572m in 2020</w:t>
      </w:r>
      <w:r w:rsidR="00E74C82" w:rsidRPr="000E351A">
        <w:t xml:space="preserve">; however, </w:t>
      </w:r>
      <w:r w:rsidRPr="000E351A">
        <w:t xml:space="preserve">it collapsed to marginal earnings in 2022 prior to reflecting itself in huge losses in 2023 and 2024. This has been compounded by the balance sheet, where total assets declined and the equity decreased considerably, </w:t>
      </w:r>
      <w:r w:rsidR="0090180A" w:rsidRPr="000E351A">
        <w:t xml:space="preserve">from </w:t>
      </w:r>
      <w:r w:rsidRPr="000E351A">
        <w:t>313,301m to</w:t>
      </w:r>
      <w:r w:rsidR="0090180A" w:rsidRPr="000E351A">
        <w:t xml:space="preserve"> </w:t>
      </w:r>
      <w:r w:rsidRPr="000E351A">
        <w:t>53,105m. At the same time, operating cash flow declined by</w:t>
      </w:r>
      <w:r w:rsidR="0090180A" w:rsidRPr="000E351A">
        <w:t xml:space="preserve"> </w:t>
      </w:r>
      <w:r w:rsidRPr="000E351A">
        <w:t>73,392m to</w:t>
      </w:r>
      <w:r w:rsidR="0090180A" w:rsidRPr="000E351A">
        <w:t xml:space="preserve"> </w:t>
      </w:r>
      <w:r w:rsidRPr="000E351A">
        <w:t>14,822m, indicating a declining internal financing power and increasing financial exposure.</w:t>
      </w:r>
    </w:p>
    <w:p w14:paraId="3AD1AF1F" w14:textId="77777777" w:rsidR="006F533D" w:rsidRPr="000E351A" w:rsidRDefault="00000000" w:rsidP="003C2F17">
      <w:pPr>
        <w:pStyle w:val="Heading2"/>
      </w:pPr>
      <w:bookmarkStart w:id="5" w:name="_67lg3rokf6sd" w:colFirst="0" w:colLast="0"/>
      <w:bookmarkStart w:id="6" w:name="_Toc214722836"/>
      <w:bookmarkEnd w:id="5"/>
      <w:r w:rsidRPr="000E351A">
        <w:t>2.2 Complete ratio analysis</w:t>
      </w:r>
      <w:bookmarkEnd w:id="6"/>
      <w:r w:rsidRPr="000E351A">
        <w:t xml:space="preserve"> </w:t>
      </w:r>
    </w:p>
    <w:p w14:paraId="19381121" w14:textId="77777777" w:rsidR="006F533D" w:rsidRPr="000E351A" w:rsidRDefault="00000000" w:rsidP="003C2F17">
      <w:pPr>
        <w:spacing w:before="240" w:after="240"/>
        <w:rPr>
          <w:b/>
          <w:bCs/>
          <w:i/>
          <w:iCs/>
        </w:rPr>
      </w:pPr>
      <w:r w:rsidRPr="000E351A">
        <w:rPr>
          <w:b/>
          <w:bCs/>
          <w:i/>
          <w:iCs/>
        </w:rPr>
        <w:t>2.2.1 Profitability</w:t>
      </w:r>
    </w:p>
    <w:p w14:paraId="16F5E2CD" w14:textId="77777777" w:rsidR="006079C7" w:rsidRPr="000E351A" w:rsidRDefault="00000000" w:rsidP="003C2F17">
      <w:pPr>
        <w:spacing w:before="240" w:after="240"/>
      </w:pPr>
      <w:r w:rsidRPr="000E351A">
        <w:rPr>
          <w:noProof/>
        </w:rPr>
        <w:lastRenderedPageBreak/>
        <w:drawing>
          <wp:inline distT="0" distB="0" distL="0" distR="0" wp14:anchorId="4A719BE8" wp14:editId="0376E675">
            <wp:extent cx="5733415" cy="3347720"/>
            <wp:effectExtent l="0" t="0" r="635" b="5080"/>
            <wp:docPr id="1686635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635560" name=""/>
                    <pic:cNvPicPr/>
                  </pic:nvPicPr>
                  <pic:blipFill>
                    <a:blip r:embed="rId7"/>
                    <a:stretch>
                      <a:fillRect/>
                    </a:stretch>
                  </pic:blipFill>
                  <pic:spPr>
                    <a:xfrm>
                      <a:off x="0" y="0"/>
                      <a:ext cx="5733415" cy="3347720"/>
                    </a:xfrm>
                    <a:prstGeom prst="rect">
                      <a:avLst/>
                    </a:prstGeom>
                  </pic:spPr>
                </pic:pic>
              </a:graphicData>
            </a:graphic>
          </wp:inline>
        </w:drawing>
      </w:r>
    </w:p>
    <w:p w14:paraId="720A94B5" w14:textId="77777777" w:rsidR="006079C7" w:rsidRPr="000E351A" w:rsidRDefault="00000000" w:rsidP="003C2F17">
      <w:pPr>
        <w:spacing w:before="240" w:after="240"/>
        <w:jc w:val="center"/>
        <w:rPr>
          <w:b/>
          <w:bCs/>
        </w:rPr>
      </w:pPr>
      <w:r w:rsidRPr="000E351A">
        <w:rPr>
          <w:b/>
          <w:bCs/>
        </w:rPr>
        <w:t>Figure</w:t>
      </w:r>
      <w:r w:rsidR="00DB3BB0" w:rsidRPr="000E351A">
        <w:rPr>
          <w:b/>
          <w:bCs/>
        </w:rPr>
        <w:t xml:space="preserve"> 1</w:t>
      </w:r>
      <w:r w:rsidRPr="000E351A">
        <w:rPr>
          <w:b/>
          <w:bCs/>
        </w:rPr>
        <w:t>: Profitability Ratios</w:t>
      </w:r>
    </w:p>
    <w:p w14:paraId="1AF7D379" w14:textId="77777777" w:rsidR="006079C7" w:rsidRPr="000E351A" w:rsidRDefault="00000000" w:rsidP="003C2F17">
      <w:pPr>
        <w:spacing w:before="240" w:after="240"/>
        <w:jc w:val="center"/>
      </w:pPr>
      <w:r w:rsidRPr="000E351A">
        <w:t xml:space="preserve">(Source: </w:t>
      </w:r>
      <w:r w:rsidR="007B7672" w:rsidRPr="000E351A">
        <w:t>Calculated by the learner</w:t>
      </w:r>
      <w:r w:rsidRPr="000E351A">
        <w:t>)</w:t>
      </w:r>
    </w:p>
    <w:p w14:paraId="30789C34" w14:textId="77777777" w:rsidR="00F86390" w:rsidRPr="000E351A" w:rsidRDefault="00000000" w:rsidP="003C2F17">
      <w:pPr>
        <w:spacing w:before="240" w:after="240"/>
      </w:pPr>
      <w:r w:rsidRPr="000E351A">
        <w:t>There has been an evident decline in the profitability of General Electronics, as shown in Figure 1. This resilience, though this percentage changed to 23.20% in 2023, is surprisingly different, considering the failure of operating and net profitability has fallen significantly to just 28-29</w:t>
      </w:r>
      <w:r w:rsidR="009928AF" w:rsidRPr="000E351A">
        <w:t xml:space="preserve">% </w:t>
      </w:r>
      <w:r w:rsidRPr="000E351A">
        <w:t>over the last three years. Operating margin dropped to 2.68</w:t>
      </w:r>
      <w:r w:rsidR="009928AF" w:rsidRPr="000E351A">
        <w:t xml:space="preserve">% </w:t>
      </w:r>
      <w:r w:rsidRPr="000E351A">
        <w:t>in 2022 and -20.29</w:t>
      </w:r>
      <w:r w:rsidR="009928AF" w:rsidRPr="000E351A">
        <w:t xml:space="preserve">% </w:t>
      </w:r>
      <w:r w:rsidRPr="000E351A">
        <w:t>in 2023 and 2024 respectively, in line with increasing overheads, reorganisation expenses and huge impairment losses. Net profit margin was following the same pattern, decreasing to 6.28</w:t>
      </w:r>
      <w:r w:rsidR="009928AF" w:rsidRPr="000E351A">
        <w:t>%</w:t>
      </w:r>
      <w:r w:rsidRPr="000E351A">
        <w:t xml:space="preserve"> in 2020, with it approaching the level of breaking even in 2022 and thereafter falling deep into negative figures in the last two years. Losing profitability is usually an indicator of failures in cost management, price setting or profitability in the market (Raju, 2022). </w:t>
      </w:r>
      <w:r w:rsidR="009928AF" w:rsidRPr="000E351A">
        <w:t>Therefore, t</w:t>
      </w:r>
      <w:r w:rsidRPr="000E351A">
        <w:t xml:space="preserve">he trends indicate gross operational inefficiencies. </w:t>
      </w:r>
    </w:p>
    <w:p w14:paraId="1E0D492A" w14:textId="77777777" w:rsidR="006F533D" w:rsidRPr="000E351A" w:rsidRDefault="00000000" w:rsidP="003C2F17">
      <w:pPr>
        <w:spacing w:before="240" w:after="240"/>
        <w:rPr>
          <w:b/>
          <w:bCs/>
          <w:i/>
          <w:iCs/>
        </w:rPr>
      </w:pPr>
      <w:r w:rsidRPr="000E351A">
        <w:rPr>
          <w:b/>
          <w:bCs/>
          <w:i/>
          <w:iCs/>
        </w:rPr>
        <w:t>2.2.2 Liquidity</w:t>
      </w:r>
    </w:p>
    <w:p w14:paraId="7EBC94AA" w14:textId="77777777" w:rsidR="006079C7" w:rsidRPr="000E351A" w:rsidRDefault="00000000" w:rsidP="003C2F17">
      <w:pPr>
        <w:spacing w:before="240" w:after="240"/>
        <w:jc w:val="center"/>
      </w:pPr>
      <w:r w:rsidRPr="000E351A">
        <w:rPr>
          <w:noProof/>
        </w:rPr>
        <w:lastRenderedPageBreak/>
        <w:drawing>
          <wp:inline distT="0" distB="0" distL="0" distR="0" wp14:anchorId="0373BB73" wp14:editId="09EACCF3">
            <wp:extent cx="5733415" cy="2733040"/>
            <wp:effectExtent l="0" t="0" r="635" b="0"/>
            <wp:docPr id="1666663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663772" name=""/>
                    <pic:cNvPicPr/>
                  </pic:nvPicPr>
                  <pic:blipFill>
                    <a:blip r:embed="rId8"/>
                    <a:stretch>
                      <a:fillRect/>
                    </a:stretch>
                  </pic:blipFill>
                  <pic:spPr>
                    <a:xfrm>
                      <a:off x="0" y="0"/>
                      <a:ext cx="5733415" cy="2733040"/>
                    </a:xfrm>
                    <a:prstGeom prst="rect">
                      <a:avLst/>
                    </a:prstGeom>
                  </pic:spPr>
                </pic:pic>
              </a:graphicData>
            </a:graphic>
          </wp:inline>
        </w:drawing>
      </w:r>
    </w:p>
    <w:p w14:paraId="23A037BE" w14:textId="77777777" w:rsidR="00DB3BB0" w:rsidRPr="000E351A" w:rsidRDefault="00000000" w:rsidP="003C2F17">
      <w:pPr>
        <w:spacing w:before="240" w:after="240"/>
        <w:jc w:val="center"/>
        <w:rPr>
          <w:b/>
          <w:bCs/>
        </w:rPr>
      </w:pPr>
      <w:r w:rsidRPr="000E351A">
        <w:rPr>
          <w:b/>
          <w:bCs/>
        </w:rPr>
        <w:t>Figure 2: Liquidity Ratios</w:t>
      </w:r>
    </w:p>
    <w:p w14:paraId="548742C6" w14:textId="77777777" w:rsidR="00DB3BB0" w:rsidRPr="000E351A" w:rsidRDefault="00000000" w:rsidP="003C2F17">
      <w:pPr>
        <w:spacing w:before="240" w:after="240"/>
        <w:jc w:val="center"/>
      </w:pPr>
      <w:r w:rsidRPr="000E351A">
        <w:t xml:space="preserve">(Source: </w:t>
      </w:r>
      <w:r w:rsidR="007B7672" w:rsidRPr="000E351A">
        <w:t>Calculated by the learner</w:t>
      </w:r>
      <w:r w:rsidRPr="000E351A">
        <w:t>)</w:t>
      </w:r>
    </w:p>
    <w:p w14:paraId="64197C18" w14:textId="77777777" w:rsidR="009928AF" w:rsidRPr="000E351A" w:rsidRDefault="00000000" w:rsidP="003C2F17">
      <w:pPr>
        <w:spacing w:before="240" w:after="240"/>
      </w:pPr>
      <w:r w:rsidRPr="009928AF">
        <w:t xml:space="preserve">The liquidity position is summarised in Figure 2. The current ratio reduces to about 1.53x in 2024 compared to its position of 1.82x in 2020. Even though it is over 1, which means that the current assets are far greater than the current liabilities, the decreasing trend is a sign that short-term liquidity is becoming progressively strainer. The same can be said about the quick ratio: it decreases to 1.15x in 2020, and to 0.91x in 2022, only to rise slightly to 1.03x in 2024. Similarly, as inventories are ignored, the cushion of liquid assets is quite small and in certain years barely adequate to meet short-term liabilities (Nazarova </w:t>
      </w:r>
      <w:r w:rsidR="00A95525" w:rsidRPr="000E351A">
        <w:rPr>
          <w:i/>
          <w:iCs/>
        </w:rPr>
        <w:t>et al</w:t>
      </w:r>
      <w:r w:rsidRPr="009928AF">
        <w:t xml:space="preserve">., 2021; Shi, 2025). </w:t>
      </w:r>
      <w:r w:rsidR="007346E7" w:rsidRPr="000E351A">
        <w:t>Thus</w:t>
      </w:r>
      <w:r w:rsidRPr="009928AF">
        <w:t xml:space="preserve">, liquidity is not yet an issue, although the trend looks worrisome. </w:t>
      </w:r>
    </w:p>
    <w:p w14:paraId="40BAA093" w14:textId="77777777" w:rsidR="006F533D" w:rsidRPr="000E351A" w:rsidRDefault="00000000" w:rsidP="003C2F17">
      <w:pPr>
        <w:spacing w:before="240" w:after="240"/>
        <w:rPr>
          <w:b/>
          <w:bCs/>
          <w:i/>
          <w:iCs/>
        </w:rPr>
      </w:pPr>
      <w:r w:rsidRPr="000E351A">
        <w:rPr>
          <w:b/>
          <w:bCs/>
          <w:i/>
          <w:iCs/>
        </w:rPr>
        <w:t>2.2.3 Efficiency</w:t>
      </w:r>
    </w:p>
    <w:p w14:paraId="52AF0AE8" w14:textId="77777777" w:rsidR="00DB3BB0" w:rsidRPr="000E351A" w:rsidRDefault="00000000" w:rsidP="003C2F17">
      <w:pPr>
        <w:spacing w:before="240" w:after="240"/>
        <w:jc w:val="center"/>
      </w:pPr>
      <w:r w:rsidRPr="000E351A">
        <w:rPr>
          <w:noProof/>
        </w:rPr>
        <w:lastRenderedPageBreak/>
        <w:drawing>
          <wp:inline distT="0" distB="0" distL="0" distR="0" wp14:anchorId="0FC5332A" wp14:editId="1B487E2B">
            <wp:extent cx="5733415" cy="2646680"/>
            <wp:effectExtent l="0" t="0" r="635" b="1270"/>
            <wp:docPr id="11866485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648548" name=""/>
                    <pic:cNvPicPr/>
                  </pic:nvPicPr>
                  <pic:blipFill>
                    <a:blip r:embed="rId9"/>
                    <a:stretch>
                      <a:fillRect/>
                    </a:stretch>
                  </pic:blipFill>
                  <pic:spPr>
                    <a:xfrm>
                      <a:off x="0" y="0"/>
                      <a:ext cx="5733415" cy="2646680"/>
                    </a:xfrm>
                    <a:prstGeom prst="rect">
                      <a:avLst/>
                    </a:prstGeom>
                  </pic:spPr>
                </pic:pic>
              </a:graphicData>
            </a:graphic>
          </wp:inline>
        </w:drawing>
      </w:r>
    </w:p>
    <w:p w14:paraId="20424884" w14:textId="77777777" w:rsidR="002A3A48" w:rsidRPr="000E351A" w:rsidRDefault="00000000" w:rsidP="003C2F17">
      <w:pPr>
        <w:spacing w:before="240" w:after="240"/>
        <w:jc w:val="center"/>
        <w:rPr>
          <w:b/>
          <w:bCs/>
        </w:rPr>
      </w:pPr>
      <w:r w:rsidRPr="000E351A">
        <w:rPr>
          <w:b/>
          <w:bCs/>
        </w:rPr>
        <w:t>Figure 3: Efficiency ratios</w:t>
      </w:r>
    </w:p>
    <w:p w14:paraId="29E4A873" w14:textId="77777777" w:rsidR="002A3A48" w:rsidRPr="000E351A" w:rsidRDefault="00000000" w:rsidP="003C2F17">
      <w:pPr>
        <w:spacing w:before="240" w:after="240"/>
        <w:jc w:val="center"/>
      </w:pPr>
      <w:r w:rsidRPr="000E351A">
        <w:t>(Source: Calculated by the learner)</w:t>
      </w:r>
    </w:p>
    <w:p w14:paraId="441F1BF8" w14:textId="77777777" w:rsidR="000138B8" w:rsidRPr="000E351A" w:rsidRDefault="00000000" w:rsidP="003C2F17">
      <w:pPr>
        <w:spacing w:before="240" w:after="240"/>
      </w:pPr>
      <w:r w:rsidRPr="000E351A">
        <w:t xml:space="preserve">Figure 3 shows GE has serious flaws in using its working capital through efficiency ratios. There is are increase of approximately 100 days of inventory in 2020 to highs of 128 and 129 days in 2022 and 2023, after which it will relax to a level close to 109 days in 2024. The spike indicates low moving or obsolete stocks of the system, which may be caused by inaccurate demand forecasting, long product life cycles or poor product launches (Liu, 2024). The days due in the current accounts receivable are comparatively stable between 76-78 days until 2022, before dropping to 98 days in 2023 and 106 days in 2024. This means less stringent credit policies, inferior collection procedures or declining customer quality, which are all tied up in the receivables and augment credit risk. </w:t>
      </w:r>
      <w:r w:rsidR="006A7E37" w:rsidRPr="000E351A">
        <w:t>Moreover,</w:t>
      </w:r>
      <w:r w:rsidRPr="000E351A">
        <w:t xml:space="preserve"> there is a growing dependency on suppliers as a financing option that is somewhat informal and can impact the relationship with suppliers and jeopardise the resilience of the supply chain (</w:t>
      </w:r>
      <w:proofErr w:type="spellStart"/>
      <w:r w:rsidRPr="000E351A">
        <w:t>Alhosban</w:t>
      </w:r>
      <w:proofErr w:type="spellEnd"/>
      <w:r w:rsidRPr="000E351A">
        <w:t xml:space="preserve"> </w:t>
      </w:r>
      <w:r w:rsidR="00A95525" w:rsidRPr="000E351A">
        <w:rPr>
          <w:i/>
          <w:iCs/>
        </w:rPr>
        <w:t>et al</w:t>
      </w:r>
      <w:r w:rsidRPr="000E351A">
        <w:t xml:space="preserve">., 2022; Yousefi Nejad </w:t>
      </w:r>
      <w:r w:rsidR="00A95525" w:rsidRPr="000E351A">
        <w:rPr>
          <w:i/>
          <w:iCs/>
        </w:rPr>
        <w:t>et al</w:t>
      </w:r>
      <w:r w:rsidRPr="000E351A">
        <w:t xml:space="preserve">., 2024). Taken together, these ratios suggest an increase in the cash conversion cycle. </w:t>
      </w:r>
    </w:p>
    <w:p w14:paraId="7880CAEA" w14:textId="77777777" w:rsidR="006F533D" w:rsidRPr="000E351A" w:rsidRDefault="00000000" w:rsidP="003C2F17">
      <w:pPr>
        <w:spacing w:before="240" w:after="240"/>
        <w:rPr>
          <w:b/>
          <w:bCs/>
          <w:i/>
          <w:iCs/>
        </w:rPr>
      </w:pPr>
      <w:r w:rsidRPr="000E351A">
        <w:rPr>
          <w:b/>
          <w:bCs/>
          <w:i/>
          <w:iCs/>
        </w:rPr>
        <w:t>2.2.4 Gearing</w:t>
      </w:r>
    </w:p>
    <w:p w14:paraId="7FF55A55" w14:textId="77777777" w:rsidR="007B7672" w:rsidRPr="000E351A" w:rsidRDefault="00000000" w:rsidP="003C2F17">
      <w:pPr>
        <w:spacing w:before="240" w:after="240"/>
      </w:pPr>
      <w:r w:rsidRPr="000E351A">
        <w:rPr>
          <w:noProof/>
        </w:rPr>
        <w:lastRenderedPageBreak/>
        <w:drawing>
          <wp:inline distT="0" distB="0" distL="0" distR="0" wp14:anchorId="471CFC08" wp14:editId="3DFD9287">
            <wp:extent cx="5733415" cy="2733675"/>
            <wp:effectExtent l="0" t="0" r="635" b="9525"/>
            <wp:docPr id="985306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306127" name=""/>
                    <pic:cNvPicPr/>
                  </pic:nvPicPr>
                  <pic:blipFill>
                    <a:blip r:embed="rId10"/>
                    <a:stretch>
                      <a:fillRect/>
                    </a:stretch>
                  </pic:blipFill>
                  <pic:spPr>
                    <a:xfrm>
                      <a:off x="0" y="0"/>
                      <a:ext cx="5733415" cy="2733675"/>
                    </a:xfrm>
                    <a:prstGeom prst="rect">
                      <a:avLst/>
                    </a:prstGeom>
                  </pic:spPr>
                </pic:pic>
              </a:graphicData>
            </a:graphic>
          </wp:inline>
        </w:drawing>
      </w:r>
    </w:p>
    <w:p w14:paraId="02975B4E" w14:textId="77777777" w:rsidR="007B7672" w:rsidRPr="000E351A" w:rsidRDefault="00000000" w:rsidP="003C2F17">
      <w:pPr>
        <w:spacing w:before="240" w:after="240"/>
        <w:jc w:val="center"/>
        <w:rPr>
          <w:b/>
          <w:bCs/>
        </w:rPr>
      </w:pPr>
      <w:r w:rsidRPr="000E351A">
        <w:rPr>
          <w:b/>
          <w:bCs/>
        </w:rPr>
        <w:t>Figure 4: Gearing ratios of General Electronics</w:t>
      </w:r>
    </w:p>
    <w:p w14:paraId="03966C86" w14:textId="77777777" w:rsidR="007B7672" w:rsidRPr="000E351A" w:rsidRDefault="00000000" w:rsidP="003C2F17">
      <w:pPr>
        <w:spacing w:before="240" w:after="240"/>
        <w:jc w:val="center"/>
      </w:pPr>
      <w:r w:rsidRPr="000E351A">
        <w:t>(Source: Calculated by the learner)</w:t>
      </w:r>
    </w:p>
    <w:p w14:paraId="3CCDF21A" w14:textId="77777777" w:rsidR="000138B8" w:rsidRPr="000E351A" w:rsidRDefault="00000000" w:rsidP="003C2F17">
      <w:pPr>
        <w:spacing w:before="240" w:after="240"/>
      </w:pPr>
      <w:r w:rsidRPr="000E351A">
        <w:t>Figure 4 of gearing ratios indicates a change in the capital structure. Debt to Equity ratio increases by 0.63x in 2020 to 1.11x in 2024, which shows that debt has surpassed the equity. The equity ratio, in turn, goes down by 0.61 to 0.47, and the debt ratio increases by 0.39 to 0.53 in the period. This development indicates accrued losses, losing equity</w:t>
      </w:r>
      <w:r w:rsidR="0017334F" w:rsidRPr="000E351A">
        <w:t xml:space="preserve">; nevertheless, </w:t>
      </w:r>
      <w:r w:rsidRPr="000E351A">
        <w:t xml:space="preserve">liabilities are widely stable. Increased leverage brings about financial risk in two aspects. </w:t>
      </w:r>
      <w:r w:rsidR="006A7E37" w:rsidRPr="000E351A">
        <w:t>Primarily</w:t>
      </w:r>
      <w:r w:rsidRPr="000E351A">
        <w:t xml:space="preserve">, interest and principal commitments are more difficult to meet, particularly as operating income becomes negative. </w:t>
      </w:r>
      <w:r w:rsidR="006A7E37" w:rsidRPr="000E351A">
        <w:t xml:space="preserve">A </w:t>
      </w:r>
      <w:r w:rsidRPr="000E351A">
        <w:t>fall in equity lessens the comparable to absorb subsequent losses and raises the chances of covenant disobeying and default (Cahyadi, 2021). The fall in profitability, combined with an increase in leverage, is more threatening and makes the firm extremely vulnerable to additional negative shocks.</w:t>
      </w:r>
    </w:p>
    <w:p w14:paraId="43CD9A5D" w14:textId="77777777" w:rsidR="006F533D" w:rsidRPr="000E351A" w:rsidRDefault="00000000" w:rsidP="003C2F17">
      <w:pPr>
        <w:spacing w:before="240" w:after="240"/>
        <w:rPr>
          <w:b/>
          <w:bCs/>
          <w:i/>
          <w:iCs/>
        </w:rPr>
      </w:pPr>
      <w:r w:rsidRPr="000E351A">
        <w:rPr>
          <w:b/>
          <w:bCs/>
          <w:i/>
          <w:iCs/>
        </w:rPr>
        <w:t>2.2.5 Investment</w:t>
      </w:r>
    </w:p>
    <w:p w14:paraId="41A7C4EA" w14:textId="77777777" w:rsidR="002A3A48" w:rsidRPr="000E351A" w:rsidRDefault="00000000" w:rsidP="003C2F17">
      <w:pPr>
        <w:spacing w:before="240" w:after="240"/>
        <w:jc w:val="center"/>
      </w:pPr>
      <w:r w:rsidRPr="000E351A">
        <w:rPr>
          <w:noProof/>
        </w:rPr>
        <w:lastRenderedPageBreak/>
        <w:drawing>
          <wp:inline distT="0" distB="0" distL="0" distR="0" wp14:anchorId="43EB13CB" wp14:editId="2C6328EA">
            <wp:extent cx="5226646" cy="3028950"/>
            <wp:effectExtent l="0" t="0" r="0" b="0"/>
            <wp:docPr id="792466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466108" name=""/>
                    <pic:cNvPicPr/>
                  </pic:nvPicPr>
                  <pic:blipFill>
                    <a:blip r:embed="rId11"/>
                    <a:stretch>
                      <a:fillRect/>
                    </a:stretch>
                  </pic:blipFill>
                  <pic:spPr>
                    <a:xfrm>
                      <a:off x="0" y="0"/>
                      <a:ext cx="5229239" cy="3030453"/>
                    </a:xfrm>
                    <a:prstGeom prst="rect">
                      <a:avLst/>
                    </a:prstGeom>
                  </pic:spPr>
                </pic:pic>
              </a:graphicData>
            </a:graphic>
          </wp:inline>
        </w:drawing>
      </w:r>
    </w:p>
    <w:p w14:paraId="5C3A2AC2" w14:textId="77777777" w:rsidR="000A0E20" w:rsidRPr="000E351A" w:rsidRDefault="00000000" w:rsidP="003C2F17">
      <w:pPr>
        <w:spacing w:before="240" w:after="240"/>
        <w:jc w:val="center"/>
        <w:rPr>
          <w:b/>
          <w:bCs/>
        </w:rPr>
      </w:pPr>
      <w:r w:rsidRPr="000E351A">
        <w:rPr>
          <w:b/>
          <w:bCs/>
        </w:rPr>
        <w:t xml:space="preserve">Figure 5: Earnings per share </w:t>
      </w:r>
      <w:r w:rsidR="00400349" w:rsidRPr="000E351A">
        <w:rPr>
          <w:b/>
          <w:bCs/>
        </w:rPr>
        <w:t>of General Electronics</w:t>
      </w:r>
    </w:p>
    <w:p w14:paraId="3E8747F1" w14:textId="77777777" w:rsidR="00E84FC9" w:rsidRPr="000E351A" w:rsidRDefault="00000000" w:rsidP="003C2F17">
      <w:pPr>
        <w:spacing w:before="240" w:after="240"/>
        <w:jc w:val="center"/>
      </w:pPr>
      <w:r w:rsidRPr="000E351A">
        <w:t>(Source: Calculated by the learner)</w:t>
      </w:r>
    </w:p>
    <w:p w14:paraId="66DFBEDE" w14:textId="77777777" w:rsidR="000138B8" w:rsidRPr="000E351A" w:rsidRDefault="00000000" w:rsidP="003C2F17">
      <w:pPr>
        <w:spacing w:before="240" w:after="240"/>
      </w:pPr>
      <w:r w:rsidRPr="000E351A">
        <w:t xml:space="preserve">Figure 5, earnings per share, summarises the decimation of shareholder value in the investment ratio. EPS decreases in 2020 to PS2.78 and then decreases in 2021 to PS0.39 and then sharply negative in 2023 to 2024 to PS7.64 and PS1.85, respectively. This will have the effect of signalling to investors that the company is no longer able to produce sustainable returns and that the company has extinguished a significant part of cumulative shareholder wealth (Robert </w:t>
      </w:r>
      <w:r w:rsidR="00A95525" w:rsidRPr="000E351A">
        <w:rPr>
          <w:i/>
          <w:iCs/>
        </w:rPr>
        <w:t>et al</w:t>
      </w:r>
      <w:r w:rsidRPr="000E351A">
        <w:t xml:space="preserve">., 2023; Vukovic </w:t>
      </w:r>
      <w:r w:rsidR="00A95525" w:rsidRPr="000E351A">
        <w:rPr>
          <w:i/>
          <w:iCs/>
        </w:rPr>
        <w:t>et al</w:t>
      </w:r>
      <w:r w:rsidRPr="000E351A">
        <w:t>., 2022). Without an effective turnaround mechanism in place, General Electronics will probably be priced as a high-risk distressed company.</w:t>
      </w:r>
    </w:p>
    <w:p w14:paraId="30AA2E14" w14:textId="77777777" w:rsidR="006F533D" w:rsidRPr="000E351A" w:rsidRDefault="00000000" w:rsidP="003C2F17">
      <w:pPr>
        <w:spacing w:before="240" w:after="240"/>
        <w:rPr>
          <w:b/>
          <w:bCs/>
          <w:i/>
          <w:iCs/>
        </w:rPr>
      </w:pPr>
      <w:r w:rsidRPr="000E351A">
        <w:rPr>
          <w:b/>
          <w:bCs/>
          <w:i/>
          <w:iCs/>
        </w:rPr>
        <w:t xml:space="preserve">2.2.6 Cash flow </w:t>
      </w:r>
    </w:p>
    <w:p w14:paraId="0BB69088" w14:textId="77777777" w:rsidR="00400349" w:rsidRPr="000E351A" w:rsidRDefault="00000000" w:rsidP="003C2F17">
      <w:pPr>
        <w:spacing w:before="240" w:after="240"/>
        <w:jc w:val="center"/>
      </w:pPr>
      <w:r w:rsidRPr="000E351A">
        <w:rPr>
          <w:noProof/>
        </w:rPr>
        <w:lastRenderedPageBreak/>
        <w:drawing>
          <wp:inline distT="0" distB="0" distL="0" distR="0" wp14:anchorId="73256E80" wp14:editId="7E0D0800">
            <wp:extent cx="4572000" cy="2743200"/>
            <wp:effectExtent l="0" t="0" r="0" b="0"/>
            <wp:docPr id="2001486250" name="Chart 1">
              <a:extLst xmlns:a="http://schemas.openxmlformats.org/drawingml/2006/main">
                <a:ext uri="{FF2B5EF4-FFF2-40B4-BE49-F238E27FC236}">
                  <a16:creationId xmlns:a16="http://schemas.microsoft.com/office/drawing/2014/main" id="{62B02BA1-F7AB-48E2-48E0-A45AEDB015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5D36E05" w14:textId="77777777" w:rsidR="00E85D6A" w:rsidRPr="000E351A" w:rsidRDefault="00000000" w:rsidP="003C2F17">
      <w:pPr>
        <w:spacing w:before="240" w:after="240"/>
        <w:jc w:val="center"/>
        <w:rPr>
          <w:b/>
          <w:bCs/>
        </w:rPr>
      </w:pPr>
      <w:r w:rsidRPr="000E351A">
        <w:rPr>
          <w:b/>
          <w:bCs/>
        </w:rPr>
        <w:t>Figure 6: Cash flow of General Electronics</w:t>
      </w:r>
    </w:p>
    <w:p w14:paraId="4B30B3FF" w14:textId="77777777" w:rsidR="00E84FC9" w:rsidRPr="000E351A" w:rsidRDefault="00000000" w:rsidP="003C2F17">
      <w:pPr>
        <w:spacing w:before="240" w:after="240"/>
        <w:jc w:val="center"/>
      </w:pPr>
      <w:r w:rsidRPr="000E351A">
        <w:t>(Source: Calculated by the learner)</w:t>
      </w:r>
    </w:p>
    <w:p w14:paraId="267612FB" w14:textId="77777777" w:rsidR="000138B8" w:rsidRPr="000E351A" w:rsidRDefault="00000000" w:rsidP="003C2F17">
      <w:pPr>
        <w:spacing w:before="240" w:after="240"/>
      </w:pPr>
      <w:r w:rsidRPr="000138B8">
        <w:t>Figure 6 demonstrates the ratio of the operating cash flow, which was calculated as the division of operating cash flow and current liabilities. This is a ratio that falls short of the year 2020, 0.41, to 0.09 in 2024. Although a positive operating cash flow ratio moving towards one would suggest that the company has a high potential of meeting its short-term liabilities using internal cash, the existing values suggest that it highly relies on external financing and working capital straining. Practically, the company is only producing a percentage of the cash necessary to pay the immediate debts (Liu, 2021). It, therefore, strengthens the image of increasing monetary vulnerability.</w:t>
      </w:r>
    </w:p>
    <w:p w14:paraId="1AC2FCC1" w14:textId="77777777" w:rsidR="006F533D" w:rsidRPr="000E351A" w:rsidRDefault="00000000" w:rsidP="003C2F17">
      <w:pPr>
        <w:pStyle w:val="Heading2"/>
      </w:pPr>
      <w:bookmarkStart w:id="7" w:name="_duk07k4skqen" w:colFirst="0" w:colLast="0"/>
      <w:bookmarkStart w:id="8" w:name="_Toc214722837"/>
      <w:bookmarkEnd w:id="7"/>
      <w:r w:rsidRPr="000E351A">
        <w:t>2.3 Trends, strengths and threats for General electronics</w:t>
      </w:r>
      <w:bookmarkEnd w:id="8"/>
      <w:r w:rsidRPr="000E351A">
        <w:t xml:space="preserve"> </w:t>
      </w:r>
    </w:p>
    <w:p w14:paraId="45673C39" w14:textId="77777777" w:rsidR="00FF505E" w:rsidRPr="000E351A" w:rsidRDefault="00000000" w:rsidP="003C2F17">
      <w:r w:rsidRPr="000E351A">
        <w:t xml:space="preserve">The financial measures of performance can often give prior alerts of flaws in the organisation's structure that can impose significant risks to organisational sustainability over the long term (Chen, 2025; Hewage, 2024). Discussing the ratios as a group, it is possible to note several alarming tendencies. All indicators of profitability have become worse; leverage has risen, and optimality in handling inventories and receivables has improved. The generation of cash on a short-term basis has reduced markedly. The current operating losses, increase in debt ratios, deterioration in the receivable days, and its dependence on far-fetched payables are all indicative of mounting financial distress. Together with negative EPS and </w:t>
      </w:r>
      <w:r w:rsidRPr="000E351A">
        <w:lastRenderedPageBreak/>
        <w:t>diminishing investor confidence, the latter pressures point to the fact that unless the intervention is carried out, General Electronics stands on the brink of shifting towards insolvency.</w:t>
      </w:r>
    </w:p>
    <w:p w14:paraId="247E34D2" w14:textId="77777777" w:rsidR="006F533D" w:rsidRPr="000E351A" w:rsidRDefault="00000000" w:rsidP="003C2F17">
      <w:pPr>
        <w:pStyle w:val="Heading2"/>
      </w:pPr>
      <w:bookmarkStart w:id="9" w:name="_s6rcu2usl8sk" w:colFirst="0" w:colLast="0"/>
      <w:bookmarkStart w:id="10" w:name="_Toc214722838"/>
      <w:bookmarkEnd w:id="9"/>
      <w:r w:rsidRPr="000E351A">
        <w:t>2.4 Corporate failure prediction model of Altman Z-Score evaluation</w:t>
      </w:r>
      <w:bookmarkEnd w:id="10"/>
      <w:r w:rsidRPr="000E351A">
        <w:t xml:space="preserve"> </w:t>
      </w:r>
    </w:p>
    <w:p w14:paraId="18BD152A" w14:textId="77777777" w:rsidR="00630D6C" w:rsidRPr="000E351A" w:rsidRDefault="00000000" w:rsidP="003C2F17">
      <w:pPr>
        <w:jc w:val="center"/>
      </w:pPr>
      <w:r w:rsidRPr="000E351A">
        <w:rPr>
          <w:noProof/>
        </w:rPr>
        <w:drawing>
          <wp:inline distT="0" distB="0" distL="0" distR="0" wp14:anchorId="54F8F098" wp14:editId="6D32D627">
            <wp:extent cx="4572000" cy="2743200"/>
            <wp:effectExtent l="0" t="0" r="0" b="0"/>
            <wp:docPr id="28354729" name="Chart 1">
              <a:extLst xmlns:a="http://schemas.openxmlformats.org/drawingml/2006/main">
                <a:ext uri="{FF2B5EF4-FFF2-40B4-BE49-F238E27FC236}">
                  <a16:creationId xmlns:a16="http://schemas.microsoft.com/office/drawing/2014/main" id="{7F5B357C-815A-2614-FBAC-5897CD56E3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8E19A91" w14:textId="77777777" w:rsidR="00630D6C" w:rsidRPr="000E351A" w:rsidRDefault="00000000" w:rsidP="003C2F17">
      <w:pPr>
        <w:spacing w:before="240" w:after="240"/>
        <w:jc w:val="center"/>
        <w:rPr>
          <w:b/>
          <w:bCs/>
        </w:rPr>
      </w:pPr>
      <w:r w:rsidRPr="000E351A">
        <w:rPr>
          <w:b/>
          <w:bCs/>
        </w:rPr>
        <w:t>Figure 7: Altman Z score</w:t>
      </w:r>
    </w:p>
    <w:p w14:paraId="71F369E4" w14:textId="77777777" w:rsidR="00630D6C" w:rsidRPr="000E351A" w:rsidRDefault="00000000" w:rsidP="003C2F17">
      <w:pPr>
        <w:spacing w:before="240" w:after="240"/>
        <w:jc w:val="center"/>
      </w:pPr>
      <w:r w:rsidRPr="000E351A">
        <w:t>(Source: Calculated by the learner)</w:t>
      </w:r>
    </w:p>
    <w:p w14:paraId="22323908" w14:textId="77777777" w:rsidR="00FF505E" w:rsidRPr="000E351A" w:rsidRDefault="00000000" w:rsidP="003C2F17">
      <w:pPr>
        <w:spacing w:before="240" w:after="240"/>
      </w:pPr>
      <w:r w:rsidRPr="00FF505E">
        <w:t xml:space="preserve">Financial distress prediction models have been adopted as a common way to determine the risk of solvency in a firm </w:t>
      </w:r>
      <w:r w:rsidR="003C13C3" w:rsidRPr="000E351A">
        <w:t>and</w:t>
      </w:r>
      <w:r w:rsidRPr="00FF505E">
        <w:t xml:space="preserve"> as an indication of early failure (Zhu </w:t>
      </w:r>
      <w:r w:rsidR="00A95525" w:rsidRPr="000E351A">
        <w:rPr>
          <w:i/>
          <w:iCs/>
        </w:rPr>
        <w:t>et al</w:t>
      </w:r>
      <w:r w:rsidRPr="00FF505E">
        <w:t>., 2025; Wibowo and Putra, 2023). In Figure 7, the 2020-2024 Altman Z-Score of General Electronics is displayed with a downward trend in the measure of financial resilience. Z-score 3.64 2020, 3.22 2021, 3.06 2022 indicates that the company is now moving out of the safe zone and into the vulnerable category. It will fall drastically to approximately 2.24 in 2023, solidly in the grey zone of financial distress is probable, then slightly higher to 2.82 in 2024, still below the 2.99 safety mark. The degradation is instigated by crumbling EBIT, reducing total assets, climbing leverage and declining liabilities coverage. Despite the marginal upturn in 2024 that indicates the impending stabilisation, the general default risk of the asset is still high. The necessity to take decisive restructuring measures is justified by the fact that the routine losses or external shocks may drive a Z-score to the distress areas, which confirms the necessity to achieve the strategic level of financial intervention.</w:t>
      </w:r>
    </w:p>
    <w:p w14:paraId="7BC29C47" w14:textId="77777777" w:rsidR="006F533D" w:rsidRPr="000E351A" w:rsidRDefault="00000000" w:rsidP="003C2F17">
      <w:pPr>
        <w:pStyle w:val="Heading1"/>
        <w:rPr>
          <w:highlight w:val="green"/>
        </w:rPr>
      </w:pPr>
      <w:bookmarkStart w:id="11" w:name="_Toc214722839"/>
      <w:r w:rsidRPr="000E351A">
        <w:lastRenderedPageBreak/>
        <w:t>3. Working Capital Management Analysis</w:t>
      </w:r>
      <w:bookmarkEnd w:id="11"/>
      <w:r w:rsidRPr="000E351A">
        <w:rPr>
          <w:highlight w:val="green"/>
        </w:rPr>
        <w:t xml:space="preserve"> </w:t>
      </w:r>
    </w:p>
    <w:p w14:paraId="73F24EB8" w14:textId="77777777" w:rsidR="006F533D" w:rsidRPr="000E351A" w:rsidRDefault="00000000" w:rsidP="003C2F17">
      <w:pPr>
        <w:pStyle w:val="Heading2"/>
      </w:pPr>
      <w:bookmarkStart w:id="12" w:name="_rnukpc837lkr" w:colFirst="0" w:colLast="0"/>
      <w:bookmarkStart w:id="13" w:name="_Toc214722840"/>
      <w:bookmarkEnd w:id="12"/>
      <w:proofErr w:type="gramStart"/>
      <w:r w:rsidRPr="000E351A">
        <w:t xml:space="preserve">3.1 </w:t>
      </w:r>
      <w:r w:rsidRPr="000E351A">
        <w:rPr>
          <w:sz w:val="14"/>
          <w:szCs w:val="14"/>
        </w:rPr>
        <w:t xml:space="preserve"> </w:t>
      </w:r>
      <w:r w:rsidRPr="000E351A">
        <w:t>Cash</w:t>
      </w:r>
      <w:proofErr w:type="gramEnd"/>
      <w:r w:rsidRPr="000E351A">
        <w:t xml:space="preserve"> operating cycle analysis</w:t>
      </w:r>
      <w:bookmarkEnd w:id="13"/>
    </w:p>
    <w:p w14:paraId="31C2DDA8" w14:textId="77777777" w:rsidR="00E44CE5" w:rsidRPr="000E351A" w:rsidRDefault="00000000" w:rsidP="003C2F17">
      <w:r w:rsidRPr="000E351A">
        <w:t>Working capital management is fundamental to support liquidity, operational efficiencies and financial risk reduction in dynamic business contexts (</w:t>
      </w:r>
      <w:proofErr w:type="spellStart"/>
      <w:r w:rsidRPr="000E351A">
        <w:t>Hertina</w:t>
      </w:r>
      <w:proofErr w:type="spellEnd"/>
      <w:r w:rsidRPr="000E351A">
        <w:t xml:space="preserve"> </w:t>
      </w:r>
      <w:r w:rsidR="00A95525" w:rsidRPr="000E351A">
        <w:rPr>
          <w:i/>
          <w:iCs/>
        </w:rPr>
        <w:t>et al</w:t>
      </w:r>
      <w:r w:rsidRPr="000E351A">
        <w:t>., 2021). Cash operating cycle (COC) offers a complete analysis of the efficiency of a firm in its transformation of its investments in inventories and receivables to cash</w:t>
      </w:r>
      <w:r w:rsidR="00D02229" w:rsidRPr="000E351A">
        <w:t>.</w:t>
      </w:r>
    </w:p>
    <w:p w14:paraId="1BBE56C4" w14:textId="77777777" w:rsidR="00A3581B" w:rsidRPr="000E351A" w:rsidRDefault="00000000" w:rsidP="003C2F17">
      <w:pPr>
        <w:jc w:val="center"/>
      </w:pPr>
      <w:r w:rsidRPr="000E351A">
        <w:rPr>
          <w:noProof/>
        </w:rPr>
        <w:drawing>
          <wp:inline distT="0" distB="0" distL="0" distR="0" wp14:anchorId="524E7553" wp14:editId="26F7E55E">
            <wp:extent cx="4572000" cy="2743200"/>
            <wp:effectExtent l="0" t="0" r="0" b="0"/>
            <wp:docPr id="1649879457" name="Chart 1">
              <a:extLst xmlns:a="http://schemas.openxmlformats.org/drawingml/2006/main">
                <a:ext uri="{FF2B5EF4-FFF2-40B4-BE49-F238E27FC236}">
                  <a16:creationId xmlns:a16="http://schemas.microsoft.com/office/drawing/2014/main" id="{E5C9A5A0-1F17-200E-7967-C502EFA664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01363C8" w14:textId="77777777" w:rsidR="00705A68" w:rsidRPr="000E351A" w:rsidRDefault="00000000" w:rsidP="003C2F17">
      <w:pPr>
        <w:jc w:val="center"/>
        <w:rPr>
          <w:b/>
          <w:bCs/>
        </w:rPr>
      </w:pPr>
      <w:r w:rsidRPr="000E351A">
        <w:rPr>
          <w:b/>
          <w:bCs/>
        </w:rPr>
        <w:t xml:space="preserve">Figure 8: Cash operating cycle </w:t>
      </w:r>
    </w:p>
    <w:p w14:paraId="32E7F3E8" w14:textId="77777777" w:rsidR="00F27B2A" w:rsidRPr="000E351A" w:rsidRDefault="00000000" w:rsidP="003C2F17">
      <w:pPr>
        <w:spacing w:before="240" w:after="240"/>
        <w:jc w:val="center"/>
      </w:pPr>
      <w:r w:rsidRPr="000E351A">
        <w:t>(Source: Calculated by the learner)</w:t>
      </w:r>
    </w:p>
    <w:p w14:paraId="0784D5B0" w14:textId="77777777" w:rsidR="00E44CE5" w:rsidRPr="000E351A" w:rsidRDefault="00000000" w:rsidP="003C2F17">
      <w:pPr>
        <w:spacing w:before="240" w:after="240"/>
      </w:pPr>
      <w:r w:rsidRPr="000E351A">
        <w:t>Figure 8 illustrates that the cash operating cycle (COC) of General Electronics demonstrated significant variations between 2020 and 2024, which implies increased inefficiency in the use of working capital. COC stood at 108 days both in 2020 and 2021, with a slight increase in both inventory and receivable days in 2021, indicating any weaknesses emerging. This increased the situation in 2022 as the cycle reached 137 days, and inventory increased to 128 days, which is an indicator of excess inventory and possible forecasting problems. The 2023 COC reached 162 days, with the sharp rise in the number of days in receivables to 98 and continued large amounts of inventory missing on the shelves, indicating late payments to the customers, and sluggish behaviour. An intermediate drop in 2024 led to the COC falling to 121 days, much of the time because accounts payable increased to 94 days as the company lengthened the supplier payment days to take the strain off the liquidity account.</w:t>
      </w:r>
    </w:p>
    <w:p w14:paraId="0E068294" w14:textId="77777777" w:rsidR="006F533D" w:rsidRPr="000E351A" w:rsidRDefault="00000000" w:rsidP="003C2F17">
      <w:pPr>
        <w:pStyle w:val="Heading2"/>
      </w:pPr>
      <w:bookmarkStart w:id="14" w:name="_whj2ykovci87" w:colFirst="0" w:colLast="0"/>
      <w:bookmarkStart w:id="15" w:name="_Toc214722841"/>
      <w:bookmarkEnd w:id="14"/>
      <w:r w:rsidRPr="000E351A">
        <w:lastRenderedPageBreak/>
        <w:t>3.2 Strategies to improve liquidity through working capital reforms</w:t>
      </w:r>
      <w:bookmarkEnd w:id="15"/>
    </w:p>
    <w:p w14:paraId="2ACC1FBD" w14:textId="77777777" w:rsidR="00E44CE5" w:rsidRPr="000E351A" w:rsidRDefault="00000000" w:rsidP="003C2F17">
      <w:r w:rsidRPr="000E351A">
        <w:t>Effective working capital management is generally acknowledged as a key factor in determining the liquidity position of a firm and its financial health in general (</w:t>
      </w:r>
      <w:proofErr w:type="spellStart"/>
      <w:r w:rsidRPr="000E351A">
        <w:t>Mkadmi</w:t>
      </w:r>
      <w:proofErr w:type="spellEnd"/>
      <w:r w:rsidRPr="000E351A">
        <w:t xml:space="preserve"> and Ali, 2024). In the case of General Electronics, the implementable suggestive measures are as follows:</w:t>
      </w:r>
    </w:p>
    <w:p w14:paraId="73EA636F" w14:textId="77777777" w:rsidR="00AF3A87" w:rsidRPr="000E351A" w:rsidRDefault="00000000" w:rsidP="003C2F17">
      <w:pPr>
        <w:pStyle w:val="ListParagraph"/>
        <w:numPr>
          <w:ilvl w:val="0"/>
          <w:numId w:val="2"/>
        </w:numPr>
      </w:pPr>
      <w:r w:rsidRPr="000E351A">
        <w:rPr>
          <w:b/>
          <w:bCs/>
        </w:rPr>
        <w:t>Optimising inventory levels</w:t>
      </w:r>
      <w:r w:rsidRPr="000E351A">
        <w:t xml:space="preserve">: </w:t>
      </w:r>
      <w:r w:rsidR="00E44CE5" w:rsidRPr="000E351A">
        <w:t xml:space="preserve">The stocks in the 2020-2023 period mirror the years of 2020 in the same category, which means that the company holds excess stocks, which are unresponsive to demand, or products with sluggish sales. Installing a more advanced demand planning system, having more dependence on just-in-time (JIT) procurement, and categorising items under the ABC analysis system would assist in prioritising stock with high value and fast-moving items. </w:t>
      </w:r>
    </w:p>
    <w:p w14:paraId="01F587FF" w14:textId="77777777" w:rsidR="00AF3A87" w:rsidRPr="000E351A" w:rsidRDefault="00000000" w:rsidP="003C2F17">
      <w:pPr>
        <w:pStyle w:val="ListParagraph"/>
        <w:numPr>
          <w:ilvl w:val="0"/>
          <w:numId w:val="2"/>
        </w:numPr>
      </w:pPr>
      <w:r w:rsidRPr="000E351A">
        <w:rPr>
          <w:b/>
          <w:bCs/>
        </w:rPr>
        <w:t>Improving accounts payable practices</w:t>
      </w:r>
      <w:r w:rsidRPr="000E351A">
        <w:t xml:space="preserve">: </w:t>
      </w:r>
      <w:r w:rsidR="00E44CE5" w:rsidRPr="000E351A">
        <w:t xml:space="preserve">Although the liquidity was boosted by a temporary extension of 64 to 94 days of payables in 2023 and 2024, respectively, the long-term sustainable payment will hurt the relationship with suppliers. This should be balanced by creating better strategic supplier contracts where more extended payment terms would be negotiated, automated payment processing to prevent early payments and align payment and receivable length. </w:t>
      </w:r>
    </w:p>
    <w:p w14:paraId="436F000D" w14:textId="77777777" w:rsidR="00AF3A87" w:rsidRPr="000E351A" w:rsidRDefault="00000000" w:rsidP="003C2F17">
      <w:pPr>
        <w:pStyle w:val="ListParagraph"/>
        <w:numPr>
          <w:ilvl w:val="0"/>
          <w:numId w:val="2"/>
        </w:numPr>
      </w:pPr>
      <w:r w:rsidRPr="000E351A">
        <w:rPr>
          <w:b/>
          <w:bCs/>
        </w:rPr>
        <w:t xml:space="preserve">Enhancing </w:t>
      </w:r>
      <w:r w:rsidR="00AA0C1B" w:rsidRPr="000E351A">
        <w:rPr>
          <w:b/>
          <w:bCs/>
        </w:rPr>
        <w:t>cash forecasting and visibility</w:t>
      </w:r>
      <w:r w:rsidR="00AA0C1B" w:rsidRPr="000E351A">
        <w:t xml:space="preserve">: </w:t>
      </w:r>
      <w:r w:rsidR="00B34411" w:rsidRPr="000E351A">
        <w:t xml:space="preserve">The inability to generate cash adequately due to weak cash generation in 2022-2024 is a sign of a lack of foresight and proper forecasting. Introducing a unified cash flow forecasting system where the sale patterns and working capital ratios, and expenditures are included and scheduled can be used to anticipate any upcoming shortages and can, in turn, plan some corrective measures thereof. </w:t>
      </w:r>
    </w:p>
    <w:p w14:paraId="1461D855" w14:textId="77777777" w:rsidR="00E83B3C" w:rsidRPr="000E351A" w:rsidRDefault="00000000" w:rsidP="003C2F17">
      <w:pPr>
        <w:pStyle w:val="ListParagraph"/>
        <w:numPr>
          <w:ilvl w:val="0"/>
          <w:numId w:val="2"/>
        </w:numPr>
      </w:pPr>
      <w:r w:rsidRPr="000E351A">
        <w:rPr>
          <w:b/>
          <w:bCs/>
        </w:rPr>
        <w:t>Introducing internal performance incentives</w:t>
      </w:r>
      <w:r w:rsidR="00C510F9" w:rsidRPr="000E351A">
        <w:t xml:space="preserve">: </w:t>
      </w:r>
      <w:r w:rsidR="00B34411" w:rsidRPr="000E351A">
        <w:t xml:space="preserve">Working capital discipline can be enhanced by using performance-based KPIs of the finance, procurement and sales units. Measurements like receivable days, payments due, inventory turnover and early payment discounts adopted </w:t>
      </w:r>
      <w:r w:rsidR="00B77218" w:rsidRPr="000E351A">
        <w:t>can inculcate</w:t>
      </w:r>
      <w:r w:rsidR="00B34411" w:rsidRPr="000E351A">
        <w:t xml:space="preserve"> a spirit of liquidity awareness. Practice indicates that seeking cross-functional alignment is critical towards maintaining a long-term enhancement of cash conversion (</w:t>
      </w:r>
      <w:proofErr w:type="spellStart"/>
      <w:r w:rsidR="00B34411" w:rsidRPr="000E351A">
        <w:t>Harinurdin</w:t>
      </w:r>
      <w:proofErr w:type="spellEnd"/>
      <w:r w:rsidR="00B34411" w:rsidRPr="000E351A">
        <w:t>, 2023).</w:t>
      </w:r>
    </w:p>
    <w:p w14:paraId="08B4E4B0" w14:textId="77777777" w:rsidR="00C511D9" w:rsidRPr="00C511D9" w:rsidRDefault="00000000" w:rsidP="003C2F17">
      <w:pPr>
        <w:pStyle w:val="Heading2"/>
      </w:pPr>
      <w:bookmarkStart w:id="16" w:name="_Toc214722842"/>
      <w:r w:rsidRPr="000E351A">
        <w:lastRenderedPageBreak/>
        <w:t>3.3 Comparison of short-term vs long-term financing options</w:t>
      </w:r>
      <w:bookmarkEnd w:id="16"/>
      <w:r w:rsidRPr="000E351A">
        <w:t xml:space="preserve"> </w:t>
      </w:r>
    </w:p>
    <w:tbl>
      <w:tblPr>
        <w:tblStyle w:val="GridTable5Dark-Accent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24"/>
        <w:gridCol w:w="3092"/>
        <w:gridCol w:w="3803"/>
      </w:tblGrid>
      <w:tr w:rsidR="002B7029" w14:paraId="019964EA" w14:textId="77777777" w:rsidTr="002B702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B5E312" w14:textId="77777777" w:rsidR="00C511D9" w:rsidRPr="00C511D9" w:rsidRDefault="00000000" w:rsidP="003C2F17">
            <w:pPr>
              <w:jc w:val="center"/>
            </w:pPr>
            <w:r w:rsidRPr="00C511D9">
              <w:t>Criteria</w:t>
            </w:r>
          </w:p>
        </w:tc>
        <w:tc>
          <w:tcPr>
            <w:tcW w:w="0" w:type="auto"/>
            <w:hideMark/>
          </w:tcPr>
          <w:p w14:paraId="42D4E6AE" w14:textId="77777777" w:rsidR="00C511D9" w:rsidRPr="00C511D9" w:rsidRDefault="00000000" w:rsidP="003C2F17">
            <w:pPr>
              <w:jc w:val="center"/>
              <w:cnfStyle w:val="100000000000" w:firstRow="1" w:lastRow="0" w:firstColumn="0" w:lastColumn="0" w:oddVBand="0" w:evenVBand="0" w:oddHBand="0" w:evenHBand="0" w:firstRowFirstColumn="0" w:firstRowLastColumn="0" w:lastRowFirstColumn="0" w:lastRowLastColumn="0"/>
            </w:pPr>
            <w:r w:rsidRPr="00C511D9">
              <w:t>Short-</w:t>
            </w:r>
            <w:r w:rsidR="00FF473C" w:rsidRPr="000E351A">
              <w:t>t</w:t>
            </w:r>
            <w:r w:rsidRPr="00C511D9">
              <w:t xml:space="preserve">erm </w:t>
            </w:r>
            <w:r w:rsidR="00FF473C" w:rsidRPr="000E351A">
              <w:t>f</w:t>
            </w:r>
            <w:r w:rsidRPr="00C511D9">
              <w:t>inancing</w:t>
            </w:r>
          </w:p>
        </w:tc>
        <w:tc>
          <w:tcPr>
            <w:tcW w:w="0" w:type="auto"/>
            <w:hideMark/>
          </w:tcPr>
          <w:p w14:paraId="7CA28370" w14:textId="77777777" w:rsidR="00C511D9" w:rsidRPr="00C511D9" w:rsidRDefault="00000000" w:rsidP="003C2F17">
            <w:pPr>
              <w:jc w:val="center"/>
              <w:cnfStyle w:val="100000000000" w:firstRow="1" w:lastRow="0" w:firstColumn="0" w:lastColumn="0" w:oddVBand="0" w:evenVBand="0" w:oddHBand="0" w:evenHBand="0" w:firstRowFirstColumn="0" w:firstRowLastColumn="0" w:lastRowFirstColumn="0" w:lastRowLastColumn="0"/>
            </w:pPr>
            <w:r w:rsidRPr="00C511D9">
              <w:t>Long-</w:t>
            </w:r>
            <w:r w:rsidR="00FF473C" w:rsidRPr="000E351A">
              <w:t>t</w:t>
            </w:r>
            <w:r w:rsidRPr="00C511D9">
              <w:t xml:space="preserve">erm </w:t>
            </w:r>
            <w:r w:rsidR="00FF473C" w:rsidRPr="000E351A">
              <w:t>f</w:t>
            </w:r>
            <w:r w:rsidRPr="00C511D9">
              <w:t>inancing</w:t>
            </w:r>
          </w:p>
        </w:tc>
      </w:tr>
      <w:tr w:rsidR="002B7029" w14:paraId="370BFE0D" w14:textId="77777777" w:rsidTr="002B70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C116FB" w14:textId="77777777" w:rsidR="00C511D9" w:rsidRPr="00C511D9" w:rsidRDefault="00000000" w:rsidP="003C2F17">
            <w:r w:rsidRPr="00C511D9">
              <w:t>Purpose</w:t>
            </w:r>
          </w:p>
        </w:tc>
        <w:tc>
          <w:tcPr>
            <w:tcW w:w="0" w:type="auto"/>
            <w:hideMark/>
          </w:tcPr>
          <w:p w14:paraId="2E9BA14F" w14:textId="77777777" w:rsidR="00C511D9" w:rsidRPr="00C511D9" w:rsidRDefault="00000000" w:rsidP="003C2F17">
            <w:pPr>
              <w:cnfStyle w:val="000000100000" w:firstRow="0" w:lastRow="0" w:firstColumn="0" w:lastColumn="0" w:oddVBand="0" w:evenVBand="0" w:oddHBand="1" w:evenHBand="0" w:firstRowFirstColumn="0" w:firstRowLastColumn="0" w:lastRowFirstColumn="0" w:lastRowLastColumn="0"/>
            </w:pPr>
            <w:r w:rsidRPr="00C511D9">
              <w:t>Covers day-to-day working capital needs and cash flow gaps</w:t>
            </w:r>
          </w:p>
        </w:tc>
        <w:tc>
          <w:tcPr>
            <w:tcW w:w="0" w:type="auto"/>
            <w:hideMark/>
          </w:tcPr>
          <w:p w14:paraId="238817F6" w14:textId="77777777" w:rsidR="00C511D9" w:rsidRPr="00C511D9" w:rsidRDefault="00000000" w:rsidP="003C2F17">
            <w:pPr>
              <w:cnfStyle w:val="000000100000" w:firstRow="0" w:lastRow="0" w:firstColumn="0" w:lastColumn="0" w:oddVBand="0" w:evenVBand="0" w:oddHBand="1" w:evenHBand="0" w:firstRowFirstColumn="0" w:firstRowLastColumn="0" w:lastRowFirstColumn="0" w:lastRowLastColumn="0"/>
            </w:pPr>
            <w:r w:rsidRPr="00C511D9">
              <w:t>Supports long-term investments, restructuring, and capital projects</w:t>
            </w:r>
          </w:p>
        </w:tc>
      </w:tr>
      <w:tr w:rsidR="002B7029" w14:paraId="4EA030B5" w14:textId="77777777" w:rsidTr="002B7029">
        <w:tc>
          <w:tcPr>
            <w:cnfStyle w:val="001000000000" w:firstRow="0" w:lastRow="0" w:firstColumn="1" w:lastColumn="0" w:oddVBand="0" w:evenVBand="0" w:oddHBand="0" w:evenHBand="0" w:firstRowFirstColumn="0" w:firstRowLastColumn="0" w:lastRowFirstColumn="0" w:lastRowLastColumn="0"/>
            <w:tcW w:w="0" w:type="auto"/>
            <w:hideMark/>
          </w:tcPr>
          <w:p w14:paraId="621E0FB6" w14:textId="77777777" w:rsidR="00C511D9" w:rsidRPr="00C511D9" w:rsidRDefault="00000000" w:rsidP="003C2F17">
            <w:r w:rsidRPr="00C511D9">
              <w:t>Examples</w:t>
            </w:r>
          </w:p>
        </w:tc>
        <w:tc>
          <w:tcPr>
            <w:tcW w:w="0" w:type="auto"/>
            <w:hideMark/>
          </w:tcPr>
          <w:p w14:paraId="364DB4E6" w14:textId="77777777" w:rsidR="00C511D9" w:rsidRPr="00C511D9" w:rsidRDefault="00000000" w:rsidP="003C2F17">
            <w:pPr>
              <w:cnfStyle w:val="000000000000" w:firstRow="0" w:lastRow="0" w:firstColumn="0" w:lastColumn="0" w:oddVBand="0" w:evenVBand="0" w:oddHBand="0" w:evenHBand="0" w:firstRowFirstColumn="0" w:firstRowLastColumn="0" w:lastRowFirstColumn="0" w:lastRowLastColumn="0"/>
            </w:pPr>
            <w:r w:rsidRPr="00C511D9">
              <w:t>Overdrafts, lines of credit, trade credit, short-term loans, commercial paper</w:t>
            </w:r>
          </w:p>
        </w:tc>
        <w:tc>
          <w:tcPr>
            <w:tcW w:w="0" w:type="auto"/>
            <w:hideMark/>
          </w:tcPr>
          <w:p w14:paraId="5E21B817" w14:textId="77777777" w:rsidR="00C511D9" w:rsidRPr="00C511D9" w:rsidRDefault="00000000" w:rsidP="003C2F17">
            <w:pPr>
              <w:cnfStyle w:val="000000000000" w:firstRow="0" w:lastRow="0" w:firstColumn="0" w:lastColumn="0" w:oddVBand="0" w:evenVBand="0" w:oddHBand="0" w:evenHBand="0" w:firstRowFirstColumn="0" w:firstRowLastColumn="0" w:lastRowFirstColumn="0" w:lastRowLastColumn="0"/>
            </w:pPr>
            <w:r w:rsidRPr="00C511D9">
              <w:t>Term loans, corporate bonds, equity issuance, asset-backed financing</w:t>
            </w:r>
          </w:p>
        </w:tc>
      </w:tr>
      <w:tr w:rsidR="002B7029" w14:paraId="61CE7823" w14:textId="77777777" w:rsidTr="002B70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796E3C" w14:textId="77777777" w:rsidR="00C511D9" w:rsidRPr="00C511D9" w:rsidRDefault="00000000" w:rsidP="003C2F17">
            <w:r w:rsidRPr="00C511D9">
              <w:t>Cost of Capital</w:t>
            </w:r>
          </w:p>
        </w:tc>
        <w:tc>
          <w:tcPr>
            <w:tcW w:w="0" w:type="auto"/>
            <w:hideMark/>
          </w:tcPr>
          <w:p w14:paraId="3786F5E0" w14:textId="77777777" w:rsidR="00C511D9" w:rsidRPr="00C511D9" w:rsidRDefault="00000000" w:rsidP="003C2F17">
            <w:pPr>
              <w:cnfStyle w:val="000000100000" w:firstRow="0" w:lastRow="0" w:firstColumn="0" w:lastColumn="0" w:oddVBand="0" w:evenVBand="0" w:oddHBand="1" w:evenHBand="0" w:firstRowFirstColumn="0" w:firstRowLastColumn="0" w:lastRowFirstColumn="0" w:lastRowLastColumn="0"/>
            </w:pPr>
            <w:r w:rsidRPr="00C511D9">
              <w:t>Generally lower initially</w:t>
            </w:r>
            <w:r w:rsidR="0017334F" w:rsidRPr="000E351A">
              <w:t xml:space="preserve">; however, </w:t>
            </w:r>
            <w:r w:rsidRPr="00C511D9">
              <w:t>variable interest rates may increase costs.</w:t>
            </w:r>
          </w:p>
        </w:tc>
        <w:tc>
          <w:tcPr>
            <w:tcW w:w="0" w:type="auto"/>
            <w:hideMark/>
          </w:tcPr>
          <w:p w14:paraId="4F935270" w14:textId="77777777" w:rsidR="00C511D9" w:rsidRPr="00C511D9" w:rsidRDefault="00000000" w:rsidP="003C2F17">
            <w:pPr>
              <w:cnfStyle w:val="000000100000" w:firstRow="0" w:lastRow="0" w:firstColumn="0" w:lastColumn="0" w:oddVBand="0" w:evenVBand="0" w:oddHBand="1" w:evenHBand="0" w:firstRowFirstColumn="0" w:firstRowLastColumn="0" w:lastRowFirstColumn="0" w:lastRowLastColumn="0"/>
            </w:pPr>
            <w:r w:rsidRPr="000E351A">
              <w:t>Usually,</w:t>
            </w:r>
            <w:r w:rsidRPr="00C511D9">
              <w:t xml:space="preserve"> higher fixed or semi-fixed interest costs; equity has the highest cost</w:t>
            </w:r>
          </w:p>
        </w:tc>
      </w:tr>
      <w:tr w:rsidR="002B7029" w14:paraId="0747A01C" w14:textId="77777777" w:rsidTr="002B7029">
        <w:tc>
          <w:tcPr>
            <w:cnfStyle w:val="001000000000" w:firstRow="0" w:lastRow="0" w:firstColumn="1" w:lastColumn="0" w:oddVBand="0" w:evenVBand="0" w:oddHBand="0" w:evenHBand="0" w:firstRowFirstColumn="0" w:firstRowLastColumn="0" w:lastRowFirstColumn="0" w:lastRowLastColumn="0"/>
            <w:tcW w:w="0" w:type="auto"/>
            <w:hideMark/>
          </w:tcPr>
          <w:p w14:paraId="48E3D4AB" w14:textId="77777777" w:rsidR="00C511D9" w:rsidRPr="00C511D9" w:rsidRDefault="00000000" w:rsidP="003C2F17">
            <w:r w:rsidRPr="00C511D9">
              <w:t>Repayment Period</w:t>
            </w:r>
          </w:p>
        </w:tc>
        <w:tc>
          <w:tcPr>
            <w:tcW w:w="0" w:type="auto"/>
            <w:hideMark/>
          </w:tcPr>
          <w:p w14:paraId="67628AEC" w14:textId="77777777" w:rsidR="00C511D9" w:rsidRPr="00C511D9" w:rsidRDefault="00000000" w:rsidP="003C2F17">
            <w:pPr>
              <w:cnfStyle w:val="000000000000" w:firstRow="0" w:lastRow="0" w:firstColumn="0" w:lastColumn="0" w:oddVBand="0" w:evenVBand="0" w:oddHBand="0" w:evenHBand="0" w:firstRowFirstColumn="0" w:firstRowLastColumn="0" w:lastRowFirstColumn="0" w:lastRowLastColumn="0"/>
            </w:pPr>
            <w:r w:rsidRPr="00C511D9">
              <w:t>Due within 12 months</w:t>
            </w:r>
          </w:p>
        </w:tc>
        <w:tc>
          <w:tcPr>
            <w:tcW w:w="0" w:type="auto"/>
            <w:hideMark/>
          </w:tcPr>
          <w:p w14:paraId="4A7861AA" w14:textId="77777777" w:rsidR="00C511D9" w:rsidRPr="00C511D9" w:rsidRDefault="00000000" w:rsidP="003C2F17">
            <w:pPr>
              <w:cnfStyle w:val="000000000000" w:firstRow="0" w:lastRow="0" w:firstColumn="0" w:lastColumn="0" w:oddVBand="0" w:evenVBand="0" w:oddHBand="0" w:evenHBand="0" w:firstRowFirstColumn="0" w:firstRowLastColumn="0" w:lastRowFirstColumn="0" w:lastRowLastColumn="0"/>
            </w:pPr>
            <w:r w:rsidRPr="000E351A">
              <w:t>Typically,</w:t>
            </w:r>
            <w:r w:rsidRPr="00C511D9">
              <w:t xml:space="preserve"> 3–20 years</w:t>
            </w:r>
          </w:p>
        </w:tc>
      </w:tr>
      <w:tr w:rsidR="002B7029" w14:paraId="709D1010" w14:textId="77777777" w:rsidTr="002B70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D6147B" w14:textId="77777777" w:rsidR="00C511D9" w:rsidRPr="00C511D9" w:rsidRDefault="00000000" w:rsidP="003C2F17">
            <w:r w:rsidRPr="00C511D9">
              <w:t>Flexibility</w:t>
            </w:r>
          </w:p>
        </w:tc>
        <w:tc>
          <w:tcPr>
            <w:tcW w:w="0" w:type="auto"/>
            <w:hideMark/>
          </w:tcPr>
          <w:p w14:paraId="6CDCA95E" w14:textId="77777777" w:rsidR="00C511D9" w:rsidRPr="00C511D9" w:rsidRDefault="00000000" w:rsidP="003C2F17">
            <w:pPr>
              <w:cnfStyle w:val="000000100000" w:firstRow="0" w:lastRow="0" w:firstColumn="0" w:lastColumn="0" w:oddVBand="0" w:evenVBand="0" w:oddHBand="1" w:evenHBand="0" w:firstRowFirstColumn="0" w:firstRowLastColumn="0" w:lastRowFirstColumn="0" w:lastRowLastColumn="0"/>
            </w:pPr>
            <w:r w:rsidRPr="00C511D9">
              <w:t>Highly flexible, quick access to funds</w:t>
            </w:r>
          </w:p>
        </w:tc>
        <w:tc>
          <w:tcPr>
            <w:tcW w:w="0" w:type="auto"/>
            <w:hideMark/>
          </w:tcPr>
          <w:p w14:paraId="685A708F" w14:textId="77777777" w:rsidR="00C511D9" w:rsidRPr="00C511D9" w:rsidRDefault="00000000" w:rsidP="003C2F17">
            <w:pPr>
              <w:cnfStyle w:val="000000100000" w:firstRow="0" w:lastRow="0" w:firstColumn="0" w:lastColumn="0" w:oddVBand="0" w:evenVBand="0" w:oddHBand="1" w:evenHBand="0" w:firstRowFirstColumn="0" w:firstRowLastColumn="0" w:lastRowFirstColumn="0" w:lastRowLastColumn="0"/>
            </w:pPr>
            <w:r w:rsidRPr="00C511D9">
              <w:t>Less flexible, involves long-term commitments</w:t>
            </w:r>
          </w:p>
        </w:tc>
      </w:tr>
      <w:tr w:rsidR="002B7029" w14:paraId="468A47F3" w14:textId="77777777" w:rsidTr="002B7029">
        <w:tc>
          <w:tcPr>
            <w:cnfStyle w:val="001000000000" w:firstRow="0" w:lastRow="0" w:firstColumn="1" w:lastColumn="0" w:oddVBand="0" w:evenVBand="0" w:oddHBand="0" w:evenHBand="0" w:firstRowFirstColumn="0" w:firstRowLastColumn="0" w:lastRowFirstColumn="0" w:lastRowLastColumn="0"/>
            <w:tcW w:w="0" w:type="auto"/>
            <w:hideMark/>
          </w:tcPr>
          <w:p w14:paraId="547E2827" w14:textId="77777777" w:rsidR="00C511D9" w:rsidRPr="00C511D9" w:rsidRDefault="00000000" w:rsidP="003C2F17">
            <w:r w:rsidRPr="00C511D9">
              <w:t>Risk Level</w:t>
            </w:r>
          </w:p>
        </w:tc>
        <w:tc>
          <w:tcPr>
            <w:tcW w:w="0" w:type="auto"/>
            <w:hideMark/>
          </w:tcPr>
          <w:p w14:paraId="06D74134" w14:textId="77777777" w:rsidR="00C511D9" w:rsidRPr="00C511D9" w:rsidRDefault="00000000" w:rsidP="003C2F17">
            <w:pPr>
              <w:cnfStyle w:val="000000000000" w:firstRow="0" w:lastRow="0" w:firstColumn="0" w:lastColumn="0" w:oddVBand="0" w:evenVBand="0" w:oddHBand="0" w:evenHBand="0" w:firstRowFirstColumn="0" w:firstRowLastColumn="0" w:lastRowFirstColumn="0" w:lastRowLastColumn="0"/>
            </w:pPr>
            <w:r w:rsidRPr="00C511D9">
              <w:t>High refinancing and liquidity risk, especially for distressed firms</w:t>
            </w:r>
          </w:p>
        </w:tc>
        <w:tc>
          <w:tcPr>
            <w:tcW w:w="0" w:type="auto"/>
            <w:hideMark/>
          </w:tcPr>
          <w:p w14:paraId="0AED23FD" w14:textId="77777777" w:rsidR="00C511D9" w:rsidRPr="00C511D9" w:rsidRDefault="00000000" w:rsidP="003C2F17">
            <w:pPr>
              <w:cnfStyle w:val="000000000000" w:firstRow="0" w:lastRow="0" w:firstColumn="0" w:lastColumn="0" w:oddVBand="0" w:evenVBand="0" w:oddHBand="0" w:evenHBand="0" w:firstRowFirstColumn="0" w:firstRowLastColumn="0" w:lastRowFirstColumn="0" w:lastRowLastColumn="0"/>
            </w:pPr>
            <w:r w:rsidRPr="00C511D9">
              <w:t>Lower refinancing risk</w:t>
            </w:r>
            <w:r w:rsidR="0017334F" w:rsidRPr="000E351A">
              <w:t xml:space="preserve">; however, </w:t>
            </w:r>
            <w:r w:rsidRPr="00C511D9">
              <w:t>higher covenant and compliance requirements</w:t>
            </w:r>
          </w:p>
        </w:tc>
      </w:tr>
      <w:tr w:rsidR="002B7029" w14:paraId="18CB6145" w14:textId="77777777" w:rsidTr="002B70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F7011B" w14:textId="77777777" w:rsidR="00C511D9" w:rsidRPr="00C511D9" w:rsidRDefault="00000000" w:rsidP="003C2F17">
            <w:r w:rsidRPr="00C511D9">
              <w:t>Impact on Liquidity</w:t>
            </w:r>
          </w:p>
        </w:tc>
        <w:tc>
          <w:tcPr>
            <w:tcW w:w="0" w:type="auto"/>
            <w:hideMark/>
          </w:tcPr>
          <w:p w14:paraId="3BF23BC1" w14:textId="77777777" w:rsidR="00C511D9" w:rsidRPr="00C511D9" w:rsidRDefault="00000000" w:rsidP="003C2F17">
            <w:pPr>
              <w:cnfStyle w:val="000000100000" w:firstRow="0" w:lastRow="0" w:firstColumn="0" w:lastColumn="0" w:oddVBand="0" w:evenVBand="0" w:oddHBand="1" w:evenHBand="0" w:firstRowFirstColumn="0" w:firstRowLastColumn="0" w:lastRowFirstColumn="0" w:lastRowLastColumn="0"/>
            </w:pPr>
            <w:r w:rsidRPr="00C511D9">
              <w:t>Supports short-term liquidity</w:t>
            </w:r>
            <w:r w:rsidR="0017334F" w:rsidRPr="000E351A">
              <w:t xml:space="preserve">; however, it </w:t>
            </w:r>
            <w:r w:rsidRPr="00C511D9">
              <w:t>may worsen stress if overused</w:t>
            </w:r>
          </w:p>
        </w:tc>
        <w:tc>
          <w:tcPr>
            <w:tcW w:w="0" w:type="auto"/>
            <w:hideMark/>
          </w:tcPr>
          <w:p w14:paraId="56EB37E0" w14:textId="77777777" w:rsidR="00C511D9" w:rsidRPr="00C511D9" w:rsidRDefault="00000000" w:rsidP="003C2F17">
            <w:pPr>
              <w:cnfStyle w:val="000000100000" w:firstRow="0" w:lastRow="0" w:firstColumn="0" w:lastColumn="0" w:oddVBand="0" w:evenVBand="0" w:oddHBand="1" w:evenHBand="0" w:firstRowFirstColumn="0" w:firstRowLastColumn="0" w:lastRowFirstColumn="0" w:lastRowLastColumn="0"/>
            </w:pPr>
            <w:r w:rsidRPr="00C511D9">
              <w:t>Enhances liquidity by spreading repayment obligations</w:t>
            </w:r>
          </w:p>
        </w:tc>
      </w:tr>
      <w:tr w:rsidR="002B7029" w14:paraId="096B5C40" w14:textId="77777777" w:rsidTr="002B7029">
        <w:tc>
          <w:tcPr>
            <w:cnfStyle w:val="001000000000" w:firstRow="0" w:lastRow="0" w:firstColumn="1" w:lastColumn="0" w:oddVBand="0" w:evenVBand="0" w:oddHBand="0" w:evenHBand="0" w:firstRowFirstColumn="0" w:firstRowLastColumn="0" w:lastRowFirstColumn="0" w:lastRowLastColumn="0"/>
            <w:tcW w:w="0" w:type="auto"/>
            <w:hideMark/>
          </w:tcPr>
          <w:p w14:paraId="4D5F6630" w14:textId="77777777" w:rsidR="00C511D9" w:rsidRPr="00C511D9" w:rsidRDefault="00000000" w:rsidP="003C2F17">
            <w:r w:rsidRPr="00C511D9">
              <w:t>Impact on Leverage</w:t>
            </w:r>
          </w:p>
        </w:tc>
        <w:tc>
          <w:tcPr>
            <w:tcW w:w="0" w:type="auto"/>
            <w:hideMark/>
          </w:tcPr>
          <w:p w14:paraId="5FE01C46" w14:textId="77777777" w:rsidR="00C511D9" w:rsidRPr="00C511D9" w:rsidRDefault="00000000" w:rsidP="003C2F17">
            <w:pPr>
              <w:cnfStyle w:val="000000000000" w:firstRow="0" w:lastRow="0" w:firstColumn="0" w:lastColumn="0" w:oddVBand="0" w:evenVBand="0" w:oddHBand="0" w:evenHBand="0" w:firstRowFirstColumn="0" w:firstRowLastColumn="0" w:lastRowFirstColumn="0" w:lastRowLastColumn="0"/>
            </w:pPr>
            <w:r w:rsidRPr="00C511D9">
              <w:t>Increases short-term liabilities and gearing</w:t>
            </w:r>
          </w:p>
        </w:tc>
        <w:tc>
          <w:tcPr>
            <w:tcW w:w="0" w:type="auto"/>
            <w:hideMark/>
          </w:tcPr>
          <w:p w14:paraId="33A9854B" w14:textId="77777777" w:rsidR="00C511D9" w:rsidRPr="00C511D9" w:rsidRDefault="00000000" w:rsidP="003C2F17">
            <w:pPr>
              <w:cnfStyle w:val="000000000000" w:firstRow="0" w:lastRow="0" w:firstColumn="0" w:lastColumn="0" w:oddVBand="0" w:evenVBand="0" w:oddHBand="0" w:evenHBand="0" w:firstRowFirstColumn="0" w:firstRowLastColumn="0" w:lastRowFirstColumn="0" w:lastRowLastColumn="0"/>
            </w:pPr>
            <w:r w:rsidRPr="00C511D9">
              <w:t>Can increase long-term debt</w:t>
            </w:r>
            <w:r w:rsidR="0017334F" w:rsidRPr="000E351A">
              <w:t xml:space="preserve">; however, </w:t>
            </w:r>
            <w:r w:rsidRPr="00C511D9">
              <w:t>it may improve the structure if refinancing short-term debt.</w:t>
            </w:r>
          </w:p>
        </w:tc>
      </w:tr>
      <w:tr w:rsidR="002B7029" w14:paraId="0E63163B" w14:textId="77777777" w:rsidTr="002B702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6BEBA18" w14:textId="77777777" w:rsidR="00C511D9" w:rsidRPr="00C511D9" w:rsidRDefault="00000000" w:rsidP="003C2F17">
            <w:r w:rsidRPr="00C511D9">
              <w:t>Suitability for General Electronics</w:t>
            </w:r>
          </w:p>
        </w:tc>
        <w:tc>
          <w:tcPr>
            <w:tcW w:w="0" w:type="auto"/>
            <w:hideMark/>
          </w:tcPr>
          <w:p w14:paraId="0DF6296D" w14:textId="77777777" w:rsidR="00C511D9" w:rsidRPr="00C511D9" w:rsidRDefault="00000000" w:rsidP="003C2F17">
            <w:pPr>
              <w:cnfStyle w:val="000000100000" w:firstRow="0" w:lastRow="0" w:firstColumn="0" w:lastColumn="0" w:oddVBand="0" w:evenVBand="0" w:oddHBand="1" w:evenHBand="0" w:firstRowFirstColumn="0" w:firstRowLastColumn="0" w:lastRowFirstColumn="0" w:lastRowLastColumn="0"/>
            </w:pPr>
            <w:r w:rsidRPr="00C511D9">
              <w:t>Useful for temporary cash shortages</w:t>
            </w:r>
            <w:r w:rsidR="0017334F" w:rsidRPr="000E351A">
              <w:t xml:space="preserve">; however, </w:t>
            </w:r>
            <w:r w:rsidRPr="00C511D9">
              <w:t>currently over-relied upon</w:t>
            </w:r>
          </w:p>
        </w:tc>
        <w:tc>
          <w:tcPr>
            <w:tcW w:w="0" w:type="auto"/>
            <w:hideMark/>
          </w:tcPr>
          <w:p w14:paraId="379FF412" w14:textId="77777777" w:rsidR="00C511D9" w:rsidRPr="00C511D9" w:rsidRDefault="00000000" w:rsidP="003C2F17">
            <w:pPr>
              <w:cnfStyle w:val="000000100000" w:firstRow="0" w:lastRow="0" w:firstColumn="0" w:lastColumn="0" w:oddVBand="0" w:evenVBand="0" w:oddHBand="1" w:evenHBand="0" w:firstRowFirstColumn="0" w:firstRowLastColumn="0" w:lastRowFirstColumn="0" w:lastRowLastColumn="0"/>
            </w:pPr>
            <w:r w:rsidRPr="00C511D9">
              <w:t>Better suited for balance sheet strengthening and funding restructuring plans</w:t>
            </w:r>
          </w:p>
        </w:tc>
      </w:tr>
    </w:tbl>
    <w:p w14:paraId="0A58980C" w14:textId="77777777" w:rsidR="00B920FD" w:rsidRPr="000E351A" w:rsidRDefault="00B920FD" w:rsidP="003C2F17"/>
    <w:p w14:paraId="03CDCA32" w14:textId="77777777" w:rsidR="00A104A0" w:rsidRPr="000E351A" w:rsidRDefault="00000000" w:rsidP="003C2F17">
      <w:r w:rsidRPr="000E351A">
        <w:t xml:space="preserve">The selection of a proper financing structure plays an important role in the adoption of a balance between the short-run liquidity and long-run strategic objectives. According to the financial theory, a company is supposed to align the maturity of financing with the life of the assets being financed (Ramadani and </w:t>
      </w:r>
      <w:proofErr w:type="spellStart"/>
      <w:r w:rsidRPr="000E351A">
        <w:t>Ratmono</w:t>
      </w:r>
      <w:proofErr w:type="spellEnd"/>
      <w:r w:rsidRPr="000E351A">
        <w:t xml:space="preserve">, 2023). In the case of </w:t>
      </w:r>
      <w:r w:rsidRPr="000E351A">
        <w:lastRenderedPageBreak/>
        <w:t>General Electronics, which is in extensive financial distress, consideration of trade-offs between long and short-term financing is vital. Short-term financing: Overdrafts, trade credit and revolving credit facility- Short-term funding provides a quick and flexible access to funds</w:t>
      </w:r>
      <w:r w:rsidR="0017334F" w:rsidRPr="000E351A">
        <w:t xml:space="preserve">; however, it </w:t>
      </w:r>
      <w:r w:rsidRPr="000E351A">
        <w:t>is associated with a high refinancing risk</w:t>
      </w:r>
      <w:r w:rsidR="00991CA1" w:rsidRPr="000E351A">
        <w:t>. On the other hand</w:t>
      </w:r>
      <w:r w:rsidRPr="000E351A">
        <w:t xml:space="preserve">, long-term financing, which encompasses term loans, corporate bonds, equity injection or asset-based borrowing, is more stable and less urgent and demanding of the current cash flow and therefore is more applicable in restructuring and investment requirements. Long-term capital can be used to enhance solvency, although it might incur additional expenses or dilution of shareholders. </w:t>
      </w:r>
      <w:r w:rsidR="00991CA1" w:rsidRPr="000E351A">
        <w:t>Overall</w:t>
      </w:r>
      <w:r w:rsidRPr="000E351A">
        <w:t>, General Electronics ought to strike a balance between the two sources and utilise the short-term finance sparingly, preferring long-term funding to subsidise sustainable recovery.</w:t>
      </w:r>
    </w:p>
    <w:p w14:paraId="08D29EBC" w14:textId="77777777" w:rsidR="006F533D" w:rsidRPr="000E351A" w:rsidRDefault="00000000" w:rsidP="003C2F17">
      <w:pPr>
        <w:pStyle w:val="Heading1"/>
        <w:rPr>
          <w:highlight w:val="cyan"/>
        </w:rPr>
      </w:pPr>
      <w:bookmarkStart w:id="17" w:name="_Toc214722843"/>
      <w:r w:rsidRPr="000E351A">
        <w:t>4. Strategic financial restructuring plan</w:t>
      </w:r>
      <w:bookmarkEnd w:id="17"/>
    </w:p>
    <w:p w14:paraId="1320391D" w14:textId="77777777" w:rsidR="006F533D" w:rsidRPr="000E351A" w:rsidRDefault="00000000" w:rsidP="003C2F17">
      <w:pPr>
        <w:pStyle w:val="Heading2"/>
      </w:pPr>
      <w:bookmarkStart w:id="18" w:name="_2kwkz762vo6i" w:colFirst="0" w:colLast="0"/>
      <w:bookmarkStart w:id="19" w:name="_Toc214722844"/>
      <w:bookmarkEnd w:id="18"/>
      <w:r w:rsidRPr="000E351A">
        <w:t>4.1 Recommend financial restructuring options</w:t>
      </w:r>
      <w:bookmarkEnd w:id="19"/>
      <w:r w:rsidRPr="000E351A">
        <w:t xml:space="preserve"> </w:t>
      </w:r>
    </w:p>
    <w:p w14:paraId="563BC475" w14:textId="77777777" w:rsidR="00DC7CC6" w:rsidRPr="00DC7CC6" w:rsidRDefault="00000000" w:rsidP="003C2F17">
      <w:pPr>
        <w:rPr>
          <w:b/>
          <w:bCs/>
        </w:rPr>
      </w:pPr>
      <w:r w:rsidRPr="00DC7CC6">
        <w:rPr>
          <w:b/>
          <w:bCs/>
        </w:rPr>
        <w:t xml:space="preserve">Divestiture </w:t>
      </w:r>
      <w:r w:rsidRPr="000E351A">
        <w:rPr>
          <w:b/>
          <w:bCs/>
        </w:rPr>
        <w:t xml:space="preserve">of non-core or underperforming assets: </w:t>
      </w:r>
      <w:r w:rsidR="00A104A0" w:rsidRPr="000E351A">
        <w:t>Divestiture is a good option for getting held capital out as well as enhancing concentration and getting cash to pay off debts. The falling asset base and increase in inventory of General Electronics indicate that there could be a few product lines or geographical divisions that are not performing well. Disposing of non-core subsidiaries, obsolete product lines or unnecessary manufacturing plants might offer short-term cash flow and assist in simplifying business. It will depreciate future profitability as it will lower the depreciation and operating costs.</w:t>
      </w:r>
    </w:p>
    <w:p w14:paraId="4DEC9BD0" w14:textId="77777777" w:rsidR="00DC7CC6" w:rsidRPr="00DC7CC6" w:rsidRDefault="00000000" w:rsidP="003C2F17">
      <w:pPr>
        <w:rPr>
          <w:b/>
          <w:bCs/>
        </w:rPr>
      </w:pPr>
      <w:r w:rsidRPr="00DC7CC6">
        <w:rPr>
          <w:b/>
          <w:bCs/>
        </w:rPr>
        <w:t xml:space="preserve">Strategic </w:t>
      </w:r>
      <w:r w:rsidRPr="000E351A">
        <w:rPr>
          <w:b/>
          <w:bCs/>
        </w:rPr>
        <w:t xml:space="preserve">merger or partnership: </w:t>
      </w:r>
      <w:r w:rsidR="00A104A0" w:rsidRPr="000E351A">
        <w:t>Considering that the consumer electronics market is competitive in the world arena, a merger or strategic alliance could promote scale economies, technological strengths and market penetration. A consolidation with a more advanced or more competitive rival might allow them to have cost-saving functions, supply chain economies of scale and joint research and development. Alternatively, there are joint productions, particularly by forming alliances to ensure that the capital expenditure is reduced, whereas competitiveness increases.</w:t>
      </w:r>
    </w:p>
    <w:p w14:paraId="09225634" w14:textId="77777777" w:rsidR="00DC7CC6" w:rsidRPr="00DC7CC6" w:rsidRDefault="00000000" w:rsidP="003C2F17">
      <w:pPr>
        <w:rPr>
          <w:b/>
          <w:bCs/>
        </w:rPr>
      </w:pPr>
      <w:r w:rsidRPr="00DC7CC6">
        <w:rPr>
          <w:b/>
          <w:bCs/>
        </w:rPr>
        <w:t xml:space="preserve">Equity </w:t>
      </w:r>
      <w:r w:rsidRPr="000E351A">
        <w:rPr>
          <w:b/>
          <w:bCs/>
        </w:rPr>
        <w:t xml:space="preserve">injection: </w:t>
      </w:r>
      <w:r w:rsidR="00A104A0" w:rsidRPr="000E351A">
        <w:t>The capital base of the company would be improved by an injection of equity either in new shares, or in a private placement or strategic investor, and would lessen the dependence on short-term debt. This might lead to solvent dilution</w:t>
      </w:r>
      <w:r w:rsidR="0017334F" w:rsidRPr="000E351A">
        <w:t xml:space="preserve">; </w:t>
      </w:r>
      <w:r w:rsidR="0017334F" w:rsidRPr="000E351A">
        <w:lastRenderedPageBreak/>
        <w:t xml:space="preserve">however, </w:t>
      </w:r>
      <w:r w:rsidR="00A104A0" w:rsidRPr="000E351A">
        <w:t>the advantages are better solvency ratios, credit position and its ability to absorb a loss. Equity financing has the flexibility to restructure without the need to make repayments immediately.</w:t>
      </w:r>
    </w:p>
    <w:p w14:paraId="0551C1FD" w14:textId="77777777" w:rsidR="00DC7CC6" w:rsidRPr="00DC7CC6" w:rsidRDefault="00000000" w:rsidP="003C2F17">
      <w:pPr>
        <w:rPr>
          <w:b/>
          <w:bCs/>
        </w:rPr>
      </w:pPr>
      <w:r w:rsidRPr="00DC7CC6">
        <w:rPr>
          <w:b/>
          <w:bCs/>
        </w:rPr>
        <w:t xml:space="preserve">Debt </w:t>
      </w:r>
      <w:r w:rsidRPr="000E351A">
        <w:rPr>
          <w:b/>
          <w:bCs/>
        </w:rPr>
        <w:t xml:space="preserve">restructuring and refinancing: </w:t>
      </w:r>
      <w:r w:rsidR="0024181D" w:rsidRPr="000E351A">
        <w:t>It is important to restructure current debt as the debt equity ratio is on the rise, and the interest coverage is lowering. Long-term maturity, reduced rates of interest, or partial debt waiver with creditors may stabilise the cash flows. The company can refinance high-cost short-term borrowings with long-term loans or bonds. The restructuring of debt would alleviate the pressure on liquidity and reduce turnaround.</w:t>
      </w:r>
    </w:p>
    <w:p w14:paraId="2C8BCA1F" w14:textId="77777777" w:rsidR="00DC7CC6" w:rsidRPr="000E351A" w:rsidRDefault="00000000" w:rsidP="003C2F17">
      <w:pPr>
        <w:rPr>
          <w:b/>
          <w:bCs/>
        </w:rPr>
      </w:pPr>
      <w:r w:rsidRPr="00DC7CC6">
        <w:rPr>
          <w:b/>
          <w:bCs/>
        </w:rPr>
        <w:t xml:space="preserve">Cost </w:t>
      </w:r>
      <w:r w:rsidRPr="000E351A">
        <w:rPr>
          <w:b/>
          <w:bCs/>
        </w:rPr>
        <w:t xml:space="preserve">rationalisation and operational restructuring: </w:t>
      </w:r>
      <w:r w:rsidR="0024181D" w:rsidRPr="000E351A">
        <w:t>Operational reforms are supposed to go hand in hand with financial restructuring to achieve sustainability in the long run. Some might include workforce optimisation, supply chain redesign, shutting down of unproductive plants and automation. This would improve productivity and overheads and help recover finances.</w:t>
      </w:r>
    </w:p>
    <w:p w14:paraId="09D5DE7B" w14:textId="77777777" w:rsidR="006F533D" w:rsidRPr="000E351A" w:rsidRDefault="00000000" w:rsidP="003C2F17">
      <w:pPr>
        <w:pStyle w:val="Heading2"/>
      </w:pPr>
      <w:bookmarkStart w:id="20" w:name="_hcol1ed9g833" w:colFirst="0" w:colLast="0"/>
      <w:bookmarkStart w:id="21" w:name="_Toc214722845"/>
      <w:bookmarkEnd w:id="20"/>
      <w:r w:rsidRPr="000E351A">
        <w:t>4.2 Impact evaluation on shareholder value, debt structure, and operational flexibility</w:t>
      </w:r>
      <w:bookmarkEnd w:id="21"/>
    </w:p>
    <w:p w14:paraId="6CC4D8A4" w14:textId="77777777" w:rsidR="00B23204" w:rsidRPr="000E351A" w:rsidRDefault="00000000" w:rsidP="003C2F17">
      <w:pPr>
        <w:rPr>
          <w:b/>
          <w:bCs/>
          <w:i/>
          <w:iCs/>
        </w:rPr>
      </w:pPr>
      <w:r w:rsidRPr="000E351A">
        <w:rPr>
          <w:b/>
          <w:bCs/>
          <w:i/>
          <w:iCs/>
        </w:rPr>
        <w:t xml:space="preserve">4.2.1 </w:t>
      </w:r>
      <w:r w:rsidRPr="00B23204">
        <w:rPr>
          <w:b/>
          <w:bCs/>
          <w:i/>
          <w:iCs/>
        </w:rPr>
        <w:t xml:space="preserve">Impact on </w:t>
      </w:r>
      <w:r w:rsidRPr="000E351A">
        <w:rPr>
          <w:b/>
          <w:bCs/>
          <w:i/>
          <w:iCs/>
        </w:rPr>
        <w:t>s</w:t>
      </w:r>
      <w:r w:rsidRPr="00B23204">
        <w:rPr>
          <w:b/>
          <w:bCs/>
          <w:i/>
          <w:iCs/>
        </w:rPr>
        <w:t xml:space="preserve">hareholder </w:t>
      </w:r>
      <w:r w:rsidRPr="000E351A">
        <w:rPr>
          <w:b/>
          <w:bCs/>
          <w:i/>
          <w:iCs/>
        </w:rPr>
        <w:t>v</w:t>
      </w:r>
      <w:r w:rsidRPr="00B23204">
        <w:rPr>
          <w:b/>
          <w:bCs/>
          <w:i/>
          <w:iCs/>
        </w:rPr>
        <w:t>alue</w:t>
      </w:r>
    </w:p>
    <w:p w14:paraId="56B8021D" w14:textId="77777777" w:rsidR="00351AF4" w:rsidRPr="00B23204" w:rsidRDefault="00000000" w:rsidP="003C2F17">
      <w:r w:rsidRPr="000E351A">
        <w:t>The effects of shareholder value of restructuring will be based on the trade between long-term stability, improvement in profitability and dilution (</w:t>
      </w:r>
      <w:proofErr w:type="spellStart"/>
      <w:r w:rsidRPr="000E351A">
        <w:t>Dillak</w:t>
      </w:r>
      <w:proofErr w:type="spellEnd"/>
      <w:r w:rsidRPr="000E351A">
        <w:t xml:space="preserve"> and </w:t>
      </w:r>
      <w:proofErr w:type="spellStart"/>
      <w:r w:rsidRPr="000E351A">
        <w:t>Siburian</w:t>
      </w:r>
      <w:proofErr w:type="spellEnd"/>
      <w:r w:rsidRPr="000E351A">
        <w:t>, 2021). Divestitures can lead to a decrease in revenue followed by an improvement in profitability as the profit-losing departments are eliminated. A merger would bring about massive value in the case of synergies and enhanced competitiveness. Equity injections can de-toxic a holding, though they can serve as a vastly better way of enhancing the solvency position, mitigating financial risk or rebuilding market trust. In the medium term, the decrease in leverage and the improvement of liquidity will probably make the company worth more and bring fresh investors.</w:t>
      </w:r>
    </w:p>
    <w:p w14:paraId="6C35FA29" w14:textId="77777777" w:rsidR="00B23204" w:rsidRPr="000E351A" w:rsidRDefault="00000000" w:rsidP="003C2F17">
      <w:pPr>
        <w:rPr>
          <w:b/>
          <w:bCs/>
          <w:i/>
          <w:iCs/>
        </w:rPr>
      </w:pPr>
      <w:r w:rsidRPr="000E351A">
        <w:rPr>
          <w:b/>
          <w:bCs/>
          <w:i/>
          <w:iCs/>
        </w:rPr>
        <w:t xml:space="preserve">4.2.2 </w:t>
      </w:r>
      <w:r w:rsidRPr="00B23204">
        <w:rPr>
          <w:b/>
          <w:bCs/>
          <w:i/>
          <w:iCs/>
        </w:rPr>
        <w:t xml:space="preserve">Impact on </w:t>
      </w:r>
      <w:r w:rsidRPr="000E351A">
        <w:rPr>
          <w:b/>
          <w:bCs/>
          <w:i/>
          <w:iCs/>
        </w:rPr>
        <w:t>d</w:t>
      </w:r>
      <w:r w:rsidRPr="00B23204">
        <w:rPr>
          <w:b/>
          <w:bCs/>
          <w:i/>
          <w:iCs/>
        </w:rPr>
        <w:t xml:space="preserve">ebt </w:t>
      </w:r>
      <w:r w:rsidRPr="000E351A">
        <w:rPr>
          <w:b/>
          <w:bCs/>
          <w:i/>
          <w:iCs/>
        </w:rPr>
        <w:t>s</w:t>
      </w:r>
      <w:r w:rsidRPr="00B23204">
        <w:rPr>
          <w:b/>
          <w:bCs/>
          <w:i/>
          <w:iCs/>
        </w:rPr>
        <w:t>tructure</w:t>
      </w:r>
    </w:p>
    <w:p w14:paraId="6DCAD8C0" w14:textId="77777777" w:rsidR="00351AF4" w:rsidRPr="00B23204" w:rsidRDefault="00000000" w:rsidP="003C2F17">
      <w:r w:rsidRPr="000E351A">
        <w:t>The reorganisation and refinancing of debt have a direct positive effect on leverage ratios and the interest coverage (</w:t>
      </w:r>
      <w:proofErr w:type="spellStart"/>
      <w:r w:rsidRPr="000E351A">
        <w:t>Imansyah</w:t>
      </w:r>
      <w:proofErr w:type="spellEnd"/>
      <w:r w:rsidRPr="000E351A">
        <w:t xml:space="preserve"> and Mustafa, 2021). The conversion of costly short-term financing into longer-term financing will help General Electronics to minimise the refinancing risk and monthly cash outflow. Debt can be settled with the proceeds of a trade-off or an issue of equity, which reduces the total gearing. Better </w:t>
      </w:r>
      <w:r w:rsidRPr="000E351A">
        <w:lastRenderedPageBreak/>
        <w:t>debt structure leads to an increase in creditworthiness, allowing the attainment of better financing conditions in future.</w:t>
      </w:r>
    </w:p>
    <w:p w14:paraId="19EA2049" w14:textId="77777777" w:rsidR="00B23204" w:rsidRPr="000E351A" w:rsidRDefault="00000000" w:rsidP="003C2F17">
      <w:pPr>
        <w:rPr>
          <w:b/>
          <w:bCs/>
          <w:i/>
          <w:iCs/>
        </w:rPr>
      </w:pPr>
      <w:r w:rsidRPr="000E351A">
        <w:rPr>
          <w:b/>
          <w:bCs/>
          <w:i/>
          <w:iCs/>
        </w:rPr>
        <w:t xml:space="preserve">4.2.3 </w:t>
      </w:r>
      <w:r w:rsidRPr="00B23204">
        <w:rPr>
          <w:b/>
          <w:bCs/>
          <w:i/>
          <w:iCs/>
        </w:rPr>
        <w:t xml:space="preserve">Impact on </w:t>
      </w:r>
      <w:r w:rsidRPr="000E351A">
        <w:rPr>
          <w:b/>
          <w:bCs/>
          <w:i/>
          <w:iCs/>
        </w:rPr>
        <w:t>o</w:t>
      </w:r>
      <w:r w:rsidRPr="00B23204">
        <w:rPr>
          <w:b/>
          <w:bCs/>
          <w:i/>
          <w:iCs/>
        </w:rPr>
        <w:t xml:space="preserve">perational </w:t>
      </w:r>
      <w:r w:rsidRPr="000E351A">
        <w:rPr>
          <w:b/>
          <w:bCs/>
          <w:i/>
          <w:iCs/>
        </w:rPr>
        <w:t>f</w:t>
      </w:r>
      <w:r w:rsidRPr="00B23204">
        <w:rPr>
          <w:b/>
          <w:bCs/>
          <w:i/>
          <w:iCs/>
        </w:rPr>
        <w:t>lexibility</w:t>
      </w:r>
    </w:p>
    <w:p w14:paraId="45E53E9A" w14:textId="77777777" w:rsidR="00351AF4" w:rsidRPr="000E351A" w:rsidRDefault="00000000" w:rsidP="003C2F17">
      <w:r w:rsidRPr="00351AF4">
        <w:t>The repackaged operational flexibility of divestitures and rationalisation of a plant enables the management to concentrate on the profitable and strategically significant parts (</w:t>
      </w:r>
      <w:proofErr w:type="spellStart"/>
      <w:r w:rsidRPr="00351AF4">
        <w:t>Sutrismi</w:t>
      </w:r>
      <w:proofErr w:type="spellEnd"/>
      <w:r w:rsidRPr="00351AF4">
        <w:t xml:space="preserve"> </w:t>
      </w:r>
      <w:r w:rsidR="00A95525" w:rsidRPr="000E351A">
        <w:rPr>
          <w:i/>
          <w:iCs/>
        </w:rPr>
        <w:t>et al</w:t>
      </w:r>
      <w:r w:rsidRPr="00351AF4">
        <w:t xml:space="preserve">., 2024). Offering improvement </w:t>
      </w:r>
      <w:r w:rsidRPr="000E351A">
        <w:t>in</w:t>
      </w:r>
      <w:r w:rsidRPr="00351AF4">
        <w:t xml:space="preserve"> innovation and competitiveness, it is possible to enhance the technological capability and market reach through a merger or partnership. At the same time, debt culling and improved equity status provide financial leeway in investing in new products, digital transformation and working capital reforms. Also, the restructuring of operations enhances efficiency, reduces break-even levels as well and resilience in adverse economic times.</w:t>
      </w:r>
    </w:p>
    <w:p w14:paraId="069F68A0" w14:textId="77777777" w:rsidR="005933FA" w:rsidRPr="000E351A" w:rsidRDefault="00000000" w:rsidP="003C2F17">
      <w:pPr>
        <w:pStyle w:val="Heading2"/>
      </w:pPr>
      <w:bookmarkStart w:id="22" w:name="_wbvimjagy8t8" w:colFirst="0" w:colLast="0"/>
      <w:bookmarkStart w:id="23" w:name="_Toc214722514"/>
      <w:bookmarkStart w:id="24" w:name="_Toc214722846"/>
      <w:bookmarkEnd w:id="22"/>
      <w:r w:rsidRPr="000E351A">
        <w:t>4.3 international and ethical considerations</w:t>
      </w:r>
      <w:bookmarkEnd w:id="23"/>
      <w:bookmarkEnd w:id="24"/>
    </w:p>
    <w:p w14:paraId="2C7D6AF6" w14:textId="77777777" w:rsidR="005933FA" w:rsidRPr="000E351A" w:rsidRDefault="00000000" w:rsidP="003C2F17">
      <w:pPr>
        <w:spacing w:before="240"/>
      </w:pPr>
      <w:r w:rsidRPr="000E351A">
        <w:t>In the context of incorporating financial restructuring plans, the association of global and ethical factors play a vital role in preventing legal adherence, maintaining a long-term vision of growth and responsible decision-making. Global functioning of the business organisations leads to the exposure of different external intricacies like tax impositions, inflationary concerns, currency volatility across borders, and so forth (</w:t>
      </w:r>
      <w:proofErr w:type="spellStart"/>
      <w:r w:rsidRPr="000E351A">
        <w:t>Kolisnichenko</w:t>
      </w:r>
      <w:proofErr w:type="spellEnd"/>
      <w:r w:rsidRPr="000E351A">
        <w:t>, 2025). These forces can significantly influence the potential outcome of restructuring initiatives like divestitures, mergers, and the injection of equity capital.</w:t>
      </w:r>
    </w:p>
    <w:p w14:paraId="627D38FB" w14:textId="77777777" w:rsidR="005933FA" w:rsidRPr="000E351A" w:rsidRDefault="00000000" w:rsidP="003C2F17">
      <w:pPr>
        <w:spacing w:before="240"/>
      </w:pPr>
      <w:r w:rsidRPr="000E351A">
        <w:t xml:space="preserve">In the international market, the role of </w:t>
      </w:r>
      <w:r w:rsidRPr="000E351A">
        <w:rPr>
          <w:b/>
          <w:bCs/>
          <w:i/>
          <w:iCs/>
        </w:rPr>
        <w:t xml:space="preserve">taxation </w:t>
      </w:r>
      <w:r w:rsidRPr="000E351A">
        <w:t xml:space="preserve">is pivotal for divestitures or cross-border merger initiatives. The variations in the </w:t>
      </w:r>
      <w:r w:rsidRPr="000E351A">
        <w:rPr>
          <w:b/>
          <w:bCs/>
          <w:i/>
          <w:iCs/>
        </w:rPr>
        <w:t xml:space="preserve">rates of corporate taxes, withholding taxes, </w:t>
      </w:r>
      <w:r w:rsidRPr="000E351A">
        <w:t xml:space="preserve">and the regulations of </w:t>
      </w:r>
      <w:r w:rsidRPr="000E351A">
        <w:rPr>
          <w:b/>
          <w:bCs/>
          <w:i/>
          <w:iCs/>
        </w:rPr>
        <w:t>transfer pricing</w:t>
      </w:r>
      <w:r w:rsidRPr="000E351A">
        <w:t xml:space="preserve"> may influence profitability after financial reconstruction, according to Akinsola and Kingsley Onu (2021). For example, international business corporations adhere to </w:t>
      </w:r>
      <w:r w:rsidRPr="000E351A">
        <w:rPr>
          <w:b/>
          <w:bCs/>
          <w:i/>
          <w:iCs/>
        </w:rPr>
        <w:t xml:space="preserve">Profit Shifting (BEPS) rules and OECD Base Erosion, </w:t>
      </w:r>
      <w:r w:rsidRPr="000E351A">
        <w:t xml:space="preserve">which minimise the scope of aggressive tax planning according to Chen (2022). In this context, it can be stated that </w:t>
      </w:r>
      <w:r w:rsidRPr="000E351A">
        <w:rPr>
          <w:b/>
          <w:bCs/>
          <w:i/>
          <w:iCs/>
        </w:rPr>
        <w:t>ethical tax behaviour l</w:t>
      </w:r>
      <w:r w:rsidRPr="000E351A">
        <w:t>eads to ensuring the trust of the stakeholder, while tax avoidance and erosion may affect the corporate reputation. Financial restructuring plan with the alignment of transparent tax planning and behaviour minimises legal scrutiny and prevents long-term sustainability without regulatory hazards.</w:t>
      </w:r>
    </w:p>
    <w:p w14:paraId="78FFD850" w14:textId="77777777" w:rsidR="005933FA" w:rsidRPr="000E351A" w:rsidRDefault="00000000" w:rsidP="003C2F17">
      <w:pPr>
        <w:spacing w:before="240"/>
      </w:pPr>
      <w:r w:rsidRPr="000E351A">
        <w:lastRenderedPageBreak/>
        <w:t xml:space="preserve">In addition to this, the risk of </w:t>
      </w:r>
      <w:r w:rsidRPr="000E351A">
        <w:rPr>
          <w:b/>
          <w:bCs/>
          <w:i/>
          <w:iCs/>
        </w:rPr>
        <w:t xml:space="preserve">currency fluctuation </w:t>
      </w:r>
      <w:r w:rsidRPr="000E351A">
        <w:t xml:space="preserve">in the international market may also alter the profile of cash flow in the global firm. The market volatility in response to the </w:t>
      </w:r>
      <w:r w:rsidRPr="000E351A">
        <w:rPr>
          <w:b/>
          <w:bCs/>
          <w:i/>
          <w:iCs/>
        </w:rPr>
        <w:t xml:space="preserve">exchange rate fluctuations </w:t>
      </w:r>
      <w:r w:rsidRPr="000E351A">
        <w:t xml:space="preserve">can affect the post-merger performance, foreign-currency debt servicing, and erode repatriated earnings. Different </w:t>
      </w:r>
      <w:r w:rsidRPr="000E351A">
        <w:rPr>
          <w:b/>
          <w:bCs/>
          <w:i/>
          <w:iCs/>
        </w:rPr>
        <w:t xml:space="preserve">hedging instruments, like currency swaps and forward contracts, </w:t>
      </w:r>
      <w:r w:rsidRPr="000E351A">
        <w:t>need to align restructuring efforts that can improve volatile currency exposure. Moreover, it is crucial for the organisation to evaluate the economic climate as well in the context of analysing the competitive position.</w:t>
      </w:r>
    </w:p>
    <w:p w14:paraId="0A1A5AD2" w14:textId="77777777" w:rsidR="005933FA" w:rsidRPr="000E351A" w:rsidRDefault="00000000" w:rsidP="003C2F17">
      <w:pPr>
        <w:spacing w:before="240"/>
      </w:pPr>
      <w:r w:rsidRPr="000E351A">
        <w:t xml:space="preserve">International markets may cause </w:t>
      </w:r>
      <w:r w:rsidRPr="000E351A">
        <w:rPr>
          <w:b/>
          <w:bCs/>
          <w:i/>
          <w:iCs/>
        </w:rPr>
        <w:t>inflation</w:t>
      </w:r>
      <w:r w:rsidRPr="000E351A">
        <w:t xml:space="preserve">, which affects the accuracy of valuation, cost of operation and capital structure decision as per Cornell et al. (2021). Mergers may experience distorted expected synergies during high-inflation environments, or the proceeds of the divestiture might be driven down. The </w:t>
      </w:r>
      <w:r w:rsidRPr="000E351A">
        <w:rPr>
          <w:b/>
          <w:bCs/>
          <w:i/>
          <w:iCs/>
        </w:rPr>
        <w:t>cost of borrowing</w:t>
      </w:r>
      <w:r w:rsidRPr="000E351A">
        <w:t xml:space="preserve"> is also raised by inflation and could undermine the projections of free cash flows, which can be used to evaluate the success of restructuring. The country risk premiums should be adjusted with discount rates in order to be properly valued.</w:t>
      </w:r>
    </w:p>
    <w:p w14:paraId="301AD12E" w14:textId="77777777" w:rsidR="005933FA" w:rsidRPr="000E351A" w:rsidRDefault="00000000" w:rsidP="003C2F17">
      <w:pPr>
        <w:spacing w:before="240"/>
      </w:pPr>
      <w:r w:rsidRPr="000E351A">
        <w:rPr>
          <w:b/>
          <w:bCs/>
          <w:i/>
          <w:iCs/>
        </w:rPr>
        <w:t xml:space="preserve">Corporate Social Responsibility (CSR) and ethics </w:t>
      </w:r>
      <w:r w:rsidRPr="000E351A">
        <w:t xml:space="preserve">are taking the place of financial decision-making. Restructuring is expected to facilitate rather than compromise the </w:t>
      </w:r>
      <w:r w:rsidRPr="000E351A">
        <w:rPr>
          <w:b/>
          <w:bCs/>
          <w:i/>
          <w:iCs/>
        </w:rPr>
        <w:t>welfare of employees, environmental pledges, and the interests of society</w:t>
      </w:r>
      <w:r w:rsidRPr="000E351A">
        <w:t xml:space="preserve">. Ethical restructuring will not lead to mass layoffs that are unsupported, will promote the </w:t>
      </w:r>
      <w:r w:rsidRPr="000E351A">
        <w:rPr>
          <w:b/>
          <w:bCs/>
          <w:i/>
          <w:iCs/>
        </w:rPr>
        <w:t>disposal of assets in a responsible way</w:t>
      </w:r>
      <w:r w:rsidRPr="000E351A">
        <w:t xml:space="preserve">, and will incorporate the </w:t>
      </w:r>
      <w:r w:rsidRPr="000E351A">
        <w:rPr>
          <w:b/>
          <w:bCs/>
          <w:i/>
          <w:iCs/>
        </w:rPr>
        <w:t xml:space="preserve">ESG metrics </w:t>
      </w:r>
      <w:r w:rsidRPr="000E351A">
        <w:t>in the financial decision-making. The international investors are increasingly rewarding companies that have good CSR provisions by reducing their capital expenses and increasing their market values (Uwakwe and Mohs, 2025).</w:t>
      </w:r>
    </w:p>
    <w:p w14:paraId="0FD78F9B" w14:textId="77777777" w:rsidR="005933FA" w:rsidRPr="000E351A" w:rsidRDefault="00000000" w:rsidP="003C2F17">
      <w:pPr>
        <w:spacing w:before="240"/>
      </w:pPr>
      <w:r w:rsidRPr="000E351A">
        <w:br w:type="page"/>
      </w:r>
    </w:p>
    <w:p w14:paraId="5BACE222" w14:textId="77777777" w:rsidR="005933FA" w:rsidRPr="000E351A" w:rsidRDefault="00000000" w:rsidP="003C2F17">
      <w:pPr>
        <w:pStyle w:val="Heading1"/>
      </w:pPr>
      <w:bookmarkStart w:id="25" w:name="_fztyowafrfkq" w:colFirst="0" w:colLast="0"/>
      <w:bookmarkStart w:id="26" w:name="_Toc214722515"/>
      <w:bookmarkStart w:id="27" w:name="_Toc214722847"/>
      <w:bookmarkEnd w:id="25"/>
      <w:r w:rsidRPr="000E351A">
        <w:lastRenderedPageBreak/>
        <w:t>5. Investment appraisal and capital budgeting</w:t>
      </w:r>
      <w:bookmarkEnd w:id="26"/>
      <w:bookmarkEnd w:id="27"/>
    </w:p>
    <w:p w14:paraId="126C0E5E" w14:textId="77777777" w:rsidR="005933FA" w:rsidRPr="000E351A" w:rsidRDefault="00000000" w:rsidP="003C2F17">
      <w:pPr>
        <w:pStyle w:val="Heading2"/>
      </w:pPr>
      <w:bookmarkStart w:id="28" w:name="_tca6mjeajee" w:colFirst="0" w:colLast="0"/>
      <w:bookmarkStart w:id="29" w:name="_Toc214722516"/>
      <w:bookmarkStart w:id="30" w:name="_Toc214722848"/>
      <w:bookmarkEnd w:id="28"/>
      <w:r w:rsidRPr="000E351A">
        <w:t>5.1 Proposal of Investment Projects</w:t>
      </w:r>
      <w:bookmarkEnd w:id="29"/>
      <w:bookmarkEnd w:id="30"/>
      <w:r w:rsidRPr="000E351A">
        <w:t xml:space="preserve"> </w:t>
      </w:r>
    </w:p>
    <w:p w14:paraId="566FE1B9" w14:textId="77777777" w:rsidR="005933FA" w:rsidRPr="000E351A" w:rsidRDefault="00000000" w:rsidP="003C2F17">
      <w:pPr>
        <w:spacing w:before="240"/>
      </w:pPr>
      <w:r w:rsidRPr="000E351A">
        <w:rPr>
          <w:u w:val="single"/>
        </w:rPr>
        <w:t>NET PRESENT VALUE (NPV)</w:t>
      </w:r>
    </w:p>
    <w:p w14:paraId="1D334B2E" w14:textId="77777777" w:rsidR="005933FA" w:rsidRPr="000E351A" w:rsidRDefault="00000000" w:rsidP="003C2F17">
      <w:pPr>
        <w:spacing w:before="240"/>
      </w:pPr>
      <w:r w:rsidRPr="000E351A">
        <w:t xml:space="preserve">Net present value can be considered as one of the imperative capital budgeting tools as per Sinaga et al. (2023), based on its efficacy to evaluate the profitability of investment decisions with the help of determining the discounted value of the potential future cash flows to the present time value. In this case, </w:t>
      </w:r>
      <w:r w:rsidRPr="000E351A">
        <w:rPr>
          <w:b/>
          <w:bCs/>
          <w:i/>
          <w:iCs/>
        </w:rPr>
        <w:t>Project A shows the potential of deriving around £1.32m NPV</w:t>
      </w:r>
      <w:r w:rsidRPr="000E351A">
        <w:t xml:space="preserve"> within 5 years, while </w:t>
      </w:r>
      <w:r w:rsidRPr="000E351A">
        <w:rPr>
          <w:b/>
          <w:bCs/>
          <w:i/>
          <w:iCs/>
        </w:rPr>
        <w:t>Project B could produce a negative outcome based on the net inflow of –£7.26m</w:t>
      </w:r>
      <w:r w:rsidRPr="000E351A">
        <w:t xml:space="preserve"> as its NPV. However, the </w:t>
      </w:r>
      <w:r w:rsidRPr="000E351A">
        <w:rPr>
          <w:b/>
          <w:bCs/>
          <w:i/>
          <w:iCs/>
        </w:rPr>
        <w:t>highest NPV of £4.23m can be generated through Project C</w:t>
      </w:r>
      <w:r w:rsidRPr="000E351A">
        <w:t xml:space="preserve">, suggesting profitable value addition for the investors. </w:t>
      </w:r>
    </w:p>
    <w:p w14:paraId="53D7D670" w14:textId="77777777" w:rsidR="005933FA" w:rsidRPr="000E351A" w:rsidRDefault="00000000" w:rsidP="003C2F17">
      <w:pPr>
        <w:spacing w:before="240"/>
        <w:jc w:val="center"/>
        <w:rPr>
          <w:b/>
          <w:bCs/>
        </w:rPr>
      </w:pPr>
      <w:r w:rsidRPr="000E351A">
        <w:rPr>
          <w:b/>
          <w:bCs/>
          <w:noProof/>
        </w:rPr>
        <w:drawing>
          <wp:inline distT="114300" distB="114300" distL="114300" distR="114300" wp14:anchorId="0F27166D" wp14:editId="69940DD1">
            <wp:extent cx="4165966" cy="443591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5"/>
                    <a:stretch>
                      <a:fillRect/>
                    </a:stretch>
                  </pic:blipFill>
                  <pic:spPr>
                    <a:xfrm>
                      <a:off x="0" y="0"/>
                      <a:ext cx="4165966" cy="4435915"/>
                    </a:xfrm>
                    <a:prstGeom prst="rect">
                      <a:avLst/>
                    </a:prstGeom>
                  </pic:spPr>
                </pic:pic>
              </a:graphicData>
            </a:graphic>
          </wp:inline>
        </w:drawing>
      </w:r>
    </w:p>
    <w:p w14:paraId="1A4A5F68" w14:textId="77777777" w:rsidR="005933FA" w:rsidRPr="000E351A" w:rsidRDefault="00000000" w:rsidP="003C2F17">
      <w:pPr>
        <w:spacing w:before="240"/>
        <w:jc w:val="center"/>
        <w:rPr>
          <w:b/>
          <w:bCs/>
        </w:rPr>
      </w:pPr>
      <w:r w:rsidRPr="000E351A">
        <w:rPr>
          <w:b/>
          <w:bCs/>
        </w:rPr>
        <w:t xml:space="preserve">Figure 9: NPV outcome of proposed projects </w:t>
      </w:r>
    </w:p>
    <w:p w14:paraId="323ACEA8" w14:textId="77777777" w:rsidR="005933FA" w:rsidRPr="000E351A" w:rsidRDefault="00000000" w:rsidP="003C2F17">
      <w:pPr>
        <w:spacing w:before="240"/>
        <w:jc w:val="center"/>
      </w:pPr>
      <w:r w:rsidRPr="000E351A">
        <w:t>(Source: Calculated by the learner)</w:t>
      </w:r>
    </w:p>
    <w:p w14:paraId="1516CD83" w14:textId="77777777" w:rsidR="005933FA" w:rsidRPr="000E351A" w:rsidRDefault="00000000" w:rsidP="003C2F17">
      <w:pPr>
        <w:spacing w:before="240"/>
      </w:pPr>
      <w:r w:rsidRPr="000E351A">
        <w:lastRenderedPageBreak/>
        <w:t xml:space="preserve">The future value of money at the present worth is determined through net present value based on the risk-adjusted discounting factors that make it a suitable tool for organisations seeking to improve their financial performance through new investments (Chen, 2022). In the case of General Electronics, which is recently facing an economic downturn due to poor cash flow and profitability, it is crucial to consider investment projects which can enhance the net value of the business to restore its financial stability alongside corporate competitiveness. The future cash flow and the corresponding present value of the earnings of Project C reflect a robust yield, which can help the business to address market volatility and cost inflation across the global business market. </w:t>
      </w:r>
    </w:p>
    <w:p w14:paraId="26D6E332" w14:textId="77777777" w:rsidR="005933FA" w:rsidRPr="000E351A" w:rsidRDefault="00000000" w:rsidP="003C2F17">
      <w:pPr>
        <w:spacing w:before="240"/>
        <w:jc w:val="left"/>
        <w:rPr>
          <w:u w:val="single"/>
        </w:rPr>
      </w:pPr>
      <w:r w:rsidRPr="000E351A">
        <w:rPr>
          <w:u w:val="single"/>
        </w:rPr>
        <w:t xml:space="preserve">PAYBACK PERIOD (PBP) </w:t>
      </w:r>
    </w:p>
    <w:p w14:paraId="1CD6CF61" w14:textId="77777777" w:rsidR="005933FA" w:rsidRPr="000E351A" w:rsidRDefault="00000000" w:rsidP="003C2F17">
      <w:pPr>
        <w:spacing w:before="240"/>
      </w:pPr>
      <w:r w:rsidRPr="000E351A">
        <w:t xml:space="preserve">The payback period is another vital capital budgeting tool that helps to examine the period of recovering initially invested capital by the company, focusing on the adjustment of liquidity in the business according to </w:t>
      </w:r>
      <w:proofErr w:type="spellStart"/>
      <w:r w:rsidRPr="000E351A">
        <w:t>Oyelakun</w:t>
      </w:r>
      <w:proofErr w:type="spellEnd"/>
      <w:r w:rsidRPr="000E351A">
        <w:t xml:space="preserve"> and Abdul-Azeez (2025). The payback period of </w:t>
      </w:r>
      <w:r w:rsidRPr="000E351A">
        <w:rPr>
          <w:b/>
          <w:bCs/>
          <w:i/>
          <w:iCs/>
        </w:rPr>
        <w:t>Project A and Project C stands at 4 years, 5 months and 4 years, 7 months</w:t>
      </w:r>
      <w:r w:rsidRPr="000E351A">
        <w:t xml:space="preserve">, respectively. Besides this, </w:t>
      </w:r>
      <w:r w:rsidRPr="000E351A">
        <w:rPr>
          <w:b/>
          <w:bCs/>
          <w:i/>
          <w:iCs/>
        </w:rPr>
        <w:t xml:space="preserve">Project B </w:t>
      </w:r>
      <w:r w:rsidRPr="000E351A">
        <w:t xml:space="preserve">would recover the money invested </w:t>
      </w:r>
      <w:r w:rsidRPr="000E351A">
        <w:rPr>
          <w:b/>
          <w:bCs/>
          <w:i/>
          <w:iCs/>
        </w:rPr>
        <w:t>after the 5th year</w:t>
      </w:r>
      <w:r w:rsidRPr="000E351A">
        <w:t xml:space="preserve">, thereby it can ensure liquidity in the 6th year. Hence, it can be stated that Project A would maintain faster liquidity.  </w:t>
      </w:r>
    </w:p>
    <w:p w14:paraId="77DE8A63" w14:textId="77777777" w:rsidR="005933FA" w:rsidRPr="000E351A" w:rsidRDefault="00000000" w:rsidP="003C2F17">
      <w:pPr>
        <w:spacing w:before="240"/>
        <w:jc w:val="center"/>
        <w:rPr>
          <w:b/>
          <w:bCs/>
        </w:rPr>
      </w:pPr>
      <w:r w:rsidRPr="000E351A">
        <w:rPr>
          <w:b/>
          <w:bCs/>
          <w:noProof/>
        </w:rPr>
        <w:lastRenderedPageBreak/>
        <w:drawing>
          <wp:inline distT="114300" distB="114300" distL="114300" distR="114300" wp14:anchorId="6FE2E9EF" wp14:editId="6F355BF3">
            <wp:extent cx="4233863" cy="4525619"/>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16"/>
                    <a:stretch>
                      <a:fillRect/>
                    </a:stretch>
                  </pic:blipFill>
                  <pic:spPr>
                    <a:xfrm>
                      <a:off x="0" y="0"/>
                      <a:ext cx="4233863" cy="4525619"/>
                    </a:xfrm>
                    <a:prstGeom prst="rect">
                      <a:avLst/>
                    </a:prstGeom>
                  </pic:spPr>
                </pic:pic>
              </a:graphicData>
            </a:graphic>
          </wp:inline>
        </w:drawing>
      </w:r>
    </w:p>
    <w:p w14:paraId="2F6FE31D" w14:textId="77777777" w:rsidR="005933FA" w:rsidRPr="000E351A" w:rsidRDefault="00000000" w:rsidP="003C2F17">
      <w:pPr>
        <w:spacing w:before="240"/>
        <w:jc w:val="center"/>
        <w:rPr>
          <w:b/>
          <w:bCs/>
        </w:rPr>
      </w:pPr>
      <w:r w:rsidRPr="000E351A">
        <w:rPr>
          <w:b/>
          <w:bCs/>
        </w:rPr>
        <w:t xml:space="preserve">Figure 10: Payback Period analysis of proposed projects </w:t>
      </w:r>
    </w:p>
    <w:p w14:paraId="72689FC8" w14:textId="77777777" w:rsidR="005933FA" w:rsidRPr="000E351A" w:rsidRDefault="00000000" w:rsidP="003C2F17">
      <w:pPr>
        <w:spacing w:before="240"/>
        <w:jc w:val="center"/>
      </w:pPr>
      <w:r w:rsidRPr="000E351A">
        <w:t>(Source: Calculated by the learner)</w:t>
      </w:r>
    </w:p>
    <w:p w14:paraId="32C6AA1A" w14:textId="77777777" w:rsidR="005933FA" w:rsidRPr="000E351A" w:rsidRDefault="00000000" w:rsidP="003C2F17">
      <w:pPr>
        <w:spacing w:before="240"/>
      </w:pPr>
      <w:r w:rsidRPr="000E351A">
        <w:t xml:space="preserve">In the context of utilising this capital budgeting tool, it is to be noted that this metric significantly ignores the time value of money alongside the external risk that can negatively influence the profitability of the investment plans (Sekhar, 2025). However, for the case study on General Electronics, this investment appraisal technique is highly effective to analyse the potential of cash recovery and the reflective time period, considering liquidity pressure in the business. </w:t>
      </w:r>
    </w:p>
    <w:p w14:paraId="0A787766" w14:textId="77777777" w:rsidR="005933FA" w:rsidRPr="000E351A" w:rsidRDefault="00000000" w:rsidP="003C2F17">
      <w:pPr>
        <w:spacing w:before="240"/>
        <w:jc w:val="left"/>
        <w:rPr>
          <w:u w:val="single"/>
        </w:rPr>
      </w:pPr>
      <w:r w:rsidRPr="000E351A">
        <w:rPr>
          <w:u w:val="single"/>
        </w:rPr>
        <w:t>ACCOUNTING RATE OF RETURN (ARR)</w:t>
      </w:r>
    </w:p>
    <w:p w14:paraId="4A893043" w14:textId="77777777" w:rsidR="005933FA" w:rsidRPr="000E351A" w:rsidRDefault="00000000" w:rsidP="003C2F17">
      <w:pPr>
        <w:spacing w:before="240"/>
      </w:pPr>
      <w:r w:rsidRPr="000E351A">
        <w:t xml:space="preserve">The profitability in line with average annual accounting earnings is evaluated with the help of the accounting rate of return as per Kadam and Singh (2021). </w:t>
      </w:r>
      <w:r w:rsidRPr="000E351A">
        <w:rPr>
          <w:b/>
          <w:bCs/>
          <w:i/>
          <w:iCs/>
        </w:rPr>
        <w:t>Project A has been projected to gain 14% ARR</w:t>
      </w:r>
      <w:r w:rsidRPr="000E351A">
        <w:t xml:space="preserve">, while </w:t>
      </w:r>
      <w:r w:rsidRPr="000E351A">
        <w:rPr>
          <w:b/>
          <w:bCs/>
          <w:i/>
          <w:iCs/>
        </w:rPr>
        <w:t>20% return can be expected from Project C</w:t>
      </w:r>
      <w:r w:rsidRPr="000E351A">
        <w:t xml:space="preserve">. While Project C indicates favourable profitability with a higher return rate, the </w:t>
      </w:r>
      <w:r w:rsidRPr="000E351A">
        <w:rPr>
          <w:b/>
          <w:bCs/>
          <w:i/>
          <w:iCs/>
        </w:rPr>
        <w:t xml:space="preserve">ARR </w:t>
      </w:r>
      <w:r w:rsidRPr="000E351A">
        <w:rPr>
          <w:b/>
          <w:bCs/>
          <w:i/>
          <w:iCs/>
        </w:rPr>
        <w:lastRenderedPageBreak/>
        <w:t>of 0% from Project B</w:t>
      </w:r>
      <w:r w:rsidRPr="000E351A">
        <w:t xml:space="preserve"> signifies unfavorability of the respective proposal due to no value creation in the business.</w:t>
      </w:r>
    </w:p>
    <w:p w14:paraId="0C0D5AA0" w14:textId="77777777" w:rsidR="005933FA" w:rsidRPr="000E351A" w:rsidRDefault="00000000" w:rsidP="003C2F17">
      <w:pPr>
        <w:spacing w:before="240"/>
        <w:jc w:val="center"/>
        <w:rPr>
          <w:b/>
          <w:bCs/>
        </w:rPr>
      </w:pPr>
      <w:r w:rsidRPr="000E351A">
        <w:rPr>
          <w:b/>
          <w:bCs/>
          <w:noProof/>
        </w:rPr>
        <w:drawing>
          <wp:inline distT="114300" distB="114300" distL="114300" distR="114300" wp14:anchorId="6D15694B" wp14:editId="6975515D">
            <wp:extent cx="4607085" cy="3679552"/>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17"/>
                    <a:stretch>
                      <a:fillRect/>
                    </a:stretch>
                  </pic:blipFill>
                  <pic:spPr>
                    <a:xfrm>
                      <a:off x="0" y="0"/>
                      <a:ext cx="4607085" cy="3679552"/>
                    </a:xfrm>
                    <a:prstGeom prst="rect">
                      <a:avLst/>
                    </a:prstGeom>
                  </pic:spPr>
                </pic:pic>
              </a:graphicData>
            </a:graphic>
          </wp:inline>
        </w:drawing>
      </w:r>
    </w:p>
    <w:p w14:paraId="775A6F42" w14:textId="77777777" w:rsidR="005933FA" w:rsidRPr="000E351A" w:rsidRDefault="00000000" w:rsidP="003C2F17">
      <w:pPr>
        <w:spacing w:before="240"/>
        <w:jc w:val="center"/>
        <w:rPr>
          <w:b/>
          <w:bCs/>
        </w:rPr>
      </w:pPr>
      <w:r w:rsidRPr="000E351A">
        <w:rPr>
          <w:b/>
          <w:bCs/>
        </w:rPr>
        <w:t xml:space="preserve">Figure 11: ARR outcome of proposed projects </w:t>
      </w:r>
    </w:p>
    <w:p w14:paraId="636B2D96" w14:textId="77777777" w:rsidR="005933FA" w:rsidRPr="000E351A" w:rsidRDefault="00000000" w:rsidP="003C2F17">
      <w:pPr>
        <w:spacing w:before="240"/>
        <w:jc w:val="center"/>
      </w:pPr>
      <w:r w:rsidRPr="000E351A">
        <w:t>(Source: Calculated by the learner)</w:t>
      </w:r>
    </w:p>
    <w:p w14:paraId="21C0C203" w14:textId="77777777" w:rsidR="005933FA" w:rsidRPr="000E351A" w:rsidRDefault="00000000" w:rsidP="003C2F17">
      <w:pPr>
        <w:spacing w:before="240"/>
      </w:pPr>
      <w:r w:rsidRPr="000E351A">
        <w:t xml:space="preserve">The strength of ARR is that it is easy to compute, and it is comparable to external measures based on ROCE (Singh, 2021). It, however, does not include cash flows and does not consider the timing of the project and does not take the time value of money into consideration. In the case of General Electronics, the company is presently witnessing the deterioration of profitability and negative returns. The higher ARR of Project C means that returns are better, especially in the later years, where huge inflows are likely to be experienced. Since the turnaround aspiration of the firm is positive, the higher the ARR of projects, the more positive the impact on earnings and shareholders. </w:t>
      </w:r>
    </w:p>
    <w:p w14:paraId="7ADFC3DB" w14:textId="77777777" w:rsidR="005933FA" w:rsidRPr="000E351A" w:rsidRDefault="00000000" w:rsidP="003C2F17">
      <w:pPr>
        <w:spacing w:before="240"/>
        <w:jc w:val="left"/>
      </w:pPr>
      <w:r w:rsidRPr="000E351A">
        <w:rPr>
          <w:u w:val="single"/>
        </w:rPr>
        <w:t>INTERNAL RATE OF RETURN (IRR)</w:t>
      </w:r>
    </w:p>
    <w:p w14:paraId="75698F6F" w14:textId="77777777" w:rsidR="005933FA" w:rsidRPr="000E351A" w:rsidRDefault="00000000" w:rsidP="003C2F17">
      <w:pPr>
        <w:spacing w:before="240"/>
      </w:pPr>
      <w:r w:rsidRPr="000E351A">
        <w:t xml:space="preserve">The internal rate of return (IRR) determines the discount rate through the comparison of lower and higher discount rates at which the present worth of the cash flow would </w:t>
      </w:r>
      <w:r w:rsidRPr="000E351A">
        <w:lastRenderedPageBreak/>
        <w:t>be equivalent to the investment (</w:t>
      </w:r>
      <w:proofErr w:type="spellStart"/>
      <w:r w:rsidRPr="000E351A">
        <w:t>Sneps-Sneppe</w:t>
      </w:r>
      <w:proofErr w:type="spellEnd"/>
      <w:r w:rsidRPr="000E351A">
        <w:t xml:space="preserve">, 2023). </w:t>
      </w:r>
      <w:r w:rsidRPr="000E351A">
        <w:rPr>
          <w:b/>
          <w:bCs/>
          <w:i/>
          <w:iCs/>
        </w:rPr>
        <w:t xml:space="preserve">Project A would generate 13% IRR, </w:t>
      </w:r>
      <w:r w:rsidRPr="000E351A">
        <w:t xml:space="preserve">which exceeds the 10% discount rate (cost of capital), while </w:t>
      </w:r>
      <w:r w:rsidRPr="000E351A">
        <w:rPr>
          <w:b/>
          <w:bCs/>
          <w:i/>
          <w:iCs/>
        </w:rPr>
        <w:t>the 12% IRR of Project C</w:t>
      </w:r>
      <w:r w:rsidRPr="000E351A">
        <w:t xml:space="preserve"> also stands above the cost of capital. However, </w:t>
      </w:r>
      <w:r w:rsidRPr="000E351A">
        <w:rPr>
          <w:b/>
          <w:bCs/>
          <w:i/>
          <w:iCs/>
        </w:rPr>
        <w:t xml:space="preserve">Project B </w:t>
      </w:r>
      <w:r w:rsidRPr="000E351A">
        <w:t xml:space="preserve">is equivalent to the discount rate with a </w:t>
      </w:r>
      <w:r w:rsidRPr="000E351A">
        <w:rPr>
          <w:b/>
          <w:bCs/>
          <w:i/>
          <w:iCs/>
        </w:rPr>
        <w:t>10% IRR</w:t>
      </w:r>
      <w:r w:rsidRPr="000E351A">
        <w:t xml:space="preserve">. </w:t>
      </w:r>
    </w:p>
    <w:p w14:paraId="6DB07E4C" w14:textId="77777777" w:rsidR="005933FA" w:rsidRPr="000E351A" w:rsidRDefault="00000000" w:rsidP="003C2F17">
      <w:pPr>
        <w:spacing w:before="240"/>
        <w:jc w:val="center"/>
        <w:rPr>
          <w:b/>
          <w:bCs/>
        </w:rPr>
      </w:pPr>
      <w:r w:rsidRPr="000E351A">
        <w:rPr>
          <w:b/>
          <w:bCs/>
          <w:noProof/>
        </w:rPr>
        <w:drawing>
          <wp:inline distT="114300" distB="114300" distL="114300" distR="114300" wp14:anchorId="54BF4502" wp14:editId="48C750F7">
            <wp:extent cx="5943600" cy="25146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8"/>
                    <a:stretch>
                      <a:fillRect/>
                    </a:stretch>
                  </pic:blipFill>
                  <pic:spPr>
                    <a:xfrm>
                      <a:off x="0" y="0"/>
                      <a:ext cx="5943600" cy="2514600"/>
                    </a:xfrm>
                    <a:prstGeom prst="rect">
                      <a:avLst/>
                    </a:prstGeom>
                  </pic:spPr>
                </pic:pic>
              </a:graphicData>
            </a:graphic>
          </wp:inline>
        </w:drawing>
      </w:r>
    </w:p>
    <w:p w14:paraId="26EA15E2" w14:textId="77777777" w:rsidR="005933FA" w:rsidRPr="000E351A" w:rsidRDefault="00000000" w:rsidP="003C2F17">
      <w:pPr>
        <w:spacing w:before="240"/>
        <w:jc w:val="center"/>
        <w:rPr>
          <w:b/>
          <w:bCs/>
        </w:rPr>
      </w:pPr>
      <w:r w:rsidRPr="000E351A">
        <w:rPr>
          <w:b/>
          <w:bCs/>
        </w:rPr>
        <w:t xml:space="preserve">Figure 12: Comparison of the IRR outcome of proposed projects </w:t>
      </w:r>
    </w:p>
    <w:p w14:paraId="7D5644B5" w14:textId="77777777" w:rsidR="005933FA" w:rsidRPr="000E351A" w:rsidRDefault="00000000" w:rsidP="003C2F17">
      <w:pPr>
        <w:spacing w:before="240"/>
        <w:jc w:val="center"/>
      </w:pPr>
      <w:r w:rsidRPr="000E351A">
        <w:t>(Source: Calculated by the learner)</w:t>
      </w:r>
    </w:p>
    <w:p w14:paraId="7196CA23" w14:textId="77777777" w:rsidR="005933FA" w:rsidRPr="000E351A" w:rsidRDefault="00000000" w:rsidP="003C2F17">
      <w:pPr>
        <w:spacing w:before="240"/>
      </w:pPr>
      <w:r w:rsidRPr="000E351A">
        <w:t>IRR is very intuitive and can easily be compared to the necessary rates of return. It, however, has a number of weaknesses, such as it presupposes reinvestment at the IRR, can create false rankings when there is capital rationing, and can disagree with NPV (Lin, 2023). In the case of General Electronics, IRR would be used to choose Project A and C, whereas NPV would show that C offers more absolute value. Besides, IRR can only be interpreted reliably with predictable cash flows, and the variable inflows of Project C will lower the reliability of IRR as compared to NPV. The IRR should not be an independent decision tool due to the financial instability of this firm and the high restructuring requirements that are high. Combined, IRR is what lends credence to the high investment quality of Project C.</w:t>
      </w:r>
    </w:p>
    <w:p w14:paraId="40D5A09E" w14:textId="77777777" w:rsidR="005933FA" w:rsidRPr="000E351A" w:rsidRDefault="00000000" w:rsidP="003C2F17">
      <w:pPr>
        <w:spacing w:before="240"/>
        <w:jc w:val="left"/>
      </w:pPr>
      <w:r w:rsidRPr="000E351A">
        <w:rPr>
          <w:u w:val="single"/>
        </w:rPr>
        <w:t>PROFITABILITY INDEX (PI)</w:t>
      </w:r>
    </w:p>
    <w:p w14:paraId="5E7FA9A2" w14:textId="77777777" w:rsidR="005933FA" w:rsidRPr="000E351A" w:rsidRDefault="00000000" w:rsidP="003C2F17">
      <w:pPr>
        <w:spacing w:before="240"/>
      </w:pPr>
      <w:r w:rsidRPr="000E351A">
        <w:t xml:space="preserve">The added value per capital unit is measured through the profitability index, which is highly implemented in assessing scenarios of capital rationing according to Panigrahi </w:t>
      </w:r>
      <w:r w:rsidRPr="000E351A">
        <w:lastRenderedPageBreak/>
        <w:t xml:space="preserve">(2022). The highest </w:t>
      </w:r>
      <w:r w:rsidRPr="000E351A">
        <w:rPr>
          <w:b/>
          <w:bCs/>
          <w:i/>
          <w:iCs/>
        </w:rPr>
        <w:t xml:space="preserve">PI of 1.0845 is attainable by Project C, </w:t>
      </w:r>
      <w:r w:rsidRPr="000E351A">
        <w:t xml:space="preserve">while </w:t>
      </w:r>
      <w:r w:rsidRPr="000E351A">
        <w:rPr>
          <w:b/>
          <w:bCs/>
          <w:i/>
          <w:iCs/>
        </w:rPr>
        <w:t>Project A and Project B demonstrate the index at 1.0331 and 0.7582, respectively</w:t>
      </w:r>
      <w:r w:rsidRPr="000E351A">
        <w:t xml:space="preserve">. </w:t>
      </w:r>
    </w:p>
    <w:p w14:paraId="629B9CB1" w14:textId="77777777" w:rsidR="005933FA" w:rsidRPr="000E351A" w:rsidRDefault="00000000" w:rsidP="003C2F17">
      <w:pPr>
        <w:spacing w:before="240"/>
        <w:jc w:val="center"/>
        <w:rPr>
          <w:b/>
          <w:bCs/>
        </w:rPr>
      </w:pPr>
      <w:r w:rsidRPr="000E351A">
        <w:rPr>
          <w:b/>
          <w:bCs/>
          <w:noProof/>
        </w:rPr>
        <w:drawing>
          <wp:inline distT="114300" distB="114300" distL="114300" distR="114300" wp14:anchorId="2179FB82" wp14:editId="5FB273A8">
            <wp:extent cx="5943600" cy="36195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3" name="image5.png"/>
                    <pic:cNvPicPr/>
                  </pic:nvPicPr>
                  <pic:blipFill>
                    <a:blip r:embed="rId19"/>
                    <a:stretch>
                      <a:fillRect/>
                    </a:stretch>
                  </pic:blipFill>
                  <pic:spPr>
                    <a:xfrm>
                      <a:off x="0" y="0"/>
                      <a:ext cx="5943600" cy="3619500"/>
                    </a:xfrm>
                    <a:prstGeom prst="rect">
                      <a:avLst/>
                    </a:prstGeom>
                  </pic:spPr>
                </pic:pic>
              </a:graphicData>
            </a:graphic>
          </wp:inline>
        </w:drawing>
      </w:r>
    </w:p>
    <w:p w14:paraId="06D72146" w14:textId="77777777" w:rsidR="005933FA" w:rsidRPr="000E351A" w:rsidRDefault="00000000" w:rsidP="003C2F17">
      <w:pPr>
        <w:spacing w:before="240"/>
        <w:jc w:val="center"/>
        <w:rPr>
          <w:b/>
          <w:bCs/>
        </w:rPr>
      </w:pPr>
      <w:r w:rsidRPr="000E351A">
        <w:rPr>
          <w:b/>
          <w:bCs/>
        </w:rPr>
        <w:t xml:space="preserve">Figure 13: Profitability Index of proposed projects </w:t>
      </w:r>
    </w:p>
    <w:p w14:paraId="06242E49" w14:textId="77777777" w:rsidR="005933FA" w:rsidRPr="000E351A" w:rsidRDefault="00000000" w:rsidP="003C2F17">
      <w:pPr>
        <w:spacing w:before="240"/>
        <w:jc w:val="center"/>
      </w:pPr>
      <w:r w:rsidRPr="000E351A">
        <w:t>(Source: Calculated by the learner)</w:t>
      </w:r>
    </w:p>
    <w:p w14:paraId="35104E4F" w14:textId="77777777" w:rsidR="005933FA" w:rsidRPr="000E351A" w:rsidRDefault="00000000" w:rsidP="003C2F17">
      <w:pPr>
        <w:spacing w:before="240"/>
      </w:pPr>
      <w:r w:rsidRPr="000E351A">
        <w:t>PI is crucial in situations where the budgets for investing are scarce, since it enables ranking the projects according to capital efficiency (CHOUDHURY, 2023). In the case of General Electronics, where liquidity pressure, high leverage, and limited working capital are the main issues, PI assists in determining investments with the highest value creation despite the money expended. High PI of Project C indicates the high inflows of cash in the long run and the high efficiency in the capital utilisation, and it is well suited to budget constraints. On the contrary, the PI of Project B being under one proves that it ought to be discarded immediately. Although PI is useful in complementing NPV in making decisions, it can give higher preference to smaller projects despite the larger projects giving higher absolute NPVs. However, the NPV-PI perspective shows clearly that Project C is the most ideal option, with Project A just being slightly viable.</w:t>
      </w:r>
    </w:p>
    <w:p w14:paraId="4D98F17C" w14:textId="77777777" w:rsidR="005933FA" w:rsidRPr="000E351A" w:rsidRDefault="00000000" w:rsidP="003C2F17">
      <w:pPr>
        <w:pStyle w:val="Heading2"/>
      </w:pPr>
      <w:bookmarkStart w:id="31" w:name="_cg1dlv9k44f1" w:colFirst="0" w:colLast="0"/>
      <w:bookmarkStart w:id="32" w:name="_Toc214722517"/>
      <w:bookmarkStart w:id="33" w:name="_Toc214722849"/>
      <w:bookmarkEnd w:id="31"/>
      <w:r w:rsidRPr="000E351A">
        <w:lastRenderedPageBreak/>
        <w:t>5.2 Final investment recommendation with capital rationing estimation</w:t>
      </w:r>
      <w:bookmarkEnd w:id="32"/>
      <w:bookmarkEnd w:id="33"/>
    </w:p>
    <w:p w14:paraId="7F74F224" w14:textId="77777777" w:rsidR="005933FA" w:rsidRPr="000E351A" w:rsidRDefault="00000000" w:rsidP="003C2F17">
      <w:pPr>
        <w:spacing w:before="240"/>
      </w:pPr>
      <w:r w:rsidRPr="000E351A">
        <w:t>Assuming a capital of £60 million, investment proposals must be considered based on the higher worth, minimising risk exposure. Corresponding to the implemented capital budgeting approaches, it can be stated that</w:t>
      </w:r>
      <w:r w:rsidRPr="000E351A">
        <w:rPr>
          <w:b/>
          <w:bCs/>
          <w:i/>
          <w:iCs/>
        </w:rPr>
        <w:t xml:space="preserve"> Project C</w:t>
      </w:r>
      <w:r w:rsidRPr="000E351A">
        <w:t xml:space="preserve"> shows the potential of long-term financial sustainability with the highest </w:t>
      </w:r>
      <w:r w:rsidRPr="000E351A">
        <w:rPr>
          <w:b/>
          <w:bCs/>
          <w:i/>
          <w:iCs/>
        </w:rPr>
        <w:t>net present value, accounting rate of return, and profitability index of £4.23m, 20%, and 1.0845</w:t>
      </w:r>
      <w:r w:rsidRPr="000E351A">
        <w:t xml:space="preserve">, respectively. This investment project can be accepted considering the outcome of </w:t>
      </w:r>
      <w:r w:rsidRPr="000E351A">
        <w:rPr>
          <w:i/>
          <w:iCs/>
        </w:rPr>
        <w:t>net present value and profitability index</w:t>
      </w:r>
      <w:r w:rsidRPr="000E351A">
        <w:t xml:space="preserve">, which have been stated as highly reliable indicators for value maximisation by Lapkhanov and </w:t>
      </w:r>
      <w:proofErr w:type="spellStart"/>
      <w:r w:rsidRPr="000E351A">
        <w:t>Kabachenko</w:t>
      </w:r>
      <w:proofErr w:type="spellEnd"/>
      <w:r w:rsidRPr="000E351A">
        <w:t xml:space="preserve"> (2024).</w:t>
      </w:r>
    </w:p>
    <w:p w14:paraId="447A55F3" w14:textId="77777777" w:rsidR="005933FA" w:rsidRPr="000E351A" w:rsidRDefault="00000000" w:rsidP="003C2F17">
      <w:pPr>
        <w:spacing w:before="240"/>
      </w:pPr>
      <w:r w:rsidRPr="000E351A">
        <w:t xml:space="preserve">With Project C to be funded at £50 million, this leaves only 10 million, which is not enough to fund Projects A or B. Project A yields a marginal positive value, but its PI (1.0331) remains lower than that of Project C; thus, C is the better standalone allocation in the rationing scenario. The firm therefore ought to only invest in </w:t>
      </w:r>
      <w:r w:rsidRPr="000E351A">
        <w:rPr>
          <w:b/>
          <w:bCs/>
          <w:i/>
          <w:iCs/>
        </w:rPr>
        <w:t>Project C, which is the one that maximises shareholder value</w:t>
      </w:r>
      <w:r w:rsidRPr="000E351A">
        <w:t>, that fits within the long-term corporate financial goals and is well within the 60 million capital budget limit. This strategy will guarantee an optimum use of capital and effective financial sustainability.</w:t>
      </w:r>
    </w:p>
    <w:p w14:paraId="24402352" w14:textId="77777777" w:rsidR="005933FA" w:rsidRPr="000E351A" w:rsidRDefault="00000000" w:rsidP="003C2F17">
      <w:pPr>
        <w:pStyle w:val="Heading2"/>
      </w:pPr>
      <w:bookmarkStart w:id="34" w:name="_b7tdk6khe6km" w:colFirst="0" w:colLast="0"/>
      <w:bookmarkStart w:id="35" w:name="_Toc214722518"/>
      <w:bookmarkStart w:id="36" w:name="_Toc214722850"/>
      <w:bookmarkEnd w:id="34"/>
      <w:r w:rsidRPr="000E351A">
        <w:t>5.3 Justification with reference to financial performance and project risk assessment</w:t>
      </w:r>
      <w:bookmarkEnd w:id="35"/>
      <w:bookmarkEnd w:id="36"/>
    </w:p>
    <w:p w14:paraId="4B97C4AC" w14:textId="77777777" w:rsidR="005933FA" w:rsidRPr="000E351A" w:rsidRDefault="00000000" w:rsidP="003C2F17">
      <w:pPr>
        <w:spacing w:before="240"/>
      </w:pPr>
      <w:r w:rsidRPr="000E351A">
        <w:t xml:space="preserve">The investment decision to consider project C is aligned with the financial performance of the organisation, alongside the risk creation position of the respective proposed plan. In the financial performance, the enterprise is currently operating with </w:t>
      </w:r>
      <w:r w:rsidRPr="000E351A">
        <w:rPr>
          <w:b/>
          <w:bCs/>
          <w:i/>
          <w:iCs/>
        </w:rPr>
        <w:t>declining profitability, poor operating cash flow, working capital and liquidity pressure</w:t>
      </w:r>
      <w:r w:rsidRPr="000E351A">
        <w:t xml:space="preserve">. In this position, it is vital for the management to focus on long-term value creation. </w:t>
      </w:r>
      <w:r w:rsidRPr="000E351A">
        <w:rPr>
          <w:b/>
          <w:bCs/>
          <w:i/>
          <w:iCs/>
        </w:rPr>
        <w:t>Project C</w:t>
      </w:r>
      <w:r w:rsidRPr="000E351A">
        <w:t xml:space="preserve"> can bring the opportunity of gaining a </w:t>
      </w:r>
      <w:r w:rsidRPr="000E351A">
        <w:rPr>
          <w:b/>
          <w:bCs/>
          <w:i/>
          <w:iCs/>
        </w:rPr>
        <w:t>high profitability index and net present value</w:t>
      </w:r>
      <w:r w:rsidRPr="000E351A">
        <w:t xml:space="preserve"> in comparison with other investment plans like projects A and B. </w:t>
      </w:r>
    </w:p>
    <w:p w14:paraId="1860EA0E" w14:textId="77777777" w:rsidR="005933FA" w:rsidRPr="000E351A" w:rsidRDefault="00000000" w:rsidP="003C2F17">
      <w:pPr>
        <w:spacing w:before="240"/>
      </w:pPr>
      <w:r w:rsidRPr="000E351A">
        <w:t xml:space="preserve">The decision is further supported by the considerations of profitability. The company has been facing a reduction in earnings, and therefore, there is a need to undertake projects that will enhance overall returns. Project C has the best ARR (20%), which will have the greatest contribution to the long-term profitability. Conversely, negative </w:t>
      </w:r>
      <w:r w:rsidRPr="000E351A">
        <w:lastRenderedPageBreak/>
        <w:t>NPV and zero ARR of Project B would dilute the shareholder wealth, whereas the returns of Project A are relatively low.</w:t>
      </w:r>
    </w:p>
    <w:p w14:paraId="58FFE052" w14:textId="77777777" w:rsidR="005933FA" w:rsidRPr="000E351A" w:rsidRDefault="00000000" w:rsidP="003C2F17">
      <w:pPr>
        <w:spacing w:before="240"/>
      </w:pPr>
      <w:r w:rsidRPr="000E351A">
        <w:t xml:space="preserve">As concerning risk, </w:t>
      </w:r>
      <w:r w:rsidRPr="000E351A">
        <w:rPr>
          <w:b/>
          <w:bCs/>
          <w:i/>
          <w:iCs/>
        </w:rPr>
        <w:t>Project C</w:t>
      </w:r>
      <w:r w:rsidRPr="000E351A">
        <w:t xml:space="preserve"> has some initial fluctuation in cash flows, but </w:t>
      </w:r>
      <w:r w:rsidRPr="000E351A">
        <w:rPr>
          <w:b/>
          <w:bCs/>
          <w:i/>
          <w:iCs/>
        </w:rPr>
        <w:t>provides good and growing inflows</w:t>
      </w:r>
      <w:r w:rsidRPr="000E351A">
        <w:t xml:space="preserve"> afterwards, which is well within the reasonable risk of investment. Project A provides stable yet less value, and Project B cause financial risk through value destruction.</w:t>
      </w:r>
    </w:p>
    <w:p w14:paraId="6B4D7D55" w14:textId="77777777" w:rsidR="005933FA" w:rsidRPr="000E351A" w:rsidRDefault="00000000" w:rsidP="003C2F17">
      <w:pPr>
        <w:pStyle w:val="Heading1"/>
      </w:pPr>
      <w:bookmarkStart w:id="37" w:name="_x8a7r6m7pk64" w:colFirst="0" w:colLast="0"/>
      <w:bookmarkStart w:id="38" w:name="_Toc214722519"/>
      <w:bookmarkStart w:id="39" w:name="_Toc214722851"/>
      <w:bookmarkEnd w:id="37"/>
      <w:r w:rsidRPr="000E351A">
        <w:t>6. Conclusion</w:t>
      </w:r>
      <w:bookmarkEnd w:id="38"/>
      <w:bookmarkEnd w:id="39"/>
    </w:p>
    <w:p w14:paraId="16CE1407" w14:textId="77777777" w:rsidR="005933FA" w:rsidRPr="00351AF4" w:rsidRDefault="00000000" w:rsidP="003C2F17">
      <w:r w:rsidRPr="000E351A">
        <w:t>The report concludes that the poor operational outcome and financial performance can be addressed through the proactive financial restructuring efforts with international and ethical alignment, along with disciplined capital budgeting for the consideration of investment decisions. It recommends Project C, corresponding to its strong potential for value creation and profitability in the business, and improving liquidity as well as long-term resilience to retain the trust and confidence of the stakeholders.</w:t>
      </w:r>
    </w:p>
    <w:p w14:paraId="7AE3049D" w14:textId="77777777" w:rsidR="00351AF4" w:rsidRPr="00B23204" w:rsidRDefault="00351AF4" w:rsidP="003C2F17"/>
    <w:p w14:paraId="72350473" w14:textId="77777777" w:rsidR="00CE1B5A" w:rsidRPr="000E351A" w:rsidRDefault="00000000" w:rsidP="003C2F17">
      <w:pPr>
        <w:jc w:val="left"/>
      </w:pPr>
      <w:r w:rsidRPr="000E351A">
        <w:br w:type="page"/>
      </w:r>
    </w:p>
    <w:p w14:paraId="76F8B512" w14:textId="77777777" w:rsidR="00713647" w:rsidRPr="000E351A" w:rsidRDefault="00000000" w:rsidP="003C2F17">
      <w:pPr>
        <w:pStyle w:val="Heading1"/>
      </w:pPr>
      <w:bookmarkStart w:id="40" w:name="_Toc214722852"/>
      <w:r w:rsidRPr="000E351A">
        <w:lastRenderedPageBreak/>
        <w:t>Reference list</w:t>
      </w:r>
      <w:bookmarkEnd w:id="40"/>
      <w:r w:rsidRPr="000E351A">
        <w:t xml:space="preserve"> </w:t>
      </w:r>
    </w:p>
    <w:p w14:paraId="3E477923" w14:textId="77777777" w:rsidR="00713647" w:rsidRPr="000E351A" w:rsidRDefault="00000000" w:rsidP="003C2F17">
      <w:pPr>
        <w:spacing w:before="240"/>
      </w:pPr>
      <w:r w:rsidRPr="000E351A">
        <w:t xml:space="preserve">Akinsola, O. K., and Kingsley Onu, D. Y. O. (2021). Legal Implications of Corporate Spin-Offs, Divestitures, and Corporate Restructuring: Key Considerations for Business Leaders and Legal Counsel. </w:t>
      </w:r>
      <w:hyperlink r:id="rId20" w:history="1">
        <w:r w:rsidR="00713647" w:rsidRPr="000E351A">
          <w:rPr>
            <w:rStyle w:val="Hyperlink"/>
          </w:rPr>
          <w:t>https://www.researchgate.net/profile/Beauden-John/publication/388659649_Legal_Implications_of_Corporate_Spin-Offs_Divestitures_and_Corporate_Restructuring_Key_Considerations_for_Business_Leaders_and_Legal_Counsel/links/67a19499645ef274a4664f72/Legal-Implications-of-Corporate-Spin-Offs-Divestitures-and-Corporate-Restructuring-Key-Considerations-for-Business-Leaders-and-Legal-Counsel.pdf</w:t>
        </w:r>
      </w:hyperlink>
      <w:r w:rsidRPr="000E351A">
        <w:t xml:space="preserve"> </w:t>
      </w:r>
    </w:p>
    <w:p w14:paraId="56FF0875" w14:textId="77777777" w:rsidR="00713647" w:rsidRPr="000E351A" w:rsidRDefault="00000000" w:rsidP="003C2F17">
      <w:proofErr w:type="spellStart"/>
      <w:r w:rsidRPr="000E351A">
        <w:t>Alhosban</w:t>
      </w:r>
      <w:proofErr w:type="spellEnd"/>
      <w:r w:rsidRPr="000E351A">
        <w:t>, A., Al-</w:t>
      </w:r>
      <w:proofErr w:type="spellStart"/>
      <w:r w:rsidRPr="000E351A">
        <w:t>Habashneh</w:t>
      </w:r>
      <w:proofErr w:type="spellEnd"/>
      <w:r w:rsidRPr="000E351A">
        <w:t xml:space="preserve">, F., </w:t>
      </w:r>
      <w:proofErr w:type="spellStart"/>
      <w:r w:rsidRPr="000E351A">
        <w:t>Shawaqfeh</w:t>
      </w:r>
      <w:proofErr w:type="spellEnd"/>
      <w:r w:rsidRPr="000E351A">
        <w:t>, G. and Al-</w:t>
      </w:r>
      <w:proofErr w:type="spellStart"/>
      <w:r w:rsidRPr="000E351A">
        <w:t>Tarawneh</w:t>
      </w:r>
      <w:proofErr w:type="spellEnd"/>
      <w:r w:rsidRPr="000E351A">
        <w:t>, E. (2022). The Effect of Using Computerised Financial Statement Analysis on the Efficiency of Financial Performance: An Empirical Case on Industrial Factor in Project Scheduling</w:t>
      </w:r>
      <w:r w:rsidRPr="000E351A">
        <w:rPr>
          <w:rFonts w:ascii="Cambria Math" w:hAnsi="Cambria Math" w:cs="Cambria Math"/>
        </w:rPr>
        <w:t>‐</w:t>
      </w:r>
      <w:r w:rsidRPr="000E351A">
        <w:t>Jordan Case Study. </w:t>
      </w:r>
      <w:r w:rsidRPr="000E351A">
        <w:rPr>
          <w:i/>
          <w:iCs/>
        </w:rPr>
        <w:t>Complexity</w:t>
      </w:r>
      <w:r w:rsidRPr="000E351A">
        <w:t>, </w:t>
      </w:r>
      <w:r w:rsidRPr="000E351A">
        <w:rPr>
          <w:i/>
          <w:iCs/>
        </w:rPr>
        <w:t>2022</w:t>
      </w:r>
      <w:r w:rsidRPr="000E351A">
        <w:t xml:space="preserve">(1), p.8455213. </w:t>
      </w:r>
      <w:hyperlink r:id="rId21" w:history="1">
        <w:r w:rsidR="00713647" w:rsidRPr="000E351A">
          <w:rPr>
            <w:rStyle w:val="Hyperlink"/>
          </w:rPr>
          <w:t>https://onlinelibrary.wiley.com/doi/pdf/10.1155/2022/8455213</w:t>
        </w:r>
      </w:hyperlink>
    </w:p>
    <w:p w14:paraId="10F45B0E" w14:textId="77777777" w:rsidR="00713647" w:rsidRPr="000E351A" w:rsidRDefault="00000000" w:rsidP="003C2F17">
      <w:r w:rsidRPr="000E351A">
        <w:t>Cahyadi, L. (2021). Analysis of Financial Statements to Measure Financial Performance. </w:t>
      </w:r>
      <w:r w:rsidRPr="000E351A">
        <w:rPr>
          <w:i/>
          <w:iCs/>
        </w:rPr>
        <w:t>International Journal of Multidisciplinary and Current Educational Research (IJMCER)</w:t>
      </w:r>
      <w:r w:rsidRPr="000E351A">
        <w:t>, </w:t>
      </w:r>
      <w:r w:rsidRPr="000E351A">
        <w:rPr>
          <w:i/>
          <w:iCs/>
        </w:rPr>
        <w:t>3</w:t>
      </w:r>
      <w:r w:rsidRPr="000E351A">
        <w:t xml:space="preserve">(1), pp.224-233. </w:t>
      </w:r>
      <w:hyperlink r:id="rId22" w:history="1">
        <w:r w:rsidR="00713647" w:rsidRPr="000E351A">
          <w:rPr>
            <w:rStyle w:val="Hyperlink"/>
          </w:rPr>
          <w:t>https://www.ijmcer.com/wp-content/uploads/2021/02/IJMCER_DD03102240233.pdf</w:t>
        </w:r>
      </w:hyperlink>
    </w:p>
    <w:p w14:paraId="0955E6CE" w14:textId="77777777" w:rsidR="00713647" w:rsidRPr="000E351A" w:rsidRDefault="00000000" w:rsidP="003C2F17">
      <w:r w:rsidRPr="000E351A">
        <w:t>Chen, L., (2025). Application Of Smart Principles in Financial Statement Analysis Lessons. </w:t>
      </w:r>
      <w:r w:rsidRPr="000E351A">
        <w:rPr>
          <w:i/>
          <w:iCs/>
        </w:rPr>
        <w:t>International Journal of Social Sciences in Universities</w:t>
      </w:r>
      <w:r w:rsidRPr="000E351A">
        <w:t xml:space="preserve">, p.33. </w:t>
      </w:r>
      <w:hyperlink r:id="rId23" w:anchor="page=37" w:history="1">
        <w:r w:rsidR="00713647" w:rsidRPr="000E351A">
          <w:rPr>
            <w:rStyle w:val="Hyperlink"/>
          </w:rPr>
          <w:t>http://www.acadpubl.com/Papers/Vol%206,%20No%202%20(IJSSU%202023).pdf#page=37</w:t>
        </w:r>
      </w:hyperlink>
    </w:p>
    <w:p w14:paraId="3F842196" w14:textId="77777777" w:rsidR="00713647" w:rsidRPr="000E351A" w:rsidRDefault="00000000" w:rsidP="003C2F17">
      <w:pPr>
        <w:spacing w:before="240"/>
      </w:pPr>
      <w:r w:rsidRPr="000E351A">
        <w:t xml:space="preserve">Chen, S. Y. (2022). The magnitude of base erosion and profit shifting of multinational enterprises with their business operations in New Zealand. </w:t>
      </w:r>
      <w:hyperlink r:id="rId24">
        <w:r w:rsidR="00713647" w:rsidRPr="000E351A">
          <w:rPr>
            <w:color w:val="1155CC"/>
            <w:u w:val="single"/>
          </w:rPr>
          <w:t>https://ir.canterbury.ac.nz/bitstream/10092/103432/1/Chen%2C%20Siew%20Yee_Final%20PhD%20Thesis.pdf</w:t>
        </w:r>
      </w:hyperlink>
      <w:r w:rsidRPr="000E351A">
        <w:t xml:space="preserve"> </w:t>
      </w:r>
    </w:p>
    <w:p w14:paraId="4B094C89" w14:textId="77777777" w:rsidR="00713647" w:rsidRPr="000E351A" w:rsidRDefault="00000000" w:rsidP="003C2F17">
      <w:pPr>
        <w:spacing w:before="240"/>
        <w:rPr>
          <w:lang w:val="nl-NL"/>
        </w:rPr>
      </w:pPr>
      <w:r w:rsidRPr="000E351A">
        <w:t xml:space="preserve">Chen, X. (2022). Theoretical Analysis of Net Present Value. BCP Bus. </w:t>
      </w:r>
      <w:r w:rsidRPr="000E351A">
        <w:rPr>
          <w:lang w:val="nl-NL"/>
        </w:rPr>
        <w:t xml:space="preserve">Manag, 30, 683-686. </w:t>
      </w:r>
      <w:r w:rsidR="00713647">
        <w:fldChar w:fldCharType="begin"/>
      </w:r>
      <w:r w:rsidR="00713647">
        <w:instrText>HYPERLINK "https://pdfs.semanticscholar.org/0b99/d2d2ca458d4add46b67194457c46d012a38f.pdf" \h</w:instrText>
      </w:r>
      <w:r w:rsidR="00713647">
        <w:fldChar w:fldCharType="separate"/>
      </w:r>
      <w:r w:rsidR="00713647" w:rsidRPr="000E351A">
        <w:rPr>
          <w:color w:val="1155CC"/>
          <w:u w:val="single"/>
          <w:lang w:val="nl-NL"/>
        </w:rPr>
        <w:t>https://pdfs.semanticscholar.org/0b99/d2d2ca458d4add46b67194457c46d012a38f.pdf</w:t>
      </w:r>
      <w:r w:rsidR="00713647">
        <w:fldChar w:fldCharType="end"/>
      </w:r>
      <w:r w:rsidRPr="000E351A">
        <w:rPr>
          <w:lang w:val="nl-NL"/>
        </w:rPr>
        <w:t xml:space="preserve"> </w:t>
      </w:r>
    </w:p>
    <w:p w14:paraId="3ECA03D4" w14:textId="77777777" w:rsidR="00713647" w:rsidRPr="000E351A" w:rsidRDefault="00000000" w:rsidP="003C2F17">
      <w:pPr>
        <w:spacing w:before="240"/>
      </w:pPr>
      <w:r w:rsidRPr="000E351A">
        <w:rPr>
          <w:lang w:val="nl-NL"/>
        </w:rPr>
        <w:lastRenderedPageBreak/>
        <w:t xml:space="preserve">CHOUDHURY, A. (2023). </w:t>
      </w:r>
      <w:r w:rsidRPr="000E351A">
        <w:t xml:space="preserve">Capital Budgeting” of ARSS Infrastructure Project Limited. </w:t>
      </w:r>
      <w:hyperlink r:id="rId25">
        <w:r w:rsidR="00713647" w:rsidRPr="000E351A">
          <w:rPr>
            <w:color w:val="1155CC"/>
            <w:u w:val="single"/>
          </w:rPr>
          <w:t>http://biitm.dspaces.org/bitstream/123456789/705/1/Amisha%20Choudhury%20Sip.pdf</w:t>
        </w:r>
      </w:hyperlink>
      <w:r w:rsidRPr="000E351A">
        <w:t xml:space="preserve"> </w:t>
      </w:r>
    </w:p>
    <w:p w14:paraId="6701B09C" w14:textId="77777777" w:rsidR="00713647" w:rsidRPr="000E351A" w:rsidRDefault="00000000" w:rsidP="003C2F17">
      <w:pPr>
        <w:spacing w:before="240"/>
      </w:pPr>
      <w:r w:rsidRPr="000E351A">
        <w:t xml:space="preserve">Cornell, B., Gerger, R., Jarrell, G. A., and Canessa, J. L. (2021). Inflation, investment and valuation. Journal of Business Valuation and Economic Loss Analysis, 16(1), 1-13. </w:t>
      </w:r>
      <w:hyperlink r:id="rId26">
        <w:r w:rsidR="00713647" w:rsidRPr="000E351A">
          <w:rPr>
            <w:color w:val="1155CC"/>
            <w:u w:val="single"/>
          </w:rPr>
          <w:t>https://www.degruyterbrill.com/document/doi/10.1515/jbvela-2020-0029/html</w:t>
        </w:r>
      </w:hyperlink>
      <w:r w:rsidRPr="000E351A">
        <w:t xml:space="preserve"> </w:t>
      </w:r>
    </w:p>
    <w:p w14:paraId="46E12D48" w14:textId="77777777" w:rsidR="00713647" w:rsidRPr="000E351A" w:rsidRDefault="00000000" w:rsidP="003C2F17">
      <w:r w:rsidRPr="000E351A">
        <w:t xml:space="preserve">Dillak, V.J. and </w:t>
      </w:r>
      <w:proofErr w:type="spellStart"/>
      <w:r w:rsidRPr="000E351A">
        <w:t>Siburian</w:t>
      </w:r>
      <w:proofErr w:type="spellEnd"/>
      <w:r w:rsidRPr="000E351A">
        <w:t>, T.A., (2021). The Influence of Financial Ratio to Profit Growth. </w:t>
      </w:r>
      <w:r w:rsidRPr="000E351A">
        <w:rPr>
          <w:i/>
          <w:iCs/>
        </w:rPr>
        <w:t>JAF (Journal of Accounting and Finance)</w:t>
      </w:r>
      <w:r w:rsidRPr="000E351A">
        <w:t>, </w:t>
      </w:r>
      <w:r w:rsidRPr="000E351A">
        <w:rPr>
          <w:i/>
          <w:iCs/>
        </w:rPr>
        <w:t>5</w:t>
      </w:r>
      <w:r w:rsidRPr="000E351A">
        <w:t xml:space="preserve">(2), pp.102-108. </w:t>
      </w:r>
      <w:hyperlink r:id="rId27" w:history="1">
        <w:r w:rsidR="00713647" w:rsidRPr="000E351A">
          <w:rPr>
            <w:rStyle w:val="Hyperlink"/>
          </w:rPr>
          <w:t>https://journals.telkomuniversity.ac.id/jaf/article/download/3717/1690</w:t>
        </w:r>
      </w:hyperlink>
    </w:p>
    <w:p w14:paraId="4793107A" w14:textId="77777777" w:rsidR="00713647" w:rsidRPr="000E351A" w:rsidRDefault="00000000" w:rsidP="003C2F17">
      <w:r w:rsidRPr="000E351A">
        <w:t>Harinurdin, E., (2023), January. The influence of financial ratio and company reputation on company stock prices financial sector. In </w:t>
      </w:r>
      <w:r w:rsidRPr="000E351A">
        <w:rPr>
          <w:i/>
          <w:iCs/>
        </w:rPr>
        <w:t>Proceedings</w:t>
      </w:r>
      <w:r w:rsidRPr="000E351A">
        <w:t xml:space="preserve"> (Vol. 83, No. 1, p. 47). MDPI. </w:t>
      </w:r>
      <w:hyperlink r:id="rId28" w:history="1">
        <w:r w:rsidR="00713647" w:rsidRPr="000E351A">
          <w:rPr>
            <w:rStyle w:val="Hyperlink"/>
          </w:rPr>
          <w:t>https://www.mdpi.com/2504-3900/83/1/47</w:t>
        </w:r>
      </w:hyperlink>
    </w:p>
    <w:p w14:paraId="6FEBF2AE" w14:textId="77777777" w:rsidR="00713647" w:rsidRPr="000E351A" w:rsidRDefault="00000000" w:rsidP="003C2F17">
      <w:proofErr w:type="spellStart"/>
      <w:r w:rsidRPr="000E351A">
        <w:t>Hertina</w:t>
      </w:r>
      <w:proofErr w:type="spellEnd"/>
      <w:r w:rsidRPr="000E351A">
        <w:t xml:space="preserve">, D., </w:t>
      </w:r>
      <w:proofErr w:type="spellStart"/>
      <w:r w:rsidRPr="000E351A">
        <w:t>Pratidina</w:t>
      </w:r>
      <w:proofErr w:type="spellEnd"/>
      <w:r w:rsidRPr="000E351A">
        <w:t>, Z.O., Debora, S. and Sinaga, O., (2021). Analysis Of Financial Ratio to Company Value. </w:t>
      </w:r>
      <w:proofErr w:type="spellStart"/>
      <w:r w:rsidRPr="000E351A">
        <w:rPr>
          <w:i/>
          <w:iCs/>
        </w:rPr>
        <w:t>Rigeo</w:t>
      </w:r>
      <w:proofErr w:type="spellEnd"/>
      <w:r w:rsidRPr="000E351A">
        <w:t>, </w:t>
      </w:r>
      <w:r w:rsidRPr="000E351A">
        <w:rPr>
          <w:i/>
          <w:iCs/>
        </w:rPr>
        <w:t>11</w:t>
      </w:r>
      <w:r w:rsidRPr="000E351A">
        <w:t xml:space="preserve">(7). </w:t>
      </w:r>
      <w:hyperlink r:id="rId29" w:history="1">
        <w:r w:rsidR="00713647" w:rsidRPr="000E351A">
          <w:rPr>
            <w:rStyle w:val="Hyperlink"/>
          </w:rPr>
          <w:t>https://rigeo.org/menu-script/index.php/rigeo/article/download/2610/2580</w:t>
        </w:r>
      </w:hyperlink>
    </w:p>
    <w:p w14:paraId="49C9FFA9" w14:textId="77777777" w:rsidR="00713647" w:rsidRPr="000E351A" w:rsidRDefault="00000000" w:rsidP="003C2F17">
      <w:r w:rsidRPr="000E351A">
        <w:t xml:space="preserve">Hewage, R.S., (2024). Book Review: Financial Statement Analysis: A Practitioner’s Guide, Fernando Alvarez and Martin S. </w:t>
      </w:r>
      <w:proofErr w:type="spellStart"/>
      <w:r w:rsidRPr="000E351A">
        <w:t>Fridson</w:t>
      </w:r>
      <w:proofErr w:type="spellEnd"/>
      <w:r w:rsidRPr="000E351A">
        <w:t xml:space="preserve"> (Wiley Finance Series, (April 2022), Pages: 448). </w:t>
      </w:r>
      <w:hyperlink r:id="rId30" w:history="1">
        <w:r w:rsidR="00713647" w:rsidRPr="000E351A">
          <w:rPr>
            <w:rStyle w:val="Hyperlink"/>
          </w:rPr>
          <w:t>http://repo.lib.sab.ac.lk:8080/xmlui/bitstream/handle/susl/4462/AJMS_07.pdf?sequence=1&amp;isAllowed=y</w:t>
        </w:r>
      </w:hyperlink>
    </w:p>
    <w:p w14:paraId="6561D95F" w14:textId="77777777" w:rsidR="00713647" w:rsidRPr="000E351A" w:rsidRDefault="00000000" w:rsidP="003C2F17">
      <w:proofErr w:type="spellStart"/>
      <w:r w:rsidRPr="000E351A">
        <w:t>Imansyah</w:t>
      </w:r>
      <w:proofErr w:type="spellEnd"/>
      <w:r w:rsidRPr="000E351A">
        <w:t>, S. and Mustafa, M.H., (2021). The analysis of financial ratios effect on the stock price of consumer goods sector companies listed in kompas100 index. </w:t>
      </w:r>
      <w:r w:rsidRPr="000E351A">
        <w:rPr>
          <w:i/>
          <w:iCs/>
        </w:rPr>
        <w:t>Dinasti International Journal of Digital Business Management</w:t>
      </w:r>
      <w:r w:rsidRPr="000E351A">
        <w:t>, </w:t>
      </w:r>
      <w:r w:rsidRPr="000E351A">
        <w:rPr>
          <w:i/>
          <w:iCs/>
        </w:rPr>
        <w:t>2</w:t>
      </w:r>
      <w:r w:rsidRPr="000E351A">
        <w:t xml:space="preserve">(2), pp.371-384. </w:t>
      </w:r>
      <w:hyperlink r:id="rId31" w:history="1">
        <w:r w:rsidR="00713647" w:rsidRPr="000E351A">
          <w:rPr>
            <w:rStyle w:val="Hyperlink"/>
          </w:rPr>
          <w:t>https://www.academia.edu/download/83748717/497.pdf</w:t>
        </w:r>
      </w:hyperlink>
      <w:r w:rsidRPr="000E351A">
        <w:t xml:space="preserve"> </w:t>
      </w:r>
    </w:p>
    <w:p w14:paraId="75DD0FB0" w14:textId="77777777" w:rsidR="00713647" w:rsidRPr="000E351A" w:rsidRDefault="00000000" w:rsidP="003C2F17">
      <w:r w:rsidRPr="000E351A">
        <w:t>Jackson, A.B., (2022). Financial statement analysis: a review and current issues. </w:t>
      </w:r>
      <w:r w:rsidRPr="000E351A">
        <w:rPr>
          <w:i/>
          <w:iCs/>
        </w:rPr>
        <w:t>China Finance Review International</w:t>
      </w:r>
      <w:r w:rsidRPr="000E351A">
        <w:t>, </w:t>
      </w:r>
      <w:r w:rsidRPr="000E351A">
        <w:rPr>
          <w:i/>
          <w:iCs/>
        </w:rPr>
        <w:t>12</w:t>
      </w:r>
      <w:r w:rsidRPr="000E351A">
        <w:t xml:space="preserve">(1), pp.1-19. </w:t>
      </w:r>
      <w:hyperlink r:id="rId32" w:history="1">
        <w:r w:rsidR="00713647" w:rsidRPr="000E351A">
          <w:rPr>
            <w:rStyle w:val="Hyperlink"/>
          </w:rPr>
          <w:t>https://papers.ssrn.com/sol3/Delivery.cfm?abstractid=3958540</w:t>
        </w:r>
      </w:hyperlink>
    </w:p>
    <w:p w14:paraId="3CAFCEA5" w14:textId="77777777" w:rsidR="00713647" w:rsidRPr="000E351A" w:rsidRDefault="00000000" w:rsidP="003C2F17">
      <w:pPr>
        <w:spacing w:before="240"/>
      </w:pPr>
      <w:r w:rsidRPr="000E351A">
        <w:t xml:space="preserve">Kadam, M., and Singh, N. A. (2021). Study of Identification of Capital Budgeting Tools applied in Investment Decision. </w:t>
      </w:r>
      <w:hyperlink r:id="rId33">
        <w:r w:rsidR="00713647" w:rsidRPr="000E351A">
          <w:rPr>
            <w:color w:val="1155CC"/>
            <w:u w:val="single"/>
          </w:rPr>
          <w:t>https://www.researchgate.net/profile/Madhuri-Kadam-2/publication/390561020_A_Study_of_Identification_of_Capital_Budgeting_Tools_applied_in_Investment_Decision/links/68621f87e4632b045dc87e5d/A-Study-of-Identification-of-Capital-Budgeting-Tools-applied-in-Investment-Decision.pdf</w:t>
        </w:r>
      </w:hyperlink>
      <w:r w:rsidRPr="000E351A">
        <w:t xml:space="preserve"> </w:t>
      </w:r>
    </w:p>
    <w:p w14:paraId="3F976596" w14:textId="77777777" w:rsidR="00713647" w:rsidRPr="000E351A" w:rsidRDefault="00000000" w:rsidP="003C2F17">
      <w:pPr>
        <w:spacing w:before="240"/>
      </w:pPr>
      <w:proofErr w:type="spellStart"/>
      <w:r w:rsidRPr="000E351A">
        <w:lastRenderedPageBreak/>
        <w:t>Kolisnichenko</w:t>
      </w:r>
      <w:proofErr w:type="spellEnd"/>
      <w:r w:rsidRPr="000E351A">
        <w:t xml:space="preserve">, P. (2025). FINANCIAL RISKS WHEN CONDUCTING FOREIGN ECONOMIC ACTIVITIES BY ENTERPRISES IN THE MARKETS OF EU COUNTRIES: CHALLENGES FOR THE ECONOMIC SECURITY MANAGEMENT SYSTEM. Publishing House “Baltija Publishing”. </w:t>
      </w:r>
      <w:hyperlink r:id="rId34">
        <w:r w:rsidR="00713647" w:rsidRPr="000E351A">
          <w:rPr>
            <w:color w:val="1155CC"/>
            <w:u w:val="single"/>
          </w:rPr>
          <w:t>http://www.baltijapublishing.lv/omp/index.php/bp/catalog/download/612/16467/34812-1</w:t>
        </w:r>
      </w:hyperlink>
      <w:r w:rsidRPr="000E351A">
        <w:t xml:space="preserve"> </w:t>
      </w:r>
    </w:p>
    <w:p w14:paraId="2E20F692" w14:textId="77777777" w:rsidR="00713647" w:rsidRPr="000E351A" w:rsidRDefault="00000000" w:rsidP="003C2F17">
      <w:pPr>
        <w:spacing w:before="240"/>
      </w:pPr>
      <w:r w:rsidRPr="000E351A">
        <w:t xml:space="preserve">Lapkhanov, E., and </w:t>
      </w:r>
      <w:proofErr w:type="spellStart"/>
      <w:r w:rsidRPr="000E351A">
        <w:t>Kabachenko</w:t>
      </w:r>
      <w:proofErr w:type="spellEnd"/>
      <w:r w:rsidRPr="000E351A">
        <w:t xml:space="preserve">, D. (2024). PECULIARITIES OF THE NET PRESENT VALUE AND PROFIT INDEX CALCULATIONS USING CONTINIOUS FUNCTIONS AND DIFFERENTIAL EQUATIONS MODELS. Publishing House “Baltija Publishing”. </w:t>
      </w:r>
      <w:hyperlink r:id="rId35">
        <w:r w:rsidR="00713647" w:rsidRPr="000E351A">
          <w:rPr>
            <w:color w:val="1155CC"/>
            <w:u w:val="single"/>
          </w:rPr>
          <w:t>http://www.baltijapublishing.lv/omp/index.php/bp/catalog/download/446/12056/25259-1</w:t>
        </w:r>
      </w:hyperlink>
      <w:r w:rsidRPr="000E351A">
        <w:t xml:space="preserve"> </w:t>
      </w:r>
    </w:p>
    <w:p w14:paraId="41A01907" w14:textId="77777777" w:rsidR="00713647" w:rsidRPr="000E351A" w:rsidRDefault="00000000" w:rsidP="003C2F17">
      <w:pPr>
        <w:spacing w:before="240"/>
      </w:pPr>
      <w:r w:rsidRPr="000E351A">
        <w:t xml:space="preserve">Lin, J. (2023). A Comparative Study on the Application of NPV and IRR in Financial Market Investment Decision. Academic Journal of Business &amp; Management, 5(4), 51-54. </w:t>
      </w:r>
      <w:hyperlink r:id="rId36">
        <w:r w:rsidR="00713647" w:rsidRPr="000E351A">
          <w:rPr>
            <w:color w:val="1155CC"/>
            <w:u w:val="single"/>
          </w:rPr>
          <w:t>https://francis-press.com/uploads/papers/tvuwOBEIstKhCU4flAMj2WdlmSMw23SciWwUNauU.pdf</w:t>
        </w:r>
      </w:hyperlink>
      <w:r w:rsidRPr="000E351A">
        <w:t xml:space="preserve"> </w:t>
      </w:r>
    </w:p>
    <w:p w14:paraId="35ED0127" w14:textId="77777777" w:rsidR="00713647" w:rsidRPr="000E351A" w:rsidRDefault="00000000" w:rsidP="003C2F17">
      <w:r w:rsidRPr="000E351A">
        <w:t>Liu, F., (2024). Financial Statement Analysis Based on RNN-RBM Model. </w:t>
      </w:r>
      <w:r w:rsidRPr="000E351A">
        <w:rPr>
          <w:i/>
          <w:iCs/>
        </w:rPr>
        <w:t>Journal of Electrical Systems</w:t>
      </w:r>
      <w:r w:rsidRPr="000E351A">
        <w:t>, </w:t>
      </w:r>
      <w:r w:rsidRPr="000E351A">
        <w:rPr>
          <w:i/>
          <w:iCs/>
        </w:rPr>
        <w:t>20</w:t>
      </w:r>
      <w:r w:rsidRPr="000E351A">
        <w:t xml:space="preserve">(1). </w:t>
      </w:r>
      <w:hyperlink r:id="rId37" w:history="1">
        <w:r w:rsidR="00713647" w:rsidRPr="000E351A">
          <w:rPr>
            <w:rStyle w:val="Hyperlink"/>
          </w:rPr>
          <w:t>https://search.ebscohost.com/login.aspx?direct=true&amp;profile=ehost&amp;scope=site&amp;authtype=crawler&amp;jrnl=11125209&amp;AN=176326147&amp;h=CIMCsg3yLDaoIQq%2FBW5tZRgH19ns4HglPSOcSHd9whXkWo6IjuFJ6OX2RWik4rGU23N9Q9MwhDcYxhU%2FlQPRmg%3D%3D&amp;crl=c</w:t>
        </w:r>
      </w:hyperlink>
    </w:p>
    <w:p w14:paraId="60520650" w14:textId="77777777" w:rsidR="00713647" w:rsidRPr="000E351A" w:rsidRDefault="00000000" w:rsidP="003C2F17">
      <w:r w:rsidRPr="000E351A">
        <w:t>Liu, X., (2021). Empirical analysis of financial statement fraud of listed companies based on logistic regression and random forest algorithm. </w:t>
      </w:r>
      <w:r w:rsidRPr="000E351A">
        <w:rPr>
          <w:i/>
          <w:iCs/>
        </w:rPr>
        <w:t>Journal of Mathematics</w:t>
      </w:r>
      <w:r w:rsidRPr="000E351A">
        <w:t>, </w:t>
      </w:r>
      <w:r w:rsidRPr="000E351A">
        <w:rPr>
          <w:i/>
          <w:iCs/>
        </w:rPr>
        <w:t>2021</w:t>
      </w:r>
      <w:r w:rsidRPr="000E351A">
        <w:t xml:space="preserve">(1), p.9241338. </w:t>
      </w:r>
      <w:hyperlink r:id="rId38" w:history="1">
        <w:r w:rsidR="00713647" w:rsidRPr="000E351A">
          <w:rPr>
            <w:rStyle w:val="Hyperlink"/>
          </w:rPr>
          <w:t>https://onlinelibrary.wiley.com/doi/pdf/10.1155/2021/9241338</w:t>
        </w:r>
      </w:hyperlink>
    </w:p>
    <w:p w14:paraId="45C92066" w14:textId="77777777" w:rsidR="00713647" w:rsidRPr="000E351A" w:rsidRDefault="00000000" w:rsidP="003C2F17">
      <w:proofErr w:type="spellStart"/>
      <w:r w:rsidRPr="000E351A">
        <w:t>Mkadmi</w:t>
      </w:r>
      <w:proofErr w:type="spellEnd"/>
      <w:r w:rsidRPr="000E351A">
        <w:t xml:space="preserve">, J.E. and Ali, W.B., (2024). How does tax avoidance affect corporate social responsibility and financial ratio in emerging </w:t>
      </w:r>
      <w:proofErr w:type="gramStart"/>
      <w:r w:rsidRPr="000E351A">
        <w:t>economies?.</w:t>
      </w:r>
      <w:proofErr w:type="gramEnd"/>
      <w:r w:rsidRPr="000E351A">
        <w:t> </w:t>
      </w:r>
      <w:r w:rsidRPr="000E351A">
        <w:rPr>
          <w:i/>
          <w:iCs/>
        </w:rPr>
        <w:t>Journal of Economic Criminology</w:t>
      </w:r>
      <w:r w:rsidRPr="000E351A">
        <w:t>, </w:t>
      </w:r>
      <w:r w:rsidRPr="000E351A">
        <w:rPr>
          <w:i/>
          <w:iCs/>
        </w:rPr>
        <w:t>5</w:t>
      </w:r>
      <w:r w:rsidRPr="000E351A">
        <w:t xml:space="preserve">, p.100070. </w:t>
      </w:r>
      <w:hyperlink r:id="rId39" w:history="1">
        <w:r w:rsidR="00713647" w:rsidRPr="000E351A">
          <w:rPr>
            <w:rStyle w:val="Hyperlink"/>
          </w:rPr>
          <w:t>https://www.sciencedirect.com/science/article/pii/S2949791424000228</w:t>
        </w:r>
      </w:hyperlink>
    </w:p>
    <w:p w14:paraId="4FECD420" w14:textId="77777777" w:rsidR="00713647" w:rsidRPr="00D741E7" w:rsidRDefault="00000000" w:rsidP="003C2F17">
      <w:r w:rsidRPr="000E351A">
        <w:t xml:space="preserve">Nazarova, K., Bezverkhyi, K., Hordopolov, V., Melnyk, T. and </w:t>
      </w:r>
      <w:proofErr w:type="spellStart"/>
      <w:r w:rsidRPr="000E351A">
        <w:t>Poddubna</w:t>
      </w:r>
      <w:proofErr w:type="spellEnd"/>
      <w:r w:rsidRPr="000E351A">
        <w:t xml:space="preserve">, N., (2021). Risk analysis of companies’ activities on the basis of non-financial and financial </w:t>
      </w:r>
      <w:r w:rsidRPr="000E351A">
        <w:lastRenderedPageBreak/>
        <w:t>statements. </w:t>
      </w:r>
      <w:r w:rsidRPr="000E351A">
        <w:rPr>
          <w:i/>
          <w:iCs/>
        </w:rPr>
        <w:t>Agricultural and Resource Economics: International Scientific E-Journal</w:t>
      </w:r>
      <w:r w:rsidRPr="000E351A">
        <w:t>, </w:t>
      </w:r>
      <w:r w:rsidRPr="000E351A">
        <w:rPr>
          <w:i/>
          <w:iCs/>
        </w:rPr>
        <w:t>7</w:t>
      </w:r>
      <w:r w:rsidRPr="000E351A">
        <w:t xml:space="preserve">(4), pp.180-199. </w:t>
      </w:r>
      <w:hyperlink r:id="rId40" w:history="1">
        <w:r w:rsidR="00713647" w:rsidRPr="00D741E7">
          <w:rPr>
            <w:rStyle w:val="Hyperlink"/>
          </w:rPr>
          <w:t>https://ageconsearch.umn.edu/record/316827/files/10_Nazarova_article.pdf</w:t>
        </w:r>
      </w:hyperlink>
    </w:p>
    <w:p w14:paraId="4B92BF1E" w14:textId="77777777" w:rsidR="00713647" w:rsidRPr="000E351A" w:rsidRDefault="00000000" w:rsidP="003C2F17">
      <w:pPr>
        <w:spacing w:before="240"/>
      </w:pPr>
      <w:proofErr w:type="spellStart"/>
      <w:r w:rsidRPr="000E351A">
        <w:t>Oyelakun</w:t>
      </w:r>
      <w:proofErr w:type="spellEnd"/>
      <w:r w:rsidRPr="000E351A">
        <w:t xml:space="preserve">, O. B., and Abdul-Azeez, A. (2025). THE PAYBACK PERIOD (PBP) UNIFIED FORMULA: A SIMPLIFIED PROPOSED METHOD FOR CALCULATING PBP IN CAPITAL BUDGETING DECISION. </w:t>
      </w:r>
      <w:hyperlink r:id="rId41">
        <w:r w:rsidR="00713647" w:rsidRPr="000E351A">
          <w:rPr>
            <w:color w:val="1155CC"/>
            <w:u w:val="single"/>
          </w:rPr>
          <w:t>https://www.researchgate.net/profile/Oyetola-Oyelakun/publication/389436092_THE_PAYBACK_PERIOD_PBP_UNIFIED_FORMULA_A_SIMPLIFIED_PROPOSED_METHOD_FOR_CALCULATING_PBP_IN_CAPITAL_BUDGETING_DECISION/links/67c24c88461fb56424ed9141/THE-PAYBACK-PERIOD-PBP-UNIFIED-FORMULA-A-SIMPLIFIED-PROPOSED-METHOD-FOR-CALCULATING-PBP-IN-CAPITAL-BUDGETING-DECISION.pdf</w:t>
        </w:r>
      </w:hyperlink>
      <w:r w:rsidRPr="000E351A">
        <w:t xml:space="preserve"> </w:t>
      </w:r>
    </w:p>
    <w:p w14:paraId="57BAC687" w14:textId="77777777" w:rsidR="00713647" w:rsidRPr="000E351A" w:rsidRDefault="00000000" w:rsidP="003C2F17">
      <w:pPr>
        <w:spacing w:before="240"/>
      </w:pPr>
      <w:r w:rsidRPr="000E351A">
        <w:t xml:space="preserve">Panigrahi, T. (2022). Chapter-5 Capital Budgeting Techniques: Enhancing Investment Decisions. Financial Management Excellence: Strategies for Sustainable Growth, 64. </w:t>
      </w:r>
      <w:hyperlink r:id="rId42">
        <w:r w:rsidR="00713647" w:rsidRPr="000E351A">
          <w:rPr>
            <w:color w:val="1155CC"/>
            <w:u w:val="single"/>
          </w:rPr>
          <w:t>https://books.google.com/books?hl=en&amp;lr=&amp;id=PAEJEQAAQBAJ&amp;oi=fnd&amp;pg=PA64&amp;dq=profitability+index+(PI),+capital+rationing&amp;ots=b9oQIlXGaQ&amp;sig=NZ3CrJOdp8OWw6LwPtR5lsxcQes</w:t>
        </w:r>
      </w:hyperlink>
      <w:r w:rsidRPr="000E351A">
        <w:t xml:space="preserve"> </w:t>
      </w:r>
    </w:p>
    <w:p w14:paraId="335F00B6" w14:textId="77777777" w:rsidR="00713647" w:rsidRPr="000E351A" w:rsidRDefault="00000000" w:rsidP="003C2F17">
      <w:r w:rsidRPr="00D741E7">
        <w:t xml:space="preserve">Raju, K.P., (2022). </w:t>
      </w:r>
      <w:r w:rsidRPr="000E351A">
        <w:t>Financial Statement Analysis-An Overview. </w:t>
      </w:r>
      <w:r w:rsidRPr="000E351A">
        <w:rPr>
          <w:i/>
          <w:iCs/>
        </w:rPr>
        <w:t>International Journal of Multidisciplinary Educational Research</w:t>
      </w:r>
      <w:r w:rsidRPr="000E351A">
        <w:t>, </w:t>
      </w:r>
      <w:r w:rsidRPr="000E351A">
        <w:rPr>
          <w:i/>
          <w:iCs/>
        </w:rPr>
        <w:t>11</w:t>
      </w:r>
      <w:r w:rsidRPr="000E351A">
        <w:t xml:space="preserve">(1), pp.1-5. </w:t>
      </w:r>
      <w:hyperlink r:id="rId43" w:history="1">
        <w:r w:rsidR="00713647" w:rsidRPr="000E351A">
          <w:rPr>
            <w:rStyle w:val="Hyperlink"/>
          </w:rPr>
          <w:t>http://ijmer.s3.amazonaws.com/pdf/volume11/volume11-issue9(1)/1.pdf</w:t>
        </w:r>
      </w:hyperlink>
    </w:p>
    <w:p w14:paraId="5EAB0D86" w14:textId="77777777" w:rsidR="00713647" w:rsidRPr="000E351A" w:rsidRDefault="00000000" w:rsidP="003C2F17">
      <w:pPr>
        <w:rPr>
          <w:lang w:val="nl-NL"/>
        </w:rPr>
      </w:pPr>
      <w:r w:rsidRPr="000E351A">
        <w:t xml:space="preserve">Ramadani, A. and </w:t>
      </w:r>
      <w:proofErr w:type="spellStart"/>
      <w:r w:rsidRPr="000E351A">
        <w:t>Ratmono</w:t>
      </w:r>
      <w:proofErr w:type="spellEnd"/>
      <w:r w:rsidRPr="000E351A">
        <w:t>, D., (2023). Financial distress prediction: the role of financial ratio and firm size. </w:t>
      </w:r>
      <w:r w:rsidRPr="000E351A">
        <w:rPr>
          <w:i/>
          <w:iCs/>
          <w:lang w:val="nl-NL"/>
        </w:rPr>
        <w:t>JRAK</w:t>
      </w:r>
      <w:r w:rsidRPr="000E351A">
        <w:rPr>
          <w:lang w:val="nl-NL"/>
        </w:rPr>
        <w:t>, </w:t>
      </w:r>
      <w:r w:rsidRPr="000E351A">
        <w:rPr>
          <w:i/>
          <w:iCs/>
          <w:lang w:val="nl-NL"/>
        </w:rPr>
        <w:t>15</w:t>
      </w:r>
      <w:r w:rsidRPr="000E351A">
        <w:rPr>
          <w:lang w:val="nl-NL"/>
        </w:rPr>
        <w:t xml:space="preserve">(1), pp.19-26. </w:t>
      </w:r>
      <w:r w:rsidR="00713647">
        <w:fldChar w:fldCharType="begin"/>
      </w:r>
      <w:r w:rsidR="00713647">
        <w:instrText>HYPERLINK "https://journal.unpas.ac.id/index.php/jrak/article/download/6428/2861"</w:instrText>
      </w:r>
      <w:r w:rsidR="00713647">
        <w:fldChar w:fldCharType="separate"/>
      </w:r>
      <w:r w:rsidR="00713647" w:rsidRPr="000E351A">
        <w:rPr>
          <w:rStyle w:val="Hyperlink"/>
          <w:lang w:val="nl-NL"/>
        </w:rPr>
        <w:t>https://journal.unpas.ac.id/index.php/jrak/article/download/6428/2861</w:t>
      </w:r>
      <w:r w:rsidR="00713647">
        <w:fldChar w:fldCharType="end"/>
      </w:r>
    </w:p>
    <w:p w14:paraId="6332AB7D" w14:textId="77777777" w:rsidR="00713647" w:rsidRPr="000E351A" w:rsidRDefault="00000000" w:rsidP="003C2F17">
      <w:r w:rsidRPr="000E351A">
        <w:t>Robert, C.H., Jennifer, L.K. and Todd, M., (2023). </w:t>
      </w:r>
      <w:r w:rsidRPr="000E351A">
        <w:rPr>
          <w:i/>
          <w:iCs/>
        </w:rPr>
        <w:t>Analysis for financial management</w:t>
      </w:r>
      <w:r w:rsidRPr="000E351A">
        <w:t>. McGraw-Hill Education.</w:t>
      </w:r>
    </w:p>
    <w:p w14:paraId="29E9C423" w14:textId="77777777" w:rsidR="00713647" w:rsidRPr="000E351A" w:rsidRDefault="00000000" w:rsidP="003C2F17">
      <w:pPr>
        <w:spacing w:before="240"/>
      </w:pPr>
      <w:r w:rsidRPr="000E351A">
        <w:t xml:space="preserve">Sekhar, S. C. (2025). Reassessing The Role </w:t>
      </w:r>
      <w:proofErr w:type="gramStart"/>
      <w:r w:rsidRPr="000E351A">
        <w:t>Of</w:t>
      </w:r>
      <w:proofErr w:type="gramEnd"/>
      <w:r w:rsidRPr="000E351A">
        <w:t xml:space="preserve"> Net Present Value </w:t>
      </w:r>
      <w:proofErr w:type="gramStart"/>
      <w:r w:rsidRPr="000E351A">
        <w:t>In</w:t>
      </w:r>
      <w:proofErr w:type="gramEnd"/>
      <w:r w:rsidRPr="000E351A">
        <w:t xml:space="preserve"> Capital Budgeting Decisions. International Journal of Research and Analytical Reviews. </w:t>
      </w:r>
      <w:hyperlink r:id="rId44">
        <w:r w:rsidR="00713647" w:rsidRPr="000E351A">
          <w:rPr>
            <w:color w:val="1155CC"/>
            <w:u w:val="single"/>
          </w:rPr>
          <w:t>https://www.academia.edu/download/124979573/28_2025_IJRAR.pdf</w:t>
        </w:r>
      </w:hyperlink>
      <w:r w:rsidRPr="000E351A">
        <w:t xml:space="preserve"> </w:t>
      </w:r>
    </w:p>
    <w:p w14:paraId="08163182" w14:textId="77777777" w:rsidR="00713647" w:rsidRPr="000E351A" w:rsidRDefault="00000000" w:rsidP="003C2F17">
      <w:r w:rsidRPr="000E351A">
        <w:t>Shi, M., (2025). A Literature Review on the Application of Artificial Intelligence in Financial Statement Analysis. </w:t>
      </w:r>
      <w:r w:rsidRPr="000E351A">
        <w:rPr>
          <w:i/>
          <w:iCs/>
        </w:rPr>
        <w:t>Accounting, Marketing and Organisation</w:t>
      </w:r>
      <w:r w:rsidRPr="000E351A">
        <w:t>, </w:t>
      </w:r>
      <w:r w:rsidRPr="000E351A">
        <w:rPr>
          <w:i/>
          <w:iCs/>
        </w:rPr>
        <w:t>1</w:t>
      </w:r>
      <w:r w:rsidRPr="000E351A">
        <w:t xml:space="preserve">(1), pp.1000062-1000062. </w:t>
      </w:r>
      <w:hyperlink r:id="rId45" w:history="1">
        <w:r w:rsidR="00713647" w:rsidRPr="000E351A">
          <w:rPr>
            <w:rStyle w:val="Hyperlink"/>
          </w:rPr>
          <w:t>https://amo.cscholar.com/article/download/1000062/82</w:t>
        </w:r>
      </w:hyperlink>
    </w:p>
    <w:p w14:paraId="567603F2" w14:textId="77777777" w:rsidR="00713647" w:rsidRPr="000E351A" w:rsidRDefault="00000000" w:rsidP="003C2F17">
      <w:pPr>
        <w:spacing w:before="240"/>
      </w:pPr>
      <w:r w:rsidRPr="000E351A">
        <w:lastRenderedPageBreak/>
        <w:t xml:space="preserve">Sinaga, A. S., Sari, M. M., </w:t>
      </w:r>
      <w:proofErr w:type="spellStart"/>
      <w:r w:rsidRPr="000E351A">
        <w:t>Hutasuhut</w:t>
      </w:r>
      <w:proofErr w:type="spellEnd"/>
      <w:r w:rsidRPr="000E351A">
        <w:t xml:space="preserve">, A. A., Zahara, S. T., Amanda, A., Fitri, A., and Caesario, M. A. (2023). Comparison of capital budgeting methods: NPV, IRR, PAYBACK period. World Journal of Advanced Research and Reviews, 19(2), 1078-1081. </w:t>
      </w:r>
      <w:hyperlink r:id="rId46">
        <w:r w:rsidR="00713647" w:rsidRPr="000E351A">
          <w:rPr>
            <w:color w:val="1155CC"/>
            <w:u w:val="single"/>
          </w:rPr>
          <w:t>https://pdfs.semanticscholar.org/35f5/923a958b071288b38d4e960e8268477ec19a.pdf</w:t>
        </w:r>
      </w:hyperlink>
      <w:r w:rsidRPr="000E351A">
        <w:t xml:space="preserve"> </w:t>
      </w:r>
    </w:p>
    <w:p w14:paraId="08822BD7" w14:textId="77777777" w:rsidR="00713647" w:rsidRPr="000E351A" w:rsidRDefault="00000000" w:rsidP="003C2F17">
      <w:pPr>
        <w:spacing w:before="240"/>
      </w:pPr>
      <w:r w:rsidRPr="000E351A">
        <w:t xml:space="preserve">Singh, V. A. (2021). STRATEGIC CAPITAL PLANNING AND EFFECTIV INVESTMENT DECISION MANAGEMENT. MANAGEMENT INFORMATION SYSTEMS, 63. </w:t>
      </w:r>
      <w:hyperlink r:id="rId47" w:anchor="page=70">
        <w:r w:rsidR="00713647" w:rsidRPr="000E351A">
          <w:rPr>
            <w:color w:val="1155CC"/>
            <w:u w:val="single"/>
          </w:rPr>
          <w:t>https://wisdompress.co.in/wp-content/uploads/2022/10/Management-Information-Systems-Critical-Success-Factors.pdf#page=70</w:t>
        </w:r>
      </w:hyperlink>
      <w:r w:rsidRPr="000E351A">
        <w:t xml:space="preserve"> </w:t>
      </w:r>
    </w:p>
    <w:p w14:paraId="04D8912E" w14:textId="77777777" w:rsidR="00713647" w:rsidRPr="000E351A" w:rsidRDefault="00000000" w:rsidP="003C2F17">
      <w:pPr>
        <w:spacing w:before="240"/>
      </w:pPr>
      <w:proofErr w:type="spellStart"/>
      <w:r w:rsidRPr="000E351A">
        <w:t>Sneps-Sneppe</w:t>
      </w:r>
      <w:proofErr w:type="spellEnd"/>
      <w:r w:rsidRPr="000E351A">
        <w:t xml:space="preserve">, M. (2023, May). Use of criteria NPV and IRR for choosing among investment projects. In 22nd International Scientific Conference Engineering for Rural Development Proceedings (pp. 745-750). </w:t>
      </w:r>
      <w:hyperlink r:id="rId48">
        <w:r w:rsidR="00713647" w:rsidRPr="000E351A">
          <w:rPr>
            <w:color w:val="1155CC"/>
            <w:u w:val="single"/>
          </w:rPr>
          <w:t>https://www.iitf.lbtu.lv/conference/proceedings2023/Papers/TF146.pdf</w:t>
        </w:r>
      </w:hyperlink>
      <w:r w:rsidRPr="000E351A">
        <w:t xml:space="preserve"> </w:t>
      </w:r>
    </w:p>
    <w:p w14:paraId="03463C6D" w14:textId="77777777" w:rsidR="00713647" w:rsidRPr="000E351A" w:rsidRDefault="00000000" w:rsidP="003C2F17">
      <w:proofErr w:type="spellStart"/>
      <w:r w:rsidRPr="000E351A">
        <w:t>Sutrismi</w:t>
      </w:r>
      <w:proofErr w:type="spellEnd"/>
      <w:r w:rsidRPr="000E351A">
        <w:t xml:space="preserve">, S., Rachman, R., </w:t>
      </w:r>
      <w:proofErr w:type="spellStart"/>
      <w:r w:rsidRPr="000E351A">
        <w:t>Rusman</w:t>
      </w:r>
      <w:proofErr w:type="spellEnd"/>
      <w:r w:rsidRPr="000E351A">
        <w:t xml:space="preserve">, H., Khaddafi, M. and </w:t>
      </w:r>
      <w:proofErr w:type="spellStart"/>
      <w:r w:rsidRPr="000E351A">
        <w:t>RoziqiFath</w:t>
      </w:r>
      <w:proofErr w:type="spellEnd"/>
      <w:r w:rsidRPr="000E351A">
        <w:t>, Z.F.M., (2024). Financial ratio analysis of financial distress in Indonesia stock exchange-listed customer goods corporations. </w:t>
      </w:r>
      <w:proofErr w:type="spellStart"/>
      <w:r w:rsidRPr="000E351A">
        <w:rPr>
          <w:i/>
          <w:iCs/>
        </w:rPr>
        <w:t>Jurnal</w:t>
      </w:r>
      <w:proofErr w:type="spellEnd"/>
      <w:r w:rsidRPr="000E351A">
        <w:rPr>
          <w:i/>
          <w:iCs/>
        </w:rPr>
        <w:t xml:space="preserve"> Ekonomi</w:t>
      </w:r>
      <w:r w:rsidRPr="000E351A">
        <w:t>, </w:t>
      </w:r>
      <w:r w:rsidRPr="000E351A">
        <w:rPr>
          <w:i/>
          <w:iCs/>
        </w:rPr>
        <w:t>13</w:t>
      </w:r>
      <w:r w:rsidRPr="000E351A">
        <w:t xml:space="preserve">(01), pp.1019-1024. </w:t>
      </w:r>
      <w:hyperlink r:id="rId49" w:history="1">
        <w:r w:rsidR="00713647" w:rsidRPr="000E351A">
          <w:rPr>
            <w:rStyle w:val="Hyperlink"/>
          </w:rPr>
          <w:t>https://www.ejournal.seaninstitute.or.id/index.php/Ekonomi/article/download/3881/3096</w:t>
        </w:r>
      </w:hyperlink>
    </w:p>
    <w:p w14:paraId="3888C33E" w14:textId="77777777" w:rsidR="00713647" w:rsidRPr="000E351A" w:rsidRDefault="00000000" w:rsidP="003C2F17">
      <w:pPr>
        <w:spacing w:before="240"/>
      </w:pPr>
      <w:r w:rsidRPr="000E351A">
        <w:t xml:space="preserve">Uwakwe, B. C., and Mohs, J. N. (2025). Corporate Social Responsibility (CSR) in the Digital Age: How Technology-Enabled Social Responsibility Initiatives Influence Competitive Advantage and Financial Performance in US Insurance. International Journal of Scientific Research and Modern Technology, 4(9), 243-256. </w:t>
      </w:r>
      <w:hyperlink r:id="rId50">
        <w:r w:rsidR="00713647" w:rsidRPr="000E351A">
          <w:rPr>
            <w:color w:val="1155CC"/>
            <w:u w:val="single"/>
          </w:rPr>
          <w:t>https://www.researchgate.net/profile/Blessing-Uwakwe-3/publication/396898576_Corporate_Social_Responsibility_CSR_in_the_Digital_Age_How_Technology-Enabled_Social_Responsibility_Initiatives_Influence_Competitive_Advantage_and_Financial_Performance_in_US_Insurance/links/68fcd1bae7f5f867e6e2602e/Corporate-Social-Responsibility-CSR-in-the-Digital-Age-How-Technology-Enabled-Social-Responsibility-Initiatives-Influence-Competitive-Advantage-and-Financial-Performance-in-US-Insurance.pdf</w:t>
        </w:r>
      </w:hyperlink>
      <w:r w:rsidRPr="000E351A">
        <w:t xml:space="preserve"> </w:t>
      </w:r>
    </w:p>
    <w:p w14:paraId="71B6EA5A" w14:textId="77777777" w:rsidR="00713647" w:rsidRPr="000E351A" w:rsidRDefault="00000000" w:rsidP="003C2F17">
      <w:r w:rsidRPr="000E351A">
        <w:lastRenderedPageBreak/>
        <w:t xml:space="preserve">Vuković, B., </w:t>
      </w:r>
      <w:proofErr w:type="spellStart"/>
      <w:r w:rsidRPr="000E351A">
        <w:t>Peštović</w:t>
      </w:r>
      <w:proofErr w:type="spellEnd"/>
      <w:r w:rsidRPr="000E351A">
        <w:t xml:space="preserve">, K., </w:t>
      </w:r>
      <w:proofErr w:type="spellStart"/>
      <w:r w:rsidRPr="000E351A">
        <w:t>Mirović</w:t>
      </w:r>
      <w:proofErr w:type="spellEnd"/>
      <w:r w:rsidRPr="000E351A">
        <w:t>, V., Jakšić, D. and Milutinović, S., (2022). The analysis of company growth determinants based on financial statements of the European companies. </w:t>
      </w:r>
      <w:r w:rsidRPr="000E351A">
        <w:rPr>
          <w:i/>
          <w:iCs/>
        </w:rPr>
        <w:t>Sustainability</w:t>
      </w:r>
      <w:r w:rsidRPr="000E351A">
        <w:t>, </w:t>
      </w:r>
      <w:r w:rsidRPr="000E351A">
        <w:rPr>
          <w:i/>
          <w:iCs/>
        </w:rPr>
        <w:t>14</w:t>
      </w:r>
      <w:r w:rsidRPr="000E351A">
        <w:t xml:space="preserve">(2), p.770. </w:t>
      </w:r>
      <w:hyperlink r:id="rId51" w:history="1">
        <w:r w:rsidR="00713647" w:rsidRPr="000E351A">
          <w:rPr>
            <w:rStyle w:val="Hyperlink"/>
          </w:rPr>
          <w:t>https://www.mdpi.com/2071-1050/14/2/770</w:t>
        </w:r>
      </w:hyperlink>
    </w:p>
    <w:p w14:paraId="114984D2" w14:textId="77777777" w:rsidR="00713647" w:rsidRPr="000E351A" w:rsidRDefault="00000000" w:rsidP="003C2F17">
      <w:r w:rsidRPr="000E351A">
        <w:t>Wibowo, D. and Putra, Y., (2023). Factors that Influence Financial Statement Fraud with Fraud Pentagon Analysis. </w:t>
      </w:r>
      <w:r w:rsidRPr="000E351A">
        <w:rPr>
          <w:i/>
          <w:iCs/>
        </w:rPr>
        <w:t>Asia Pacific Fraud Journal</w:t>
      </w:r>
      <w:r w:rsidRPr="000E351A">
        <w:t>, </w:t>
      </w:r>
      <w:r w:rsidRPr="000E351A">
        <w:rPr>
          <w:i/>
          <w:iCs/>
        </w:rPr>
        <w:t>8</w:t>
      </w:r>
      <w:r w:rsidRPr="000E351A">
        <w:t xml:space="preserve">(1), pp.65-76. </w:t>
      </w:r>
      <w:hyperlink r:id="rId52" w:history="1">
        <w:r w:rsidR="00713647" w:rsidRPr="000E351A">
          <w:rPr>
            <w:rStyle w:val="Hyperlink"/>
          </w:rPr>
          <w:t>https://www.apfjournal.or.id/index.php/apf/article/download/271/262</w:t>
        </w:r>
      </w:hyperlink>
    </w:p>
    <w:p w14:paraId="4C792529" w14:textId="77777777" w:rsidR="00713647" w:rsidRPr="000E351A" w:rsidRDefault="00000000" w:rsidP="003C2F17">
      <w:r w:rsidRPr="000E351A">
        <w:t>Yousefi Nejad, M., Sarwar Khan, A. and Othman, J., (2024). A panel data analysis of the effect of audit quality on financial statement fraud. </w:t>
      </w:r>
      <w:r w:rsidRPr="000E351A">
        <w:rPr>
          <w:i/>
          <w:iCs/>
        </w:rPr>
        <w:t>Asian Journal of Accounting Research</w:t>
      </w:r>
      <w:r w:rsidRPr="000E351A">
        <w:t>, </w:t>
      </w:r>
      <w:r w:rsidRPr="000E351A">
        <w:rPr>
          <w:i/>
          <w:iCs/>
        </w:rPr>
        <w:t>9</w:t>
      </w:r>
      <w:r w:rsidRPr="000E351A">
        <w:t xml:space="preserve">(4), pp.422-445. </w:t>
      </w:r>
      <w:hyperlink r:id="rId53" w:history="1">
        <w:r w:rsidR="00713647" w:rsidRPr="000E351A">
          <w:rPr>
            <w:rStyle w:val="Hyperlink"/>
          </w:rPr>
          <w:t>https://www.emerald.com/insight/content/doi/10.1108/AJAR-04-2023-0112/full/pdf</w:t>
        </w:r>
      </w:hyperlink>
    </w:p>
    <w:p w14:paraId="5E936A90" w14:textId="77777777" w:rsidR="00713647" w:rsidRPr="000E351A" w:rsidRDefault="00000000" w:rsidP="003C2F17">
      <w:r w:rsidRPr="000E351A">
        <w:t>Zhu, S., Ma, T., Wu, H., Ren, J., He, D., Li, Y. and Ge, R., (2025). Expanding and Interpreting Financial Statement Fraud Detection Using Supply Chain Knowledge Graphs. </w:t>
      </w:r>
      <w:r w:rsidRPr="000E351A">
        <w:rPr>
          <w:i/>
          <w:iCs/>
        </w:rPr>
        <w:t>Journal of Theoretical and Applied Electronic Commerce Research</w:t>
      </w:r>
      <w:r w:rsidRPr="000E351A">
        <w:t>, </w:t>
      </w:r>
      <w:r w:rsidRPr="000E351A">
        <w:rPr>
          <w:i/>
          <w:iCs/>
        </w:rPr>
        <w:t>20</w:t>
      </w:r>
      <w:r w:rsidRPr="000E351A">
        <w:t xml:space="preserve">(1), p.26. </w:t>
      </w:r>
      <w:hyperlink r:id="rId54" w:history="1">
        <w:r w:rsidR="00713647" w:rsidRPr="000E351A">
          <w:rPr>
            <w:rStyle w:val="Hyperlink"/>
          </w:rPr>
          <w:t>https://www.mdpi.com/0718-1876/20/1/26</w:t>
        </w:r>
      </w:hyperlink>
    </w:p>
    <w:p w14:paraId="586BF9E4" w14:textId="77777777" w:rsidR="008F30BA" w:rsidRPr="000E351A" w:rsidRDefault="008F30BA" w:rsidP="003C2F17"/>
    <w:p w14:paraId="415E8907" w14:textId="77777777" w:rsidR="004158F5" w:rsidRPr="000E351A" w:rsidRDefault="00000000" w:rsidP="003C2F17">
      <w:pPr>
        <w:jc w:val="left"/>
        <w:rPr>
          <w:b/>
          <w:bCs/>
          <w:sz w:val="28"/>
          <w:szCs w:val="28"/>
        </w:rPr>
      </w:pPr>
      <w:r w:rsidRPr="000E351A">
        <w:br w:type="page"/>
      </w:r>
    </w:p>
    <w:p w14:paraId="62BBAC48" w14:textId="77777777" w:rsidR="004158F5" w:rsidRPr="000E351A" w:rsidRDefault="00000000" w:rsidP="003C2F17">
      <w:pPr>
        <w:pStyle w:val="Heading1"/>
      </w:pPr>
      <w:bookmarkStart w:id="41" w:name="_Toc214722853"/>
      <w:r w:rsidRPr="000E351A">
        <w:lastRenderedPageBreak/>
        <w:t>Appendices</w:t>
      </w:r>
      <w:bookmarkEnd w:id="41"/>
      <w:r w:rsidRPr="000E351A">
        <w:t xml:space="preserve"> </w:t>
      </w:r>
    </w:p>
    <w:p w14:paraId="54CD1EB8" w14:textId="77777777" w:rsidR="004158F5" w:rsidRPr="000E351A" w:rsidRDefault="00000000" w:rsidP="003C2F17">
      <w:pPr>
        <w:pStyle w:val="Heading2"/>
      </w:pPr>
      <w:bookmarkStart w:id="42" w:name="_Toc214722854"/>
      <w:r w:rsidRPr="000E351A">
        <w:t>Appendix 1: Financial ratios</w:t>
      </w:r>
      <w:bookmarkEnd w:id="42"/>
      <w:r w:rsidRPr="000E351A">
        <w:t xml:space="preserve"> </w:t>
      </w:r>
    </w:p>
    <w:p w14:paraId="5C206D81" w14:textId="77777777" w:rsidR="00C55FBA" w:rsidRPr="000E351A" w:rsidRDefault="00000000" w:rsidP="003C2F17">
      <w:r w:rsidRPr="000E351A">
        <w:rPr>
          <w:noProof/>
        </w:rPr>
        <w:drawing>
          <wp:inline distT="0" distB="0" distL="0" distR="0" wp14:anchorId="5C0BCE2B" wp14:editId="4BF1352A">
            <wp:extent cx="5733415" cy="1872615"/>
            <wp:effectExtent l="0" t="0" r="635" b="0"/>
            <wp:docPr id="1564807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807475" name=""/>
                    <pic:cNvPicPr/>
                  </pic:nvPicPr>
                  <pic:blipFill>
                    <a:blip r:embed="rId55"/>
                    <a:stretch>
                      <a:fillRect/>
                    </a:stretch>
                  </pic:blipFill>
                  <pic:spPr>
                    <a:xfrm>
                      <a:off x="0" y="0"/>
                      <a:ext cx="5733415" cy="1872615"/>
                    </a:xfrm>
                    <a:prstGeom prst="rect">
                      <a:avLst/>
                    </a:prstGeom>
                  </pic:spPr>
                </pic:pic>
              </a:graphicData>
            </a:graphic>
          </wp:inline>
        </w:drawing>
      </w:r>
    </w:p>
    <w:p w14:paraId="6315E6F2" w14:textId="77777777" w:rsidR="00D91479" w:rsidRPr="000E351A" w:rsidRDefault="00000000" w:rsidP="003C2F17">
      <w:r w:rsidRPr="000E351A">
        <w:rPr>
          <w:noProof/>
        </w:rPr>
        <w:drawing>
          <wp:inline distT="0" distB="0" distL="0" distR="0" wp14:anchorId="7F917B86" wp14:editId="0B3CB9C5">
            <wp:extent cx="5733415" cy="1071245"/>
            <wp:effectExtent l="0" t="0" r="635" b="0"/>
            <wp:docPr id="671265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65628" name=""/>
                    <pic:cNvPicPr/>
                  </pic:nvPicPr>
                  <pic:blipFill>
                    <a:blip r:embed="rId56"/>
                    <a:stretch>
                      <a:fillRect/>
                    </a:stretch>
                  </pic:blipFill>
                  <pic:spPr>
                    <a:xfrm>
                      <a:off x="0" y="0"/>
                      <a:ext cx="5733415" cy="1071245"/>
                    </a:xfrm>
                    <a:prstGeom prst="rect">
                      <a:avLst/>
                    </a:prstGeom>
                  </pic:spPr>
                </pic:pic>
              </a:graphicData>
            </a:graphic>
          </wp:inline>
        </w:drawing>
      </w:r>
    </w:p>
    <w:p w14:paraId="5A49C022" w14:textId="77777777" w:rsidR="00D91479" w:rsidRPr="000E351A" w:rsidRDefault="00000000" w:rsidP="003C2F17">
      <w:r w:rsidRPr="000E351A">
        <w:rPr>
          <w:noProof/>
        </w:rPr>
        <w:drawing>
          <wp:inline distT="0" distB="0" distL="0" distR="0" wp14:anchorId="33AF783C" wp14:editId="6DA45C14">
            <wp:extent cx="5733415" cy="1184910"/>
            <wp:effectExtent l="0" t="0" r="635" b="0"/>
            <wp:docPr id="1191713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713608" name=""/>
                    <pic:cNvPicPr/>
                  </pic:nvPicPr>
                  <pic:blipFill>
                    <a:blip r:embed="rId57"/>
                    <a:stretch>
                      <a:fillRect/>
                    </a:stretch>
                  </pic:blipFill>
                  <pic:spPr>
                    <a:xfrm>
                      <a:off x="0" y="0"/>
                      <a:ext cx="5733415" cy="1184910"/>
                    </a:xfrm>
                    <a:prstGeom prst="rect">
                      <a:avLst/>
                    </a:prstGeom>
                  </pic:spPr>
                </pic:pic>
              </a:graphicData>
            </a:graphic>
          </wp:inline>
        </w:drawing>
      </w:r>
    </w:p>
    <w:p w14:paraId="5A5CB99B" w14:textId="77777777" w:rsidR="009D06C2" w:rsidRPr="000E351A" w:rsidRDefault="00000000" w:rsidP="003C2F17">
      <w:r w:rsidRPr="000E351A">
        <w:rPr>
          <w:noProof/>
        </w:rPr>
        <w:drawing>
          <wp:inline distT="0" distB="0" distL="0" distR="0" wp14:anchorId="556D53A4" wp14:editId="5E2E9577">
            <wp:extent cx="5733415" cy="1173480"/>
            <wp:effectExtent l="0" t="0" r="635" b="7620"/>
            <wp:docPr id="59663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63035" name=""/>
                    <pic:cNvPicPr/>
                  </pic:nvPicPr>
                  <pic:blipFill>
                    <a:blip r:embed="rId58"/>
                    <a:stretch>
                      <a:fillRect/>
                    </a:stretch>
                  </pic:blipFill>
                  <pic:spPr>
                    <a:xfrm>
                      <a:off x="0" y="0"/>
                      <a:ext cx="5733415" cy="1173480"/>
                    </a:xfrm>
                    <a:prstGeom prst="rect">
                      <a:avLst/>
                    </a:prstGeom>
                  </pic:spPr>
                </pic:pic>
              </a:graphicData>
            </a:graphic>
          </wp:inline>
        </w:drawing>
      </w:r>
    </w:p>
    <w:p w14:paraId="324966AC" w14:textId="77777777" w:rsidR="009D06C2" w:rsidRPr="000E351A" w:rsidRDefault="00000000" w:rsidP="003C2F17">
      <w:r w:rsidRPr="000E351A">
        <w:rPr>
          <w:noProof/>
        </w:rPr>
        <w:drawing>
          <wp:inline distT="0" distB="0" distL="0" distR="0" wp14:anchorId="3C28DCBC" wp14:editId="06A8DE5C">
            <wp:extent cx="5733415" cy="496570"/>
            <wp:effectExtent l="0" t="0" r="635" b="0"/>
            <wp:docPr id="1046358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358615" name=""/>
                    <pic:cNvPicPr/>
                  </pic:nvPicPr>
                  <pic:blipFill>
                    <a:blip r:embed="rId59"/>
                    <a:stretch>
                      <a:fillRect/>
                    </a:stretch>
                  </pic:blipFill>
                  <pic:spPr>
                    <a:xfrm>
                      <a:off x="0" y="0"/>
                      <a:ext cx="5733415" cy="496570"/>
                    </a:xfrm>
                    <a:prstGeom prst="rect">
                      <a:avLst/>
                    </a:prstGeom>
                  </pic:spPr>
                </pic:pic>
              </a:graphicData>
            </a:graphic>
          </wp:inline>
        </w:drawing>
      </w:r>
    </w:p>
    <w:p w14:paraId="44F49586" w14:textId="77777777" w:rsidR="001A1DA7" w:rsidRPr="000E351A" w:rsidRDefault="00000000" w:rsidP="003C2F17">
      <w:r w:rsidRPr="000E351A">
        <w:rPr>
          <w:noProof/>
        </w:rPr>
        <w:drawing>
          <wp:inline distT="0" distB="0" distL="0" distR="0" wp14:anchorId="17671C88" wp14:editId="69BE4E38">
            <wp:extent cx="5733415" cy="507365"/>
            <wp:effectExtent l="0" t="0" r="635" b="6985"/>
            <wp:docPr id="409305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305588" name=""/>
                    <pic:cNvPicPr/>
                  </pic:nvPicPr>
                  <pic:blipFill>
                    <a:blip r:embed="rId60"/>
                    <a:stretch>
                      <a:fillRect/>
                    </a:stretch>
                  </pic:blipFill>
                  <pic:spPr>
                    <a:xfrm>
                      <a:off x="0" y="0"/>
                      <a:ext cx="5733415" cy="507365"/>
                    </a:xfrm>
                    <a:prstGeom prst="rect">
                      <a:avLst/>
                    </a:prstGeom>
                  </pic:spPr>
                </pic:pic>
              </a:graphicData>
            </a:graphic>
          </wp:inline>
        </w:drawing>
      </w:r>
    </w:p>
    <w:p w14:paraId="761902A1" w14:textId="77777777" w:rsidR="001A1DA7" w:rsidRPr="000E351A" w:rsidRDefault="00000000" w:rsidP="003C2F17">
      <w:pPr>
        <w:jc w:val="left"/>
        <w:rPr>
          <w:b/>
          <w:bCs/>
          <w:sz w:val="26"/>
          <w:szCs w:val="26"/>
        </w:rPr>
      </w:pPr>
      <w:r w:rsidRPr="000E351A">
        <w:br w:type="page"/>
      </w:r>
    </w:p>
    <w:p w14:paraId="3886C93C" w14:textId="77777777" w:rsidR="004158F5" w:rsidRPr="000E351A" w:rsidRDefault="00000000" w:rsidP="003C2F17">
      <w:pPr>
        <w:pStyle w:val="Heading2"/>
      </w:pPr>
      <w:bookmarkStart w:id="43" w:name="_Toc214722855"/>
      <w:r w:rsidRPr="000E351A">
        <w:lastRenderedPageBreak/>
        <w:t xml:space="preserve">Appendix 2: </w:t>
      </w:r>
      <w:r w:rsidR="0054789F" w:rsidRPr="000E351A">
        <w:t>Corporate failure prediction</w:t>
      </w:r>
      <w:r w:rsidRPr="000E351A">
        <w:t xml:space="preserve"> model </w:t>
      </w:r>
      <w:r w:rsidR="0054789F" w:rsidRPr="000E351A">
        <w:t>with Altman Z</w:t>
      </w:r>
      <w:bookmarkEnd w:id="43"/>
    </w:p>
    <w:p w14:paraId="25E2C842" w14:textId="77777777" w:rsidR="00970A62" w:rsidRPr="000E351A" w:rsidRDefault="00000000" w:rsidP="003C2F17">
      <w:r w:rsidRPr="000E351A">
        <w:rPr>
          <w:noProof/>
        </w:rPr>
        <w:drawing>
          <wp:inline distT="0" distB="0" distL="0" distR="0" wp14:anchorId="44CB98C1" wp14:editId="51AFF8DB">
            <wp:extent cx="5733415" cy="3820160"/>
            <wp:effectExtent l="0" t="0" r="635" b="8890"/>
            <wp:docPr id="1934484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484679" name=""/>
                    <pic:cNvPicPr/>
                  </pic:nvPicPr>
                  <pic:blipFill>
                    <a:blip r:embed="rId61"/>
                    <a:stretch>
                      <a:fillRect/>
                    </a:stretch>
                  </pic:blipFill>
                  <pic:spPr>
                    <a:xfrm>
                      <a:off x="0" y="0"/>
                      <a:ext cx="5733415" cy="3820160"/>
                    </a:xfrm>
                    <a:prstGeom prst="rect">
                      <a:avLst/>
                    </a:prstGeom>
                  </pic:spPr>
                </pic:pic>
              </a:graphicData>
            </a:graphic>
          </wp:inline>
        </w:drawing>
      </w:r>
    </w:p>
    <w:p w14:paraId="08294E11" w14:textId="77777777" w:rsidR="00970A62" w:rsidRPr="000E351A" w:rsidRDefault="00000000" w:rsidP="003C2F17">
      <w:pPr>
        <w:jc w:val="left"/>
      </w:pPr>
      <w:r w:rsidRPr="000E351A">
        <w:br w:type="page"/>
      </w:r>
    </w:p>
    <w:p w14:paraId="33A49D98" w14:textId="77777777" w:rsidR="00970A62" w:rsidRPr="000E351A" w:rsidRDefault="00000000" w:rsidP="003C2F17">
      <w:pPr>
        <w:pStyle w:val="Heading2"/>
      </w:pPr>
      <w:bookmarkStart w:id="44" w:name="_Toc214722856"/>
      <w:r w:rsidRPr="000E351A">
        <w:lastRenderedPageBreak/>
        <w:t xml:space="preserve">Appendix 3: </w:t>
      </w:r>
      <w:bookmarkStart w:id="45" w:name="_Toc214722522"/>
      <w:r w:rsidRPr="000E351A">
        <w:t>Investment appraisal calculations</w:t>
      </w:r>
      <w:bookmarkEnd w:id="44"/>
      <w:bookmarkEnd w:id="45"/>
    </w:p>
    <w:p w14:paraId="4D3EABA1" w14:textId="77777777" w:rsidR="00970A62" w:rsidRPr="000E351A" w:rsidRDefault="00000000" w:rsidP="003C2F17">
      <w:pPr>
        <w:spacing w:before="240"/>
        <w:rPr>
          <w:b/>
          <w:bCs/>
          <w:u w:val="single"/>
        </w:rPr>
      </w:pPr>
      <w:r w:rsidRPr="000E351A">
        <w:rPr>
          <w:b/>
          <w:bCs/>
          <w:u w:val="single"/>
        </w:rPr>
        <w:t xml:space="preserve">NPV Calculations </w:t>
      </w:r>
    </w:p>
    <w:p w14:paraId="784B3067" w14:textId="77777777" w:rsidR="00970A62" w:rsidRPr="000E351A" w:rsidRDefault="00000000" w:rsidP="003C2F17">
      <w:pPr>
        <w:spacing w:before="240"/>
        <w:jc w:val="center"/>
      </w:pPr>
      <w:r w:rsidRPr="000E351A">
        <w:rPr>
          <w:b/>
          <w:bCs/>
          <w:noProof/>
        </w:rPr>
        <w:drawing>
          <wp:inline distT="114300" distB="114300" distL="114300" distR="114300" wp14:anchorId="66EAD41B" wp14:editId="59D7F4E3">
            <wp:extent cx="5097780" cy="6141720"/>
            <wp:effectExtent l="0" t="0" r="7620" b="0"/>
            <wp:docPr id="21772411" name="image2.png"/>
            <wp:cNvGraphicFramePr/>
            <a:graphic xmlns:a="http://schemas.openxmlformats.org/drawingml/2006/main">
              <a:graphicData uri="http://schemas.openxmlformats.org/drawingml/2006/picture">
                <pic:pic xmlns:pic="http://schemas.openxmlformats.org/drawingml/2006/picture">
                  <pic:nvPicPr>
                    <pic:cNvPr id="21772411" name="image2.png"/>
                    <pic:cNvPicPr/>
                  </pic:nvPicPr>
                  <pic:blipFill>
                    <a:blip r:embed="rId15"/>
                    <a:stretch>
                      <a:fillRect/>
                    </a:stretch>
                  </pic:blipFill>
                  <pic:spPr>
                    <a:xfrm>
                      <a:off x="0" y="0"/>
                      <a:ext cx="5098292" cy="6142337"/>
                    </a:xfrm>
                    <a:prstGeom prst="rect">
                      <a:avLst/>
                    </a:prstGeom>
                  </pic:spPr>
                </pic:pic>
              </a:graphicData>
            </a:graphic>
          </wp:inline>
        </w:drawing>
      </w:r>
    </w:p>
    <w:p w14:paraId="778CD55A" w14:textId="77777777" w:rsidR="00970A62" w:rsidRPr="000E351A" w:rsidRDefault="00970A62" w:rsidP="003C2F17">
      <w:pPr>
        <w:spacing w:before="240"/>
        <w:jc w:val="center"/>
      </w:pPr>
    </w:p>
    <w:p w14:paraId="70E1DA4C" w14:textId="77777777" w:rsidR="00970A62" w:rsidRPr="000E351A" w:rsidRDefault="00000000" w:rsidP="003C2F17">
      <w:pPr>
        <w:spacing w:before="240"/>
        <w:rPr>
          <w:b/>
          <w:bCs/>
          <w:u w:val="single"/>
        </w:rPr>
      </w:pPr>
      <w:r w:rsidRPr="000E351A">
        <w:rPr>
          <w:b/>
          <w:bCs/>
          <w:u w:val="single"/>
        </w:rPr>
        <w:t>Payback Period Calculation</w:t>
      </w:r>
    </w:p>
    <w:p w14:paraId="23809883" w14:textId="77777777" w:rsidR="00970A62" w:rsidRPr="000E351A" w:rsidRDefault="00000000" w:rsidP="003C2F17">
      <w:pPr>
        <w:spacing w:before="240"/>
        <w:jc w:val="center"/>
      </w:pPr>
      <w:r w:rsidRPr="000E351A">
        <w:rPr>
          <w:b/>
          <w:bCs/>
          <w:noProof/>
        </w:rPr>
        <w:lastRenderedPageBreak/>
        <w:drawing>
          <wp:inline distT="114300" distB="114300" distL="114300" distR="114300" wp14:anchorId="4CDA8394" wp14:editId="75F699CE">
            <wp:extent cx="5234940" cy="5821680"/>
            <wp:effectExtent l="0" t="0" r="3810" b="7620"/>
            <wp:docPr id="875482778" name="image3.png"/>
            <wp:cNvGraphicFramePr/>
            <a:graphic xmlns:a="http://schemas.openxmlformats.org/drawingml/2006/main">
              <a:graphicData uri="http://schemas.openxmlformats.org/drawingml/2006/picture">
                <pic:pic xmlns:pic="http://schemas.openxmlformats.org/drawingml/2006/picture">
                  <pic:nvPicPr>
                    <pic:cNvPr id="875482778" name="image3.png"/>
                    <pic:cNvPicPr/>
                  </pic:nvPicPr>
                  <pic:blipFill>
                    <a:blip r:embed="rId16"/>
                    <a:stretch>
                      <a:fillRect/>
                    </a:stretch>
                  </pic:blipFill>
                  <pic:spPr>
                    <a:xfrm>
                      <a:off x="0" y="0"/>
                      <a:ext cx="5235647" cy="5822466"/>
                    </a:xfrm>
                    <a:prstGeom prst="rect">
                      <a:avLst/>
                    </a:prstGeom>
                  </pic:spPr>
                </pic:pic>
              </a:graphicData>
            </a:graphic>
          </wp:inline>
        </w:drawing>
      </w:r>
    </w:p>
    <w:p w14:paraId="176799A8" w14:textId="77777777" w:rsidR="00970A62" w:rsidRPr="000E351A" w:rsidRDefault="00000000" w:rsidP="003C2F17">
      <w:pPr>
        <w:spacing w:before="240"/>
      </w:pPr>
      <w:r w:rsidRPr="000E351A">
        <w:br w:type="page"/>
      </w:r>
    </w:p>
    <w:p w14:paraId="7C7E811E" w14:textId="77777777" w:rsidR="00970A62" w:rsidRPr="000E351A" w:rsidRDefault="00000000" w:rsidP="003C2F17">
      <w:pPr>
        <w:spacing w:before="240"/>
        <w:rPr>
          <w:b/>
          <w:bCs/>
          <w:u w:val="single"/>
        </w:rPr>
      </w:pPr>
      <w:r w:rsidRPr="000E351A">
        <w:rPr>
          <w:b/>
          <w:bCs/>
          <w:u w:val="single"/>
        </w:rPr>
        <w:lastRenderedPageBreak/>
        <w:t>ARR Calculation</w:t>
      </w:r>
    </w:p>
    <w:p w14:paraId="1C2C59DB" w14:textId="77777777" w:rsidR="00970A62" w:rsidRPr="000E351A" w:rsidRDefault="00000000" w:rsidP="003C2F17">
      <w:pPr>
        <w:spacing w:before="240"/>
        <w:jc w:val="center"/>
      </w:pPr>
      <w:r w:rsidRPr="000E351A">
        <w:rPr>
          <w:b/>
          <w:bCs/>
          <w:noProof/>
        </w:rPr>
        <w:drawing>
          <wp:inline distT="114300" distB="114300" distL="114300" distR="114300" wp14:anchorId="10777A43" wp14:editId="529A0AB8">
            <wp:extent cx="4607085" cy="3679552"/>
            <wp:effectExtent l="0" t="0" r="0" b="0"/>
            <wp:docPr id="1217828425" name="image6.png"/>
            <wp:cNvGraphicFramePr/>
            <a:graphic xmlns:a="http://schemas.openxmlformats.org/drawingml/2006/main">
              <a:graphicData uri="http://schemas.openxmlformats.org/drawingml/2006/picture">
                <pic:pic xmlns:pic="http://schemas.openxmlformats.org/drawingml/2006/picture">
                  <pic:nvPicPr>
                    <pic:cNvPr id="1217828425" name="image6.png"/>
                    <pic:cNvPicPr/>
                  </pic:nvPicPr>
                  <pic:blipFill>
                    <a:blip r:embed="rId17"/>
                    <a:stretch>
                      <a:fillRect/>
                    </a:stretch>
                  </pic:blipFill>
                  <pic:spPr>
                    <a:xfrm>
                      <a:off x="0" y="0"/>
                      <a:ext cx="4607085" cy="3679552"/>
                    </a:xfrm>
                    <a:prstGeom prst="rect">
                      <a:avLst/>
                    </a:prstGeom>
                  </pic:spPr>
                </pic:pic>
              </a:graphicData>
            </a:graphic>
          </wp:inline>
        </w:drawing>
      </w:r>
    </w:p>
    <w:p w14:paraId="6C7FE712" w14:textId="77777777" w:rsidR="00970A62" w:rsidRPr="000E351A" w:rsidRDefault="00000000" w:rsidP="003C2F17">
      <w:pPr>
        <w:spacing w:before="240"/>
        <w:rPr>
          <w:b/>
          <w:bCs/>
          <w:u w:val="single"/>
        </w:rPr>
      </w:pPr>
      <w:r w:rsidRPr="000E351A">
        <w:rPr>
          <w:b/>
          <w:bCs/>
          <w:u w:val="single"/>
        </w:rPr>
        <w:t>IRR Calculation</w:t>
      </w:r>
    </w:p>
    <w:p w14:paraId="01D08671" w14:textId="77777777" w:rsidR="00970A62" w:rsidRPr="000E351A" w:rsidRDefault="00000000" w:rsidP="003C2F17">
      <w:pPr>
        <w:spacing w:before="240"/>
        <w:jc w:val="center"/>
      </w:pPr>
      <w:r w:rsidRPr="000E351A">
        <w:rPr>
          <w:b/>
          <w:bCs/>
          <w:noProof/>
        </w:rPr>
        <w:drawing>
          <wp:inline distT="114300" distB="114300" distL="114300" distR="114300" wp14:anchorId="7A9A1F63" wp14:editId="05B32469">
            <wp:extent cx="5943600" cy="2514600"/>
            <wp:effectExtent l="0" t="0" r="0" b="0"/>
            <wp:docPr id="1011628714" name="image4.png"/>
            <wp:cNvGraphicFramePr/>
            <a:graphic xmlns:a="http://schemas.openxmlformats.org/drawingml/2006/main">
              <a:graphicData uri="http://schemas.openxmlformats.org/drawingml/2006/picture">
                <pic:pic xmlns:pic="http://schemas.openxmlformats.org/drawingml/2006/picture">
                  <pic:nvPicPr>
                    <pic:cNvPr id="1011628714" name="image4.png"/>
                    <pic:cNvPicPr/>
                  </pic:nvPicPr>
                  <pic:blipFill>
                    <a:blip r:embed="rId18"/>
                    <a:stretch>
                      <a:fillRect/>
                    </a:stretch>
                  </pic:blipFill>
                  <pic:spPr>
                    <a:xfrm>
                      <a:off x="0" y="0"/>
                      <a:ext cx="5943600" cy="2514600"/>
                    </a:xfrm>
                    <a:prstGeom prst="rect">
                      <a:avLst/>
                    </a:prstGeom>
                  </pic:spPr>
                </pic:pic>
              </a:graphicData>
            </a:graphic>
          </wp:inline>
        </w:drawing>
      </w:r>
    </w:p>
    <w:p w14:paraId="37C25BEB" w14:textId="77777777" w:rsidR="00970A62" w:rsidRPr="000E351A" w:rsidRDefault="00000000" w:rsidP="003C2F17">
      <w:pPr>
        <w:spacing w:before="240"/>
      </w:pPr>
      <w:r w:rsidRPr="000E351A">
        <w:br w:type="page"/>
      </w:r>
    </w:p>
    <w:p w14:paraId="364D090F" w14:textId="77777777" w:rsidR="00970A62" w:rsidRPr="000E351A" w:rsidRDefault="00000000" w:rsidP="003C2F17">
      <w:pPr>
        <w:spacing w:before="240"/>
        <w:rPr>
          <w:b/>
          <w:bCs/>
          <w:u w:val="single"/>
        </w:rPr>
      </w:pPr>
      <w:r w:rsidRPr="000E351A">
        <w:rPr>
          <w:b/>
          <w:bCs/>
          <w:u w:val="single"/>
        </w:rPr>
        <w:lastRenderedPageBreak/>
        <w:t xml:space="preserve">Profitability Index (PI) Calculation </w:t>
      </w:r>
    </w:p>
    <w:p w14:paraId="44616841" w14:textId="77777777" w:rsidR="00970A62" w:rsidRPr="000E351A" w:rsidRDefault="00000000" w:rsidP="003C2F17">
      <w:pPr>
        <w:spacing w:before="240"/>
        <w:jc w:val="center"/>
      </w:pPr>
      <w:r w:rsidRPr="000E351A">
        <w:rPr>
          <w:b/>
          <w:bCs/>
          <w:noProof/>
        </w:rPr>
        <w:drawing>
          <wp:inline distT="114300" distB="114300" distL="114300" distR="114300" wp14:anchorId="448884F8" wp14:editId="4461FA1B">
            <wp:extent cx="5943600" cy="3619500"/>
            <wp:effectExtent l="0" t="0" r="0" b="0"/>
            <wp:docPr id="88180565" name="image5.png"/>
            <wp:cNvGraphicFramePr/>
            <a:graphic xmlns:a="http://schemas.openxmlformats.org/drawingml/2006/main">
              <a:graphicData uri="http://schemas.openxmlformats.org/drawingml/2006/picture">
                <pic:pic xmlns:pic="http://schemas.openxmlformats.org/drawingml/2006/picture">
                  <pic:nvPicPr>
                    <pic:cNvPr id="88180565" name="image5.png"/>
                    <pic:cNvPicPr/>
                  </pic:nvPicPr>
                  <pic:blipFill>
                    <a:blip r:embed="rId19"/>
                    <a:stretch>
                      <a:fillRect/>
                    </a:stretch>
                  </pic:blipFill>
                  <pic:spPr>
                    <a:xfrm>
                      <a:off x="0" y="0"/>
                      <a:ext cx="5943600" cy="3619500"/>
                    </a:xfrm>
                    <a:prstGeom prst="rect">
                      <a:avLst/>
                    </a:prstGeom>
                  </pic:spPr>
                </pic:pic>
              </a:graphicData>
            </a:graphic>
          </wp:inline>
        </w:drawing>
      </w:r>
    </w:p>
    <w:p w14:paraId="67E95D5A" w14:textId="77777777" w:rsidR="00970A62" w:rsidRPr="000E351A" w:rsidRDefault="00970A62" w:rsidP="003C2F17"/>
    <w:p w14:paraId="7EAF3A6E" w14:textId="77777777" w:rsidR="00970A62" w:rsidRPr="000E351A" w:rsidRDefault="00000000" w:rsidP="003C2F17">
      <w:pPr>
        <w:jc w:val="left"/>
      </w:pPr>
      <w:r w:rsidRPr="000E351A">
        <w:br w:type="page"/>
      </w:r>
    </w:p>
    <w:p w14:paraId="23618E04" w14:textId="77777777" w:rsidR="00DC7CC6" w:rsidRPr="000E351A" w:rsidRDefault="00DC7CC6" w:rsidP="003C2F17"/>
    <w:sectPr w:rsidR="00DC7CC6" w:rsidRPr="000E351A" w:rsidSect="004D3C8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1F8631D-405B-4BAC-924C-1FAA9E007906}"/>
  </w:font>
  <w:font w:name="Cambria Math">
    <w:panose1 w:val="02040503050406030204"/>
    <w:charset w:val="00"/>
    <w:family w:val="roman"/>
    <w:pitch w:val="variable"/>
    <w:sig w:usb0="E00006FF" w:usb1="420024FF" w:usb2="02000000" w:usb3="00000000" w:csb0="0000019F" w:csb1="00000000"/>
    <w:embedRegular r:id="rId2" w:fontKey="{524D0219-E5D5-4821-996B-F6E12FFA6B45}"/>
  </w:font>
  <w:font w:name="Cambria">
    <w:panose1 w:val="02040503050406030204"/>
    <w:charset w:val="00"/>
    <w:family w:val="roman"/>
    <w:pitch w:val="variable"/>
    <w:sig w:usb0="E00006FF" w:usb1="420024FF" w:usb2="02000000" w:usb3="00000000" w:csb0="0000019F" w:csb1="00000000"/>
    <w:embedRegular r:id="rId3" w:fontKey="{9FE45D0E-8D59-44D2-98A4-FCF58AEEB1C8}"/>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140E5D"/>
    <w:multiLevelType w:val="hybridMultilevel"/>
    <w:tmpl w:val="5DBEAF8E"/>
    <w:lvl w:ilvl="0" w:tplc="CBDE9206">
      <w:start w:val="1"/>
      <w:numFmt w:val="bullet"/>
      <w:lvlText w:val=""/>
      <w:lvlJc w:val="left"/>
      <w:pPr>
        <w:ind w:left="720" w:hanging="360"/>
      </w:pPr>
      <w:rPr>
        <w:rFonts w:ascii="Symbol" w:hAnsi="Symbol" w:hint="default"/>
      </w:rPr>
    </w:lvl>
    <w:lvl w:ilvl="1" w:tplc="9AA68312" w:tentative="1">
      <w:start w:val="1"/>
      <w:numFmt w:val="bullet"/>
      <w:lvlText w:val="o"/>
      <w:lvlJc w:val="left"/>
      <w:pPr>
        <w:ind w:left="1440" w:hanging="360"/>
      </w:pPr>
      <w:rPr>
        <w:rFonts w:ascii="Courier New" w:hAnsi="Courier New" w:cs="Courier New" w:hint="default"/>
      </w:rPr>
    </w:lvl>
    <w:lvl w:ilvl="2" w:tplc="C4EC40CE" w:tentative="1">
      <w:start w:val="1"/>
      <w:numFmt w:val="bullet"/>
      <w:lvlText w:val=""/>
      <w:lvlJc w:val="left"/>
      <w:pPr>
        <w:ind w:left="2160" w:hanging="360"/>
      </w:pPr>
      <w:rPr>
        <w:rFonts w:ascii="Wingdings" w:hAnsi="Wingdings" w:hint="default"/>
      </w:rPr>
    </w:lvl>
    <w:lvl w:ilvl="3" w:tplc="694622DC" w:tentative="1">
      <w:start w:val="1"/>
      <w:numFmt w:val="bullet"/>
      <w:lvlText w:val=""/>
      <w:lvlJc w:val="left"/>
      <w:pPr>
        <w:ind w:left="2880" w:hanging="360"/>
      </w:pPr>
      <w:rPr>
        <w:rFonts w:ascii="Symbol" w:hAnsi="Symbol" w:hint="default"/>
      </w:rPr>
    </w:lvl>
    <w:lvl w:ilvl="4" w:tplc="A89E68F0" w:tentative="1">
      <w:start w:val="1"/>
      <w:numFmt w:val="bullet"/>
      <w:lvlText w:val="o"/>
      <w:lvlJc w:val="left"/>
      <w:pPr>
        <w:ind w:left="3600" w:hanging="360"/>
      </w:pPr>
      <w:rPr>
        <w:rFonts w:ascii="Courier New" w:hAnsi="Courier New" w:cs="Courier New" w:hint="default"/>
      </w:rPr>
    </w:lvl>
    <w:lvl w:ilvl="5" w:tplc="3D4AC590" w:tentative="1">
      <w:start w:val="1"/>
      <w:numFmt w:val="bullet"/>
      <w:lvlText w:val=""/>
      <w:lvlJc w:val="left"/>
      <w:pPr>
        <w:ind w:left="4320" w:hanging="360"/>
      </w:pPr>
      <w:rPr>
        <w:rFonts w:ascii="Wingdings" w:hAnsi="Wingdings" w:hint="default"/>
      </w:rPr>
    </w:lvl>
    <w:lvl w:ilvl="6" w:tplc="98C64988" w:tentative="1">
      <w:start w:val="1"/>
      <w:numFmt w:val="bullet"/>
      <w:lvlText w:val=""/>
      <w:lvlJc w:val="left"/>
      <w:pPr>
        <w:ind w:left="5040" w:hanging="360"/>
      </w:pPr>
      <w:rPr>
        <w:rFonts w:ascii="Symbol" w:hAnsi="Symbol" w:hint="default"/>
      </w:rPr>
    </w:lvl>
    <w:lvl w:ilvl="7" w:tplc="6F22E0F0" w:tentative="1">
      <w:start w:val="1"/>
      <w:numFmt w:val="bullet"/>
      <w:lvlText w:val="o"/>
      <w:lvlJc w:val="left"/>
      <w:pPr>
        <w:ind w:left="5760" w:hanging="360"/>
      </w:pPr>
      <w:rPr>
        <w:rFonts w:ascii="Courier New" w:hAnsi="Courier New" w:cs="Courier New" w:hint="default"/>
      </w:rPr>
    </w:lvl>
    <w:lvl w:ilvl="8" w:tplc="F1A4E02E" w:tentative="1">
      <w:start w:val="1"/>
      <w:numFmt w:val="bullet"/>
      <w:lvlText w:val=""/>
      <w:lvlJc w:val="left"/>
      <w:pPr>
        <w:ind w:left="6480" w:hanging="360"/>
      </w:pPr>
      <w:rPr>
        <w:rFonts w:ascii="Wingdings" w:hAnsi="Wingdings" w:hint="default"/>
      </w:rPr>
    </w:lvl>
  </w:abstractNum>
  <w:abstractNum w:abstractNumId="1" w15:restartNumberingAfterBreak="0">
    <w:nsid w:val="5B6E4C5B"/>
    <w:multiLevelType w:val="hybridMultilevel"/>
    <w:tmpl w:val="ECD097FE"/>
    <w:lvl w:ilvl="0" w:tplc="2F86B0C0">
      <w:start w:val="1"/>
      <w:numFmt w:val="decimal"/>
      <w:lvlText w:val="%1."/>
      <w:lvlJc w:val="left"/>
      <w:pPr>
        <w:ind w:left="720" w:hanging="360"/>
      </w:pPr>
    </w:lvl>
    <w:lvl w:ilvl="1" w:tplc="50B25480" w:tentative="1">
      <w:start w:val="1"/>
      <w:numFmt w:val="lowerLetter"/>
      <w:lvlText w:val="%2."/>
      <w:lvlJc w:val="left"/>
      <w:pPr>
        <w:ind w:left="1440" w:hanging="360"/>
      </w:pPr>
    </w:lvl>
    <w:lvl w:ilvl="2" w:tplc="2D020B98" w:tentative="1">
      <w:start w:val="1"/>
      <w:numFmt w:val="lowerRoman"/>
      <w:lvlText w:val="%3."/>
      <w:lvlJc w:val="right"/>
      <w:pPr>
        <w:ind w:left="2160" w:hanging="180"/>
      </w:pPr>
    </w:lvl>
    <w:lvl w:ilvl="3" w:tplc="03DEA1AE" w:tentative="1">
      <w:start w:val="1"/>
      <w:numFmt w:val="decimal"/>
      <w:lvlText w:val="%4."/>
      <w:lvlJc w:val="left"/>
      <w:pPr>
        <w:ind w:left="2880" w:hanging="360"/>
      </w:pPr>
    </w:lvl>
    <w:lvl w:ilvl="4" w:tplc="183E6F80" w:tentative="1">
      <w:start w:val="1"/>
      <w:numFmt w:val="lowerLetter"/>
      <w:lvlText w:val="%5."/>
      <w:lvlJc w:val="left"/>
      <w:pPr>
        <w:ind w:left="3600" w:hanging="360"/>
      </w:pPr>
    </w:lvl>
    <w:lvl w:ilvl="5" w:tplc="F74CC12C" w:tentative="1">
      <w:start w:val="1"/>
      <w:numFmt w:val="lowerRoman"/>
      <w:lvlText w:val="%6."/>
      <w:lvlJc w:val="right"/>
      <w:pPr>
        <w:ind w:left="4320" w:hanging="180"/>
      </w:pPr>
    </w:lvl>
    <w:lvl w:ilvl="6" w:tplc="2ED621F6" w:tentative="1">
      <w:start w:val="1"/>
      <w:numFmt w:val="decimal"/>
      <w:lvlText w:val="%7."/>
      <w:lvlJc w:val="left"/>
      <w:pPr>
        <w:ind w:left="5040" w:hanging="360"/>
      </w:pPr>
    </w:lvl>
    <w:lvl w:ilvl="7" w:tplc="3472618C" w:tentative="1">
      <w:start w:val="1"/>
      <w:numFmt w:val="lowerLetter"/>
      <w:lvlText w:val="%8."/>
      <w:lvlJc w:val="left"/>
      <w:pPr>
        <w:ind w:left="5760" w:hanging="360"/>
      </w:pPr>
    </w:lvl>
    <w:lvl w:ilvl="8" w:tplc="96887952" w:tentative="1">
      <w:start w:val="1"/>
      <w:numFmt w:val="lowerRoman"/>
      <w:lvlText w:val="%9."/>
      <w:lvlJc w:val="right"/>
      <w:pPr>
        <w:ind w:left="6480" w:hanging="180"/>
      </w:pPr>
    </w:lvl>
  </w:abstractNum>
  <w:abstractNum w:abstractNumId="2" w15:restartNumberingAfterBreak="0">
    <w:nsid w:val="749A1137"/>
    <w:multiLevelType w:val="multilevel"/>
    <w:tmpl w:val="48AC82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19808526">
    <w:abstractNumId w:val="2"/>
  </w:num>
  <w:num w:numId="2" w16cid:durableId="1507666821">
    <w:abstractNumId w:val="0"/>
  </w:num>
  <w:num w:numId="3" w16cid:durableId="2141290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33D"/>
    <w:rsid w:val="000114DD"/>
    <w:rsid w:val="000138B8"/>
    <w:rsid w:val="00025E32"/>
    <w:rsid w:val="00045783"/>
    <w:rsid w:val="000569DC"/>
    <w:rsid w:val="000623AA"/>
    <w:rsid w:val="000833F2"/>
    <w:rsid w:val="00090D11"/>
    <w:rsid w:val="00093C2F"/>
    <w:rsid w:val="000A0E20"/>
    <w:rsid w:val="000C3EA9"/>
    <w:rsid w:val="000D1C5C"/>
    <w:rsid w:val="000E259C"/>
    <w:rsid w:val="000E351A"/>
    <w:rsid w:val="001029B1"/>
    <w:rsid w:val="0012613E"/>
    <w:rsid w:val="001537E4"/>
    <w:rsid w:val="0017334F"/>
    <w:rsid w:val="001979E9"/>
    <w:rsid w:val="001A1DA7"/>
    <w:rsid w:val="001C3829"/>
    <w:rsid w:val="00214510"/>
    <w:rsid w:val="00223825"/>
    <w:rsid w:val="00232861"/>
    <w:rsid w:val="0024181D"/>
    <w:rsid w:val="002712CB"/>
    <w:rsid w:val="00282186"/>
    <w:rsid w:val="002927A3"/>
    <w:rsid w:val="002A3A48"/>
    <w:rsid w:val="002A61C8"/>
    <w:rsid w:val="002A7DB1"/>
    <w:rsid w:val="002B7029"/>
    <w:rsid w:val="002C6CFE"/>
    <w:rsid w:val="00305502"/>
    <w:rsid w:val="003203FC"/>
    <w:rsid w:val="00322238"/>
    <w:rsid w:val="00344C7C"/>
    <w:rsid w:val="00346C81"/>
    <w:rsid w:val="00351AF4"/>
    <w:rsid w:val="0038467E"/>
    <w:rsid w:val="003B3588"/>
    <w:rsid w:val="003B709A"/>
    <w:rsid w:val="003C13C3"/>
    <w:rsid w:val="003C2F17"/>
    <w:rsid w:val="003C53EE"/>
    <w:rsid w:val="003F412E"/>
    <w:rsid w:val="00400349"/>
    <w:rsid w:val="004158F5"/>
    <w:rsid w:val="00443F2D"/>
    <w:rsid w:val="0044424C"/>
    <w:rsid w:val="00460C38"/>
    <w:rsid w:val="00466B68"/>
    <w:rsid w:val="004B069A"/>
    <w:rsid w:val="004B465B"/>
    <w:rsid w:val="004D3C82"/>
    <w:rsid w:val="00512520"/>
    <w:rsid w:val="00523C6E"/>
    <w:rsid w:val="00525522"/>
    <w:rsid w:val="0054789F"/>
    <w:rsid w:val="00563675"/>
    <w:rsid w:val="0057278F"/>
    <w:rsid w:val="00572D27"/>
    <w:rsid w:val="005744BE"/>
    <w:rsid w:val="0057660B"/>
    <w:rsid w:val="005933FA"/>
    <w:rsid w:val="005A168A"/>
    <w:rsid w:val="005A1747"/>
    <w:rsid w:val="005A43B8"/>
    <w:rsid w:val="005D69C1"/>
    <w:rsid w:val="005F0049"/>
    <w:rsid w:val="005F59F1"/>
    <w:rsid w:val="006079C7"/>
    <w:rsid w:val="00612824"/>
    <w:rsid w:val="00612F23"/>
    <w:rsid w:val="00630D6C"/>
    <w:rsid w:val="006325C2"/>
    <w:rsid w:val="0065028F"/>
    <w:rsid w:val="00681E02"/>
    <w:rsid w:val="006832E6"/>
    <w:rsid w:val="006866B0"/>
    <w:rsid w:val="006A1D9A"/>
    <w:rsid w:val="006A7E37"/>
    <w:rsid w:val="006C117E"/>
    <w:rsid w:val="006C3C28"/>
    <w:rsid w:val="006D6BC8"/>
    <w:rsid w:val="006E4367"/>
    <w:rsid w:val="006F533D"/>
    <w:rsid w:val="006F67D8"/>
    <w:rsid w:val="00705A68"/>
    <w:rsid w:val="00713647"/>
    <w:rsid w:val="00723862"/>
    <w:rsid w:val="007346E7"/>
    <w:rsid w:val="00757352"/>
    <w:rsid w:val="00763D8F"/>
    <w:rsid w:val="007853B1"/>
    <w:rsid w:val="007B7672"/>
    <w:rsid w:val="007C1381"/>
    <w:rsid w:val="007E233F"/>
    <w:rsid w:val="007E628C"/>
    <w:rsid w:val="007F4999"/>
    <w:rsid w:val="00832A80"/>
    <w:rsid w:val="008355FC"/>
    <w:rsid w:val="00850123"/>
    <w:rsid w:val="00891CAF"/>
    <w:rsid w:val="008C7458"/>
    <w:rsid w:val="008E02C7"/>
    <w:rsid w:val="008F30BA"/>
    <w:rsid w:val="008F7425"/>
    <w:rsid w:val="0090180A"/>
    <w:rsid w:val="00901EB0"/>
    <w:rsid w:val="00915672"/>
    <w:rsid w:val="00937CFA"/>
    <w:rsid w:val="00937F39"/>
    <w:rsid w:val="00970A62"/>
    <w:rsid w:val="00974379"/>
    <w:rsid w:val="00974681"/>
    <w:rsid w:val="00982C34"/>
    <w:rsid w:val="00983FC7"/>
    <w:rsid w:val="009911D5"/>
    <w:rsid w:val="00991CA1"/>
    <w:rsid w:val="009928AF"/>
    <w:rsid w:val="009B1525"/>
    <w:rsid w:val="009B27DE"/>
    <w:rsid w:val="009C07DA"/>
    <w:rsid w:val="009C6703"/>
    <w:rsid w:val="009D06C2"/>
    <w:rsid w:val="009D1026"/>
    <w:rsid w:val="00A0376D"/>
    <w:rsid w:val="00A104A0"/>
    <w:rsid w:val="00A3581B"/>
    <w:rsid w:val="00A4165A"/>
    <w:rsid w:val="00A43524"/>
    <w:rsid w:val="00A56EAF"/>
    <w:rsid w:val="00A57BA1"/>
    <w:rsid w:val="00A66317"/>
    <w:rsid w:val="00A66FFF"/>
    <w:rsid w:val="00A71DF2"/>
    <w:rsid w:val="00A732B5"/>
    <w:rsid w:val="00A76F11"/>
    <w:rsid w:val="00A95525"/>
    <w:rsid w:val="00AA0C1B"/>
    <w:rsid w:val="00AB112D"/>
    <w:rsid w:val="00AB5879"/>
    <w:rsid w:val="00AC570F"/>
    <w:rsid w:val="00AF2A45"/>
    <w:rsid w:val="00AF3A87"/>
    <w:rsid w:val="00B1569C"/>
    <w:rsid w:val="00B23204"/>
    <w:rsid w:val="00B34411"/>
    <w:rsid w:val="00B40FC1"/>
    <w:rsid w:val="00B524A8"/>
    <w:rsid w:val="00B7539C"/>
    <w:rsid w:val="00B77218"/>
    <w:rsid w:val="00B77660"/>
    <w:rsid w:val="00B920FD"/>
    <w:rsid w:val="00BC4D34"/>
    <w:rsid w:val="00BD13FB"/>
    <w:rsid w:val="00BD2FBE"/>
    <w:rsid w:val="00BF3101"/>
    <w:rsid w:val="00BF7EF2"/>
    <w:rsid w:val="00C23024"/>
    <w:rsid w:val="00C44AFD"/>
    <w:rsid w:val="00C510F9"/>
    <w:rsid w:val="00C511D9"/>
    <w:rsid w:val="00C55FBA"/>
    <w:rsid w:val="00C61DB3"/>
    <w:rsid w:val="00C909FE"/>
    <w:rsid w:val="00C97A19"/>
    <w:rsid w:val="00CA2562"/>
    <w:rsid w:val="00CC2A9D"/>
    <w:rsid w:val="00CC4041"/>
    <w:rsid w:val="00CC7431"/>
    <w:rsid w:val="00CE1B5A"/>
    <w:rsid w:val="00D02229"/>
    <w:rsid w:val="00D2244B"/>
    <w:rsid w:val="00D5492B"/>
    <w:rsid w:val="00D73611"/>
    <w:rsid w:val="00D741E7"/>
    <w:rsid w:val="00D77526"/>
    <w:rsid w:val="00D91479"/>
    <w:rsid w:val="00D91DA1"/>
    <w:rsid w:val="00DB3BB0"/>
    <w:rsid w:val="00DB5C2A"/>
    <w:rsid w:val="00DB6CC3"/>
    <w:rsid w:val="00DC7CC6"/>
    <w:rsid w:val="00DD1CAC"/>
    <w:rsid w:val="00DD5984"/>
    <w:rsid w:val="00DF1695"/>
    <w:rsid w:val="00E2010A"/>
    <w:rsid w:val="00E2202B"/>
    <w:rsid w:val="00E37E40"/>
    <w:rsid w:val="00E44CE5"/>
    <w:rsid w:val="00E454A2"/>
    <w:rsid w:val="00E50C07"/>
    <w:rsid w:val="00E74C82"/>
    <w:rsid w:val="00E75B71"/>
    <w:rsid w:val="00E83B3C"/>
    <w:rsid w:val="00E84FC9"/>
    <w:rsid w:val="00E85D6A"/>
    <w:rsid w:val="00E9143A"/>
    <w:rsid w:val="00ED6009"/>
    <w:rsid w:val="00EF0D60"/>
    <w:rsid w:val="00F253C0"/>
    <w:rsid w:val="00F27B2A"/>
    <w:rsid w:val="00F5529D"/>
    <w:rsid w:val="00F62489"/>
    <w:rsid w:val="00F86390"/>
    <w:rsid w:val="00F943B3"/>
    <w:rsid w:val="00FB4DAF"/>
    <w:rsid w:val="00FD4E52"/>
    <w:rsid w:val="00FD6D0F"/>
    <w:rsid w:val="00FD79F9"/>
    <w:rsid w:val="00FE3C27"/>
    <w:rsid w:val="00FE49F9"/>
    <w:rsid w:val="00FF0636"/>
    <w:rsid w:val="00FF473C"/>
    <w:rsid w:val="00FF50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8C253"/>
  <w15:docId w15:val="{976ABC4A-E804-4D4E-B8E2-08AB3DBF6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069A"/>
    <w:pPr>
      <w:spacing w:line="360" w:lineRule="auto"/>
      <w:jc w:val="both"/>
    </w:pPr>
    <w:rPr>
      <w:sz w:val="24"/>
      <w:szCs w:val="24"/>
    </w:rPr>
  </w:style>
  <w:style w:type="paragraph" w:styleId="Heading1">
    <w:name w:val="heading 1"/>
    <w:basedOn w:val="Normal"/>
    <w:next w:val="Normal"/>
    <w:uiPriority w:val="9"/>
    <w:qFormat/>
    <w:rsid w:val="004B069A"/>
    <w:pPr>
      <w:keepNext/>
      <w:keepLines/>
      <w:spacing w:before="240" w:after="240"/>
      <w:outlineLvl w:val="0"/>
    </w:pPr>
    <w:rPr>
      <w:b/>
      <w:bCs/>
      <w:sz w:val="28"/>
      <w:szCs w:val="28"/>
    </w:rPr>
  </w:style>
  <w:style w:type="paragraph" w:styleId="Heading2">
    <w:name w:val="heading 2"/>
    <w:basedOn w:val="Normal"/>
    <w:next w:val="Normal"/>
    <w:uiPriority w:val="9"/>
    <w:unhideWhenUsed/>
    <w:qFormat/>
    <w:pPr>
      <w:keepNext/>
      <w:keepLines/>
      <w:spacing w:before="240" w:after="24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305502"/>
    <w:pPr>
      <w:ind w:left="720"/>
      <w:contextualSpacing/>
    </w:pPr>
  </w:style>
  <w:style w:type="table" w:styleId="TableGrid">
    <w:name w:val="Table Grid"/>
    <w:basedOn w:val="TableNormal"/>
    <w:uiPriority w:val="39"/>
    <w:rsid w:val="00C511D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C511D9"/>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F1D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BBB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BBB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BBB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BBB59" w:themeFill="accent3"/>
      </w:tcPr>
    </w:tblStylePr>
    <w:tblStylePr w:type="band1Vert">
      <w:tblPr/>
      <w:tcPr>
        <w:shd w:val="clear" w:color="auto" w:fill="D6E3BC" w:themeFill="accent3" w:themeFillTint="66"/>
      </w:tcPr>
    </w:tblStylePr>
    <w:tblStylePr w:type="band1Horz">
      <w:tblPr/>
      <w:tcPr>
        <w:shd w:val="clear" w:color="auto" w:fill="D6E3BC" w:themeFill="accent3" w:themeFillTint="66"/>
      </w:tcPr>
    </w:tblStylePr>
  </w:style>
  <w:style w:type="character" w:styleId="Hyperlink">
    <w:name w:val="Hyperlink"/>
    <w:basedOn w:val="DefaultParagraphFont"/>
    <w:uiPriority w:val="99"/>
    <w:unhideWhenUsed/>
    <w:rsid w:val="008F30BA"/>
    <w:rPr>
      <w:color w:val="0000FF" w:themeColor="hyperlink"/>
      <w:u w:val="single"/>
    </w:rPr>
  </w:style>
  <w:style w:type="character" w:styleId="UnresolvedMention">
    <w:name w:val="Unresolved Mention"/>
    <w:basedOn w:val="DefaultParagraphFont"/>
    <w:uiPriority w:val="99"/>
    <w:semiHidden/>
    <w:unhideWhenUsed/>
    <w:rsid w:val="008F30BA"/>
    <w:rPr>
      <w:color w:val="605E5C"/>
      <w:shd w:val="clear" w:color="auto" w:fill="E1DFDD"/>
    </w:rPr>
  </w:style>
  <w:style w:type="paragraph" w:styleId="TOCHeading">
    <w:name w:val="TOC Heading"/>
    <w:basedOn w:val="Heading1"/>
    <w:next w:val="Normal"/>
    <w:uiPriority w:val="39"/>
    <w:unhideWhenUsed/>
    <w:qFormat/>
    <w:rsid w:val="0012613E"/>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2613E"/>
    <w:pPr>
      <w:spacing w:after="100"/>
    </w:pPr>
  </w:style>
  <w:style w:type="paragraph" w:styleId="TOC2">
    <w:name w:val="toc 2"/>
    <w:basedOn w:val="Normal"/>
    <w:next w:val="Normal"/>
    <w:autoRedefine/>
    <w:uiPriority w:val="39"/>
    <w:unhideWhenUsed/>
    <w:rsid w:val="0012613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10.png"/><Relationship Id="rId26" Type="http://schemas.openxmlformats.org/officeDocument/2006/relationships/hyperlink" Target="https://www.degruyterbrill.com/document/doi/10.1515/jbvela-2020-0029/html" TargetMode="External"/><Relationship Id="rId39" Type="http://schemas.openxmlformats.org/officeDocument/2006/relationships/hyperlink" Target="https://www.sciencedirect.com/science/article/pii/S2949791424000228" TargetMode="External"/><Relationship Id="rId21" Type="http://schemas.openxmlformats.org/officeDocument/2006/relationships/hyperlink" Target="https://onlinelibrary.wiley.com/doi/pdf/10.1155/2022/8455213" TargetMode="External"/><Relationship Id="rId34" Type="http://schemas.openxmlformats.org/officeDocument/2006/relationships/hyperlink" Target="http://www.baltijapublishing.lv/omp/index.php/bp/catalog/download/612/16467/34812-1" TargetMode="External"/><Relationship Id="rId42" Type="http://schemas.openxmlformats.org/officeDocument/2006/relationships/hyperlink" Target="https://books.google.com/books?hl=en&amp;lr=&amp;id=PAEJEQAAQBAJ&amp;oi=fnd&amp;pg=PA64&amp;dq=profitability+index+(PI),+capital+rationing&amp;ots=b9oQIlXGaQ&amp;sig=NZ3CrJOdp8OWw6LwPtR5lsxcQes" TargetMode="External"/><Relationship Id="rId47" Type="http://schemas.openxmlformats.org/officeDocument/2006/relationships/hyperlink" Target="https://wisdompress.co.in/wp-content/uploads/2022/10/Management-Information-Systems-Critical-Success-Factors.pdf" TargetMode="External"/><Relationship Id="rId50" Type="http://schemas.openxmlformats.org/officeDocument/2006/relationships/hyperlink" Target="https://www.researchgate.net/profile/Blessing-Uwakwe-3/publication/396898576_Corporate_Social_Responsibility_CSR_in_the_Digital_Age_How_Technology-Enabled_Social_Responsibility_Initiatives_Influence_Competitive_Advantage_and_Financial_Performance_in_US_Insurance/links/68fcd1bae7f5f867e6e2602e/Corporate-Social-Responsibility-CSR-in-the-Digital-Age-How-Technology-Enabled-Social-Responsibility-Initiatives-Influence-Competitive-Advantage-and-Financial-Performance-in-US-Insurance.pdf" TargetMode="External"/><Relationship Id="rId55" Type="http://schemas.openxmlformats.org/officeDocument/2006/relationships/image" Target="media/image12.png"/><Relationship Id="rId63"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rigeo.org/menu-script/index.php/rigeo/article/download/2610/2580" TargetMode="External"/><Relationship Id="rId11" Type="http://schemas.openxmlformats.org/officeDocument/2006/relationships/image" Target="media/image6.png"/><Relationship Id="rId24" Type="http://schemas.openxmlformats.org/officeDocument/2006/relationships/hyperlink" Target="https://ir.canterbury.ac.nz/bitstream/10092/103432/1/Chen%2C%20Siew%20Yee_Final%20PhD%20Thesis.pdf" TargetMode="External"/><Relationship Id="rId32" Type="http://schemas.openxmlformats.org/officeDocument/2006/relationships/hyperlink" Target="https://papers.ssrn.com/sol3/Delivery.cfm?abstractid=3958540" TargetMode="External"/><Relationship Id="rId37" Type="http://schemas.openxmlformats.org/officeDocument/2006/relationships/hyperlink" Target="https://search.ebscohost.com/login.aspx?direct=true&amp;profile=ehost&amp;scope=site&amp;authtype=crawler&amp;jrnl=11125209&amp;AN=176326147&amp;h=CIMCsg3yLDaoIQq%2FBW5tZRgH19ns4HglPSOcSHd9whXkWo6IjuFJ6OX2RWik4rGU23N9Q9MwhDcYxhU%2FlQPRmg%3D%3D&amp;crl=c" TargetMode="External"/><Relationship Id="rId40" Type="http://schemas.openxmlformats.org/officeDocument/2006/relationships/hyperlink" Target="https://ageconsearch.umn.edu/record/316827/files/10_Nazarova_article.pdf" TargetMode="External"/><Relationship Id="rId45" Type="http://schemas.openxmlformats.org/officeDocument/2006/relationships/hyperlink" Target="https://amo.cscholar.com/article/download/1000062/82" TargetMode="External"/><Relationship Id="rId53" Type="http://schemas.openxmlformats.org/officeDocument/2006/relationships/hyperlink" Target="https://www.emerald.com/insight/content/doi/10.1108/AJAR-04-2023-0112/full/pdf" TargetMode="External"/><Relationship Id="rId58" Type="http://schemas.openxmlformats.org/officeDocument/2006/relationships/image" Target="media/image15.png"/><Relationship Id="rId5" Type="http://schemas.openxmlformats.org/officeDocument/2006/relationships/webSettings" Target="webSettings.xml"/><Relationship Id="rId61" Type="http://schemas.openxmlformats.org/officeDocument/2006/relationships/image" Target="media/image18.png"/><Relationship Id="rId19" Type="http://schemas.openxmlformats.org/officeDocument/2006/relationships/image" Target="media/image11.png"/><Relationship Id="rId14" Type="http://schemas.openxmlformats.org/officeDocument/2006/relationships/chart" Target="charts/chart3.xml"/><Relationship Id="rId22" Type="http://schemas.openxmlformats.org/officeDocument/2006/relationships/hyperlink" Target="https://www.ijmcer.com/wp-content/uploads/2021/02/IJMCER_DD03102240233.pdf" TargetMode="External"/><Relationship Id="rId27" Type="http://schemas.openxmlformats.org/officeDocument/2006/relationships/hyperlink" Target="https://journals.telkomuniversity.ac.id/jaf/article/download/3717/1690" TargetMode="External"/><Relationship Id="rId30" Type="http://schemas.openxmlformats.org/officeDocument/2006/relationships/hyperlink" Target="http://repo.lib.sab.ac.lk:8080/xmlui/bitstream/handle/susl/4462/AJMS_07.pdf?sequence=1&amp;isAllowed=y" TargetMode="External"/><Relationship Id="rId35" Type="http://schemas.openxmlformats.org/officeDocument/2006/relationships/hyperlink" Target="http://www.baltijapublishing.lv/omp/index.php/bp/catalog/download/446/12056/25259-1" TargetMode="External"/><Relationship Id="rId43" Type="http://schemas.openxmlformats.org/officeDocument/2006/relationships/hyperlink" Target="http://ijmer.s3.amazonaws.com/pdf/volume11/volume11-issue9(1)/1.pdf" TargetMode="External"/><Relationship Id="rId48" Type="http://schemas.openxmlformats.org/officeDocument/2006/relationships/hyperlink" Target="https://www.iitf.lbtu.lv/conference/proceedings2023/Papers/TF146.pdf" TargetMode="External"/><Relationship Id="rId56" Type="http://schemas.openxmlformats.org/officeDocument/2006/relationships/image" Target="media/image13.png"/><Relationship Id="rId8" Type="http://schemas.openxmlformats.org/officeDocument/2006/relationships/image" Target="media/image3.png"/><Relationship Id="rId51" Type="http://schemas.openxmlformats.org/officeDocument/2006/relationships/hyperlink" Target="https://www.mdpi.com/2071-1050/14/2/770" TargetMode="External"/><Relationship Id="rId3" Type="http://schemas.openxmlformats.org/officeDocument/2006/relationships/styles" Target="styles.xml"/><Relationship Id="rId12" Type="http://schemas.openxmlformats.org/officeDocument/2006/relationships/chart" Target="charts/chart1.xml"/><Relationship Id="rId17" Type="http://schemas.openxmlformats.org/officeDocument/2006/relationships/image" Target="media/image9.png"/><Relationship Id="rId25" Type="http://schemas.openxmlformats.org/officeDocument/2006/relationships/hyperlink" Target="http://biitm.dspaces.org/bitstream/123456789/705/1/Amisha%20Choudhury%20Sip.pdf" TargetMode="External"/><Relationship Id="rId33" Type="http://schemas.openxmlformats.org/officeDocument/2006/relationships/hyperlink" Target="https://www.researchgate.net/profile/Madhuri-Kadam-2/publication/390561020_A_Study_of_Identification_of_Capital_Budgeting_Tools_applied_in_Investment_Decision/links/68621f87e4632b045dc87e5d/A-Study-of-Identification-of-Capital-Budgeting-Tools-applied-in-Investment-Decision.pdf" TargetMode="External"/><Relationship Id="rId38" Type="http://schemas.openxmlformats.org/officeDocument/2006/relationships/hyperlink" Target="https://onlinelibrary.wiley.com/doi/pdf/10.1155/2021/9241338" TargetMode="External"/><Relationship Id="rId46" Type="http://schemas.openxmlformats.org/officeDocument/2006/relationships/hyperlink" Target="https://pdfs.semanticscholar.org/35f5/923a958b071288b38d4e960e8268477ec19a.pdf" TargetMode="External"/><Relationship Id="rId59" Type="http://schemas.openxmlformats.org/officeDocument/2006/relationships/image" Target="media/image16.png"/><Relationship Id="rId20" Type="http://schemas.openxmlformats.org/officeDocument/2006/relationships/hyperlink" Target="https://www.researchgate.net/profile/Beauden-John/publication/388659649_Legal_Implications_of_Corporate_Spin-Offs_Divestitures_and_Corporate_Restructuring_Key_Considerations_for_Business_Leaders_and_Legal_Counsel/links/67a19499645ef274a4664f72/Legal-Implications-of-Corporate-Spin-Offs-Divestitures-and-Corporate-Restructuring-Key-Considerations-for-Business-Leaders-and-Legal-Counsel.pdf" TargetMode="External"/><Relationship Id="rId41" Type="http://schemas.openxmlformats.org/officeDocument/2006/relationships/hyperlink" Target="https://www.researchgate.net/profile/Oyetola-Oyelakun/publication/389436092_THE_PAYBACK_PERIOD_PBP_UNIFIED_FORMULA_A_SIMPLIFIED_PROPOSED_METHOD_FOR_CALCULATING_PBP_IN_CAPITAL_BUDGETING_DECISION/links/67c24c88461fb56424ed9141/THE-PAYBACK-PERIOD-PBP-UNIFIED-FORMULA-A-SIMPLIFIED-PROPOSED-METHOD-FOR-CALCULATING-PBP-IN-CAPITAL-BUDGETING-DECISION.pdf" TargetMode="External"/><Relationship Id="rId54" Type="http://schemas.openxmlformats.org/officeDocument/2006/relationships/hyperlink" Target="https://www.mdpi.com/0718-1876/20/1/26"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7.png"/><Relationship Id="rId23" Type="http://schemas.openxmlformats.org/officeDocument/2006/relationships/hyperlink" Target="http://www.acadpubl.com/Papers/Vol%206,%20No%202%20(IJSSU%202023).pdf" TargetMode="External"/><Relationship Id="rId28" Type="http://schemas.openxmlformats.org/officeDocument/2006/relationships/hyperlink" Target="https://www.mdpi.com/2504-3900/83/1/47" TargetMode="External"/><Relationship Id="rId36" Type="http://schemas.openxmlformats.org/officeDocument/2006/relationships/hyperlink" Target="https://francis-press.com/uploads/papers/tvuwOBEIstKhCU4flAMj2WdlmSMw23SciWwUNauU.pdf" TargetMode="External"/><Relationship Id="rId49" Type="http://schemas.openxmlformats.org/officeDocument/2006/relationships/hyperlink" Target="https://www.ejournal.seaninstitute.or.id/index.php/Ekonomi/article/download/3881/3096" TargetMode="External"/><Relationship Id="rId57" Type="http://schemas.openxmlformats.org/officeDocument/2006/relationships/image" Target="media/image14.png"/><Relationship Id="rId10" Type="http://schemas.openxmlformats.org/officeDocument/2006/relationships/image" Target="media/image5.png"/><Relationship Id="rId31" Type="http://schemas.openxmlformats.org/officeDocument/2006/relationships/hyperlink" Target="https://www.academia.edu/download/83748717/497.pdf" TargetMode="External"/><Relationship Id="rId44" Type="http://schemas.openxmlformats.org/officeDocument/2006/relationships/hyperlink" Target="https://www.academia.edu/download/124979573/28_2025_IJRAR.pdf" TargetMode="External"/><Relationship Id="rId52" Type="http://schemas.openxmlformats.org/officeDocument/2006/relationships/hyperlink" Target="https://www.apfjournal.or.id/index.php/apf/article/download/271/262" TargetMode="External"/><Relationship Id="rId60"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4.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charts/_rels/chart1.xml.rels><?xml version="1.0" encoding="UTF-8" standalone="yes"?>
<Relationships xmlns="http://schemas.openxmlformats.org/package/2006/relationships"><Relationship Id="rId3" Type="http://schemas.openxmlformats.org/officeDocument/2006/relationships/oleObject" Target="file:///C:\Users\LENOVO\Documents\General%20electronic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ENOVO\Documents\General%20electronic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ENOVO\Documents\General%20electronic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'Ratio analysis'!$A$109</c:f>
              <c:strCache>
                <c:ptCount val="1"/>
                <c:pt idx="0">
                  <c:v>Operating cash flow ratio (OCFR)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'Ratio analysis'!$B$108:$F$108</c:f>
              <c:numCache>
                <c:formatCode>General</c:formatCode>
                <c:ptCount val="5"/>
                <c:pt idx="0">
                  <c:v>2020</c:v>
                </c:pt>
                <c:pt idx="1">
                  <c:v>2021</c:v>
                </c:pt>
                <c:pt idx="2">
                  <c:v>2022</c:v>
                </c:pt>
                <c:pt idx="3">
                  <c:v>2023</c:v>
                </c:pt>
                <c:pt idx="4">
                  <c:v>2024</c:v>
                </c:pt>
              </c:numCache>
            </c:numRef>
          </c:cat>
          <c:val>
            <c:numRef>
              <c:f>'Ratio analysis'!$B$109:$F$109</c:f>
              <c:numCache>
                <c:formatCode>0.00</c:formatCode>
                <c:ptCount val="5"/>
                <c:pt idx="0">
                  <c:v>0.40884630382708487</c:v>
                </c:pt>
                <c:pt idx="1">
                  <c:v>0.18581833781545942</c:v>
                </c:pt>
                <c:pt idx="2">
                  <c:v>5.0472807232310728E-2</c:v>
                </c:pt>
                <c:pt idx="3">
                  <c:v>0.15631593317943754</c:v>
                </c:pt>
                <c:pt idx="4">
                  <c:v>9.3637667334213567E-2</c:v>
                </c:pt>
              </c:numCache>
            </c:numRef>
          </c:val>
          <c:extLst>
            <c:ext xmlns:c16="http://schemas.microsoft.com/office/drawing/2014/chart" uri="{C3380CC4-5D6E-409C-BE32-E72D297353CC}">
              <c16:uniqueId val="{00000000-B39B-45DD-B77B-5D73A942939F}"/>
            </c:ext>
          </c:extLst>
        </c:ser>
        <c:dLbls>
          <c:showLegendKey val="0"/>
          <c:showVal val="0"/>
          <c:showCatName val="0"/>
          <c:showSerName val="0"/>
          <c:showPercent val="0"/>
          <c:showBubbleSize val="0"/>
        </c:dLbls>
        <c:gapWidth val="100"/>
        <c:overlap val="-24"/>
        <c:axId val="500054192"/>
        <c:axId val="500054672"/>
      </c:barChart>
      <c:catAx>
        <c:axId val="500054192"/>
        <c:scaling>
          <c:orientation val="minMax"/>
        </c:scaling>
        <c:delete val="0"/>
        <c:axPos val="b"/>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0054672"/>
        <c:crosses val="autoZero"/>
        <c:auto val="1"/>
        <c:lblAlgn val="ctr"/>
        <c:lblOffset val="100"/>
        <c:noMultiLvlLbl val="0"/>
      </c:catAx>
      <c:valAx>
        <c:axId val="500054672"/>
        <c:scaling>
          <c:orientation val="minMax"/>
        </c:scaling>
        <c:delete val="0"/>
        <c:axPos val="l"/>
        <c:majorGridlines>
          <c:spPr>
            <a:ln w="9525">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00054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Altman Z-score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'Altman Z score'!$E$31</c:f>
              <c:strCache>
                <c:ptCount val="1"/>
                <c:pt idx="0">
                  <c:v>Altman Z-score [1.2A + 1.4B + 3.3C + 0.6D + 1.0E]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'Altman Z score'!$F$30:$J$30</c:f>
              <c:numCache>
                <c:formatCode>General</c:formatCode>
                <c:ptCount val="5"/>
                <c:pt idx="0">
                  <c:v>2020</c:v>
                </c:pt>
                <c:pt idx="1">
                  <c:v>2021</c:v>
                </c:pt>
                <c:pt idx="2">
                  <c:v>2022</c:v>
                </c:pt>
                <c:pt idx="3">
                  <c:v>2023</c:v>
                </c:pt>
                <c:pt idx="4">
                  <c:v>2024</c:v>
                </c:pt>
              </c:numCache>
            </c:numRef>
          </c:cat>
          <c:val>
            <c:numRef>
              <c:f>'Altman Z score'!$F$31:$J$31</c:f>
              <c:numCache>
                <c:formatCode>0.00</c:formatCode>
                <c:ptCount val="5"/>
                <c:pt idx="0">
                  <c:v>6.1294717805353027</c:v>
                </c:pt>
                <c:pt idx="1">
                  <c:v>5.0733988323881647</c:v>
                </c:pt>
                <c:pt idx="2">
                  <c:v>4.695149619367152</c:v>
                </c:pt>
                <c:pt idx="3">
                  <c:v>4.6922832828763745</c:v>
                </c:pt>
                <c:pt idx="4">
                  <c:v>5.8406080064996679</c:v>
                </c:pt>
              </c:numCache>
            </c:numRef>
          </c:val>
          <c:extLst>
            <c:ext xmlns:c16="http://schemas.microsoft.com/office/drawing/2014/chart" uri="{C3380CC4-5D6E-409C-BE32-E72D297353CC}">
              <c16:uniqueId val="{00000000-F874-4EBD-8EB9-39F5DB4FA4DA}"/>
            </c:ext>
          </c:extLst>
        </c:ser>
        <c:dLbls>
          <c:showLegendKey val="0"/>
          <c:showVal val="0"/>
          <c:showCatName val="0"/>
          <c:showSerName val="0"/>
          <c:showPercent val="0"/>
          <c:showBubbleSize val="0"/>
        </c:dLbls>
        <c:gapWidth val="100"/>
        <c:overlap val="-24"/>
        <c:axId val="407118912"/>
        <c:axId val="407119392"/>
      </c:barChart>
      <c:catAx>
        <c:axId val="407118912"/>
        <c:scaling>
          <c:orientation val="minMax"/>
        </c:scaling>
        <c:delete val="0"/>
        <c:axPos val="b"/>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7119392"/>
        <c:crosses val="autoZero"/>
        <c:auto val="1"/>
        <c:lblAlgn val="ctr"/>
        <c:lblOffset val="100"/>
        <c:noMultiLvlLbl val="0"/>
      </c:catAx>
      <c:valAx>
        <c:axId val="407119392"/>
        <c:scaling>
          <c:orientation val="minMax"/>
        </c:scaling>
        <c:delete val="0"/>
        <c:axPos val="l"/>
        <c:majorGridlines>
          <c:spPr>
            <a:ln w="9525">
              <a:solidFill>
                <a:schemeClr val="lt1">
                  <a:lumMod val="95000"/>
                  <a:alpha val="10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07118912"/>
        <c:crosses val="autoZero"/>
        <c:crossBetween val="between"/>
      </c:valAx>
      <c:spPr>
        <a:noFill/>
        <a:ln>
          <a:noFill/>
        </a:ln>
        <a:effectLst/>
      </c:spPr>
    </c:plotArea>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tx>
            <c:strRef>
              <c:f>'Cash Operating Cycle'!$B$13</c:f>
              <c:strCache>
                <c:ptCount val="1"/>
                <c:pt idx="0">
                  <c:v>Cash operating cycle</c:v>
                </c:pt>
              </c:strCache>
            </c:strRef>
          </c:tx>
          <c:spPr>
            <a:ln w="34925" cap="rnd">
              <a:solidFill>
                <a:schemeClr val="lt1"/>
              </a:solidFill>
              <a:round/>
            </a:ln>
            <a:effectLst>
              <a:outerShdw dist="25400" dir="2700000" algn="tl" rotWithShape="0">
                <a:schemeClr val="accent1"/>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numRef>
              <c:f>'Cash Operating Cycle'!$C$12:$G$12</c:f>
              <c:numCache>
                <c:formatCode>General</c:formatCode>
                <c:ptCount val="5"/>
                <c:pt idx="0">
                  <c:v>2020</c:v>
                </c:pt>
                <c:pt idx="1">
                  <c:v>2021</c:v>
                </c:pt>
                <c:pt idx="2">
                  <c:v>2022</c:v>
                </c:pt>
                <c:pt idx="3">
                  <c:v>2023</c:v>
                </c:pt>
                <c:pt idx="4">
                  <c:v>2024</c:v>
                </c:pt>
              </c:numCache>
            </c:numRef>
          </c:cat>
          <c:val>
            <c:numRef>
              <c:f>'Cash Operating Cycle'!$C$13:$G$13</c:f>
              <c:numCache>
                <c:formatCode>0</c:formatCode>
                <c:ptCount val="5"/>
                <c:pt idx="0">
                  <c:v>107.82880289513614</c:v>
                </c:pt>
                <c:pt idx="1">
                  <c:v>107.9844962574124</c:v>
                </c:pt>
                <c:pt idx="2">
                  <c:v>137.20442349477156</c:v>
                </c:pt>
                <c:pt idx="3">
                  <c:v>162.39653709033968</c:v>
                </c:pt>
                <c:pt idx="4">
                  <c:v>120.85386663259253</c:v>
                </c:pt>
              </c:numCache>
            </c:numRef>
          </c:val>
          <c:smooth val="0"/>
          <c:extLst>
            <c:ext xmlns:c16="http://schemas.microsoft.com/office/drawing/2014/chart" uri="{C3380CC4-5D6E-409C-BE32-E72D297353CC}">
              <c16:uniqueId val="{00000000-5972-4E50-9233-87F98F54B379}"/>
            </c:ext>
          </c:extLst>
        </c:ser>
        <c:dLbls>
          <c:showLegendKey val="0"/>
          <c:showVal val="0"/>
          <c:showCatName val="0"/>
          <c:showSerName val="0"/>
          <c:showPercent val="0"/>
          <c:showBubbleSize val="0"/>
        </c:dLbls>
        <c:dropLines>
          <c:spPr>
            <a:ln w="9525">
              <a:gradFill rotWithShape="1">
                <a:gsLst>
                  <a:gs pos="0">
                    <a:schemeClr val="lt1"/>
                  </a:gs>
                  <a:gs pos="100000">
                    <a:schemeClr val="lt1">
                      <a:alpha val="0"/>
                    </a:schemeClr>
                  </a:gs>
                </a:gsLst>
                <a:lin ang="5400000" scaled="0"/>
              </a:gradFill>
              <a:round/>
            </a:ln>
            <a:effectLst/>
          </c:spPr>
        </c:dropLines>
        <c:smooth val="0"/>
        <c:axId val="1855090544"/>
        <c:axId val="1855091024"/>
      </c:lineChart>
      <c:catAx>
        <c:axId val="1855090544"/>
        <c:scaling>
          <c:orientation val="minMax"/>
        </c:scaling>
        <c:delete val="0"/>
        <c:axPos val="b"/>
        <c:numFmt formatCode="General" sourceLinked="1"/>
        <c:majorTickMark val="none"/>
        <c:minorTickMark val="none"/>
        <c:tickLblPos val="nextTo"/>
        <c:spPr>
          <a:noFill/>
          <a:ln w="12700">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1855091024"/>
        <c:crosses val="autoZero"/>
        <c:auto val="1"/>
        <c:lblAlgn val="ctr"/>
        <c:lblOffset val="100"/>
        <c:noMultiLvlLbl val="0"/>
      </c:catAx>
      <c:valAx>
        <c:axId val="1855091024"/>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855090544"/>
        <c:crosses val="autoZero"/>
        <c:crossBetween val="between"/>
      </c:valAx>
      <c:spPr>
        <a:noFill/>
        <a:ln>
          <a:noFill/>
        </a:ln>
        <a:effectLst/>
      </c:spPr>
    </c:plotArea>
    <c:plotVisOnly val="1"/>
    <c:dispBlanksAs val="gap"/>
    <c:showDLblsOverMax val="0"/>
  </c:chart>
  <c:spPr>
    <a:solidFill>
      <a:schemeClr val="accent1"/>
    </a:solidFill>
    <a:ln w="9525">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bgClr>
          <a:schemeClr val="lt1"/>
        </a:bgClr>
      </a:pattFill>
    </cs:spPr>
  </cs:dataPoint>
  <cs:dataPoint3D>
    <cs:lnRef idx="0"/>
    <cs:fillRef idx="0">
      <cs:styleClr val="auto"/>
    </cs:fillRef>
    <cs:effectRef idx="0"/>
    <cs:fontRef idx="minor">
      <a:schemeClr val="dk1"/>
    </cs:fontRef>
    <cs:spPr>
      <a:pattFill prst="ltUpDiag">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a:gradFill rotWithShape="1">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235BEAD-6BCF-4C79-9B83-46B131301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39</Pages>
  <Words>8130</Words>
  <Characters>46341</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AKASH PRAJAPATI</cp:lastModifiedBy>
  <cp:revision>14</cp:revision>
  <dcterms:created xsi:type="dcterms:W3CDTF">2025-11-22T11:33:00Z</dcterms:created>
  <dcterms:modified xsi:type="dcterms:W3CDTF">2025-11-23T22:20:00Z</dcterms:modified>
</cp:coreProperties>
</file>