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AA1C463" w14:textId="77777777" w:rsidR="00C558B0" w:rsidRDefault="00C558B0" w:rsidP="00C558B0">
      <w:pPr>
        <w:spacing w:line="360" w:lineRule="auto"/>
        <w:rPr>
          <w:rFonts w:ascii="Arial" w:hAnsi="Arial" w:cs="Arial"/>
          <w:szCs w:val="24"/>
        </w:rPr>
      </w:pPr>
      <w:r>
        <w:rPr>
          <w:noProof/>
        </w:rPr>
        <w:drawing>
          <wp:anchor distT="0" distB="0" distL="114300" distR="114300" simplePos="0" relativeHeight="251659264" behindDoc="0" locked="0" layoutInCell="1" allowOverlap="1" wp14:anchorId="4DB84120" wp14:editId="30A74FCD">
            <wp:simplePos x="0" y="0"/>
            <wp:positionH relativeFrom="column">
              <wp:posOffset>0</wp:posOffset>
            </wp:positionH>
            <wp:positionV relativeFrom="paragraph">
              <wp:posOffset>292100</wp:posOffset>
            </wp:positionV>
            <wp:extent cx="1809750" cy="723900"/>
            <wp:effectExtent l="0" t="0" r="0" b="0"/>
            <wp:wrapSquare wrapText="bothSides"/>
            <wp:docPr id="1" name="Picture 1"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iscover University of Wales Trinity Saint David"/>
                    <pic:cNvPicPr>
                      <a:picLocks noChangeAspect="1" noChangeArrowheads="1"/>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pic:spPr>
                </pic:pic>
              </a:graphicData>
            </a:graphic>
            <wp14:sizeRelH relativeFrom="page">
              <wp14:pctWidth>0</wp14:pctWidth>
            </wp14:sizeRelH>
            <wp14:sizeRelV relativeFrom="page">
              <wp14:pctHeight>0</wp14:pctHeight>
            </wp14:sizeRelV>
          </wp:anchor>
        </w:drawing>
      </w:r>
    </w:p>
    <w:p w14:paraId="3AF7F3B0" w14:textId="77777777" w:rsidR="00C558B0" w:rsidRDefault="00C558B0" w:rsidP="00C558B0">
      <w:pPr>
        <w:spacing w:line="360" w:lineRule="auto"/>
        <w:rPr>
          <w:rFonts w:ascii="Arial" w:hAnsi="Arial" w:cs="Arial"/>
          <w:szCs w:val="24"/>
        </w:rPr>
      </w:pPr>
    </w:p>
    <w:p w14:paraId="554C8C17" w14:textId="77777777" w:rsidR="00C558B0" w:rsidRDefault="00C558B0" w:rsidP="00C558B0">
      <w:pPr>
        <w:spacing w:line="360" w:lineRule="auto"/>
        <w:rPr>
          <w:rFonts w:ascii="Arial" w:hAnsi="Arial" w:cs="Arial"/>
          <w:szCs w:val="24"/>
        </w:rPr>
      </w:pPr>
    </w:p>
    <w:p w14:paraId="74A7306F" w14:textId="77777777" w:rsidR="00C558B0" w:rsidRDefault="00C558B0" w:rsidP="00C558B0">
      <w:pPr>
        <w:spacing w:line="360" w:lineRule="auto"/>
        <w:rPr>
          <w:rFonts w:ascii="Arial" w:hAnsi="Arial" w:cs="Arial"/>
          <w:szCs w:val="24"/>
        </w:rPr>
      </w:pPr>
    </w:p>
    <w:p w14:paraId="4CFA099C" w14:textId="77777777" w:rsidR="00C558B0" w:rsidRDefault="00C558B0" w:rsidP="00C558B0">
      <w:pPr>
        <w:tabs>
          <w:tab w:val="left" w:pos="6540"/>
        </w:tabs>
        <w:spacing w:line="360" w:lineRule="auto"/>
        <w:rPr>
          <w:rFonts w:ascii="Arial" w:hAnsi="Arial" w:cs="Arial"/>
          <w:sz w:val="28"/>
          <w:szCs w:val="28"/>
        </w:rPr>
      </w:pPr>
    </w:p>
    <w:p w14:paraId="2F4F861B" w14:textId="140EB695" w:rsidR="00C558B0" w:rsidRPr="006524ED" w:rsidRDefault="00C558B0" w:rsidP="00C558B0">
      <w:pPr>
        <w:tabs>
          <w:tab w:val="left" w:pos="6540"/>
        </w:tabs>
        <w:spacing w:line="360" w:lineRule="auto"/>
        <w:rPr>
          <w:rFonts w:ascii="Arial" w:hAnsi="Arial" w:cs="Arial"/>
          <w:sz w:val="28"/>
          <w:szCs w:val="28"/>
          <w:lang w:val="nl-NL"/>
        </w:rPr>
      </w:pPr>
      <w:r w:rsidRPr="006524ED">
        <w:rPr>
          <w:rFonts w:ascii="Arial" w:hAnsi="Arial" w:cs="Arial"/>
          <w:b/>
          <w:bCs/>
          <w:sz w:val="28"/>
          <w:szCs w:val="28"/>
          <w:lang w:val="nl-NL"/>
        </w:rPr>
        <w:t>Student nam</w:t>
      </w:r>
      <w:r w:rsidR="00724BB2">
        <w:rPr>
          <w:rFonts w:ascii="Arial" w:hAnsi="Arial" w:cs="Arial"/>
          <w:b/>
          <w:bCs/>
          <w:sz w:val="28"/>
          <w:szCs w:val="28"/>
          <w:lang w:val="nl-NL"/>
        </w:rPr>
        <w:t>e: EDEN GOYTOM</w:t>
      </w:r>
    </w:p>
    <w:p w14:paraId="18D88AE2" w14:textId="5216D10A" w:rsidR="00C558B0" w:rsidRPr="006524ED" w:rsidRDefault="00C558B0" w:rsidP="004271E3">
      <w:pPr>
        <w:tabs>
          <w:tab w:val="left" w:pos="6540"/>
        </w:tabs>
        <w:spacing w:line="360" w:lineRule="auto"/>
        <w:rPr>
          <w:rFonts w:ascii="Arial" w:hAnsi="Arial" w:cs="Arial"/>
          <w:sz w:val="28"/>
          <w:szCs w:val="28"/>
          <w:lang w:val="nl-NL"/>
        </w:rPr>
      </w:pPr>
      <w:r w:rsidRPr="006524ED">
        <w:rPr>
          <w:rFonts w:ascii="Arial" w:hAnsi="Arial" w:cs="Arial"/>
          <w:b/>
          <w:bCs/>
          <w:sz w:val="28"/>
          <w:szCs w:val="28"/>
          <w:lang w:val="nl-NL"/>
        </w:rPr>
        <w:t>Student I</w:t>
      </w:r>
      <w:r w:rsidR="004271E3">
        <w:rPr>
          <w:rFonts w:ascii="Arial" w:hAnsi="Arial" w:cs="Arial"/>
          <w:b/>
          <w:bCs/>
          <w:sz w:val="28"/>
          <w:szCs w:val="28"/>
          <w:lang w:val="nl-NL"/>
        </w:rPr>
        <w:t xml:space="preserve">D: </w:t>
      </w:r>
      <w:r w:rsidR="004271E3" w:rsidRPr="004271E3">
        <w:rPr>
          <w:rFonts w:ascii="Arial" w:hAnsi="Arial" w:cs="Arial"/>
          <w:b/>
          <w:bCs/>
          <w:sz w:val="28"/>
          <w:szCs w:val="28"/>
        </w:rPr>
        <w:t>2417491</w:t>
      </w:r>
    </w:p>
    <w:p w14:paraId="4654C81C" w14:textId="77777777" w:rsidR="00C558B0" w:rsidRPr="006524ED" w:rsidRDefault="00C558B0" w:rsidP="00C558B0">
      <w:pPr>
        <w:tabs>
          <w:tab w:val="left" w:pos="6540"/>
        </w:tabs>
        <w:spacing w:line="360" w:lineRule="auto"/>
        <w:rPr>
          <w:rFonts w:ascii="Arial" w:hAnsi="Arial" w:cs="Arial"/>
          <w:sz w:val="28"/>
          <w:szCs w:val="28"/>
          <w:lang w:val="nl-NL"/>
        </w:rPr>
      </w:pPr>
    </w:p>
    <w:p w14:paraId="3D8DA301" w14:textId="7B63F8F4" w:rsidR="00C558B0" w:rsidRPr="00724BB2" w:rsidRDefault="00C558B0" w:rsidP="00724BB2">
      <w:pPr>
        <w:tabs>
          <w:tab w:val="left" w:pos="6540"/>
        </w:tabs>
        <w:spacing w:line="360" w:lineRule="auto"/>
        <w:rPr>
          <w:rFonts w:ascii="Arial" w:hAnsi="Arial" w:cs="Arial"/>
          <w:b/>
          <w:bCs/>
          <w:sz w:val="28"/>
          <w:szCs w:val="28"/>
        </w:rPr>
      </w:pPr>
      <w:r w:rsidRPr="006524ED">
        <w:rPr>
          <w:rFonts w:ascii="Arial" w:hAnsi="Arial" w:cs="Arial"/>
          <w:b/>
          <w:bCs/>
          <w:sz w:val="28"/>
          <w:szCs w:val="28"/>
          <w:lang w:val="nl-NL"/>
        </w:rPr>
        <w:t>Module name</w:t>
      </w:r>
      <w:r w:rsidRPr="006524ED">
        <w:rPr>
          <w:rFonts w:ascii="Arial" w:hAnsi="Arial" w:cs="Arial"/>
          <w:sz w:val="28"/>
          <w:szCs w:val="28"/>
          <w:lang w:val="nl-NL"/>
        </w:rPr>
        <w:t xml:space="preserve">: </w:t>
      </w:r>
      <w:r w:rsidR="00724BB2" w:rsidRPr="00724BB2">
        <w:rPr>
          <w:rFonts w:ascii="Arial" w:hAnsi="Arial" w:cs="Arial"/>
          <w:b/>
          <w:bCs/>
          <w:sz w:val="28"/>
          <w:szCs w:val="28"/>
        </w:rPr>
        <w:t>Principles of Health and Social Care Practice</w:t>
      </w:r>
    </w:p>
    <w:p w14:paraId="7DB3261D" w14:textId="71B08A91" w:rsidR="00C558B0" w:rsidRDefault="00C558B0" w:rsidP="00C558B0">
      <w:pPr>
        <w:tabs>
          <w:tab w:val="left" w:pos="6540"/>
        </w:tabs>
        <w:spacing w:line="360" w:lineRule="auto"/>
        <w:rPr>
          <w:rFonts w:ascii="Arial" w:hAnsi="Arial" w:cs="Arial"/>
          <w:sz w:val="28"/>
          <w:szCs w:val="28"/>
        </w:rPr>
      </w:pPr>
      <w:r>
        <w:rPr>
          <w:rFonts w:ascii="Arial" w:hAnsi="Arial" w:cs="Arial"/>
          <w:b/>
          <w:bCs/>
          <w:sz w:val="28"/>
          <w:szCs w:val="28"/>
        </w:rPr>
        <w:t>Module code</w:t>
      </w:r>
      <w:r>
        <w:rPr>
          <w:rFonts w:ascii="Arial" w:hAnsi="Arial" w:cs="Arial"/>
          <w:sz w:val="28"/>
          <w:szCs w:val="28"/>
        </w:rPr>
        <w:t>:</w:t>
      </w:r>
      <w:r w:rsidR="00724BB2">
        <w:rPr>
          <w:rFonts w:ascii="Arial" w:hAnsi="Arial" w:cs="Arial"/>
          <w:sz w:val="28"/>
          <w:szCs w:val="28"/>
        </w:rPr>
        <w:t xml:space="preserve"> </w:t>
      </w:r>
      <w:r w:rsidR="00724BB2" w:rsidRPr="00724BB2">
        <w:rPr>
          <w:rFonts w:ascii="Arial" w:hAnsi="Arial" w:cs="Arial"/>
          <w:b/>
          <w:bCs/>
          <w:sz w:val="28"/>
          <w:szCs w:val="28"/>
        </w:rPr>
        <w:t>BMHP5016</w:t>
      </w:r>
    </w:p>
    <w:p w14:paraId="5CCA350C" w14:textId="03A56321" w:rsidR="00C558B0" w:rsidRDefault="00C558B0" w:rsidP="00724BB2">
      <w:pPr>
        <w:tabs>
          <w:tab w:val="left" w:pos="6540"/>
        </w:tabs>
        <w:spacing w:line="360" w:lineRule="auto"/>
        <w:rPr>
          <w:rFonts w:ascii="Arial" w:hAnsi="Arial" w:cs="Arial"/>
          <w:sz w:val="28"/>
          <w:szCs w:val="28"/>
        </w:rPr>
      </w:pPr>
      <w:r>
        <w:rPr>
          <w:rFonts w:ascii="Arial" w:hAnsi="Arial" w:cs="Arial"/>
          <w:b/>
          <w:bCs/>
          <w:sz w:val="28"/>
          <w:szCs w:val="28"/>
        </w:rPr>
        <w:t>Lecturer nam</w:t>
      </w:r>
      <w:r w:rsidR="00724BB2">
        <w:rPr>
          <w:rFonts w:ascii="Arial" w:hAnsi="Arial" w:cs="Arial"/>
          <w:b/>
          <w:bCs/>
          <w:sz w:val="28"/>
          <w:szCs w:val="28"/>
        </w:rPr>
        <w:t xml:space="preserve">e: </w:t>
      </w:r>
      <w:r w:rsidR="00724BB2" w:rsidRPr="00724BB2">
        <w:rPr>
          <w:rFonts w:ascii="Arial" w:hAnsi="Arial" w:cs="Arial"/>
          <w:b/>
          <w:bCs/>
          <w:sz w:val="28"/>
          <w:szCs w:val="28"/>
        </w:rPr>
        <w:t>Dr Farah Wiita </w:t>
      </w:r>
    </w:p>
    <w:p w14:paraId="5461F9C8" w14:textId="77777777" w:rsidR="00C558B0" w:rsidRDefault="00C558B0" w:rsidP="00C558B0">
      <w:pPr>
        <w:tabs>
          <w:tab w:val="left" w:pos="6540"/>
        </w:tabs>
        <w:spacing w:line="360" w:lineRule="auto"/>
        <w:rPr>
          <w:rFonts w:ascii="Arial" w:hAnsi="Arial" w:cs="Arial"/>
          <w:sz w:val="28"/>
          <w:szCs w:val="28"/>
        </w:rPr>
      </w:pPr>
    </w:p>
    <w:p w14:paraId="79C715ED" w14:textId="16914D07" w:rsidR="006D2F2D" w:rsidRPr="004A5A64" w:rsidRDefault="006D2F2D" w:rsidP="004A5A64">
      <w:pPr>
        <w:spacing w:line="360" w:lineRule="auto"/>
        <w:rPr>
          <w:sz w:val="23"/>
          <w:szCs w:val="23"/>
        </w:rPr>
      </w:pPr>
      <w:r w:rsidRPr="004A5A64">
        <w:rPr>
          <w:sz w:val="23"/>
          <w:szCs w:val="23"/>
        </w:rPr>
        <w:br w:type="page"/>
      </w:r>
    </w:p>
    <w:p w14:paraId="797F283D" w14:textId="77777777" w:rsidR="00EF1258" w:rsidRPr="00EF1258" w:rsidRDefault="00EF1258" w:rsidP="00EF1258">
      <w:pPr>
        <w:spacing w:line="360" w:lineRule="auto"/>
        <w:jc w:val="center"/>
        <w:rPr>
          <w:rFonts w:ascii="Arial" w:hAnsi="Arial" w:cs="Arial"/>
          <w:b/>
          <w:bCs/>
          <w:sz w:val="22"/>
        </w:rPr>
      </w:pPr>
      <w:r w:rsidRPr="00EF1258">
        <w:rPr>
          <w:rFonts w:ascii="Arial" w:hAnsi="Arial" w:cs="Arial"/>
          <w:b/>
          <w:bCs/>
          <w:sz w:val="22"/>
        </w:rPr>
        <w:lastRenderedPageBreak/>
        <w:t>Global Care Chains and Their Implications for Person</w:t>
      </w:r>
      <w:r w:rsidRPr="00EF1258">
        <w:rPr>
          <w:rFonts w:ascii="Arial" w:hAnsi="Arial" w:cs="Arial"/>
          <w:b/>
          <w:bCs/>
          <w:sz w:val="22"/>
        </w:rPr>
        <w:noBreakHyphen/>
        <w:t>Centred Health and Social Care in the UK</w:t>
      </w:r>
    </w:p>
    <w:p w14:paraId="1E37AD44" w14:textId="77777777" w:rsidR="00EF1258" w:rsidRPr="00EF1258" w:rsidRDefault="00EF1258" w:rsidP="00EF1258">
      <w:pPr>
        <w:spacing w:line="360" w:lineRule="auto"/>
        <w:jc w:val="both"/>
        <w:rPr>
          <w:rFonts w:ascii="Arial" w:hAnsi="Arial" w:cs="Arial"/>
          <w:b/>
          <w:bCs/>
          <w:sz w:val="22"/>
        </w:rPr>
      </w:pPr>
      <w:r w:rsidRPr="00EF1258">
        <w:rPr>
          <w:rFonts w:ascii="Arial" w:hAnsi="Arial" w:cs="Arial"/>
          <w:b/>
          <w:bCs/>
          <w:sz w:val="22"/>
        </w:rPr>
        <w:t>Introduction</w:t>
      </w:r>
    </w:p>
    <w:p w14:paraId="58FEBBFB" w14:textId="77777777" w:rsidR="00EF1258" w:rsidRPr="00EF1258" w:rsidRDefault="00EF1258" w:rsidP="00EF1258">
      <w:pPr>
        <w:spacing w:line="360" w:lineRule="auto"/>
        <w:jc w:val="both"/>
        <w:rPr>
          <w:rFonts w:ascii="Arial" w:hAnsi="Arial" w:cs="Arial"/>
          <w:sz w:val="22"/>
        </w:rPr>
      </w:pPr>
      <w:r w:rsidRPr="00EF1258">
        <w:rPr>
          <w:rFonts w:ascii="Arial" w:hAnsi="Arial" w:cs="Arial"/>
          <w:sz w:val="22"/>
        </w:rPr>
        <w:t>Person</w:t>
      </w:r>
      <w:r w:rsidRPr="00EF1258">
        <w:rPr>
          <w:rFonts w:ascii="Arial" w:hAnsi="Arial" w:cs="Arial"/>
          <w:sz w:val="22"/>
        </w:rPr>
        <w:noBreakHyphen/>
        <w:t>centred care has become a defining principle in contemporary health and social care, emphasising dignity, autonomy, relational practice and responsiveness to individual needs. However, the delivery of person</w:t>
      </w:r>
      <w:r w:rsidRPr="00EF1258">
        <w:rPr>
          <w:rFonts w:ascii="Arial" w:hAnsi="Arial" w:cs="Arial"/>
          <w:sz w:val="22"/>
        </w:rPr>
        <w:noBreakHyphen/>
        <w:t>centred care is shaped by wider social, economic and political structures, including the organisation of care labour. One influential concept that illuminates these dynamics is the Global Care Chain (GCC) framework. Emerging from feminist sociology, GCC theory examines how care labour is transferred across national borders, often from poorer countries to wealthier ones, creating transnational chains of paid and unpaid care work. This essay critically discusses the emergence, development and critiques of the GCC concept, and evaluates its application to UK health and social care policy and practice. It argues that while GCC theory provides a powerful lens for understanding inequalities in the care workforce, its application raises significant ethical, structural and policy challenges. The essay concludes with recommendations for strengthening person</w:t>
      </w:r>
      <w:r w:rsidRPr="00EF1258">
        <w:rPr>
          <w:rFonts w:ascii="Arial" w:hAnsi="Arial" w:cs="Arial"/>
          <w:sz w:val="22"/>
        </w:rPr>
        <w:noBreakHyphen/>
        <w:t>centred care through ethical recruitment, improved workforce conditions and more sustainable care systems.</w:t>
      </w:r>
    </w:p>
    <w:p w14:paraId="3F7E6174" w14:textId="77777777" w:rsidR="00EF1258" w:rsidRPr="00EF1258" w:rsidRDefault="00EF1258" w:rsidP="00EF1258">
      <w:pPr>
        <w:spacing w:line="360" w:lineRule="auto"/>
        <w:jc w:val="both"/>
        <w:rPr>
          <w:rFonts w:ascii="Arial" w:hAnsi="Arial" w:cs="Arial"/>
          <w:b/>
          <w:bCs/>
          <w:sz w:val="22"/>
        </w:rPr>
      </w:pPr>
      <w:r w:rsidRPr="00EF1258">
        <w:rPr>
          <w:rFonts w:ascii="Arial" w:hAnsi="Arial" w:cs="Arial"/>
          <w:b/>
          <w:bCs/>
          <w:sz w:val="22"/>
        </w:rPr>
        <w:t>Emergence of the Global Care Chain Concept</w:t>
      </w:r>
    </w:p>
    <w:p w14:paraId="6E6D6DBD" w14:textId="77777777" w:rsidR="00EF1258" w:rsidRPr="00EF1258" w:rsidRDefault="00EF1258" w:rsidP="00EF1258">
      <w:pPr>
        <w:spacing w:line="360" w:lineRule="auto"/>
        <w:jc w:val="both"/>
        <w:rPr>
          <w:rFonts w:ascii="Arial" w:hAnsi="Arial" w:cs="Arial"/>
          <w:sz w:val="22"/>
        </w:rPr>
      </w:pPr>
      <w:r w:rsidRPr="00EF1258">
        <w:rPr>
          <w:rFonts w:ascii="Arial" w:hAnsi="Arial" w:cs="Arial"/>
          <w:sz w:val="22"/>
        </w:rPr>
        <w:t>The concept of Global Care Chains emerged in the late 1990s and early 2000s within feminist scholarship on globalisation, migration and social reproduction. The term was first introduced by Hochschild (2000), who described GCCs as “a series of personal links between people across the globe based on the paid or unpaid work of caring”. This work built on earlier feminist analyses of domestic labour, gendered inequalities and the undervaluation of care work (Anderson, 2000). The emergence of GCC theory coincided with increasing global migration flows, particularly of women from the Global South to the Global North, driven by economic disparities, labour shortages and the restructuring of welfare states.</w:t>
      </w:r>
    </w:p>
    <w:p w14:paraId="7717DA40" w14:textId="77777777" w:rsidR="00EF1258" w:rsidRPr="00EF1258" w:rsidRDefault="00EF1258" w:rsidP="00EF1258">
      <w:pPr>
        <w:spacing w:line="360" w:lineRule="auto"/>
        <w:jc w:val="both"/>
        <w:rPr>
          <w:rFonts w:ascii="Arial" w:hAnsi="Arial" w:cs="Arial"/>
          <w:sz w:val="22"/>
        </w:rPr>
      </w:pPr>
      <w:r w:rsidRPr="00EF1258">
        <w:rPr>
          <w:rFonts w:ascii="Arial" w:hAnsi="Arial" w:cs="Arial"/>
          <w:sz w:val="22"/>
        </w:rPr>
        <w:t>In the UK, the concept gained relevance as the health and social care sectors became increasingly dependent on migrant labour. The NHS and social care system have long relied on international recruitment, but shortages intensified in the 1990s and 2000s due to demographic ageing, rising care needs and limited domestic workforce supply (Bach, 2010). GCC theory provided a framework for understanding how these shortages were addressed through the recruitment of migrant nurses, care workers and domestic workers, often from lower</w:t>
      </w:r>
      <w:r w:rsidRPr="00EF1258">
        <w:rPr>
          <w:rFonts w:ascii="Arial" w:hAnsi="Arial" w:cs="Arial"/>
          <w:sz w:val="22"/>
        </w:rPr>
        <w:noBreakHyphen/>
        <w:t>income countries.</w:t>
      </w:r>
    </w:p>
    <w:p w14:paraId="691CCD59" w14:textId="77777777" w:rsidR="00EF1258" w:rsidRPr="00EF1258" w:rsidRDefault="00EF1258" w:rsidP="00EF1258">
      <w:pPr>
        <w:spacing w:line="360" w:lineRule="auto"/>
        <w:jc w:val="both"/>
        <w:rPr>
          <w:rFonts w:ascii="Arial" w:hAnsi="Arial" w:cs="Arial"/>
          <w:b/>
          <w:bCs/>
          <w:sz w:val="22"/>
        </w:rPr>
      </w:pPr>
      <w:r w:rsidRPr="00EF1258">
        <w:rPr>
          <w:rFonts w:ascii="Arial" w:hAnsi="Arial" w:cs="Arial"/>
          <w:b/>
          <w:bCs/>
          <w:sz w:val="22"/>
        </w:rPr>
        <w:t>Development of the Concept</w:t>
      </w:r>
    </w:p>
    <w:p w14:paraId="10FEB22A" w14:textId="77777777" w:rsidR="00EF1258" w:rsidRPr="00EF1258" w:rsidRDefault="00EF1258" w:rsidP="00EF1258">
      <w:pPr>
        <w:spacing w:line="360" w:lineRule="auto"/>
        <w:jc w:val="both"/>
        <w:rPr>
          <w:rFonts w:ascii="Arial" w:hAnsi="Arial" w:cs="Arial"/>
          <w:sz w:val="22"/>
        </w:rPr>
      </w:pPr>
      <w:r w:rsidRPr="00EF1258">
        <w:rPr>
          <w:rFonts w:ascii="Arial" w:hAnsi="Arial" w:cs="Arial"/>
          <w:sz w:val="22"/>
        </w:rPr>
        <w:lastRenderedPageBreak/>
        <w:t>Since its introduction, the GCC concept has been expanded and refined. Scholars have emphasised that GCCs are not simply economic exchanges but involve emotional, relational and moral dimensions. For example, Yeates (2004) extended the concept by analysing how global inequalities shape the distribution of care labour, arguing that GCCs reflect broader patterns of neo</w:t>
      </w:r>
      <w:r w:rsidRPr="00EF1258">
        <w:rPr>
          <w:rFonts w:ascii="Arial" w:hAnsi="Arial" w:cs="Arial"/>
          <w:sz w:val="22"/>
        </w:rPr>
        <w:noBreakHyphen/>
        <w:t>colonialism and uneven development. She highlighted how the UK’s reliance on migrant care workers is linked to structural factors such as austerity, underfunding and the marketisation of care.</w:t>
      </w:r>
    </w:p>
    <w:p w14:paraId="1605BF24" w14:textId="77777777" w:rsidR="00EF1258" w:rsidRPr="00EF1258" w:rsidRDefault="00EF1258" w:rsidP="00EF1258">
      <w:pPr>
        <w:spacing w:line="360" w:lineRule="auto"/>
        <w:jc w:val="both"/>
        <w:rPr>
          <w:rFonts w:ascii="Arial" w:hAnsi="Arial" w:cs="Arial"/>
          <w:b/>
          <w:bCs/>
          <w:sz w:val="22"/>
        </w:rPr>
      </w:pPr>
      <w:r w:rsidRPr="00EF1258">
        <w:rPr>
          <w:rFonts w:ascii="Arial" w:hAnsi="Arial" w:cs="Arial"/>
          <w:b/>
          <w:bCs/>
          <w:sz w:val="22"/>
        </w:rPr>
        <w:t>Further development of the concept has focused on the multi</w:t>
      </w:r>
      <w:r w:rsidRPr="00EF1258">
        <w:rPr>
          <w:rFonts w:ascii="Arial" w:hAnsi="Arial" w:cs="Arial"/>
          <w:b/>
          <w:bCs/>
          <w:sz w:val="22"/>
        </w:rPr>
        <w:noBreakHyphen/>
        <w:t>layered nature of care chains, including:</w:t>
      </w:r>
    </w:p>
    <w:p w14:paraId="75827F4C" w14:textId="77777777" w:rsidR="00EF1258" w:rsidRPr="00EF1258" w:rsidRDefault="00EF1258" w:rsidP="00EF1258">
      <w:pPr>
        <w:numPr>
          <w:ilvl w:val="0"/>
          <w:numId w:val="5"/>
        </w:numPr>
        <w:spacing w:line="360" w:lineRule="auto"/>
        <w:jc w:val="both"/>
        <w:rPr>
          <w:rFonts w:ascii="Arial" w:hAnsi="Arial" w:cs="Arial"/>
          <w:sz w:val="22"/>
        </w:rPr>
      </w:pPr>
      <w:r w:rsidRPr="00EF1258">
        <w:rPr>
          <w:rFonts w:ascii="Arial" w:hAnsi="Arial" w:cs="Arial"/>
          <w:sz w:val="22"/>
        </w:rPr>
        <w:t>Macro</w:t>
      </w:r>
      <w:r w:rsidRPr="00EF1258">
        <w:rPr>
          <w:rFonts w:ascii="Arial" w:hAnsi="Arial" w:cs="Arial"/>
          <w:sz w:val="22"/>
        </w:rPr>
        <w:noBreakHyphen/>
        <w:t>level: global economic inequalities, migration policies, labour markets</w:t>
      </w:r>
    </w:p>
    <w:p w14:paraId="2A5A81CB" w14:textId="77777777" w:rsidR="00EF1258" w:rsidRPr="00EF1258" w:rsidRDefault="00EF1258" w:rsidP="00EF1258">
      <w:pPr>
        <w:numPr>
          <w:ilvl w:val="0"/>
          <w:numId w:val="5"/>
        </w:numPr>
        <w:spacing w:line="360" w:lineRule="auto"/>
        <w:jc w:val="both"/>
        <w:rPr>
          <w:rFonts w:ascii="Arial" w:hAnsi="Arial" w:cs="Arial"/>
          <w:sz w:val="22"/>
        </w:rPr>
      </w:pPr>
      <w:r w:rsidRPr="00EF1258">
        <w:rPr>
          <w:rFonts w:ascii="Arial" w:hAnsi="Arial" w:cs="Arial"/>
          <w:sz w:val="22"/>
        </w:rPr>
        <w:t>Meso</w:t>
      </w:r>
      <w:r w:rsidRPr="00EF1258">
        <w:rPr>
          <w:rFonts w:ascii="Arial" w:hAnsi="Arial" w:cs="Arial"/>
          <w:sz w:val="22"/>
        </w:rPr>
        <w:noBreakHyphen/>
        <w:t>level: recruitment agencies, care organisations, regulatory frameworks</w:t>
      </w:r>
    </w:p>
    <w:p w14:paraId="6D3213E6" w14:textId="77777777" w:rsidR="00EF1258" w:rsidRPr="00EF1258" w:rsidRDefault="00EF1258" w:rsidP="00EF1258">
      <w:pPr>
        <w:numPr>
          <w:ilvl w:val="0"/>
          <w:numId w:val="5"/>
        </w:numPr>
        <w:spacing w:line="360" w:lineRule="auto"/>
        <w:jc w:val="both"/>
        <w:rPr>
          <w:rFonts w:ascii="Arial" w:hAnsi="Arial" w:cs="Arial"/>
          <w:sz w:val="22"/>
        </w:rPr>
      </w:pPr>
      <w:r w:rsidRPr="00EF1258">
        <w:rPr>
          <w:rFonts w:ascii="Arial" w:hAnsi="Arial" w:cs="Arial"/>
          <w:sz w:val="22"/>
        </w:rPr>
        <w:t>Micro</w:t>
      </w:r>
      <w:r w:rsidRPr="00EF1258">
        <w:rPr>
          <w:rFonts w:ascii="Arial" w:hAnsi="Arial" w:cs="Arial"/>
          <w:sz w:val="22"/>
        </w:rPr>
        <w:noBreakHyphen/>
        <w:t>level: interpersonal relationships between workers, employers and families</w:t>
      </w:r>
    </w:p>
    <w:p w14:paraId="35323F83" w14:textId="77777777" w:rsidR="00EF1258" w:rsidRPr="00EF1258" w:rsidRDefault="00EF1258" w:rsidP="00EF1258">
      <w:pPr>
        <w:spacing w:line="360" w:lineRule="auto"/>
        <w:jc w:val="both"/>
        <w:rPr>
          <w:rFonts w:ascii="Arial" w:hAnsi="Arial" w:cs="Arial"/>
          <w:sz w:val="22"/>
        </w:rPr>
      </w:pPr>
      <w:r w:rsidRPr="00EF1258">
        <w:rPr>
          <w:rFonts w:ascii="Arial" w:hAnsi="Arial" w:cs="Arial"/>
          <w:sz w:val="22"/>
        </w:rPr>
        <w:t>This multi</w:t>
      </w:r>
      <w:r w:rsidRPr="00EF1258">
        <w:rPr>
          <w:rFonts w:ascii="Arial" w:hAnsi="Arial" w:cs="Arial"/>
          <w:sz w:val="22"/>
        </w:rPr>
        <w:noBreakHyphen/>
        <w:t>level approach has strengthened the analytical power of GCC theory, enabling researchers to examine how global structures intersect with everyday care practices.</w:t>
      </w:r>
    </w:p>
    <w:p w14:paraId="63BB603A" w14:textId="77777777" w:rsidR="00EF1258" w:rsidRPr="00EF1258" w:rsidRDefault="00EF1258" w:rsidP="00EF1258">
      <w:pPr>
        <w:spacing w:line="360" w:lineRule="auto"/>
        <w:jc w:val="both"/>
        <w:rPr>
          <w:rFonts w:ascii="Arial" w:hAnsi="Arial" w:cs="Arial"/>
          <w:sz w:val="22"/>
        </w:rPr>
      </w:pPr>
      <w:r w:rsidRPr="00EF1258">
        <w:rPr>
          <w:rFonts w:ascii="Arial" w:hAnsi="Arial" w:cs="Arial"/>
          <w:sz w:val="22"/>
        </w:rPr>
        <w:t>Another significant development is the recognition of emotional labour within GCCs. Migrant care workers often provide intimate, relational care that requires emotional engagement, yet their own emotional needs may be overlooked (Hussein and Manthorpe, 2014). This tension is particularly relevant to person</w:t>
      </w:r>
      <w:r w:rsidRPr="00EF1258">
        <w:rPr>
          <w:rFonts w:ascii="Arial" w:hAnsi="Arial" w:cs="Arial"/>
          <w:sz w:val="22"/>
        </w:rPr>
        <w:noBreakHyphen/>
        <w:t>centred care, which relies on relational connection and empathy.</w:t>
      </w:r>
    </w:p>
    <w:p w14:paraId="26677088" w14:textId="77777777" w:rsidR="00EF1258" w:rsidRPr="00EF1258" w:rsidRDefault="00EF1258" w:rsidP="00EF1258">
      <w:pPr>
        <w:spacing w:line="360" w:lineRule="auto"/>
        <w:jc w:val="both"/>
        <w:rPr>
          <w:rFonts w:ascii="Arial" w:hAnsi="Arial" w:cs="Arial"/>
          <w:b/>
          <w:bCs/>
          <w:sz w:val="22"/>
        </w:rPr>
      </w:pPr>
      <w:r w:rsidRPr="00EF1258">
        <w:rPr>
          <w:rFonts w:ascii="Arial" w:hAnsi="Arial" w:cs="Arial"/>
          <w:b/>
          <w:bCs/>
          <w:sz w:val="22"/>
        </w:rPr>
        <w:t>Critiques of the Global Care Chain Concept</w:t>
      </w:r>
    </w:p>
    <w:p w14:paraId="6954D49D" w14:textId="77777777" w:rsidR="00EF1258" w:rsidRPr="00EF1258" w:rsidRDefault="00EF1258" w:rsidP="00EF1258">
      <w:pPr>
        <w:spacing w:line="360" w:lineRule="auto"/>
        <w:jc w:val="both"/>
        <w:rPr>
          <w:rFonts w:ascii="Arial" w:hAnsi="Arial" w:cs="Arial"/>
          <w:sz w:val="22"/>
        </w:rPr>
      </w:pPr>
      <w:r w:rsidRPr="00EF1258">
        <w:rPr>
          <w:rFonts w:ascii="Arial" w:hAnsi="Arial" w:cs="Arial"/>
          <w:sz w:val="22"/>
        </w:rPr>
        <w:t>Despite its influence, GCC theory has faced several critiques.</w:t>
      </w:r>
    </w:p>
    <w:p w14:paraId="766D889D" w14:textId="77777777" w:rsidR="00EF1258" w:rsidRPr="00EF1258" w:rsidRDefault="00EF1258" w:rsidP="00EF1258">
      <w:pPr>
        <w:spacing w:line="360" w:lineRule="auto"/>
        <w:jc w:val="both"/>
        <w:rPr>
          <w:rFonts w:ascii="Arial" w:hAnsi="Arial" w:cs="Arial"/>
          <w:b/>
          <w:bCs/>
          <w:sz w:val="22"/>
        </w:rPr>
      </w:pPr>
      <w:r w:rsidRPr="00EF1258">
        <w:rPr>
          <w:rFonts w:ascii="Arial" w:hAnsi="Arial" w:cs="Arial"/>
          <w:b/>
          <w:bCs/>
          <w:sz w:val="22"/>
        </w:rPr>
        <w:t>1. Over</w:t>
      </w:r>
      <w:r w:rsidRPr="00EF1258">
        <w:rPr>
          <w:rFonts w:ascii="Arial" w:hAnsi="Arial" w:cs="Arial"/>
          <w:b/>
          <w:bCs/>
          <w:sz w:val="22"/>
        </w:rPr>
        <w:noBreakHyphen/>
        <w:t>generalisation and simplification</w:t>
      </w:r>
    </w:p>
    <w:p w14:paraId="631ED95B" w14:textId="77777777" w:rsidR="00EF1258" w:rsidRPr="00EF1258" w:rsidRDefault="00EF1258" w:rsidP="00EF1258">
      <w:pPr>
        <w:spacing w:line="360" w:lineRule="auto"/>
        <w:jc w:val="both"/>
        <w:rPr>
          <w:rFonts w:ascii="Arial" w:hAnsi="Arial" w:cs="Arial"/>
          <w:sz w:val="22"/>
        </w:rPr>
      </w:pPr>
      <w:r w:rsidRPr="00EF1258">
        <w:rPr>
          <w:rFonts w:ascii="Arial" w:hAnsi="Arial" w:cs="Arial"/>
          <w:sz w:val="22"/>
        </w:rPr>
        <w:t>Some scholars argue that GCCs can oversimplify complex migration patterns by portraying migrant care workers as passive victims of global inequalities. Critics suggest that this perspective underestimates workers’ agency, resilience and strategic decision</w:t>
      </w:r>
      <w:r w:rsidRPr="00EF1258">
        <w:rPr>
          <w:rFonts w:ascii="Arial" w:hAnsi="Arial" w:cs="Arial"/>
          <w:sz w:val="22"/>
        </w:rPr>
        <w:noBreakHyphen/>
        <w:t>making (Kilkey, 2010). Migrant workers may migrate for diverse reasons, including professional development, financial goals or personal aspirations.</w:t>
      </w:r>
    </w:p>
    <w:p w14:paraId="31856EAC" w14:textId="77777777" w:rsidR="00EF1258" w:rsidRPr="00EF1258" w:rsidRDefault="00EF1258" w:rsidP="00EF1258">
      <w:pPr>
        <w:spacing w:line="360" w:lineRule="auto"/>
        <w:jc w:val="both"/>
        <w:rPr>
          <w:rFonts w:ascii="Arial" w:hAnsi="Arial" w:cs="Arial"/>
          <w:b/>
          <w:bCs/>
          <w:sz w:val="22"/>
        </w:rPr>
      </w:pPr>
      <w:r w:rsidRPr="00EF1258">
        <w:rPr>
          <w:rFonts w:ascii="Arial" w:hAnsi="Arial" w:cs="Arial"/>
          <w:b/>
          <w:bCs/>
          <w:sz w:val="22"/>
        </w:rPr>
        <w:t>2. Limited attention to local contexts</w:t>
      </w:r>
    </w:p>
    <w:p w14:paraId="66F38490" w14:textId="77777777" w:rsidR="00EF1258" w:rsidRPr="00EF1258" w:rsidRDefault="00EF1258" w:rsidP="00EF1258">
      <w:pPr>
        <w:spacing w:line="360" w:lineRule="auto"/>
        <w:jc w:val="both"/>
        <w:rPr>
          <w:rFonts w:ascii="Arial" w:hAnsi="Arial" w:cs="Arial"/>
          <w:sz w:val="22"/>
        </w:rPr>
      </w:pPr>
      <w:r w:rsidRPr="00EF1258">
        <w:rPr>
          <w:rFonts w:ascii="Arial" w:hAnsi="Arial" w:cs="Arial"/>
          <w:sz w:val="22"/>
        </w:rPr>
        <w:t>Another critique is that GCC theory sometimes focuses too heavily on global structures at the expense of local policy and cultural contexts. For example, the UK’s specific regulatory environment, labour laws and welfare policies shape migrant care work in ways that cannot be fully explained by global inequalities alone (Rubery et al., 2015).</w:t>
      </w:r>
    </w:p>
    <w:p w14:paraId="27317E7A" w14:textId="77777777" w:rsidR="00EF1258" w:rsidRPr="00EF1258" w:rsidRDefault="00EF1258" w:rsidP="00EF1258">
      <w:pPr>
        <w:spacing w:line="360" w:lineRule="auto"/>
        <w:jc w:val="both"/>
        <w:rPr>
          <w:rFonts w:ascii="Arial" w:hAnsi="Arial" w:cs="Arial"/>
          <w:b/>
          <w:bCs/>
          <w:sz w:val="22"/>
        </w:rPr>
      </w:pPr>
      <w:r w:rsidRPr="00EF1258">
        <w:rPr>
          <w:rFonts w:ascii="Arial" w:hAnsi="Arial" w:cs="Arial"/>
          <w:b/>
          <w:bCs/>
          <w:sz w:val="22"/>
        </w:rPr>
        <w:lastRenderedPageBreak/>
        <w:t>3. Insufficient engagement with race and intersectionality</w:t>
      </w:r>
    </w:p>
    <w:p w14:paraId="30CDD2F5" w14:textId="7D779E04" w:rsidR="00EF1258" w:rsidRPr="00EF1258" w:rsidRDefault="00EF1258" w:rsidP="00EF1258">
      <w:pPr>
        <w:spacing w:line="360" w:lineRule="auto"/>
        <w:jc w:val="both"/>
        <w:rPr>
          <w:rFonts w:ascii="Arial" w:hAnsi="Arial" w:cs="Arial"/>
          <w:sz w:val="22"/>
        </w:rPr>
      </w:pPr>
      <w:r w:rsidRPr="00EF1258">
        <w:rPr>
          <w:rFonts w:ascii="Arial" w:hAnsi="Arial" w:cs="Arial"/>
          <w:sz w:val="22"/>
        </w:rPr>
        <w:t>Although GCC theory highlights gendered inequalities, some critics argue that it has not always adequately addressed the role of race, ethnicity and immigration status in shaping care labour hierarchies. In the UK, migrant care workers</w:t>
      </w:r>
      <w:r w:rsidRPr="00EF1258">
        <w:rPr>
          <w:rFonts w:ascii="Arial" w:hAnsi="Arial" w:cs="Arial"/>
          <w:sz w:val="22"/>
        </w:rPr>
        <w:t xml:space="preserve"> </w:t>
      </w:r>
      <w:r w:rsidRPr="00EF1258">
        <w:rPr>
          <w:rFonts w:ascii="Arial" w:hAnsi="Arial" w:cs="Arial"/>
          <w:sz w:val="22"/>
        </w:rPr>
        <w:t>particularly women of colour</w:t>
      </w:r>
      <w:r w:rsidRPr="00EF1258">
        <w:rPr>
          <w:rFonts w:ascii="Arial" w:hAnsi="Arial" w:cs="Arial"/>
          <w:sz w:val="22"/>
        </w:rPr>
        <w:t xml:space="preserve"> </w:t>
      </w:r>
      <w:r w:rsidRPr="00EF1258">
        <w:rPr>
          <w:rFonts w:ascii="Arial" w:hAnsi="Arial" w:cs="Arial"/>
          <w:sz w:val="22"/>
        </w:rPr>
        <w:t>face racialised stereotypes, discrimination and precarious employment conditions (Salami et al., 2022).</w:t>
      </w:r>
    </w:p>
    <w:p w14:paraId="6322C32A" w14:textId="77777777" w:rsidR="00EF1258" w:rsidRPr="00EF1258" w:rsidRDefault="00EF1258" w:rsidP="00EF1258">
      <w:pPr>
        <w:spacing w:line="360" w:lineRule="auto"/>
        <w:jc w:val="both"/>
        <w:rPr>
          <w:rFonts w:ascii="Arial" w:hAnsi="Arial" w:cs="Arial"/>
          <w:b/>
          <w:bCs/>
          <w:sz w:val="22"/>
        </w:rPr>
      </w:pPr>
      <w:r w:rsidRPr="00EF1258">
        <w:rPr>
          <w:rFonts w:ascii="Arial" w:hAnsi="Arial" w:cs="Arial"/>
          <w:b/>
          <w:bCs/>
          <w:sz w:val="22"/>
        </w:rPr>
        <w:t>4. Lack of focus on receiving</w:t>
      </w:r>
      <w:r w:rsidRPr="00EF1258">
        <w:rPr>
          <w:rFonts w:ascii="Arial" w:hAnsi="Arial" w:cs="Arial"/>
          <w:b/>
          <w:bCs/>
          <w:sz w:val="22"/>
        </w:rPr>
        <w:noBreakHyphen/>
        <w:t>country responsibilities</w:t>
      </w:r>
    </w:p>
    <w:p w14:paraId="47A60B02" w14:textId="77777777" w:rsidR="00EF1258" w:rsidRPr="00EF1258" w:rsidRDefault="00EF1258" w:rsidP="00EF1258">
      <w:pPr>
        <w:spacing w:line="360" w:lineRule="auto"/>
        <w:jc w:val="both"/>
        <w:rPr>
          <w:rFonts w:ascii="Arial" w:hAnsi="Arial" w:cs="Arial"/>
          <w:sz w:val="22"/>
        </w:rPr>
      </w:pPr>
      <w:r w:rsidRPr="00EF1258">
        <w:rPr>
          <w:rFonts w:ascii="Arial" w:hAnsi="Arial" w:cs="Arial"/>
          <w:sz w:val="22"/>
        </w:rPr>
        <w:t>A further critique is that GCC theory highlights the negative impacts on sending countries (e.g., “care drain”) but pays less attention to the ethical responsibilities of receiving countries like the UK. Ethical recruitment, fair working conditions and investment in domestic care infrastructure are often overlooked in GCC analyses (Bach, 2015).</w:t>
      </w:r>
    </w:p>
    <w:p w14:paraId="48012305" w14:textId="77777777" w:rsidR="00EF1258" w:rsidRPr="00EF1258" w:rsidRDefault="00EF1258" w:rsidP="00EF1258">
      <w:pPr>
        <w:spacing w:line="360" w:lineRule="auto"/>
        <w:jc w:val="both"/>
        <w:rPr>
          <w:rFonts w:ascii="Arial" w:hAnsi="Arial" w:cs="Arial"/>
          <w:b/>
          <w:bCs/>
          <w:sz w:val="22"/>
        </w:rPr>
      </w:pPr>
      <w:r w:rsidRPr="00EF1258">
        <w:rPr>
          <w:rFonts w:ascii="Arial" w:hAnsi="Arial" w:cs="Arial"/>
          <w:b/>
          <w:bCs/>
          <w:sz w:val="22"/>
        </w:rPr>
        <w:t>Responses to Critiques</w:t>
      </w:r>
    </w:p>
    <w:p w14:paraId="6EA941BE" w14:textId="77777777" w:rsidR="00EF1258" w:rsidRPr="00EF1258" w:rsidRDefault="00EF1258" w:rsidP="00EF1258">
      <w:pPr>
        <w:spacing w:line="360" w:lineRule="auto"/>
        <w:jc w:val="both"/>
        <w:rPr>
          <w:rFonts w:ascii="Arial" w:hAnsi="Arial" w:cs="Arial"/>
          <w:sz w:val="22"/>
        </w:rPr>
      </w:pPr>
      <w:r w:rsidRPr="00EF1258">
        <w:rPr>
          <w:rFonts w:ascii="Arial" w:hAnsi="Arial" w:cs="Arial"/>
          <w:sz w:val="22"/>
        </w:rPr>
        <w:t>In response to these critiques, scholars have refined GCC theory in several ways:</w:t>
      </w:r>
    </w:p>
    <w:p w14:paraId="6E4C0870" w14:textId="77777777" w:rsidR="00EF1258" w:rsidRPr="00EF1258" w:rsidRDefault="00EF1258" w:rsidP="00EF1258">
      <w:pPr>
        <w:numPr>
          <w:ilvl w:val="0"/>
          <w:numId w:val="6"/>
        </w:numPr>
        <w:spacing w:line="360" w:lineRule="auto"/>
        <w:jc w:val="both"/>
        <w:rPr>
          <w:rFonts w:ascii="Arial" w:hAnsi="Arial" w:cs="Arial"/>
          <w:sz w:val="22"/>
        </w:rPr>
      </w:pPr>
      <w:r w:rsidRPr="00EF1258">
        <w:rPr>
          <w:rFonts w:ascii="Arial" w:hAnsi="Arial" w:cs="Arial"/>
          <w:sz w:val="22"/>
        </w:rPr>
        <w:t>Greater emphasis on worker agency, recognising that migrant care workers actively negotiate their circumstances.</w:t>
      </w:r>
    </w:p>
    <w:p w14:paraId="75EC989C" w14:textId="77777777" w:rsidR="00EF1258" w:rsidRPr="00EF1258" w:rsidRDefault="00EF1258" w:rsidP="00EF1258">
      <w:pPr>
        <w:numPr>
          <w:ilvl w:val="0"/>
          <w:numId w:val="6"/>
        </w:numPr>
        <w:spacing w:line="360" w:lineRule="auto"/>
        <w:jc w:val="both"/>
        <w:rPr>
          <w:rFonts w:ascii="Arial" w:hAnsi="Arial" w:cs="Arial"/>
          <w:sz w:val="22"/>
        </w:rPr>
      </w:pPr>
      <w:r w:rsidRPr="00EF1258">
        <w:rPr>
          <w:rFonts w:ascii="Arial" w:hAnsi="Arial" w:cs="Arial"/>
          <w:sz w:val="22"/>
        </w:rPr>
        <w:t>Integration of intersectional analysis, examining how gender, race, class and immigration status interact.</w:t>
      </w:r>
    </w:p>
    <w:p w14:paraId="10A7967B" w14:textId="77777777" w:rsidR="00EF1258" w:rsidRPr="00EF1258" w:rsidRDefault="00EF1258" w:rsidP="00EF1258">
      <w:pPr>
        <w:numPr>
          <w:ilvl w:val="0"/>
          <w:numId w:val="6"/>
        </w:numPr>
        <w:spacing w:line="360" w:lineRule="auto"/>
        <w:jc w:val="both"/>
        <w:rPr>
          <w:rFonts w:ascii="Arial" w:hAnsi="Arial" w:cs="Arial"/>
          <w:sz w:val="22"/>
        </w:rPr>
      </w:pPr>
      <w:r w:rsidRPr="00EF1258">
        <w:rPr>
          <w:rFonts w:ascii="Arial" w:hAnsi="Arial" w:cs="Arial"/>
          <w:sz w:val="22"/>
        </w:rPr>
        <w:t>Closer attention to national policy contexts, including the UK’s immigration rules, social care funding and labour regulations.</w:t>
      </w:r>
    </w:p>
    <w:p w14:paraId="08449F44" w14:textId="77777777" w:rsidR="00EF1258" w:rsidRPr="00EF1258" w:rsidRDefault="00EF1258" w:rsidP="00EF1258">
      <w:pPr>
        <w:numPr>
          <w:ilvl w:val="0"/>
          <w:numId w:val="6"/>
        </w:numPr>
        <w:spacing w:line="360" w:lineRule="auto"/>
        <w:jc w:val="both"/>
        <w:rPr>
          <w:rFonts w:ascii="Arial" w:hAnsi="Arial" w:cs="Arial"/>
          <w:sz w:val="22"/>
        </w:rPr>
      </w:pPr>
      <w:r w:rsidRPr="00EF1258">
        <w:rPr>
          <w:rFonts w:ascii="Arial" w:hAnsi="Arial" w:cs="Arial"/>
          <w:sz w:val="22"/>
        </w:rPr>
        <w:t>Ethical frameworks, such as the WHO Code of Practice on International Recruitment, have been incorporated into GCC discussions to address receiving</w:t>
      </w:r>
      <w:r w:rsidRPr="00EF1258">
        <w:rPr>
          <w:rFonts w:ascii="Arial" w:hAnsi="Arial" w:cs="Arial"/>
          <w:sz w:val="22"/>
        </w:rPr>
        <w:noBreakHyphen/>
        <w:t>country responsibilities.</w:t>
      </w:r>
    </w:p>
    <w:p w14:paraId="4B9E981E" w14:textId="77777777" w:rsidR="00EF1258" w:rsidRPr="00EF1258" w:rsidRDefault="00EF1258" w:rsidP="00EF1258">
      <w:pPr>
        <w:spacing w:line="360" w:lineRule="auto"/>
        <w:jc w:val="both"/>
        <w:rPr>
          <w:rFonts w:ascii="Arial" w:hAnsi="Arial" w:cs="Arial"/>
          <w:sz w:val="22"/>
        </w:rPr>
      </w:pPr>
      <w:r w:rsidRPr="00EF1258">
        <w:rPr>
          <w:rFonts w:ascii="Arial" w:hAnsi="Arial" w:cs="Arial"/>
          <w:sz w:val="22"/>
        </w:rPr>
        <w:t>These developments have strengthened the concept, making it more nuanced and applicable to contemporary UK health and social care.</w:t>
      </w:r>
    </w:p>
    <w:p w14:paraId="1E3E9B61" w14:textId="77777777" w:rsidR="00EF1258" w:rsidRPr="00EF1258" w:rsidRDefault="00EF1258" w:rsidP="00EF1258">
      <w:pPr>
        <w:spacing w:line="360" w:lineRule="auto"/>
        <w:jc w:val="both"/>
        <w:rPr>
          <w:rFonts w:ascii="Arial" w:hAnsi="Arial" w:cs="Arial"/>
          <w:b/>
          <w:bCs/>
          <w:sz w:val="22"/>
        </w:rPr>
      </w:pPr>
      <w:r w:rsidRPr="00EF1258">
        <w:rPr>
          <w:rFonts w:ascii="Arial" w:hAnsi="Arial" w:cs="Arial"/>
          <w:b/>
          <w:bCs/>
          <w:sz w:val="22"/>
        </w:rPr>
        <w:t>Application of the Global Care Chain Concept to UK Health and Social Care</w:t>
      </w:r>
    </w:p>
    <w:p w14:paraId="62DBA1F7" w14:textId="77777777" w:rsidR="00EF1258" w:rsidRPr="00EF1258" w:rsidRDefault="00EF1258" w:rsidP="00EF1258">
      <w:pPr>
        <w:spacing w:line="360" w:lineRule="auto"/>
        <w:jc w:val="both"/>
        <w:rPr>
          <w:rFonts w:ascii="Arial" w:hAnsi="Arial" w:cs="Arial"/>
          <w:b/>
          <w:bCs/>
          <w:sz w:val="22"/>
        </w:rPr>
      </w:pPr>
      <w:r w:rsidRPr="00EF1258">
        <w:rPr>
          <w:rFonts w:ascii="Arial" w:hAnsi="Arial" w:cs="Arial"/>
          <w:b/>
          <w:bCs/>
          <w:sz w:val="22"/>
        </w:rPr>
        <w:t>1. Workforce Shortages and Reliance on Migrant Labour</w:t>
      </w:r>
    </w:p>
    <w:p w14:paraId="1EE176BF" w14:textId="77777777" w:rsidR="00EF1258" w:rsidRPr="00EF1258" w:rsidRDefault="00EF1258" w:rsidP="00EF1258">
      <w:pPr>
        <w:spacing w:line="360" w:lineRule="auto"/>
        <w:jc w:val="both"/>
        <w:rPr>
          <w:rFonts w:ascii="Arial" w:hAnsi="Arial" w:cs="Arial"/>
          <w:sz w:val="22"/>
        </w:rPr>
      </w:pPr>
      <w:r w:rsidRPr="00EF1258">
        <w:rPr>
          <w:rFonts w:ascii="Arial" w:hAnsi="Arial" w:cs="Arial"/>
          <w:sz w:val="22"/>
        </w:rPr>
        <w:t xml:space="preserve">The UK’s reliance on migrant labour is well documented. According to the NHS Workforce Statistics, around 16% of NHS staff and over 30% of doctors were trained outside the UK. In adult social care, the proportion of migrant workers is even higher, with around 20% of the workforce born outside the UK (Skills for Care, 2023). GCC theory highlights how these </w:t>
      </w:r>
      <w:r w:rsidRPr="00EF1258">
        <w:rPr>
          <w:rFonts w:ascii="Arial" w:hAnsi="Arial" w:cs="Arial"/>
          <w:sz w:val="22"/>
        </w:rPr>
        <w:lastRenderedPageBreak/>
        <w:t>patterns reflect global inequalities: workers from lower</w:t>
      </w:r>
      <w:r w:rsidRPr="00EF1258">
        <w:rPr>
          <w:rFonts w:ascii="Arial" w:hAnsi="Arial" w:cs="Arial"/>
          <w:sz w:val="22"/>
        </w:rPr>
        <w:noBreakHyphen/>
        <w:t>income countries fill labour gaps in wealthier nations, often at the expense of their own countries’ health systems.</w:t>
      </w:r>
    </w:p>
    <w:p w14:paraId="4A953416" w14:textId="77777777" w:rsidR="00EF1258" w:rsidRPr="00EF1258" w:rsidRDefault="00EF1258" w:rsidP="00EF1258">
      <w:pPr>
        <w:spacing w:line="360" w:lineRule="auto"/>
        <w:jc w:val="both"/>
        <w:rPr>
          <w:rFonts w:ascii="Arial" w:hAnsi="Arial" w:cs="Arial"/>
          <w:sz w:val="22"/>
        </w:rPr>
      </w:pPr>
      <w:r w:rsidRPr="00EF1258">
        <w:rPr>
          <w:rFonts w:ascii="Arial" w:hAnsi="Arial" w:cs="Arial"/>
          <w:sz w:val="22"/>
        </w:rPr>
        <w:t>The UK’s recruitment of nurses from countries such as the Philippines, India and Nigeria exemplifies this dynamic. These countries often face their own shortages of health professionals, raising ethical concerns about “care drain”. The World Health Organization (WHO) Code of Practice on International Recruitment emphasises that high</w:t>
      </w:r>
      <w:r w:rsidRPr="00EF1258">
        <w:rPr>
          <w:rFonts w:ascii="Arial" w:hAnsi="Arial" w:cs="Arial"/>
          <w:sz w:val="22"/>
        </w:rPr>
        <w:noBreakHyphen/>
        <w:t>income countries should avoid active recruitment from countries with critical workforce shortages. However, the UK has historically recruited from such countries during periods of acute need, particularly in the early 2000s and again after Brexit.</w:t>
      </w:r>
    </w:p>
    <w:p w14:paraId="58FBFA65" w14:textId="77777777" w:rsidR="00EF1258" w:rsidRPr="00EF1258" w:rsidRDefault="00EF1258" w:rsidP="00EF1258">
      <w:pPr>
        <w:spacing w:line="360" w:lineRule="auto"/>
        <w:jc w:val="both"/>
        <w:rPr>
          <w:rFonts w:ascii="Arial" w:hAnsi="Arial" w:cs="Arial"/>
          <w:b/>
          <w:bCs/>
          <w:sz w:val="22"/>
        </w:rPr>
      </w:pPr>
      <w:r w:rsidRPr="00EF1258">
        <w:rPr>
          <w:rFonts w:ascii="Arial" w:hAnsi="Arial" w:cs="Arial"/>
          <w:b/>
          <w:bCs/>
          <w:sz w:val="22"/>
        </w:rPr>
        <w:t>2. Immigration Policy and Precarious Employment</w:t>
      </w:r>
    </w:p>
    <w:p w14:paraId="55C1DCB1" w14:textId="77777777" w:rsidR="00EF1258" w:rsidRPr="00EF1258" w:rsidRDefault="00EF1258" w:rsidP="00EF1258">
      <w:pPr>
        <w:spacing w:line="360" w:lineRule="auto"/>
        <w:jc w:val="both"/>
        <w:rPr>
          <w:rFonts w:ascii="Arial" w:hAnsi="Arial" w:cs="Arial"/>
          <w:sz w:val="22"/>
        </w:rPr>
      </w:pPr>
      <w:r w:rsidRPr="00EF1258">
        <w:rPr>
          <w:rFonts w:ascii="Arial" w:hAnsi="Arial" w:cs="Arial"/>
          <w:sz w:val="22"/>
        </w:rPr>
        <w:t>UK immigration policy plays a central role in shaping GCCs. The introduction of the points</w:t>
      </w:r>
      <w:r w:rsidRPr="00EF1258">
        <w:rPr>
          <w:rFonts w:ascii="Arial" w:hAnsi="Arial" w:cs="Arial"/>
          <w:sz w:val="22"/>
        </w:rPr>
        <w:noBreakHyphen/>
        <w:t>based immigration system after Brexit created new pathways for migrant care workers, including the Health and Care Worker visa. While this has helped address workforce shortages, it has also created vulnerabilities. Many migrant care workers are tied to a single employer, limiting their ability to challenge poor working conditions or move to better roles (Hussein, 2022).</w:t>
      </w:r>
    </w:p>
    <w:p w14:paraId="093C50A4" w14:textId="77777777" w:rsidR="00EF1258" w:rsidRPr="00EF1258" w:rsidRDefault="00EF1258" w:rsidP="00EF1258">
      <w:pPr>
        <w:spacing w:line="360" w:lineRule="auto"/>
        <w:jc w:val="both"/>
        <w:rPr>
          <w:rFonts w:ascii="Arial" w:hAnsi="Arial" w:cs="Arial"/>
          <w:sz w:val="22"/>
        </w:rPr>
      </w:pPr>
      <w:r w:rsidRPr="00EF1258">
        <w:rPr>
          <w:rFonts w:ascii="Arial" w:hAnsi="Arial" w:cs="Arial"/>
          <w:sz w:val="22"/>
        </w:rPr>
        <w:t>GCC theory helps illuminate how immigration rules can reinforce power imbalances within care relationships. Migrant workers may accept low pay, long hours and insecure contracts due to fear of losing their visa status. This undermines the principles of person</w:t>
      </w:r>
      <w:r w:rsidRPr="00EF1258">
        <w:rPr>
          <w:rFonts w:ascii="Arial" w:hAnsi="Arial" w:cs="Arial"/>
          <w:sz w:val="22"/>
        </w:rPr>
        <w:noBreakHyphen/>
        <w:t>centred care, which depend on a stable, supported and valued workforce.</w:t>
      </w:r>
    </w:p>
    <w:p w14:paraId="69EE4AFD" w14:textId="77777777" w:rsidR="00EF1258" w:rsidRPr="00EF1258" w:rsidRDefault="00EF1258" w:rsidP="00EF1258">
      <w:pPr>
        <w:spacing w:line="360" w:lineRule="auto"/>
        <w:jc w:val="both"/>
        <w:rPr>
          <w:rFonts w:ascii="Arial" w:hAnsi="Arial" w:cs="Arial"/>
          <w:b/>
          <w:bCs/>
          <w:sz w:val="22"/>
        </w:rPr>
      </w:pPr>
      <w:r w:rsidRPr="00EF1258">
        <w:rPr>
          <w:rFonts w:ascii="Arial" w:hAnsi="Arial" w:cs="Arial"/>
          <w:b/>
          <w:bCs/>
          <w:sz w:val="22"/>
        </w:rPr>
        <w:t>3. Marketisation and Austerity in Social Care</w:t>
      </w:r>
    </w:p>
    <w:p w14:paraId="75BFBA94" w14:textId="77777777" w:rsidR="00EF1258" w:rsidRPr="00EF1258" w:rsidRDefault="00EF1258" w:rsidP="00EF1258">
      <w:pPr>
        <w:spacing w:line="360" w:lineRule="auto"/>
        <w:jc w:val="both"/>
        <w:rPr>
          <w:rFonts w:ascii="Arial" w:hAnsi="Arial" w:cs="Arial"/>
          <w:sz w:val="22"/>
        </w:rPr>
      </w:pPr>
      <w:r w:rsidRPr="00EF1258">
        <w:rPr>
          <w:rFonts w:ascii="Arial" w:hAnsi="Arial" w:cs="Arial"/>
          <w:sz w:val="22"/>
        </w:rPr>
        <w:t>The UK’s social care system has undergone extensive marketisation since the 1990s, with a shift towards private providers, competitive tendering and cost</w:t>
      </w:r>
      <w:r w:rsidRPr="00EF1258">
        <w:rPr>
          <w:rFonts w:ascii="Arial" w:hAnsi="Arial" w:cs="Arial"/>
          <w:sz w:val="22"/>
        </w:rPr>
        <w:noBreakHyphen/>
        <w:t>driven commissioning. Austerity policies since 2010 have further reduced local authority budgets, leading to low wages, limited training and high turnover in the care sector (Rubery et al., 2015).</w:t>
      </w:r>
    </w:p>
    <w:p w14:paraId="5765A478" w14:textId="022A9189" w:rsidR="00EF1258" w:rsidRPr="00EF1258" w:rsidRDefault="00EF1258" w:rsidP="00EF1258">
      <w:pPr>
        <w:spacing w:line="360" w:lineRule="auto"/>
        <w:jc w:val="both"/>
        <w:rPr>
          <w:rFonts w:ascii="Arial" w:hAnsi="Arial" w:cs="Arial"/>
          <w:sz w:val="22"/>
        </w:rPr>
      </w:pPr>
      <w:r w:rsidRPr="00EF1258">
        <w:rPr>
          <w:rFonts w:ascii="Arial" w:hAnsi="Arial" w:cs="Arial"/>
          <w:sz w:val="22"/>
        </w:rPr>
        <w:t>GCC theory shows how these structural pressures create demand for a flexible, low</w:t>
      </w:r>
      <w:r w:rsidRPr="00EF1258">
        <w:rPr>
          <w:rFonts w:ascii="Arial" w:hAnsi="Arial" w:cs="Arial"/>
          <w:sz w:val="22"/>
        </w:rPr>
        <w:noBreakHyphen/>
        <w:t xml:space="preserve">paid migrant workforce. Migrant workers often fill roles that are unattractive to domestic workers due to poor pay and conditions. </w:t>
      </w:r>
      <w:r w:rsidRPr="00EF1258">
        <w:rPr>
          <w:rFonts w:ascii="Arial" w:hAnsi="Arial" w:cs="Arial"/>
          <w:sz w:val="22"/>
        </w:rPr>
        <w:t>These dynamic raises</w:t>
      </w:r>
      <w:r w:rsidRPr="00EF1258">
        <w:rPr>
          <w:rFonts w:ascii="Arial" w:hAnsi="Arial" w:cs="Arial"/>
          <w:sz w:val="22"/>
        </w:rPr>
        <w:t xml:space="preserve"> ethical concerns about exploitation and the sustainability of person</w:t>
      </w:r>
      <w:r w:rsidRPr="00EF1258">
        <w:rPr>
          <w:rFonts w:ascii="Arial" w:hAnsi="Arial" w:cs="Arial"/>
          <w:sz w:val="22"/>
        </w:rPr>
        <w:noBreakHyphen/>
        <w:t>centred care.</w:t>
      </w:r>
    </w:p>
    <w:p w14:paraId="71636E3A" w14:textId="77777777" w:rsidR="00EF1258" w:rsidRPr="00EF1258" w:rsidRDefault="00EF1258" w:rsidP="00EF1258">
      <w:pPr>
        <w:spacing w:line="360" w:lineRule="auto"/>
        <w:jc w:val="both"/>
        <w:rPr>
          <w:rFonts w:ascii="Arial" w:hAnsi="Arial" w:cs="Arial"/>
          <w:b/>
          <w:bCs/>
          <w:sz w:val="22"/>
        </w:rPr>
      </w:pPr>
      <w:r w:rsidRPr="00EF1258">
        <w:rPr>
          <w:rFonts w:ascii="Arial" w:hAnsi="Arial" w:cs="Arial"/>
          <w:b/>
          <w:bCs/>
          <w:sz w:val="22"/>
        </w:rPr>
        <w:t>4. Emotional Labour and Person</w:t>
      </w:r>
      <w:r w:rsidRPr="00EF1258">
        <w:rPr>
          <w:rFonts w:ascii="Arial" w:hAnsi="Arial" w:cs="Arial"/>
          <w:b/>
          <w:bCs/>
          <w:sz w:val="22"/>
        </w:rPr>
        <w:noBreakHyphen/>
        <w:t>Centred Care</w:t>
      </w:r>
    </w:p>
    <w:p w14:paraId="0E8890B9" w14:textId="77777777" w:rsidR="00EF1258" w:rsidRPr="00EF1258" w:rsidRDefault="00EF1258" w:rsidP="00EF1258">
      <w:pPr>
        <w:spacing w:line="360" w:lineRule="auto"/>
        <w:jc w:val="both"/>
        <w:rPr>
          <w:rFonts w:ascii="Arial" w:hAnsi="Arial" w:cs="Arial"/>
          <w:sz w:val="22"/>
        </w:rPr>
      </w:pPr>
      <w:r w:rsidRPr="00EF1258">
        <w:rPr>
          <w:rFonts w:ascii="Arial" w:hAnsi="Arial" w:cs="Arial"/>
          <w:sz w:val="22"/>
        </w:rPr>
        <w:t>Person</w:t>
      </w:r>
      <w:r w:rsidRPr="00EF1258">
        <w:rPr>
          <w:rFonts w:ascii="Arial" w:hAnsi="Arial" w:cs="Arial"/>
          <w:sz w:val="22"/>
        </w:rPr>
        <w:noBreakHyphen/>
        <w:t xml:space="preserve">centred care emphasises empathy, relational practice and emotional connection. However, GCC research highlights that migrant care workers often experience emotional </w:t>
      </w:r>
      <w:r w:rsidRPr="00EF1258">
        <w:rPr>
          <w:rFonts w:ascii="Arial" w:hAnsi="Arial" w:cs="Arial"/>
          <w:sz w:val="22"/>
        </w:rPr>
        <w:lastRenderedPageBreak/>
        <w:t>strain due to separation from their own families, cultural adjustment and the demands of intimate care work (Hussein and Manthorpe, 2014).</w:t>
      </w:r>
    </w:p>
    <w:p w14:paraId="2824C12E" w14:textId="77777777" w:rsidR="00EF1258" w:rsidRPr="00EF1258" w:rsidRDefault="00EF1258" w:rsidP="00EF1258">
      <w:pPr>
        <w:spacing w:line="360" w:lineRule="auto"/>
        <w:jc w:val="both"/>
        <w:rPr>
          <w:rFonts w:ascii="Arial" w:hAnsi="Arial" w:cs="Arial"/>
          <w:sz w:val="22"/>
        </w:rPr>
      </w:pPr>
      <w:r w:rsidRPr="00EF1258">
        <w:rPr>
          <w:rFonts w:ascii="Arial" w:hAnsi="Arial" w:cs="Arial"/>
          <w:sz w:val="22"/>
        </w:rPr>
        <w:t>Despite these challenges, studies show that migrant workers frequently deliver high</w:t>
      </w:r>
      <w:r w:rsidRPr="00EF1258">
        <w:rPr>
          <w:rFonts w:ascii="Arial" w:hAnsi="Arial" w:cs="Arial"/>
          <w:sz w:val="22"/>
        </w:rPr>
        <w:noBreakHyphen/>
        <w:t>quality, compassionate care. However, their emotional labour is often undervalued, and they may lack access to support systems that promote wellbeing. This undermines the relational foundations of person</w:t>
      </w:r>
      <w:r w:rsidRPr="00EF1258">
        <w:rPr>
          <w:rFonts w:ascii="Arial" w:hAnsi="Arial" w:cs="Arial"/>
          <w:sz w:val="22"/>
        </w:rPr>
        <w:noBreakHyphen/>
        <w:t>centred care.</w:t>
      </w:r>
    </w:p>
    <w:p w14:paraId="2513CF7D" w14:textId="77777777" w:rsidR="00EF1258" w:rsidRPr="00EF1258" w:rsidRDefault="00EF1258" w:rsidP="00EF1258">
      <w:pPr>
        <w:spacing w:line="360" w:lineRule="auto"/>
        <w:jc w:val="both"/>
        <w:rPr>
          <w:rFonts w:ascii="Arial" w:hAnsi="Arial" w:cs="Arial"/>
          <w:b/>
          <w:bCs/>
          <w:sz w:val="22"/>
        </w:rPr>
      </w:pPr>
      <w:r w:rsidRPr="00EF1258">
        <w:rPr>
          <w:rFonts w:ascii="Arial" w:hAnsi="Arial" w:cs="Arial"/>
          <w:b/>
          <w:bCs/>
          <w:sz w:val="22"/>
        </w:rPr>
        <w:t>5. Ethical Recruitment and Global Justice</w:t>
      </w:r>
    </w:p>
    <w:p w14:paraId="040BB6B8" w14:textId="77777777" w:rsidR="00EF1258" w:rsidRPr="00EF1258" w:rsidRDefault="00EF1258" w:rsidP="00EF1258">
      <w:pPr>
        <w:spacing w:line="360" w:lineRule="auto"/>
        <w:jc w:val="both"/>
        <w:rPr>
          <w:rFonts w:ascii="Arial" w:hAnsi="Arial" w:cs="Arial"/>
          <w:sz w:val="22"/>
        </w:rPr>
      </w:pPr>
      <w:r w:rsidRPr="00EF1258">
        <w:rPr>
          <w:rFonts w:ascii="Arial" w:hAnsi="Arial" w:cs="Arial"/>
          <w:sz w:val="22"/>
        </w:rPr>
        <w:t>The UK has adopted ethical recruitment guidelines, including the Code of Practice for International Recruitment (Department of Health and Social Care, 2023). However, enforcement remains inconsistent. GCC theory highlights the ethical tensions between the UK’s need for care workers and the potential negative impacts on sending countries.</w:t>
      </w:r>
    </w:p>
    <w:p w14:paraId="506D6F2F" w14:textId="77777777" w:rsidR="00EF1258" w:rsidRPr="00EF1258" w:rsidRDefault="00EF1258" w:rsidP="00EF1258">
      <w:pPr>
        <w:spacing w:line="360" w:lineRule="auto"/>
        <w:jc w:val="both"/>
        <w:rPr>
          <w:rFonts w:ascii="Arial" w:hAnsi="Arial" w:cs="Arial"/>
          <w:b/>
          <w:bCs/>
          <w:sz w:val="22"/>
        </w:rPr>
      </w:pPr>
      <w:r w:rsidRPr="00EF1258">
        <w:rPr>
          <w:rFonts w:ascii="Arial" w:hAnsi="Arial" w:cs="Arial"/>
          <w:b/>
          <w:bCs/>
          <w:sz w:val="22"/>
        </w:rPr>
        <w:t>For example:</w:t>
      </w:r>
    </w:p>
    <w:p w14:paraId="114F3CB6" w14:textId="77777777" w:rsidR="00EF1258" w:rsidRPr="00EF1258" w:rsidRDefault="00EF1258" w:rsidP="00EF1258">
      <w:pPr>
        <w:numPr>
          <w:ilvl w:val="0"/>
          <w:numId w:val="7"/>
        </w:numPr>
        <w:spacing w:line="360" w:lineRule="auto"/>
        <w:jc w:val="both"/>
        <w:rPr>
          <w:rFonts w:ascii="Arial" w:hAnsi="Arial" w:cs="Arial"/>
          <w:sz w:val="22"/>
        </w:rPr>
      </w:pPr>
      <w:r w:rsidRPr="00EF1258">
        <w:rPr>
          <w:rFonts w:ascii="Arial" w:hAnsi="Arial" w:cs="Arial"/>
          <w:sz w:val="22"/>
        </w:rPr>
        <w:t>Recruitment from countries with critical shortages can weaken their health systems.</w:t>
      </w:r>
    </w:p>
    <w:p w14:paraId="27D8D568" w14:textId="77777777" w:rsidR="00EF1258" w:rsidRPr="00EF1258" w:rsidRDefault="00EF1258" w:rsidP="00EF1258">
      <w:pPr>
        <w:numPr>
          <w:ilvl w:val="0"/>
          <w:numId w:val="7"/>
        </w:numPr>
        <w:spacing w:line="360" w:lineRule="auto"/>
        <w:jc w:val="both"/>
        <w:rPr>
          <w:rFonts w:ascii="Arial" w:hAnsi="Arial" w:cs="Arial"/>
          <w:sz w:val="22"/>
        </w:rPr>
      </w:pPr>
      <w:r w:rsidRPr="00EF1258">
        <w:rPr>
          <w:rFonts w:ascii="Arial" w:hAnsi="Arial" w:cs="Arial"/>
          <w:sz w:val="22"/>
        </w:rPr>
        <w:t>Remittances sent home by migrant workers can support families but may not compensate for the loss of skilled labour.</w:t>
      </w:r>
    </w:p>
    <w:p w14:paraId="447FAE9A" w14:textId="77777777" w:rsidR="00EF1258" w:rsidRPr="00EF1258" w:rsidRDefault="00EF1258" w:rsidP="00EF1258">
      <w:pPr>
        <w:numPr>
          <w:ilvl w:val="0"/>
          <w:numId w:val="7"/>
        </w:numPr>
        <w:spacing w:line="360" w:lineRule="auto"/>
        <w:jc w:val="both"/>
        <w:rPr>
          <w:rFonts w:ascii="Arial" w:hAnsi="Arial" w:cs="Arial"/>
          <w:sz w:val="22"/>
        </w:rPr>
      </w:pPr>
      <w:r w:rsidRPr="00EF1258">
        <w:rPr>
          <w:rFonts w:ascii="Arial" w:hAnsi="Arial" w:cs="Arial"/>
          <w:sz w:val="22"/>
        </w:rPr>
        <w:t>The UK benefits economically from the training investments made by other countries.</w:t>
      </w:r>
    </w:p>
    <w:p w14:paraId="715A3025" w14:textId="77777777" w:rsidR="00EF1258" w:rsidRPr="00EF1258" w:rsidRDefault="00EF1258" w:rsidP="00EF1258">
      <w:pPr>
        <w:spacing w:line="360" w:lineRule="auto"/>
        <w:jc w:val="both"/>
        <w:rPr>
          <w:rFonts w:ascii="Arial" w:hAnsi="Arial" w:cs="Arial"/>
          <w:sz w:val="22"/>
        </w:rPr>
      </w:pPr>
      <w:r w:rsidRPr="00EF1258">
        <w:rPr>
          <w:rFonts w:ascii="Arial" w:hAnsi="Arial" w:cs="Arial"/>
          <w:sz w:val="22"/>
        </w:rPr>
        <w:t>These issues raise questions about global justice and the responsibilities of high</w:t>
      </w:r>
      <w:r w:rsidRPr="00EF1258">
        <w:rPr>
          <w:rFonts w:ascii="Arial" w:hAnsi="Arial" w:cs="Arial"/>
          <w:sz w:val="22"/>
        </w:rPr>
        <w:noBreakHyphen/>
        <w:t>income countries in sustaining equitable care systems.</w:t>
      </w:r>
    </w:p>
    <w:p w14:paraId="2BF5F25B" w14:textId="77777777" w:rsidR="00EF1258" w:rsidRPr="00EF1258" w:rsidRDefault="00EF1258" w:rsidP="00EF1258">
      <w:pPr>
        <w:spacing w:line="360" w:lineRule="auto"/>
        <w:jc w:val="both"/>
        <w:rPr>
          <w:rFonts w:ascii="Arial" w:hAnsi="Arial" w:cs="Arial"/>
          <w:b/>
          <w:bCs/>
          <w:sz w:val="22"/>
        </w:rPr>
      </w:pPr>
      <w:r w:rsidRPr="00EF1258">
        <w:rPr>
          <w:rFonts w:ascii="Arial" w:hAnsi="Arial" w:cs="Arial"/>
          <w:b/>
          <w:bCs/>
          <w:sz w:val="22"/>
        </w:rPr>
        <w:t>6. Cultural Competence and Integration</w:t>
      </w:r>
    </w:p>
    <w:p w14:paraId="155F4ABA" w14:textId="77777777" w:rsidR="00EF1258" w:rsidRPr="00EF1258" w:rsidRDefault="00EF1258" w:rsidP="00EF1258">
      <w:pPr>
        <w:spacing w:line="360" w:lineRule="auto"/>
        <w:jc w:val="both"/>
        <w:rPr>
          <w:rFonts w:ascii="Arial" w:hAnsi="Arial" w:cs="Arial"/>
          <w:sz w:val="22"/>
        </w:rPr>
      </w:pPr>
      <w:r w:rsidRPr="00EF1258">
        <w:rPr>
          <w:rFonts w:ascii="Arial" w:hAnsi="Arial" w:cs="Arial"/>
          <w:sz w:val="22"/>
        </w:rPr>
        <w:t>The presence of a diverse care workforce has implications for cultural competence in health and social care. Migrant workers bring valuable skills, languages and cultural knowledge, which can enhance person</w:t>
      </w:r>
      <w:r w:rsidRPr="00EF1258">
        <w:rPr>
          <w:rFonts w:ascii="Arial" w:hAnsi="Arial" w:cs="Arial"/>
          <w:sz w:val="22"/>
        </w:rPr>
        <w:noBreakHyphen/>
        <w:t>centred care for diverse service users. However, they may also face discrimination, racism or exclusion within care organisations (Salami et al., 2022).</w:t>
      </w:r>
    </w:p>
    <w:p w14:paraId="03C287DB" w14:textId="77777777" w:rsidR="00EF1258" w:rsidRPr="00EF1258" w:rsidRDefault="00EF1258" w:rsidP="00EF1258">
      <w:pPr>
        <w:spacing w:line="360" w:lineRule="auto"/>
        <w:jc w:val="both"/>
        <w:rPr>
          <w:rFonts w:ascii="Arial" w:hAnsi="Arial" w:cs="Arial"/>
          <w:sz w:val="22"/>
        </w:rPr>
      </w:pPr>
      <w:r w:rsidRPr="00EF1258">
        <w:rPr>
          <w:rFonts w:ascii="Arial" w:hAnsi="Arial" w:cs="Arial"/>
          <w:sz w:val="22"/>
        </w:rPr>
        <w:t>GCC theory helps explain how racialised hierarchies shape the experiences of migrant workers. Addressing these inequalities is essential for creating inclusive, person</w:t>
      </w:r>
      <w:r w:rsidRPr="00EF1258">
        <w:rPr>
          <w:rFonts w:ascii="Arial" w:hAnsi="Arial" w:cs="Arial"/>
          <w:sz w:val="22"/>
        </w:rPr>
        <w:noBreakHyphen/>
        <w:t>centred care environments.</w:t>
      </w:r>
    </w:p>
    <w:p w14:paraId="58E29E92" w14:textId="77777777" w:rsidR="00EF1258" w:rsidRPr="00EF1258" w:rsidRDefault="00EF1258" w:rsidP="00EF1258">
      <w:pPr>
        <w:spacing w:line="360" w:lineRule="auto"/>
        <w:jc w:val="both"/>
        <w:rPr>
          <w:rFonts w:ascii="Arial" w:hAnsi="Arial" w:cs="Arial"/>
          <w:b/>
          <w:bCs/>
          <w:sz w:val="22"/>
        </w:rPr>
      </w:pPr>
      <w:r w:rsidRPr="00EF1258">
        <w:rPr>
          <w:rFonts w:ascii="Arial" w:hAnsi="Arial" w:cs="Arial"/>
          <w:b/>
          <w:bCs/>
          <w:sz w:val="22"/>
        </w:rPr>
        <w:t>7. Impact on Care Quality and Continuity</w:t>
      </w:r>
    </w:p>
    <w:p w14:paraId="08EA21DB" w14:textId="06E31020" w:rsidR="00EF1258" w:rsidRPr="00EF1258" w:rsidRDefault="00EF1258" w:rsidP="00EF1258">
      <w:pPr>
        <w:spacing w:line="360" w:lineRule="auto"/>
        <w:jc w:val="both"/>
        <w:rPr>
          <w:rFonts w:ascii="Arial" w:hAnsi="Arial" w:cs="Arial"/>
          <w:sz w:val="22"/>
        </w:rPr>
      </w:pPr>
      <w:r w:rsidRPr="00EF1258">
        <w:rPr>
          <w:rFonts w:ascii="Arial" w:hAnsi="Arial" w:cs="Arial"/>
          <w:sz w:val="22"/>
        </w:rPr>
        <w:t>Workforce instability</w:t>
      </w:r>
      <w:r w:rsidRPr="00EF1258">
        <w:rPr>
          <w:rFonts w:ascii="Arial" w:hAnsi="Arial" w:cs="Arial"/>
          <w:sz w:val="22"/>
        </w:rPr>
        <w:t xml:space="preserve"> </w:t>
      </w:r>
      <w:r w:rsidRPr="00EF1258">
        <w:rPr>
          <w:rFonts w:ascii="Arial" w:hAnsi="Arial" w:cs="Arial"/>
          <w:sz w:val="22"/>
        </w:rPr>
        <w:t>driven by high turnover, visa restrictions and precarious employment</w:t>
      </w:r>
      <w:r w:rsidRPr="00EF1258">
        <w:rPr>
          <w:rFonts w:ascii="Arial" w:hAnsi="Arial" w:cs="Arial"/>
          <w:sz w:val="22"/>
        </w:rPr>
        <w:t xml:space="preserve"> </w:t>
      </w:r>
      <w:r w:rsidRPr="00EF1258">
        <w:rPr>
          <w:rFonts w:ascii="Arial" w:hAnsi="Arial" w:cs="Arial"/>
          <w:sz w:val="22"/>
        </w:rPr>
        <w:t>can undermine continuity of care. Person</w:t>
      </w:r>
      <w:r w:rsidRPr="00EF1258">
        <w:rPr>
          <w:rFonts w:ascii="Arial" w:hAnsi="Arial" w:cs="Arial"/>
          <w:sz w:val="22"/>
        </w:rPr>
        <w:noBreakHyphen/>
        <w:t>centred care depends on stable relationships between workers and service users. GCC dynamics, particularly the reliance on short</w:t>
      </w:r>
      <w:r w:rsidRPr="00EF1258">
        <w:rPr>
          <w:rFonts w:ascii="Arial" w:hAnsi="Arial" w:cs="Arial"/>
          <w:sz w:val="22"/>
        </w:rPr>
        <w:noBreakHyphen/>
        <w:t>term or temporary migrant labour, can disrupt these relationships.</w:t>
      </w:r>
    </w:p>
    <w:p w14:paraId="192187BB" w14:textId="77777777" w:rsidR="00EF1258" w:rsidRPr="00EF1258" w:rsidRDefault="00EF1258" w:rsidP="00EF1258">
      <w:pPr>
        <w:spacing w:line="360" w:lineRule="auto"/>
        <w:jc w:val="both"/>
        <w:rPr>
          <w:rFonts w:ascii="Arial" w:hAnsi="Arial" w:cs="Arial"/>
          <w:sz w:val="22"/>
        </w:rPr>
      </w:pPr>
      <w:r w:rsidRPr="00EF1258">
        <w:rPr>
          <w:rFonts w:ascii="Arial" w:hAnsi="Arial" w:cs="Arial"/>
          <w:sz w:val="22"/>
        </w:rPr>
        <w:lastRenderedPageBreak/>
        <w:t>At the same time, migrant workers often provide essential continuity in sectors with chronic shortages. Their contribution is vital to maintaining care quality, yet their working conditions may limit their ability to fully engage in person</w:t>
      </w:r>
      <w:r w:rsidRPr="00EF1258">
        <w:rPr>
          <w:rFonts w:ascii="Arial" w:hAnsi="Arial" w:cs="Arial"/>
          <w:sz w:val="22"/>
        </w:rPr>
        <w:noBreakHyphen/>
        <w:t>centred practice.</w:t>
      </w:r>
    </w:p>
    <w:p w14:paraId="3660DB1D" w14:textId="77777777" w:rsidR="00EF1258" w:rsidRPr="00EF1258" w:rsidRDefault="00EF1258" w:rsidP="00EF1258">
      <w:pPr>
        <w:spacing w:line="360" w:lineRule="auto"/>
        <w:jc w:val="both"/>
        <w:rPr>
          <w:rFonts w:ascii="Arial" w:hAnsi="Arial" w:cs="Arial"/>
          <w:b/>
          <w:bCs/>
          <w:sz w:val="22"/>
        </w:rPr>
      </w:pPr>
      <w:r w:rsidRPr="00EF1258">
        <w:rPr>
          <w:rFonts w:ascii="Arial" w:hAnsi="Arial" w:cs="Arial"/>
          <w:b/>
          <w:bCs/>
          <w:sz w:val="22"/>
        </w:rPr>
        <w:t>Recommendations for UK Health and Social Care Policy and Practice</w:t>
      </w:r>
    </w:p>
    <w:p w14:paraId="3CC2BAA2" w14:textId="77777777" w:rsidR="00EF1258" w:rsidRPr="00EF1258" w:rsidRDefault="00EF1258" w:rsidP="00EF1258">
      <w:pPr>
        <w:spacing w:line="360" w:lineRule="auto"/>
        <w:jc w:val="both"/>
        <w:rPr>
          <w:rFonts w:ascii="Arial" w:hAnsi="Arial" w:cs="Arial"/>
          <w:b/>
          <w:bCs/>
          <w:sz w:val="22"/>
        </w:rPr>
      </w:pPr>
      <w:r w:rsidRPr="00EF1258">
        <w:rPr>
          <w:rFonts w:ascii="Arial" w:hAnsi="Arial" w:cs="Arial"/>
          <w:b/>
          <w:bCs/>
          <w:sz w:val="22"/>
        </w:rPr>
        <w:t>1. Strengthen Ethical Recruitment and Reduce Dependency on GCCs</w:t>
      </w:r>
    </w:p>
    <w:p w14:paraId="157E9D30" w14:textId="77777777" w:rsidR="00EF1258" w:rsidRPr="00EF1258" w:rsidRDefault="00EF1258" w:rsidP="00EF1258">
      <w:pPr>
        <w:spacing w:line="360" w:lineRule="auto"/>
        <w:jc w:val="both"/>
        <w:rPr>
          <w:rFonts w:ascii="Arial" w:hAnsi="Arial" w:cs="Arial"/>
          <w:sz w:val="22"/>
        </w:rPr>
      </w:pPr>
      <w:r w:rsidRPr="00EF1258">
        <w:rPr>
          <w:rFonts w:ascii="Arial" w:hAnsi="Arial" w:cs="Arial"/>
          <w:sz w:val="22"/>
        </w:rPr>
        <w:t>The UK should align more closely with the WHO Code of Practice on International Recruitment, avoiding active recruitment from countries with critical workforce shortages. This requires:</w:t>
      </w:r>
    </w:p>
    <w:p w14:paraId="35610717" w14:textId="77777777" w:rsidR="00EF1258" w:rsidRPr="00EF1258" w:rsidRDefault="00EF1258" w:rsidP="00EF1258">
      <w:pPr>
        <w:numPr>
          <w:ilvl w:val="0"/>
          <w:numId w:val="8"/>
        </w:numPr>
        <w:spacing w:line="360" w:lineRule="auto"/>
        <w:jc w:val="both"/>
        <w:rPr>
          <w:rFonts w:ascii="Arial" w:hAnsi="Arial" w:cs="Arial"/>
          <w:sz w:val="22"/>
        </w:rPr>
      </w:pPr>
      <w:r w:rsidRPr="00EF1258">
        <w:rPr>
          <w:rFonts w:ascii="Arial" w:hAnsi="Arial" w:cs="Arial"/>
          <w:sz w:val="22"/>
        </w:rPr>
        <w:t>Expanding domestic training pathways for nurses, social workers and care assistants.</w:t>
      </w:r>
    </w:p>
    <w:p w14:paraId="6659D039" w14:textId="77777777" w:rsidR="00EF1258" w:rsidRPr="00EF1258" w:rsidRDefault="00EF1258" w:rsidP="00EF1258">
      <w:pPr>
        <w:numPr>
          <w:ilvl w:val="0"/>
          <w:numId w:val="8"/>
        </w:numPr>
        <w:spacing w:line="360" w:lineRule="auto"/>
        <w:jc w:val="both"/>
        <w:rPr>
          <w:rFonts w:ascii="Arial" w:hAnsi="Arial" w:cs="Arial"/>
          <w:sz w:val="22"/>
        </w:rPr>
      </w:pPr>
      <w:r w:rsidRPr="00EF1258">
        <w:rPr>
          <w:rFonts w:ascii="Arial" w:hAnsi="Arial" w:cs="Arial"/>
          <w:sz w:val="22"/>
        </w:rPr>
        <w:t>Increasing investment in apprenticeships and vocational programmes.</w:t>
      </w:r>
    </w:p>
    <w:p w14:paraId="1E9616DE" w14:textId="77777777" w:rsidR="00EF1258" w:rsidRPr="00EF1258" w:rsidRDefault="00EF1258" w:rsidP="00EF1258">
      <w:pPr>
        <w:numPr>
          <w:ilvl w:val="0"/>
          <w:numId w:val="8"/>
        </w:numPr>
        <w:spacing w:line="360" w:lineRule="auto"/>
        <w:jc w:val="both"/>
        <w:rPr>
          <w:rFonts w:ascii="Arial" w:hAnsi="Arial" w:cs="Arial"/>
          <w:sz w:val="22"/>
        </w:rPr>
      </w:pPr>
      <w:r w:rsidRPr="00EF1258">
        <w:rPr>
          <w:rFonts w:ascii="Arial" w:hAnsi="Arial" w:cs="Arial"/>
          <w:sz w:val="22"/>
        </w:rPr>
        <w:t>Providing financial incentives to encourage UK residents to enter care professions.</w:t>
      </w:r>
    </w:p>
    <w:p w14:paraId="7EF7F54C" w14:textId="77777777" w:rsidR="00EF1258" w:rsidRPr="00EF1258" w:rsidRDefault="00EF1258" w:rsidP="00EF1258">
      <w:pPr>
        <w:spacing w:line="360" w:lineRule="auto"/>
        <w:jc w:val="both"/>
        <w:rPr>
          <w:rFonts w:ascii="Arial" w:hAnsi="Arial" w:cs="Arial"/>
          <w:sz w:val="22"/>
        </w:rPr>
      </w:pPr>
      <w:r w:rsidRPr="00EF1258">
        <w:rPr>
          <w:rFonts w:ascii="Arial" w:hAnsi="Arial" w:cs="Arial"/>
          <w:sz w:val="22"/>
        </w:rPr>
        <w:t>Reducing dependency on GCCs would help create a more sustainable workforce and reduce the ethical tensions associated with global recruitment.</w:t>
      </w:r>
    </w:p>
    <w:p w14:paraId="098A5CB9" w14:textId="77777777" w:rsidR="00EF1258" w:rsidRPr="00EF1258" w:rsidRDefault="00EF1258" w:rsidP="00EF1258">
      <w:pPr>
        <w:spacing w:line="360" w:lineRule="auto"/>
        <w:jc w:val="both"/>
        <w:rPr>
          <w:rFonts w:ascii="Arial" w:hAnsi="Arial" w:cs="Arial"/>
          <w:b/>
          <w:bCs/>
          <w:sz w:val="22"/>
        </w:rPr>
      </w:pPr>
      <w:r w:rsidRPr="00EF1258">
        <w:rPr>
          <w:rFonts w:ascii="Arial" w:hAnsi="Arial" w:cs="Arial"/>
          <w:b/>
          <w:bCs/>
          <w:sz w:val="22"/>
        </w:rPr>
        <w:t>2. Improve Pay, Conditions and Career Progression in Social Care</w:t>
      </w:r>
    </w:p>
    <w:p w14:paraId="1C13DF47" w14:textId="77777777" w:rsidR="00EF1258" w:rsidRPr="00EF1258" w:rsidRDefault="00EF1258" w:rsidP="00EF1258">
      <w:pPr>
        <w:spacing w:line="360" w:lineRule="auto"/>
        <w:jc w:val="both"/>
        <w:rPr>
          <w:rFonts w:ascii="Arial" w:hAnsi="Arial" w:cs="Arial"/>
          <w:sz w:val="22"/>
        </w:rPr>
      </w:pPr>
      <w:r w:rsidRPr="00EF1258">
        <w:rPr>
          <w:rFonts w:ascii="Arial" w:hAnsi="Arial" w:cs="Arial"/>
          <w:sz w:val="22"/>
        </w:rPr>
        <w:t>Low pay and limited career progression are major drivers of workforce shortages. To support person</w:t>
      </w:r>
      <w:r w:rsidRPr="00EF1258">
        <w:rPr>
          <w:rFonts w:ascii="Arial" w:hAnsi="Arial" w:cs="Arial"/>
          <w:sz w:val="22"/>
        </w:rPr>
        <w:noBreakHyphen/>
        <w:t>centred care, the UK should:</w:t>
      </w:r>
    </w:p>
    <w:p w14:paraId="416977DE" w14:textId="77777777" w:rsidR="00EF1258" w:rsidRPr="00EF1258" w:rsidRDefault="00EF1258" w:rsidP="00EF1258">
      <w:pPr>
        <w:numPr>
          <w:ilvl w:val="0"/>
          <w:numId w:val="9"/>
        </w:numPr>
        <w:spacing w:line="360" w:lineRule="auto"/>
        <w:jc w:val="both"/>
        <w:rPr>
          <w:rFonts w:ascii="Arial" w:hAnsi="Arial" w:cs="Arial"/>
          <w:sz w:val="22"/>
        </w:rPr>
      </w:pPr>
      <w:r w:rsidRPr="00EF1258">
        <w:rPr>
          <w:rFonts w:ascii="Arial" w:hAnsi="Arial" w:cs="Arial"/>
          <w:sz w:val="22"/>
        </w:rPr>
        <w:t>Introduce a national care wage above the National Living Wage.</w:t>
      </w:r>
    </w:p>
    <w:p w14:paraId="062847A9" w14:textId="77777777" w:rsidR="00EF1258" w:rsidRPr="00EF1258" w:rsidRDefault="00EF1258" w:rsidP="00EF1258">
      <w:pPr>
        <w:numPr>
          <w:ilvl w:val="0"/>
          <w:numId w:val="9"/>
        </w:numPr>
        <w:spacing w:line="360" w:lineRule="auto"/>
        <w:jc w:val="both"/>
        <w:rPr>
          <w:rFonts w:ascii="Arial" w:hAnsi="Arial" w:cs="Arial"/>
          <w:sz w:val="22"/>
        </w:rPr>
      </w:pPr>
      <w:r w:rsidRPr="00EF1258">
        <w:rPr>
          <w:rFonts w:ascii="Arial" w:hAnsi="Arial" w:cs="Arial"/>
          <w:sz w:val="22"/>
        </w:rPr>
        <w:t>Ensure guaranteed hours and reduce zero</w:t>
      </w:r>
      <w:r w:rsidRPr="00EF1258">
        <w:rPr>
          <w:rFonts w:ascii="Arial" w:hAnsi="Arial" w:cs="Arial"/>
          <w:sz w:val="22"/>
        </w:rPr>
        <w:noBreakHyphen/>
        <w:t>hour contracts.</w:t>
      </w:r>
    </w:p>
    <w:p w14:paraId="5251C0DC" w14:textId="77777777" w:rsidR="00EF1258" w:rsidRPr="00EF1258" w:rsidRDefault="00EF1258" w:rsidP="00EF1258">
      <w:pPr>
        <w:numPr>
          <w:ilvl w:val="0"/>
          <w:numId w:val="9"/>
        </w:numPr>
        <w:spacing w:line="360" w:lineRule="auto"/>
        <w:jc w:val="both"/>
        <w:rPr>
          <w:rFonts w:ascii="Arial" w:hAnsi="Arial" w:cs="Arial"/>
          <w:sz w:val="22"/>
        </w:rPr>
      </w:pPr>
      <w:r w:rsidRPr="00EF1258">
        <w:rPr>
          <w:rFonts w:ascii="Arial" w:hAnsi="Arial" w:cs="Arial"/>
          <w:sz w:val="22"/>
        </w:rPr>
        <w:t>Provide funded training and clear career pathways into nursing and allied health roles.</w:t>
      </w:r>
    </w:p>
    <w:p w14:paraId="2560A70B" w14:textId="77777777" w:rsidR="00EF1258" w:rsidRPr="00EF1258" w:rsidRDefault="00EF1258" w:rsidP="00EF1258">
      <w:pPr>
        <w:spacing w:line="360" w:lineRule="auto"/>
        <w:jc w:val="both"/>
        <w:rPr>
          <w:rFonts w:ascii="Arial" w:hAnsi="Arial" w:cs="Arial"/>
          <w:sz w:val="22"/>
        </w:rPr>
      </w:pPr>
      <w:r w:rsidRPr="00EF1258">
        <w:rPr>
          <w:rFonts w:ascii="Arial" w:hAnsi="Arial" w:cs="Arial"/>
          <w:sz w:val="22"/>
        </w:rPr>
        <w:t>Improving conditions would reduce turnover and reliance on migrant labour, while supporting the wellbeing of both workers and service users.</w:t>
      </w:r>
    </w:p>
    <w:p w14:paraId="07F512C9" w14:textId="77777777" w:rsidR="00EF1258" w:rsidRPr="00EF1258" w:rsidRDefault="00EF1258" w:rsidP="00EF1258">
      <w:pPr>
        <w:spacing w:line="360" w:lineRule="auto"/>
        <w:jc w:val="both"/>
        <w:rPr>
          <w:rFonts w:ascii="Arial" w:hAnsi="Arial" w:cs="Arial"/>
          <w:b/>
          <w:bCs/>
          <w:sz w:val="22"/>
        </w:rPr>
      </w:pPr>
      <w:r w:rsidRPr="00EF1258">
        <w:rPr>
          <w:rFonts w:ascii="Arial" w:hAnsi="Arial" w:cs="Arial"/>
          <w:b/>
          <w:bCs/>
          <w:sz w:val="22"/>
        </w:rPr>
        <w:t>3. Reform Immigration Policy to Protect Migrant Workers</w:t>
      </w:r>
    </w:p>
    <w:p w14:paraId="5FDE6EED" w14:textId="77777777" w:rsidR="00EF1258" w:rsidRPr="00EF1258" w:rsidRDefault="00EF1258" w:rsidP="00EF1258">
      <w:pPr>
        <w:spacing w:line="360" w:lineRule="auto"/>
        <w:jc w:val="both"/>
        <w:rPr>
          <w:rFonts w:ascii="Arial" w:hAnsi="Arial" w:cs="Arial"/>
          <w:sz w:val="22"/>
        </w:rPr>
      </w:pPr>
      <w:r w:rsidRPr="00EF1258">
        <w:rPr>
          <w:rFonts w:ascii="Arial" w:hAnsi="Arial" w:cs="Arial"/>
          <w:sz w:val="22"/>
        </w:rPr>
        <w:t>While migrant workers remain essential to the UK care system, immigration policy must ensure their rights and wellbeing. Recommended reforms include:</w:t>
      </w:r>
    </w:p>
    <w:p w14:paraId="735265FE" w14:textId="77777777" w:rsidR="00EF1258" w:rsidRPr="00EF1258" w:rsidRDefault="00EF1258" w:rsidP="00EF1258">
      <w:pPr>
        <w:numPr>
          <w:ilvl w:val="0"/>
          <w:numId w:val="10"/>
        </w:numPr>
        <w:spacing w:line="360" w:lineRule="auto"/>
        <w:jc w:val="both"/>
        <w:rPr>
          <w:rFonts w:ascii="Arial" w:hAnsi="Arial" w:cs="Arial"/>
          <w:sz w:val="22"/>
        </w:rPr>
      </w:pPr>
      <w:r w:rsidRPr="00EF1258">
        <w:rPr>
          <w:rFonts w:ascii="Arial" w:hAnsi="Arial" w:cs="Arial"/>
          <w:sz w:val="22"/>
        </w:rPr>
        <w:t>Allowing greater flexibility for workers to change employers without risking visa status.</w:t>
      </w:r>
    </w:p>
    <w:p w14:paraId="3B1FB0B1" w14:textId="77777777" w:rsidR="00EF1258" w:rsidRPr="00EF1258" w:rsidRDefault="00EF1258" w:rsidP="00EF1258">
      <w:pPr>
        <w:numPr>
          <w:ilvl w:val="0"/>
          <w:numId w:val="10"/>
        </w:numPr>
        <w:spacing w:line="360" w:lineRule="auto"/>
        <w:jc w:val="both"/>
        <w:rPr>
          <w:rFonts w:ascii="Arial" w:hAnsi="Arial" w:cs="Arial"/>
          <w:sz w:val="22"/>
        </w:rPr>
      </w:pPr>
      <w:r w:rsidRPr="00EF1258">
        <w:rPr>
          <w:rFonts w:ascii="Arial" w:hAnsi="Arial" w:cs="Arial"/>
          <w:sz w:val="22"/>
        </w:rPr>
        <w:t>Strengthening enforcement against exploitative practices by care providers and recruitment agencies.</w:t>
      </w:r>
    </w:p>
    <w:p w14:paraId="49CA5409" w14:textId="77777777" w:rsidR="00EF1258" w:rsidRPr="00EF1258" w:rsidRDefault="00EF1258" w:rsidP="00EF1258">
      <w:pPr>
        <w:numPr>
          <w:ilvl w:val="0"/>
          <w:numId w:val="10"/>
        </w:numPr>
        <w:spacing w:line="360" w:lineRule="auto"/>
        <w:jc w:val="both"/>
        <w:rPr>
          <w:rFonts w:ascii="Arial" w:hAnsi="Arial" w:cs="Arial"/>
          <w:sz w:val="22"/>
        </w:rPr>
      </w:pPr>
      <w:r w:rsidRPr="00EF1258">
        <w:rPr>
          <w:rFonts w:ascii="Arial" w:hAnsi="Arial" w:cs="Arial"/>
          <w:sz w:val="22"/>
        </w:rPr>
        <w:t>Providing accessible information on rights, support services and reporting mechanisms.</w:t>
      </w:r>
    </w:p>
    <w:p w14:paraId="7206C006" w14:textId="77777777" w:rsidR="00EF1258" w:rsidRPr="00EF1258" w:rsidRDefault="00EF1258" w:rsidP="00EF1258">
      <w:pPr>
        <w:spacing w:line="360" w:lineRule="auto"/>
        <w:jc w:val="both"/>
        <w:rPr>
          <w:rFonts w:ascii="Arial" w:hAnsi="Arial" w:cs="Arial"/>
          <w:sz w:val="22"/>
        </w:rPr>
      </w:pPr>
      <w:r w:rsidRPr="00EF1258">
        <w:rPr>
          <w:rFonts w:ascii="Arial" w:hAnsi="Arial" w:cs="Arial"/>
          <w:sz w:val="22"/>
        </w:rPr>
        <w:lastRenderedPageBreak/>
        <w:t>These measures would reduce vulnerability and support migrant workers to deliver high</w:t>
      </w:r>
      <w:r w:rsidRPr="00EF1258">
        <w:rPr>
          <w:rFonts w:ascii="Arial" w:hAnsi="Arial" w:cs="Arial"/>
          <w:sz w:val="22"/>
        </w:rPr>
        <w:noBreakHyphen/>
        <w:t>quality, person</w:t>
      </w:r>
      <w:r w:rsidRPr="00EF1258">
        <w:rPr>
          <w:rFonts w:ascii="Arial" w:hAnsi="Arial" w:cs="Arial"/>
          <w:sz w:val="22"/>
        </w:rPr>
        <w:noBreakHyphen/>
        <w:t>centred care.</w:t>
      </w:r>
    </w:p>
    <w:p w14:paraId="08018F75" w14:textId="77777777" w:rsidR="00EF1258" w:rsidRPr="00EF1258" w:rsidRDefault="00EF1258" w:rsidP="00EF1258">
      <w:pPr>
        <w:spacing w:line="360" w:lineRule="auto"/>
        <w:jc w:val="both"/>
        <w:rPr>
          <w:rFonts w:ascii="Arial" w:hAnsi="Arial" w:cs="Arial"/>
          <w:b/>
          <w:bCs/>
          <w:sz w:val="22"/>
        </w:rPr>
      </w:pPr>
      <w:r w:rsidRPr="00EF1258">
        <w:rPr>
          <w:rFonts w:ascii="Arial" w:hAnsi="Arial" w:cs="Arial"/>
          <w:b/>
          <w:bCs/>
          <w:sz w:val="22"/>
        </w:rPr>
        <w:t>4. Invest in Workforce Wellbeing and Emotional Support</w:t>
      </w:r>
    </w:p>
    <w:p w14:paraId="3EE936EC" w14:textId="77777777" w:rsidR="00EF1258" w:rsidRPr="00EF1258" w:rsidRDefault="00EF1258" w:rsidP="00EF1258">
      <w:pPr>
        <w:spacing w:line="360" w:lineRule="auto"/>
        <w:jc w:val="both"/>
        <w:rPr>
          <w:rFonts w:ascii="Arial" w:hAnsi="Arial" w:cs="Arial"/>
          <w:sz w:val="22"/>
        </w:rPr>
      </w:pPr>
      <w:r w:rsidRPr="00EF1258">
        <w:rPr>
          <w:rFonts w:ascii="Arial" w:hAnsi="Arial" w:cs="Arial"/>
          <w:sz w:val="22"/>
        </w:rPr>
        <w:t>Given the emotional labour involved in care work, the UK should:</w:t>
      </w:r>
    </w:p>
    <w:p w14:paraId="13ECD726" w14:textId="77777777" w:rsidR="00EF1258" w:rsidRPr="00EF1258" w:rsidRDefault="00EF1258" w:rsidP="00EF1258">
      <w:pPr>
        <w:numPr>
          <w:ilvl w:val="0"/>
          <w:numId w:val="11"/>
        </w:numPr>
        <w:spacing w:line="360" w:lineRule="auto"/>
        <w:jc w:val="both"/>
        <w:rPr>
          <w:rFonts w:ascii="Arial" w:hAnsi="Arial" w:cs="Arial"/>
          <w:sz w:val="22"/>
        </w:rPr>
      </w:pPr>
      <w:r w:rsidRPr="00EF1258">
        <w:rPr>
          <w:rFonts w:ascii="Arial" w:hAnsi="Arial" w:cs="Arial"/>
          <w:sz w:val="22"/>
        </w:rPr>
        <w:t>Provide structured wellbeing programmes for all care workers.</w:t>
      </w:r>
    </w:p>
    <w:p w14:paraId="0006975D" w14:textId="77777777" w:rsidR="00EF1258" w:rsidRPr="00EF1258" w:rsidRDefault="00EF1258" w:rsidP="00EF1258">
      <w:pPr>
        <w:numPr>
          <w:ilvl w:val="0"/>
          <w:numId w:val="11"/>
        </w:numPr>
        <w:spacing w:line="360" w:lineRule="auto"/>
        <w:jc w:val="both"/>
        <w:rPr>
          <w:rFonts w:ascii="Arial" w:hAnsi="Arial" w:cs="Arial"/>
          <w:sz w:val="22"/>
        </w:rPr>
      </w:pPr>
      <w:r w:rsidRPr="00EF1258">
        <w:rPr>
          <w:rFonts w:ascii="Arial" w:hAnsi="Arial" w:cs="Arial"/>
          <w:sz w:val="22"/>
        </w:rPr>
        <w:t>Offer culturally sensitive support for migrant workers, including peer networks and counselling.</w:t>
      </w:r>
    </w:p>
    <w:p w14:paraId="17E97400" w14:textId="77777777" w:rsidR="00EF1258" w:rsidRPr="00EF1258" w:rsidRDefault="00EF1258" w:rsidP="00EF1258">
      <w:pPr>
        <w:numPr>
          <w:ilvl w:val="0"/>
          <w:numId w:val="11"/>
        </w:numPr>
        <w:spacing w:line="360" w:lineRule="auto"/>
        <w:jc w:val="both"/>
        <w:rPr>
          <w:rFonts w:ascii="Arial" w:hAnsi="Arial" w:cs="Arial"/>
          <w:sz w:val="22"/>
        </w:rPr>
      </w:pPr>
      <w:r w:rsidRPr="00EF1258">
        <w:rPr>
          <w:rFonts w:ascii="Arial" w:hAnsi="Arial" w:cs="Arial"/>
          <w:sz w:val="22"/>
        </w:rPr>
        <w:t>Ensure supervision models recognise emotional labour as part of professional practice.</w:t>
      </w:r>
    </w:p>
    <w:p w14:paraId="7213D3BA" w14:textId="77777777" w:rsidR="00EF1258" w:rsidRPr="00EF1258" w:rsidRDefault="00EF1258" w:rsidP="00EF1258">
      <w:pPr>
        <w:spacing w:line="360" w:lineRule="auto"/>
        <w:jc w:val="both"/>
        <w:rPr>
          <w:rFonts w:ascii="Arial" w:hAnsi="Arial" w:cs="Arial"/>
          <w:sz w:val="22"/>
        </w:rPr>
      </w:pPr>
      <w:r w:rsidRPr="00EF1258">
        <w:rPr>
          <w:rFonts w:ascii="Arial" w:hAnsi="Arial" w:cs="Arial"/>
          <w:sz w:val="22"/>
        </w:rPr>
        <w:t>Supporting emotional wellbeing enhances the relational foundations of person</w:t>
      </w:r>
      <w:r w:rsidRPr="00EF1258">
        <w:rPr>
          <w:rFonts w:ascii="Arial" w:hAnsi="Arial" w:cs="Arial"/>
          <w:sz w:val="22"/>
        </w:rPr>
        <w:noBreakHyphen/>
        <w:t>centred care.</w:t>
      </w:r>
    </w:p>
    <w:p w14:paraId="7DAE891C" w14:textId="77777777" w:rsidR="00EF1258" w:rsidRPr="00EF1258" w:rsidRDefault="00EF1258" w:rsidP="00EF1258">
      <w:pPr>
        <w:spacing w:line="360" w:lineRule="auto"/>
        <w:jc w:val="both"/>
        <w:rPr>
          <w:rFonts w:ascii="Arial" w:hAnsi="Arial" w:cs="Arial"/>
          <w:b/>
          <w:bCs/>
          <w:sz w:val="22"/>
        </w:rPr>
      </w:pPr>
      <w:r w:rsidRPr="00EF1258">
        <w:rPr>
          <w:rFonts w:ascii="Arial" w:hAnsi="Arial" w:cs="Arial"/>
          <w:b/>
          <w:bCs/>
          <w:sz w:val="22"/>
        </w:rPr>
        <w:t>5. Promote Cultural Competence and Anti</w:t>
      </w:r>
      <w:r w:rsidRPr="00EF1258">
        <w:rPr>
          <w:rFonts w:ascii="Arial" w:hAnsi="Arial" w:cs="Arial"/>
          <w:b/>
          <w:bCs/>
          <w:sz w:val="22"/>
        </w:rPr>
        <w:noBreakHyphen/>
        <w:t>Racist Practice</w:t>
      </w:r>
    </w:p>
    <w:p w14:paraId="2BCEFF9E" w14:textId="77777777" w:rsidR="00EF1258" w:rsidRPr="00EF1258" w:rsidRDefault="00EF1258" w:rsidP="00EF1258">
      <w:pPr>
        <w:spacing w:line="360" w:lineRule="auto"/>
        <w:jc w:val="both"/>
        <w:rPr>
          <w:rFonts w:ascii="Arial" w:hAnsi="Arial" w:cs="Arial"/>
          <w:sz w:val="22"/>
        </w:rPr>
      </w:pPr>
      <w:r w:rsidRPr="00EF1258">
        <w:rPr>
          <w:rFonts w:ascii="Arial" w:hAnsi="Arial" w:cs="Arial"/>
          <w:sz w:val="22"/>
        </w:rPr>
        <w:t>To address racialised inequalities within GCCs, care organisations should:</w:t>
      </w:r>
    </w:p>
    <w:p w14:paraId="3F312165" w14:textId="77777777" w:rsidR="00EF1258" w:rsidRPr="00EF1258" w:rsidRDefault="00EF1258" w:rsidP="00EF1258">
      <w:pPr>
        <w:numPr>
          <w:ilvl w:val="0"/>
          <w:numId w:val="12"/>
        </w:numPr>
        <w:spacing w:line="360" w:lineRule="auto"/>
        <w:jc w:val="both"/>
        <w:rPr>
          <w:rFonts w:ascii="Arial" w:hAnsi="Arial" w:cs="Arial"/>
          <w:sz w:val="22"/>
        </w:rPr>
      </w:pPr>
      <w:r w:rsidRPr="00EF1258">
        <w:rPr>
          <w:rFonts w:ascii="Arial" w:hAnsi="Arial" w:cs="Arial"/>
          <w:sz w:val="22"/>
        </w:rPr>
        <w:t>Provide mandatory training on cultural competence, anti</w:t>
      </w:r>
      <w:r w:rsidRPr="00EF1258">
        <w:rPr>
          <w:rFonts w:ascii="Arial" w:hAnsi="Arial" w:cs="Arial"/>
          <w:sz w:val="22"/>
        </w:rPr>
        <w:noBreakHyphen/>
        <w:t>racism and inclusive communication.</w:t>
      </w:r>
    </w:p>
    <w:p w14:paraId="5ADB0717" w14:textId="77777777" w:rsidR="00EF1258" w:rsidRPr="00EF1258" w:rsidRDefault="00EF1258" w:rsidP="00EF1258">
      <w:pPr>
        <w:numPr>
          <w:ilvl w:val="0"/>
          <w:numId w:val="12"/>
        </w:numPr>
        <w:spacing w:line="360" w:lineRule="auto"/>
        <w:jc w:val="both"/>
        <w:rPr>
          <w:rFonts w:ascii="Arial" w:hAnsi="Arial" w:cs="Arial"/>
          <w:sz w:val="22"/>
        </w:rPr>
      </w:pPr>
      <w:r w:rsidRPr="00EF1258">
        <w:rPr>
          <w:rFonts w:ascii="Arial" w:hAnsi="Arial" w:cs="Arial"/>
          <w:sz w:val="22"/>
        </w:rPr>
        <w:t>Implement policies to address discrimination and support diverse staff.</w:t>
      </w:r>
    </w:p>
    <w:p w14:paraId="1FABF0AC" w14:textId="77777777" w:rsidR="00EF1258" w:rsidRPr="00EF1258" w:rsidRDefault="00EF1258" w:rsidP="00EF1258">
      <w:pPr>
        <w:numPr>
          <w:ilvl w:val="0"/>
          <w:numId w:val="12"/>
        </w:numPr>
        <w:spacing w:line="360" w:lineRule="auto"/>
        <w:jc w:val="both"/>
        <w:rPr>
          <w:rFonts w:ascii="Arial" w:hAnsi="Arial" w:cs="Arial"/>
          <w:sz w:val="22"/>
        </w:rPr>
      </w:pPr>
      <w:r w:rsidRPr="00EF1258">
        <w:rPr>
          <w:rFonts w:ascii="Arial" w:hAnsi="Arial" w:cs="Arial"/>
          <w:sz w:val="22"/>
        </w:rPr>
        <w:t>Encourage leadership pathways for migrant and minority ethnic workers.</w:t>
      </w:r>
    </w:p>
    <w:p w14:paraId="223CBEDE" w14:textId="77777777" w:rsidR="00EF1258" w:rsidRPr="00EF1258" w:rsidRDefault="00EF1258" w:rsidP="00EF1258">
      <w:pPr>
        <w:spacing w:line="360" w:lineRule="auto"/>
        <w:jc w:val="both"/>
        <w:rPr>
          <w:rFonts w:ascii="Arial" w:hAnsi="Arial" w:cs="Arial"/>
          <w:sz w:val="22"/>
        </w:rPr>
      </w:pPr>
      <w:r w:rsidRPr="00EF1258">
        <w:rPr>
          <w:rFonts w:ascii="Arial" w:hAnsi="Arial" w:cs="Arial"/>
          <w:sz w:val="22"/>
        </w:rPr>
        <w:t>These measures would help create inclusive environments that support both staff and service users.</w:t>
      </w:r>
    </w:p>
    <w:p w14:paraId="0F730FF6" w14:textId="77777777" w:rsidR="00EF1258" w:rsidRPr="00EF1258" w:rsidRDefault="00EF1258" w:rsidP="00EF1258">
      <w:pPr>
        <w:spacing w:line="360" w:lineRule="auto"/>
        <w:jc w:val="both"/>
        <w:rPr>
          <w:rFonts w:ascii="Arial" w:hAnsi="Arial" w:cs="Arial"/>
          <w:b/>
          <w:bCs/>
          <w:sz w:val="22"/>
        </w:rPr>
      </w:pPr>
      <w:r w:rsidRPr="00EF1258">
        <w:rPr>
          <w:rFonts w:ascii="Arial" w:hAnsi="Arial" w:cs="Arial"/>
          <w:b/>
          <w:bCs/>
          <w:sz w:val="22"/>
        </w:rPr>
        <w:t>6. Strengthen International Partnerships and Global Responsibility</w:t>
      </w:r>
    </w:p>
    <w:p w14:paraId="4C380484" w14:textId="77777777" w:rsidR="00EF1258" w:rsidRPr="00EF1258" w:rsidRDefault="00EF1258" w:rsidP="00EF1258">
      <w:pPr>
        <w:spacing w:line="360" w:lineRule="auto"/>
        <w:jc w:val="both"/>
        <w:rPr>
          <w:rFonts w:ascii="Arial" w:hAnsi="Arial" w:cs="Arial"/>
          <w:sz w:val="22"/>
        </w:rPr>
      </w:pPr>
      <w:r w:rsidRPr="00EF1258">
        <w:rPr>
          <w:rFonts w:ascii="Arial" w:hAnsi="Arial" w:cs="Arial"/>
          <w:sz w:val="22"/>
        </w:rPr>
        <w:t>The UK should adopt a more globally responsible approach to care workforce planning by:</w:t>
      </w:r>
    </w:p>
    <w:p w14:paraId="1C1225FB" w14:textId="77777777" w:rsidR="00EF1258" w:rsidRPr="00EF1258" w:rsidRDefault="00EF1258" w:rsidP="00EF1258">
      <w:pPr>
        <w:numPr>
          <w:ilvl w:val="0"/>
          <w:numId w:val="13"/>
        </w:numPr>
        <w:spacing w:line="360" w:lineRule="auto"/>
        <w:jc w:val="both"/>
        <w:rPr>
          <w:rFonts w:ascii="Arial" w:hAnsi="Arial" w:cs="Arial"/>
          <w:sz w:val="22"/>
        </w:rPr>
      </w:pPr>
      <w:r w:rsidRPr="00EF1258">
        <w:rPr>
          <w:rFonts w:ascii="Arial" w:hAnsi="Arial" w:cs="Arial"/>
          <w:sz w:val="22"/>
        </w:rPr>
        <w:t>Supporting training programmes in sending countries.</w:t>
      </w:r>
    </w:p>
    <w:p w14:paraId="7F47C27B" w14:textId="77777777" w:rsidR="00EF1258" w:rsidRPr="00EF1258" w:rsidRDefault="00EF1258" w:rsidP="00EF1258">
      <w:pPr>
        <w:numPr>
          <w:ilvl w:val="0"/>
          <w:numId w:val="13"/>
        </w:numPr>
        <w:spacing w:line="360" w:lineRule="auto"/>
        <w:jc w:val="both"/>
        <w:rPr>
          <w:rFonts w:ascii="Arial" w:hAnsi="Arial" w:cs="Arial"/>
          <w:sz w:val="22"/>
        </w:rPr>
      </w:pPr>
      <w:r w:rsidRPr="00EF1258">
        <w:rPr>
          <w:rFonts w:ascii="Arial" w:hAnsi="Arial" w:cs="Arial"/>
          <w:sz w:val="22"/>
        </w:rPr>
        <w:t>Investing in bilateral agreements that ensure mutual benefit.</w:t>
      </w:r>
    </w:p>
    <w:p w14:paraId="7EFCE0A4" w14:textId="77777777" w:rsidR="00EF1258" w:rsidRPr="00EF1258" w:rsidRDefault="00EF1258" w:rsidP="00EF1258">
      <w:pPr>
        <w:numPr>
          <w:ilvl w:val="0"/>
          <w:numId w:val="13"/>
        </w:numPr>
        <w:spacing w:line="360" w:lineRule="auto"/>
        <w:jc w:val="both"/>
        <w:rPr>
          <w:rFonts w:ascii="Arial" w:hAnsi="Arial" w:cs="Arial"/>
          <w:sz w:val="22"/>
        </w:rPr>
      </w:pPr>
      <w:r w:rsidRPr="00EF1258">
        <w:rPr>
          <w:rFonts w:ascii="Arial" w:hAnsi="Arial" w:cs="Arial"/>
          <w:sz w:val="22"/>
        </w:rPr>
        <w:t>Contributing to global health workforce development initiatives.</w:t>
      </w:r>
    </w:p>
    <w:p w14:paraId="4642EC70" w14:textId="77777777" w:rsidR="00EF1258" w:rsidRPr="00EF1258" w:rsidRDefault="00EF1258" w:rsidP="00EF1258">
      <w:pPr>
        <w:spacing w:line="360" w:lineRule="auto"/>
        <w:jc w:val="both"/>
        <w:rPr>
          <w:rFonts w:ascii="Arial" w:hAnsi="Arial" w:cs="Arial"/>
          <w:sz w:val="22"/>
        </w:rPr>
      </w:pPr>
      <w:r w:rsidRPr="00EF1258">
        <w:rPr>
          <w:rFonts w:ascii="Arial" w:hAnsi="Arial" w:cs="Arial"/>
          <w:sz w:val="22"/>
        </w:rPr>
        <w:t>Such partnerships can mitigate the negative impacts of GCCs and promote global equity.</w:t>
      </w:r>
    </w:p>
    <w:p w14:paraId="3D877F41" w14:textId="77777777" w:rsidR="00EF1258" w:rsidRDefault="00EF1258" w:rsidP="00EF1258">
      <w:pPr>
        <w:spacing w:line="360" w:lineRule="auto"/>
        <w:jc w:val="both"/>
        <w:rPr>
          <w:rFonts w:ascii="Arial" w:hAnsi="Arial" w:cs="Arial"/>
          <w:b/>
          <w:bCs/>
          <w:sz w:val="22"/>
        </w:rPr>
      </w:pPr>
    </w:p>
    <w:p w14:paraId="65A388A8" w14:textId="77777777" w:rsidR="00EF1258" w:rsidRDefault="00EF1258" w:rsidP="00EF1258">
      <w:pPr>
        <w:spacing w:line="360" w:lineRule="auto"/>
        <w:jc w:val="both"/>
        <w:rPr>
          <w:rFonts w:ascii="Arial" w:hAnsi="Arial" w:cs="Arial"/>
          <w:b/>
          <w:bCs/>
          <w:sz w:val="22"/>
        </w:rPr>
      </w:pPr>
    </w:p>
    <w:p w14:paraId="1FB59B68" w14:textId="77777777" w:rsidR="00EF1258" w:rsidRDefault="00EF1258" w:rsidP="00EF1258">
      <w:pPr>
        <w:spacing w:line="360" w:lineRule="auto"/>
        <w:jc w:val="both"/>
        <w:rPr>
          <w:rFonts w:ascii="Arial" w:hAnsi="Arial" w:cs="Arial"/>
          <w:b/>
          <w:bCs/>
          <w:sz w:val="22"/>
        </w:rPr>
      </w:pPr>
    </w:p>
    <w:p w14:paraId="10755E15" w14:textId="4DBE7C5B" w:rsidR="00EF1258" w:rsidRPr="00EF1258" w:rsidRDefault="00EF1258" w:rsidP="00EF1258">
      <w:pPr>
        <w:spacing w:line="360" w:lineRule="auto"/>
        <w:jc w:val="both"/>
        <w:rPr>
          <w:rFonts w:ascii="Arial" w:hAnsi="Arial" w:cs="Arial"/>
          <w:b/>
          <w:bCs/>
          <w:sz w:val="22"/>
        </w:rPr>
      </w:pPr>
      <w:r w:rsidRPr="00EF1258">
        <w:rPr>
          <w:rFonts w:ascii="Arial" w:hAnsi="Arial" w:cs="Arial"/>
          <w:b/>
          <w:bCs/>
          <w:sz w:val="22"/>
        </w:rPr>
        <w:lastRenderedPageBreak/>
        <w:t>Conclusion</w:t>
      </w:r>
    </w:p>
    <w:p w14:paraId="01A6F37F" w14:textId="77777777" w:rsidR="00EF1258" w:rsidRPr="00EF1258" w:rsidRDefault="00EF1258" w:rsidP="00EF1258">
      <w:pPr>
        <w:spacing w:line="360" w:lineRule="auto"/>
        <w:jc w:val="both"/>
        <w:rPr>
          <w:rFonts w:ascii="Arial" w:hAnsi="Arial" w:cs="Arial"/>
          <w:sz w:val="22"/>
        </w:rPr>
      </w:pPr>
      <w:r w:rsidRPr="00EF1258">
        <w:rPr>
          <w:rFonts w:ascii="Arial" w:hAnsi="Arial" w:cs="Arial"/>
          <w:sz w:val="22"/>
        </w:rPr>
        <w:t>The Global Care Chain concept provides a powerful framework for understanding the organisation of care labour in the UK and its implications for person</w:t>
      </w:r>
      <w:r w:rsidRPr="00EF1258">
        <w:rPr>
          <w:rFonts w:ascii="Arial" w:hAnsi="Arial" w:cs="Arial"/>
          <w:sz w:val="22"/>
        </w:rPr>
        <w:noBreakHyphen/>
        <w:t>centred care. Emerging from feminist analyses of globalisation and social reproduction, GCC theory highlights how global inequalities shape the movement of care workers from lower</w:t>
      </w:r>
      <w:r w:rsidRPr="00EF1258">
        <w:rPr>
          <w:rFonts w:ascii="Arial" w:hAnsi="Arial" w:cs="Arial"/>
          <w:sz w:val="22"/>
        </w:rPr>
        <w:noBreakHyphen/>
        <w:t>income to higher</w:t>
      </w:r>
      <w:r w:rsidRPr="00EF1258">
        <w:rPr>
          <w:rFonts w:ascii="Arial" w:hAnsi="Arial" w:cs="Arial"/>
          <w:sz w:val="22"/>
        </w:rPr>
        <w:noBreakHyphen/>
        <w:t>income countries. Its development has incorporated intersectional, emotional and policy</w:t>
      </w:r>
      <w:r w:rsidRPr="00EF1258">
        <w:rPr>
          <w:rFonts w:ascii="Arial" w:hAnsi="Arial" w:cs="Arial"/>
          <w:sz w:val="22"/>
        </w:rPr>
        <w:noBreakHyphen/>
        <w:t>focused perspectives, making it highly relevant to contemporary UK health and social care.</w:t>
      </w:r>
    </w:p>
    <w:p w14:paraId="7CD7F486" w14:textId="77777777" w:rsidR="00EF1258" w:rsidRPr="00EF1258" w:rsidRDefault="00EF1258" w:rsidP="00EF1258">
      <w:pPr>
        <w:spacing w:line="360" w:lineRule="auto"/>
        <w:jc w:val="both"/>
        <w:rPr>
          <w:rFonts w:ascii="Arial" w:hAnsi="Arial" w:cs="Arial"/>
          <w:sz w:val="22"/>
        </w:rPr>
      </w:pPr>
      <w:r w:rsidRPr="00EF1258">
        <w:rPr>
          <w:rFonts w:ascii="Arial" w:hAnsi="Arial" w:cs="Arial"/>
          <w:sz w:val="22"/>
        </w:rPr>
        <w:t>The UK’s reliance on migrant labour reflects structural issues including workforce shortages, austerity, marketisation and restrictive immigration policies. While migrant workers make vital contributions to care quality, they often face precarious conditions, emotional strain and racialised inequalities. These challenges undermine the principles of person</w:t>
      </w:r>
      <w:r w:rsidRPr="00EF1258">
        <w:rPr>
          <w:rFonts w:ascii="Arial" w:hAnsi="Arial" w:cs="Arial"/>
          <w:sz w:val="22"/>
        </w:rPr>
        <w:noBreakHyphen/>
        <w:t>centred care, which depend on stable, supported and valued care relationships.</w:t>
      </w:r>
    </w:p>
    <w:p w14:paraId="03CCAB07" w14:textId="77777777" w:rsidR="00EF1258" w:rsidRPr="00EF1258" w:rsidRDefault="00EF1258" w:rsidP="00EF1258">
      <w:pPr>
        <w:spacing w:line="360" w:lineRule="auto"/>
        <w:jc w:val="both"/>
        <w:rPr>
          <w:rFonts w:ascii="Arial" w:hAnsi="Arial" w:cs="Arial"/>
          <w:sz w:val="22"/>
        </w:rPr>
      </w:pPr>
      <w:r w:rsidRPr="00EF1258">
        <w:rPr>
          <w:rFonts w:ascii="Arial" w:hAnsi="Arial" w:cs="Arial"/>
          <w:sz w:val="22"/>
        </w:rPr>
        <w:t>Applying GCC theory to UK policy and practice reveals both ethical tensions and opportunities for reform. Strengthening ethical recruitment, improving pay and conditions, reforming immigration policy, supporting worker wellbeing and promoting cultural competence are essential steps towards a more sustainable and equitable care system. Ultimately, addressing the structural drivers of GCCs is crucial for ensuring that person</w:t>
      </w:r>
      <w:r w:rsidRPr="00EF1258">
        <w:rPr>
          <w:rFonts w:ascii="Arial" w:hAnsi="Arial" w:cs="Arial"/>
          <w:sz w:val="22"/>
        </w:rPr>
        <w:noBreakHyphen/>
        <w:t>centred care is not only an aspiration but a reality for all service users and care workers.</w:t>
      </w:r>
    </w:p>
    <w:p w14:paraId="3F1FD9A8" w14:textId="7D6DD487" w:rsidR="004A5A64" w:rsidRDefault="004A5A64" w:rsidP="00EF1258">
      <w:pPr>
        <w:spacing w:line="360" w:lineRule="auto"/>
        <w:rPr>
          <w:rFonts w:ascii="Arial" w:hAnsi="Arial" w:cs="Arial"/>
          <w:color w:val="00B0F0"/>
          <w:sz w:val="23"/>
          <w:szCs w:val="23"/>
        </w:rPr>
      </w:pPr>
    </w:p>
    <w:p w14:paraId="48F90274" w14:textId="77777777" w:rsidR="00EF1258" w:rsidRDefault="00EF1258" w:rsidP="00EF1258">
      <w:pPr>
        <w:spacing w:line="360" w:lineRule="auto"/>
        <w:rPr>
          <w:rFonts w:ascii="Arial" w:hAnsi="Arial" w:cs="Arial"/>
          <w:color w:val="00B0F0"/>
          <w:sz w:val="23"/>
          <w:szCs w:val="23"/>
        </w:rPr>
      </w:pPr>
    </w:p>
    <w:p w14:paraId="128D689E" w14:textId="77777777" w:rsidR="00EF1258" w:rsidRDefault="00EF1258" w:rsidP="00EF1258">
      <w:pPr>
        <w:spacing w:line="360" w:lineRule="auto"/>
        <w:rPr>
          <w:rFonts w:ascii="Arial" w:hAnsi="Arial" w:cs="Arial"/>
          <w:color w:val="00B0F0"/>
          <w:sz w:val="23"/>
          <w:szCs w:val="23"/>
        </w:rPr>
      </w:pPr>
    </w:p>
    <w:p w14:paraId="6C4BACDB" w14:textId="77777777" w:rsidR="00EF1258" w:rsidRDefault="00EF1258" w:rsidP="00EF1258">
      <w:pPr>
        <w:spacing w:line="360" w:lineRule="auto"/>
        <w:rPr>
          <w:rFonts w:ascii="Arial" w:hAnsi="Arial" w:cs="Arial"/>
          <w:color w:val="00B0F0"/>
          <w:sz w:val="23"/>
          <w:szCs w:val="23"/>
        </w:rPr>
      </w:pPr>
    </w:p>
    <w:p w14:paraId="7E4FA535" w14:textId="77777777" w:rsidR="00EF1258" w:rsidRDefault="00EF1258" w:rsidP="00EF1258">
      <w:pPr>
        <w:spacing w:line="360" w:lineRule="auto"/>
        <w:rPr>
          <w:rFonts w:ascii="Arial" w:hAnsi="Arial" w:cs="Arial"/>
          <w:color w:val="00B0F0"/>
          <w:sz w:val="23"/>
          <w:szCs w:val="23"/>
        </w:rPr>
      </w:pPr>
    </w:p>
    <w:p w14:paraId="226C0DBB" w14:textId="77777777" w:rsidR="00EF1258" w:rsidRDefault="00EF1258" w:rsidP="00EF1258">
      <w:pPr>
        <w:spacing w:line="360" w:lineRule="auto"/>
        <w:rPr>
          <w:rFonts w:ascii="Arial" w:hAnsi="Arial" w:cs="Arial"/>
          <w:color w:val="00B0F0"/>
          <w:sz w:val="23"/>
          <w:szCs w:val="23"/>
        </w:rPr>
      </w:pPr>
    </w:p>
    <w:p w14:paraId="08D1DE03" w14:textId="77777777" w:rsidR="00EF1258" w:rsidRDefault="00EF1258" w:rsidP="00EF1258">
      <w:pPr>
        <w:spacing w:line="360" w:lineRule="auto"/>
        <w:rPr>
          <w:rFonts w:ascii="Arial" w:hAnsi="Arial" w:cs="Arial"/>
          <w:color w:val="00B0F0"/>
          <w:sz w:val="23"/>
          <w:szCs w:val="23"/>
        </w:rPr>
      </w:pPr>
    </w:p>
    <w:p w14:paraId="620F8A49" w14:textId="77777777" w:rsidR="00EF1258" w:rsidRDefault="00EF1258" w:rsidP="00EF1258">
      <w:pPr>
        <w:spacing w:line="360" w:lineRule="auto"/>
        <w:rPr>
          <w:rFonts w:ascii="Arial" w:hAnsi="Arial" w:cs="Arial"/>
          <w:color w:val="00B0F0"/>
          <w:sz w:val="23"/>
          <w:szCs w:val="23"/>
        </w:rPr>
      </w:pPr>
    </w:p>
    <w:p w14:paraId="6B45AF42" w14:textId="77777777" w:rsidR="00EF1258" w:rsidRDefault="00EF1258" w:rsidP="00EF1258">
      <w:pPr>
        <w:spacing w:line="360" w:lineRule="auto"/>
        <w:rPr>
          <w:rFonts w:ascii="Arial" w:hAnsi="Arial" w:cs="Arial"/>
          <w:color w:val="00B0F0"/>
          <w:sz w:val="23"/>
          <w:szCs w:val="23"/>
        </w:rPr>
      </w:pPr>
    </w:p>
    <w:p w14:paraId="149637ED" w14:textId="77777777" w:rsidR="00EF1258" w:rsidRDefault="00EF1258" w:rsidP="00EF1258">
      <w:pPr>
        <w:spacing w:line="360" w:lineRule="auto"/>
        <w:rPr>
          <w:rFonts w:ascii="Arial" w:hAnsi="Arial" w:cs="Arial"/>
          <w:color w:val="00B0F0"/>
          <w:sz w:val="23"/>
          <w:szCs w:val="23"/>
        </w:rPr>
      </w:pPr>
    </w:p>
    <w:p w14:paraId="407C1F1F" w14:textId="77777777" w:rsidR="00EF1258" w:rsidRDefault="00EF1258" w:rsidP="00EF1258">
      <w:pPr>
        <w:spacing w:line="360" w:lineRule="auto"/>
        <w:rPr>
          <w:rFonts w:ascii="Arial" w:hAnsi="Arial" w:cs="Arial"/>
          <w:color w:val="00B0F0"/>
          <w:sz w:val="23"/>
          <w:szCs w:val="23"/>
        </w:rPr>
      </w:pPr>
    </w:p>
    <w:p w14:paraId="52CA3337" w14:textId="77777777" w:rsidR="00EF1258" w:rsidRDefault="00EF1258" w:rsidP="00EF1258">
      <w:pPr>
        <w:spacing w:line="360" w:lineRule="auto"/>
        <w:rPr>
          <w:rFonts w:ascii="Arial" w:hAnsi="Arial" w:cs="Arial"/>
          <w:color w:val="00B0F0"/>
          <w:sz w:val="23"/>
          <w:szCs w:val="23"/>
        </w:rPr>
      </w:pPr>
    </w:p>
    <w:p w14:paraId="059E05DD" w14:textId="77777777" w:rsidR="00EF1258" w:rsidRDefault="00EF1258" w:rsidP="00EF1258">
      <w:pPr>
        <w:spacing w:line="360" w:lineRule="auto"/>
        <w:rPr>
          <w:rFonts w:ascii="Arial" w:hAnsi="Arial" w:cs="Arial"/>
          <w:sz w:val="23"/>
          <w:szCs w:val="23"/>
        </w:rPr>
      </w:pPr>
      <w:r>
        <w:rPr>
          <w:rFonts w:ascii="Arial" w:hAnsi="Arial" w:cs="Arial"/>
          <w:sz w:val="23"/>
          <w:szCs w:val="23"/>
        </w:rPr>
        <w:lastRenderedPageBreak/>
        <w:t xml:space="preserve">REFRENCSE </w:t>
      </w:r>
    </w:p>
    <w:p w14:paraId="7C619447" w14:textId="65624280" w:rsidR="00EF1258" w:rsidRPr="00EF1258" w:rsidRDefault="00EF1258" w:rsidP="00EF1258">
      <w:pPr>
        <w:spacing w:line="360" w:lineRule="auto"/>
        <w:rPr>
          <w:rFonts w:ascii="Arial" w:hAnsi="Arial" w:cs="Arial"/>
          <w:sz w:val="23"/>
          <w:szCs w:val="23"/>
        </w:rPr>
      </w:pPr>
      <w:r w:rsidRPr="00EF1258">
        <w:rPr>
          <w:rFonts w:ascii="Arial" w:hAnsi="Arial" w:cs="Arial"/>
          <w:sz w:val="23"/>
          <w:szCs w:val="23"/>
        </w:rPr>
        <w:t xml:space="preserve">Anderson, B. (2000) </w:t>
      </w:r>
      <w:r w:rsidRPr="00EF1258">
        <w:rPr>
          <w:rFonts w:ascii="Arial" w:hAnsi="Arial" w:cs="Arial"/>
          <w:i/>
          <w:iCs/>
          <w:sz w:val="23"/>
          <w:szCs w:val="23"/>
        </w:rPr>
        <w:t>Doing the Dirty Work? The Global Politics of Domestic Labour</w:t>
      </w:r>
      <w:r w:rsidRPr="00EF1258">
        <w:rPr>
          <w:rFonts w:ascii="Arial" w:hAnsi="Arial" w:cs="Arial"/>
          <w:sz w:val="23"/>
          <w:szCs w:val="23"/>
        </w:rPr>
        <w:t>. London: Zed Books.</w:t>
      </w:r>
    </w:p>
    <w:p w14:paraId="4682502B" w14:textId="77777777" w:rsidR="00EF1258" w:rsidRPr="00EF1258" w:rsidRDefault="00EF1258" w:rsidP="00EF1258">
      <w:pPr>
        <w:spacing w:line="360" w:lineRule="auto"/>
        <w:rPr>
          <w:rFonts w:ascii="Arial" w:hAnsi="Arial" w:cs="Arial"/>
          <w:sz w:val="23"/>
          <w:szCs w:val="23"/>
        </w:rPr>
      </w:pPr>
      <w:r w:rsidRPr="00EF1258">
        <w:rPr>
          <w:rFonts w:ascii="Arial" w:hAnsi="Arial" w:cs="Arial"/>
          <w:sz w:val="23"/>
          <w:szCs w:val="23"/>
        </w:rPr>
        <w:t>Bach, S. (2010) ‘Achieving a self</w:t>
      </w:r>
      <w:r w:rsidRPr="00EF1258">
        <w:rPr>
          <w:rFonts w:ascii="Arial" w:hAnsi="Arial" w:cs="Arial"/>
          <w:sz w:val="23"/>
          <w:szCs w:val="23"/>
        </w:rPr>
        <w:noBreakHyphen/>
        <w:t xml:space="preserve">sufficient workforce? The utilisation of migrant labour in healthcare’, </w:t>
      </w:r>
      <w:r w:rsidRPr="00EF1258">
        <w:rPr>
          <w:rFonts w:ascii="Arial" w:hAnsi="Arial" w:cs="Arial"/>
          <w:i/>
          <w:iCs/>
          <w:sz w:val="23"/>
          <w:szCs w:val="23"/>
        </w:rPr>
        <w:t>Social Policy &amp; Administration</w:t>
      </w:r>
      <w:r w:rsidRPr="00EF1258">
        <w:rPr>
          <w:rFonts w:ascii="Arial" w:hAnsi="Arial" w:cs="Arial"/>
          <w:sz w:val="23"/>
          <w:szCs w:val="23"/>
        </w:rPr>
        <w:t>, 44(4), pp. 411–426.</w:t>
      </w:r>
    </w:p>
    <w:p w14:paraId="104A5C83" w14:textId="77777777" w:rsidR="00EF1258" w:rsidRPr="00EF1258" w:rsidRDefault="00EF1258" w:rsidP="00EF1258">
      <w:pPr>
        <w:spacing w:line="360" w:lineRule="auto"/>
        <w:rPr>
          <w:rFonts w:ascii="Arial" w:hAnsi="Arial" w:cs="Arial"/>
          <w:sz w:val="23"/>
          <w:szCs w:val="23"/>
        </w:rPr>
      </w:pPr>
      <w:r w:rsidRPr="00EF1258">
        <w:rPr>
          <w:rFonts w:ascii="Arial" w:hAnsi="Arial" w:cs="Arial"/>
          <w:sz w:val="23"/>
          <w:szCs w:val="23"/>
        </w:rPr>
        <w:t xml:space="preserve">Bach, S. (2015) ‘International mobility of health professionals: brain drain or brain exchange?’, in Wismar, M. et al. (eds.) </w:t>
      </w:r>
      <w:r w:rsidRPr="00EF1258">
        <w:rPr>
          <w:rFonts w:ascii="Arial" w:hAnsi="Arial" w:cs="Arial"/>
          <w:i/>
          <w:iCs/>
          <w:sz w:val="23"/>
          <w:szCs w:val="23"/>
        </w:rPr>
        <w:t>Health Professional Mobility in a Changing Europe</w:t>
      </w:r>
      <w:r w:rsidRPr="00EF1258">
        <w:rPr>
          <w:rFonts w:ascii="Arial" w:hAnsi="Arial" w:cs="Arial"/>
          <w:sz w:val="23"/>
          <w:szCs w:val="23"/>
        </w:rPr>
        <w:t>. Copenhagen: WHO Regional Office for Europe.</w:t>
      </w:r>
    </w:p>
    <w:p w14:paraId="0FCBCDBB" w14:textId="77777777" w:rsidR="00EF1258" w:rsidRPr="00EF1258" w:rsidRDefault="00EF1258" w:rsidP="00EF1258">
      <w:pPr>
        <w:spacing w:line="360" w:lineRule="auto"/>
        <w:rPr>
          <w:rFonts w:ascii="Arial" w:hAnsi="Arial" w:cs="Arial"/>
          <w:sz w:val="23"/>
          <w:szCs w:val="23"/>
        </w:rPr>
      </w:pPr>
      <w:r w:rsidRPr="00EF1258">
        <w:rPr>
          <w:rFonts w:ascii="Arial" w:hAnsi="Arial" w:cs="Arial"/>
          <w:sz w:val="23"/>
          <w:szCs w:val="23"/>
        </w:rPr>
        <w:t xml:space="preserve">Department of Health and Social Care (2023) </w:t>
      </w:r>
      <w:r w:rsidRPr="00EF1258">
        <w:rPr>
          <w:rFonts w:ascii="Arial" w:hAnsi="Arial" w:cs="Arial"/>
          <w:i/>
          <w:iCs/>
          <w:sz w:val="23"/>
          <w:szCs w:val="23"/>
        </w:rPr>
        <w:t>Code of Practice for the International Recruitment of Health and Social Care Personnel in England</w:t>
      </w:r>
      <w:r w:rsidRPr="00EF1258">
        <w:rPr>
          <w:rFonts w:ascii="Arial" w:hAnsi="Arial" w:cs="Arial"/>
          <w:sz w:val="23"/>
          <w:szCs w:val="23"/>
        </w:rPr>
        <w:t>. London: DHSC.</w:t>
      </w:r>
    </w:p>
    <w:p w14:paraId="18A044FF" w14:textId="77777777" w:rsidR="00EF1258" w:rsidRPr="00EF1258" w:rsidRDefault="00EF1258" w:rsidP="00EF1258">
      <w:pPr>
        <w:spacing w:line="360" w:lineRule="auto"/>
        <w:rPr>
          <w:rFonts w:ascii="Arial" w:hAnsi="Arial" w:cs="Arial"/>
          <w:sz w:val="23"/>
          <w:szCs w:val="23"/>
        </w:rPr>
      </w:pPr>
      <w:r w:rsidRPr="00EF1258">
        <w:rPr>
          <w:rFonts w:ascii="Arial" w:hAnsi="Arial" w:cs="Arial"/>
          <w:sz w:val="23"/>
          <w:szCs w:val="23"/>
        </w:rPr>
        <w:t xml:space="preserve">Hochschild, A. R. (2000) ‘Global care chains and emotional surplus value’, in Hutton, W. and Giddens, A. (eds.) </w:t>
      </w:r>
      <w:r w:rsidRPr="00EF1258">
        <w:rPr>
          <w:rFonts w:ascii="Arial" w:hAnsi="Arial" w:cs="Arial"/>
          <w:i/>
          <w:iCs/>
          <w:sz w:val="23"/>
          <w:szCs w:val="23"/>
        </w:rPr>
        <w:t>On the Edge: Living with Global Capitalism</w:t>
      </w:r>
      <w:r w:rsidRPr="00EF1258">
        <w:rPr>
          <w:rFonts w:ascii="Arial" w:hAnsi="Arial" w:cs="Arial"/>
          <w:sz w:val="23"/>
          <w:szCs w:val="23"/>
        </w:rPr>
        <w:t>. London: Jonathan Cape, pp. 130–146.</w:t>
      </w:r>
    </w:p>
    <w:p w14:paraId="578397BE" w14:textId="77777777" w:rsidR="00EF1258" w:rsidRPr="00EF1258" w:rsidRDefault="00EF1258" w:rsidP="00EF1258">
      <w:pPr>
        <w:spacing w:line="360" w:lineRule="auto"/>
        <w:rPr>
          <w:rFonts w:ascii="Arial" w:hAnsi="Arial" w:cs="Arial"/>
          <w:sz w:val="23"/>
          <w:szCs w:val="23"/>
        </w:rPr>
      </w:pPr>
      <w:r w:rsidRPr="00EF1258">
        <w:rPr>
          <w:rFonts w:ascii="Arial" w:hAnsi="Arial" w:cs="Arial"/>
          <w:sz w:val="23"/>
          <w:szCs w:val="23"/>
        </w:rPr>
        <w:t xml:space="preserve">Hussein, S. (2022) </w:t>
      </w:r>
      <w:r w:rsidRPr="00EF1258">
        <w:rPr>
          <w:rFonts w:ascii="Arial" w:hAnsi="Arial" w:cs="Arial"/>
          <w:i/>
          <w:iCs/>
          <w:sz w:val="23"/>
          <w:szCs w:val="23"/>
        </w:rPr>
        <w:t>Migrant Workers in Long</w:t>
      </w:r>
      <w:r w:rsidRPr="00EF1258">
        <w:rPr>
          <w:rFonts w:ascii="Arial" w:hAnsi="Arial" w:cs="Arial"/>
          <w:i/>
          <w:iCs/>
          <w:sz w:val="23"/>
          <w:szCs w:val="23"/>
        </w:rPr>
        <w:noBreakHyphen/>
        <w:t>Term Care: Evidence and Policy Implications</w:t>
      </w:r>
      <w:r w:rsidRPr="00EF1258">
        <w:rPr>
          <w:rFonts w:ascii="Arial" w:hAnsi="Arial" w:cs="Arial"/>
          <w:sz w:val="23"/>
          <w:szCs w:val="23"/>
        </w:rPr>
        <w:t>. London: NIHR Policy Research Unit in Health and Social Care Workforce.</w:t>
      </w:r>
    </w:p>
    <w:p w14:paraId="6E613B32" w14:textId="77777777" w:rsidR="00EF1258" w:rsidRPr="00EF1258" w:rsidRDefault="00EF1258" w:rsidP="00EF1258">
      <w:pPr>
        <w:spacing w:line="360" w:lineRule="auto"/>
        <w:rPr>
          <w:rFonts w:ascii="Arial" w:hAnsi="Arial" w:cs="Arial"/>
          <w:sz w:val="23"/>
          <w:szCs w:val="23"/>
        </w:rPr>
      </w:pPr>
      <w:r w:rsidRPr="00EF1258">
        <w:rPr>
          <w:rFonts w:ascii="Arial" w:hAnsi="Arial" w:cs="Arial"/>
          <w:sz w:val="23"/>
          <w:szCs w:val="23"/>
        </w:rPr>
        <w:t xml:space="preserve">Hussein, S. and Manthorpe, J. (2014) ‘Migrants’ experiences of care work in the UK: emotional labour and the politics of care’, </w:t>
      </w:r>
      <w:r w:rsidRPr="00EF1258">
        <w:rPr>
          <w:rFonts w:ascii="Arial" w:hAnsi="Arial" w:cs="Arial"/>
          <w:i/>
          <w:iCs/>
          <w:sz w:val="23"/>
          <w:szCs w:val="23"/>
        </w:rPr>
        <w:t>International Journal of Care and Caring</w:t>
      </w:r>
      <w:r w:rsidRPr="00EF1258">
        <w:rPr>
          <w:rFonts w:ascii="Arial" w:hAnsi="Arial" w:cs="Arial"/>
          <w:sz w:val="23"/>
          <w:szCs w:val="23"/>
        </w:rPr>
        <w:t>, 1(1), pp. 77–94.</w:t>
      </w:r>
    </w:p>
    <w:p w14:paraId="2328F1F0" w14:textId="77777777" w:rsidR="00EF1258" w:rsidRPr="00EF1258" w:rsidRDefault="00EF1258" w:rsidP="00EF1258">
      <w:pPr>
        <w:spacing w:line="360" w:lineRule="auto"/>
        <w:rPr>
          <w:rFonts w:ascii="Arial" w:hAnsi="Arial" w:cs="Arial"/>
          <w:sz w:val="23"/>
          <w:szCs w:val="23"/>
        </w:rPr>
      </w:pPr>
      <w:r w:rsidRPr="00EF1258">
        <w:rPr>
          <w:rFonts w:ascii="Arial" w:hAnsi="Arial" w:cs="Arial"/>
          <w:sz w:val="23"/>
          <w:szCs w:val="23"/>
        </w:rPr>
        <w:t xml:space="preserve">Kilkey, M. (2010) ‘Domestic work and transnational care chains in the UK’, </w:t>
      </w:r>
      <w:r w:rsidRPr="00EF1258">
        <w:rPr>
          <w:rFonts w:ascii="Arial" w:hAnsi="Arial" w:cs="Arial"/>
          <w:i/>
          <w:iCs/>
          <w:sz w:val="23"/>
          <w:szCs w:val="23"/>
        </w:rPr>
        <w:t>Journal of Social Policy</w:t>
      </w:r>
      <w:r w:rsidRPr="00EF1258">
        <w:rPr>
          <w:rFonts w:ascii="Arial" w:hAnsi="Arial" w:cs="Arial"/>
          <w:sz w:val="23"/>
          <w:szCs w:val="23"/>
        </w:rPr>
        <w:t>, 39(3), pp. 379–397.</w:t>
      </w:r>
    </w:p>
    <w:p w14:paraId="74D658EE" w14:textId="77777777" w:rsidR="00EF1258" w:rsidRPr="00EF1258" w:rsidRDefault="00EF1258" w:rsidP="00EF1258">
      <w:pPr>
        <w:spacing w:line="360" w:lineRule="auto"/>
        <w:rPr>
          <w:rFonts w:ascii="Arial" w:hAnsi="Arial" w:cs="Arial"/>
          <w:sz w:val="23"/>
          <w:szCs w:val="23"/>
        </w:rPr>
      </w:pPr>
      <w:r w:rsidRPr="00EF1258">
        <w:rPr>
          <w:rFonts w:ascii="Arial" w:hAnsi="Arial" w:cs="Arial"/>
          <w:sz w:val="23"/>
          <w:szCs w:val="23"/>
        </w:rPr>
        <w:t xml:space="preserve">NHS Digital (2023) </w:t>
      </w:r>
      <w:r w:rsidRPr="00EF1258">
        <w:rPr>
          <w:rFonts w:ascii="Arial" w:hAnsi="Arial" w:cs="Arial"/>
          <w:i/>
          <w:iCs/>
          <w:sz w:val="23"/>
          <w:szCs w:val="23"/>
        </w:rPr>
        <w:t>NHS Workforce Statistics</w:t>
      </w:r>
      <w:r w:rsidRPr="00EF1258">
        <w:rPr>
          <w:rFonts w:ascii="Arial" w:hAnsi="Arial" w:cs="Arial"/>
          <w:sz w:val="23"/>
          <w:szCs w:val="23"/>
        </w:rPr>
        <w:t>. Leeds: NHS Digital.</w:t>
      </w:r>
    </w:p>
    <w:p w14:paraId="5E1E8D02" w14:textId="77777777" w:rsidR="00EF1258" w:rsidRPr="00EF1258" w:rsidRDefault="00EF1258" w:rsidP="00EF1258">
      <w:pPr>
        <w:spacing w:line="360" w:lineRule="auto"/>
        <w:rPr>
          <w:rFonts w:ascii="Arial" w:hAnsi="Arial" w:cs="Arial"/>
          <w:sz w:val="23"/>
          <w:szCs w:val="23"/>
        </w:rPr>
      </w:pPr>
      <w:r w:rsidRPr="00EF1258">
        <w:rPr>
          <w:rFonts w:ascii="Arial" w:hAnsi="Arial" w:cs="Arial"/>
          <w:sz w:val="23"/>
          <w:szCs w:val="23"/>
        </w:rPr>
        <w:t xml:space="preserve">Rubery, J., Grimshaw, D. and Hebson, G. (2015) </w:t>
      </w:r>
      <w:r w:rsidRPr="00EF1258">
        <w:rPr>
          <w:rFonts w:ascii="Arial" w:hAnsi="Arial" w:cs="Arial"/>
          <w:i/>
          <w:iCs/>
          <w:sz w:val="23"/>
          <w:szCs w:val="23"/>
        </w:rPr>
        <w:t>The Public Sector Pay Gap and Workforce Casualisation</w:t>
      </w:r>
      <w:r w:rsidRPr="00EF1258">
        <w:rPr>
          <w:rFonts w:ascii="Arial" w:hAnsi="Arial" w:cs="Arial"/>
          <w:sz w:val="23"/>
          <w:szCs w:val="23"/>
        </w:rPr>
        <w:t>. Manchester: University of Manchester.</w:t>
      </w:r>
    </w:p>
    <w:p w14:paraId="55146AF4" w14:textId="77777777" w:rsidR="00EF1258" w:rsidRPr="00EF1258" w:rsidRDefault="00EF1258" w:rsidP="00EF1258">
      <w:pPr>
        <w:spacing w:line="360" w:lineRule="auto"/>
        <w:rPr>
          <w:rFonts w:ascii="Arial" w:hAnsi="Arial" w:cs="Arial"/>
          <w:sz w:val="23"/>
          <w:szCs w:val="23"/>
        </w:rPr>
      </w:pPr>
      <w:r w:rsidRPr="00EF1258">
        <w:rPr>
          <w:rFonts w:ascii="Arial" w:hAnsi="Arial" w:cs="Arial"/>
          <w:sz w:val="23"/>
          <w:szCs w:val="23"/>
        </w:rPr>
        <w:t xml:space="preserve">Salami, B. et al. (2022) ‘Racialised inequalities and migrant care workers in the UK’, </w:t>
      </w:r>
      <w:r w:rsidRPr="00EF1258">
        <w:rPr>
          <w:rFonts w:ascii="Arial" w:hAnsi="Arial" w:cs="Arial"/>
          <w:i/>
          <w:iCs/>
          <w:sz w:val="23"/>
          <w:szCs w:val="23"/>
        </w:rPr>
        <w:t>British Journal of Social Work</w:t>
      </w:r>
      <w:r w:rsidRPr="00EF1258">
        <w:rPr>
          <w:rFonts w:ascii="Arial" w:hAnsi="Arial" w:cs="Arial"/>
          <w:sz w:val="23"/>
          <w:szCs w:val="23"/>
        </w:rPr>
        <w:t>, 52(5), pp. 2451–2468.</w:t>
      </w:r>
    </w:p>
    <w:p w14:paraId="0B57FBB2" w14:textId="77777777" w:rsidR="00EF1258" w:rsidRPr="00EF1258" w:rsidRDefault="00EF1258" w:rsidP="00EF1258">
      <w:pPr>
        <w:spacing w:line="360" w:lineRule="auto"/>
        <w:rPr>
          <w:rFonts w:ascii="Arial" w:hAnsi="Arial" w:cs="Arial"/>
          <w:sz w:val="23"/>
          <w:szCs w:val="23"/>
        </w:rPr>
      </w:pPr>
      <w:r w:rsidRPr="00EF1258">
        <w:rPr>
          <w:rFonts w:ascii="Arial" w:hAnsi="Arial" w:cs="Arial"/>
          <w:sz w:val="23"/>
          <w:szCs w:val="23"/>
        </w:rPr>
        <w:t xml:space="preserve">Skills for Care (2023) </w:t>
      </w:r>
      <w:r w:rsidRPr="00EF1258">
        <w:rPr>
          <w:rFonts w:ascii="Arial" w:hAnsi="Arial" w:cs="Arial"/>
          <w:i/>
          <w:iCs/>
          <w:sz w:val="23"/>
          <w:szCs w:val="23"/>
        </w:rPr>
        <w:t>The State of the Adult Social Care Sector and Workforce in England</w:t>
      </w:r>
      <w:r w:rsidRPr="00EF1258">
        <w:rPr>
          <w:rFonts w:ascii="Arial" w:hAnsi="Arial" w:cs="Arial"/>
          <w:sz w:val="23"/>
          <w:szCs w:val="23"/>
        </w:rPr>
        <w:t>. Leeds: Skills for Care.</w:t>
      </w:r>
    </w:p>
    <w:p w14:paraId="495F821A" w14:textId="77777777" w:rsidR="00EF1258" w:rsidRPr="00EF1258" w:rsidRDefault="00EF1258" w:rsidP="00EF1258">
      <w:pPr>
        <w:spacing w:line="360" w:lineRule="auto"/>
        <w:rPr>
          <w:rFonts w:ascii="Arial" w:hAnsi="Arial" w:cs="Arial"/>
          <w:sz w:val="23"/>
          <w:szCs w:val="23"/>
        </w:rPr>
      </w:pPr>
      <w:r w:rsidRPr="00EF1258">
        <w:rPr>
          <w:rFonts w:ascii="Arial" w:hAnsi="Arial" w:cs="Arial"/>
          <w:sz w:val="23"/>
          <w:szCs w:val="23"/>
        </w:rPr>
        <w:t xml:space="preserve">The King’s Fund (2022) </w:t>
      </w:r>
      <w:r w:rsidRPr="00EF1258">
        <w:rPr>
          <w:rFonts w:ascii="Arial" w:hAnsi="Arial" w:cs="Arial"/>
          <w:i/>
          <w:iCs/>
          <w:sz w:val="23"/>
          <w:szCs w:val="23"/>
        </w:rPr>
        <w:t>The Health and Social Care Workforce: Trends, Pressures and Priorities</w:t>
      </w:r>
      <w:r w:rsidRPr="00EF1258">
        <w:rPr>
          <w:rFonts w:ascii="Arial" w:hAnsi="Arial" w:cs="Arial"/>
          <w:sz w:val="23"/>
          <w:szCs w:val="23"/>
        </w:rPr>
        <w:t>. London: The King’s Fund.</w:t>
      </w:r>
    </w:p>
    <w:p w14:paraId="700F0040" w14:textId="77777777" w:rsidR="00EF1258" w:rsidRPr="00EF1258" w:rsidRDefault="00EF1258" w:rsidP="00EF1258">
      <w:pPr>
        <w:spacing w:line="360" w:lineRule="auto"/>
        <w:rPr>
          <w:rFonts w:ascii="Arial" w:hAnsi="Arial" w:cs="Arial"/>
          <w:sz w:val="23"/>
          <w:szCs w:val="23"/>
        </w:rPr>
      </w:pPr>
      <w:r w:rsidRPr="00EF1258">
        <w:rPr>
          <w:rFonts w:ascii="Arial" w:hAnsi="Arial" w:cs="Arial"/>
          <w:sz w:val="23"/>
          <w:szCs w:val="23"/>
        </w:rPr>
        <w:lastRenderedPageBreak/>
        <w:t xml:space="preserve">Trades Union Congress (2021) </w:t>
      </w:r>
      <w:r w:rsidRPr="00EF1258">
        <w:rPr>
          <w:rFonts w:ascii="Arial" w:hAnsi="Arial" w:cs="Arial"/>
          <w:i/>
          <w:iCs/>
          <w:sz w:val="23"/>
          <w:szCs w:val="23"/>
        </w:rPr>
        <w:t>Migrants in the UK Labour Market: Evidence and Policy Recommendations</w:t>
      </w:r>
      <w:r w:rsidRPr="00EF1258">
        <w:rPr>
          <w:rFonts w:ascii="Arial" w:hAnsi="Arial" w:cs="Arial"/>
          <w:sz w:val="23"/>
          <w:szCs w:val="23"/>
        </w:rPr>
        <w:t>. London: TUC.</w:t>
      </w:r>
    </w:p>
    <w:p w14:paraId="0A898B2B" w14:textId="77777777" w:rsidR="00EF1258" w:rsidRPr="00EF1258" w:rsidRDefault="00EF1258" w:rsidP="00EF1258">
      <w:pPr>
        <w:spacing w:line="360" w:lineRule="auto"/>
        <w:rPr>
          <w:rFonts w:ascii="Arial" w:hAnsi="Arial" w:cs="Arial"/>
          <w:sz w:val="23"/>
          <w:szCs w:val="23"/>
        </w:rPr>
      </w:pPr>
      <w:r w:rsidRPr="00EF1258">
        <w:rPr>
          <w:rFonts w:ascii="Arial" w:hAnsi="Arial" w:cs="Arial"/>
          <w:sz w:val="23"/>
          <w:szCs w:val="23"/>
        </w:rPr>
        <w:t xml:space="preserve">UK Home Office (2023) </w:t>
      </w:r>
      <w:r w:rsidRPr="00EF1258">
        <w:rPr>
          <w:rFonts w:ascii="Arial" w:hAnsi="Arial" w:cs="Arial"/>
          <w:i/>
          <w:iCs/>
          <w:sz w:val="23"/>
          <w:szCs w:val="23"/>
        </w:rPr>
        <w:t>Immigration Statistics Quarterly Release</w:t>
      </w:r>
      <w:r w:rsidRPr="00EF1258">
        <w:rPr>
          <w:rFonts w:ascii="Arial" w:hAnsi="Arial" w:cs="Arial"/>
          <w:sz w:val="23"/>
          <w:szCs w:val="23"/>
        </w:rPr>
        <w:t>. London: Home Office.</w:t>
      </w:r>
    </w:p>
    <w:p w14:paraId="59ACA418" w14:textId="77777777" w:rsidR="00EF1258" w:rsidRPr="00EF1258" w:rsidRDefault="00EF1258" w:rsidP="00EF1258">
      <w:pPr>
        <w:spacing w:line="360" w:lineRule="auto"/>
        <w:rPr>
          <w:rFonts w:ascii="Arial" w:hAnsi="Arial" w:cs="Arial"/>
          <w:sz w:val="23"/>
          <w:szCs w:val="23"/>
        </w:rPr>
      </w:pPr>
      <w:r w:rsidRPr="00EF1258">
        <w:rPr>
          <w:rFonts w:ascii="Arial" w:hAnsi="Arial" w:cs="Arial"/>
          <w:sz w:val="23"/>
          <w:szCs w:val="23"/>
        </w:rPr>
        <w:t xml:space="preserve">Yeates, N. (2004) ‘Global care chains: critical reflections and lines of enquiry’, </w:t>
      </w:r>
      <w:r w:rsidRPr="00EF1258">
        <w:rPr>
          <w:rFonts w:ascii="Arial" w:hAnsi="Arial" w:cs="Arial"/>
          <w:i/>
          <w:iCs/>
          <w:sz w:val="23"/>
          <w:szCs w:val="23"/>
        </w:rPr>
        <w:t>International Feminist Journal of Politics</w:t>
      </w:r>
      <w:r w:rsidRPr="00EF1258">
        <w:rPr>
          <w:rFonts w:ascii="Arial" w:hAnsi="Arial" w:cs="Arial"/>
          <w:sz w:val="23"/>
          <w:szCs w:val="23"/>
        </w:rPr>
        <w:t>, 6(3), pp. 369–391.</w:t>
      </w:r>
    </w:p>
    <w:p w14:paraId="6B57B10D" w14:textId="77777777" w:rsidR="00EF1258" w:rsidRPr="00EF1258" w:rsidRDefault="00EF1258" w:rsidP="00EF1258">
      <w:pPr>
        <w:spacing w:line="360" w:lineRule="auto"/>
        <w:rPr>
          <w:rFonts w:ascii="Arial" w:hAnsi="Arial" w:cs="Arial"/>
          <w:sz w:val="23"/>
          <w:szCs w:val="23"/>
        </w:rPr>
      </w:pPr>
    </w:p>
    <w:sectPr w:rsidR="00EF1258" w:rsidRPr="00EF125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2C705A3" w14:textId="77777777" w:rsidR="00FB5AB6" w:rsidRDefault="00FB5AB6" w:rsidP="00032A5B">
      <w:pPr>
        <w:spacing w:after="0" w:line="240" w:lineRule="auto"/>
      </w:pPr>
      <w:r>
        <w:separator/>
      </w:r>
    </w:p>
  </w:endnote>
  <w:endnote w:type="continuationSeparator" w:id="0">
    <w:p w14:paraId="07120E88" w14:textId="77777777" w:rsidR="00FB5AB6" w:rsidRDefault="00FB5AB6" w:rsidP="00032A5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DengXian">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FD68FD8" w14:textId="77777777" w:rsidR="00FB5AB6" w:rsidRDefault="00FB5AB6" w:rsidP="00032A5B">
      <w:pPr>
        <w:spacing w:after="0" w:line="240" w:lineRule="auto"/>
      </w:pPr>
      <w:r>
        <w:separator/>
      </w:r>
    </w:p>
  </w:footnote>
  <w:footnote w:type="continuationSeparator" w:id="0">
    <w:p w14:paraId="67A035B9" w14:textId="77777777" w:rsidR="00FB5AB6" w:rsidRDefault="00FB5AB6" w:rsidP="00032A5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364868"/>
    <w:multiLevelType w:val="multilevel"/>
    <w:tmpl w:val="01429F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5A06929"/>
    <w:multiLevelType w:val="hybridMultilevel"/>
    <w:tmpl w:val="D0563026"/>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 w15:restartNumberingAfterBreak="0">
    <w:nsid w:val="08C808D1"/>
    <w:multiLevelType w:val="hybridMultilevel"/>
    <w:tmpl w:val="BC9AFFC2"/>
    <w:lvl w:ilvl="0" w:tplc="08090005">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3" w15:restartNumberingAfterBreak="0">
    <w:nsid w:val="103279E3"/>
    <w:multiLevelType w:val="multilevel"/>
    <w:tmpl w:val="798A2F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9546123"/>
    <w:multiLevelType w:val="multilevel"/>
    <w:tmpl w:val="850484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13D6A52"/>
    <w:multiLevelType w:val="multilevel"/>
    <w:tmpl w:val="5888B3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9E56A1B"/>
    <w:multiLevelType w:val="hybridMultilevel"/>
    <w:tmpl w:val="D88275B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1DD3069"/>
    <w:multiLevelType w:val="multilevel"/>
    <w:tmpl w:val="DDD244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7877613"/>
    <w:multiLevelType w:val="multilevel"/>
    <w:tmpl w:val="2C3EA6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4E26486C"/>
    <w:multiLevelType w:val="hybridMultilevel"/>
    <w:tmpl w:val="44D283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C0C50AC"/>
    <w:multiLevelType w:val="multilevel"/>
    <w:tmpl w:val="1D047B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7DD94B4D"/>
    <w:multiLevelType w:val="multilevel"/>
    <w:tmpl w:val="1CE854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7EB8208F"/>
    <w:multiLevelType w:val="multilevel"/>
    <w:tmpl w:val="6AD03B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066105348">
    <w:abstractNumId w:val="9"/>
  </w:num>
  <w:num w:numId="2" w16cid:durableId="201140407">
    <w:abstractNumId w:val="2"/>
  </w:num>
  <w:num w:numId="3" w16cid:durableId="490028398">
    <w:abstractNumId w:val="1"/>
  </w:num>
  <w:num w:numId="4" w16cid:durableId="1716658602">
    <w:abstractNumId w:val="6"/>
  </w:num>
  <w:num w:numId="5" w16cid:durableId="1179661695">
    <w:abstractNumId w:val="10"/>
  </w:num>
  <w:num w:numId="6" w16cid:durableId="300813578">
    <w:abstractNumId w:val="3"/>
  </w:num>
  <w:num w:numId="7" w16cid:durableId="1690373024">
    <w:abstractNumId w:val="11"/>
  </w:num>
  <w:num w:numId="8" w16cid:durableId="136537849">
    <w:abstractNumId w:val="5"/>
  </w:num>
  <w:num w:numId="9" w16cid:durableId="429543369">
    <w:abstractNumId w:val="7"/>
  </w:num>
  <w:num w:numId="10" w16cid:durableId="552084144">
    <w:abstractNumId w:val="4"/>
  </w:num>
  <w:num w:numId="11" w16cid:durableId="26295719">
    <w:abstractNumId w:val="0"/>
  </w:num>
  <w:num w:numId="12" w16cid:durableId="371686129">
    <w:abstractNumId w:val="12"/>
  </w:num>
  <w:num w:numId="13" w16cid:durableId="1879392833">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558B0"/>
    <w:rsid w:val="00032A5B"/>
    <w:rsid w:val="001333C2"/>
    <w:rsid w:val="00317E3D"/>
    <w:rsid w:val="0032791E"/>
    <w:rsid w:val="003E4ED4"/>
    <w:rsid w:val="004271E3"/>
    <w:rsid w:val="004A5A64"/>
    <w:rsid w:val="0058218C"/>
    <w:rsid w:val="006524ED"/>
    <w:rsid w:val="006A3E63"/>
    <w:rsid w:val="006D2F2D"/>
    <w:rsid w:val="006E1FF9"/>
    <w:rsid w:val="00724BB2"/>
    <w:rsid w:val="00785886"/>
    <w:rsid w:val="007F3A6A"/>
    <w:rsid w:val="009E71F3"/>
    <w:rsid w:val="00A14675"/>
    <w:rsid w:val="00BC79FE"/>
    <w:rsid w:val="00C558B0"/>
    <w:rsid w:val="00D545BA"/>
    <w:rsid w:val="00D9301D"/>
    <w:rsid w:val="00E81204"/>
    <w:rsid w:val="00E9668F"/>
    <w:rsid w:val="00EF1258"/>
    <w:rsid w:val="00F81510"/>
    <w:rsid w:val="00FA1054"/>
    <w:rsid w:val="00FA2DAE"/>
    <w:rsid w:val="00FA6248"/>
    <w:rsid w:val="00FB5AB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2F7AB11"/>
  <w15:chartTrackingRefBased/>
  <w15:docId w15:val="{647EBCD7-631C-4DB8-B919-7AD492B628C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58B0"/>
    <w:pPr>
      <w:spacing w:line="256" w:lineRule="auto"/>
    </w:pPr>
    <w:rPr>
      <w:rFonts w:ascii="Times New Roman" w:hAnsi="Times New Roman"/>
      <w:sz w:val="24"/>
    </w:rPr>
  </w:style>
  <w:style w:type="paragraph" w:styleId="Heading1">
    <w:name w:val="heading 1"/>
    <w:basedOn w:val="Normal"/>
    <w:next w:val="Normal"/>
    <w:link w:val="Heading1Char"/>
    <w:uiPriority w:val="9"/>
    <w:qFormat/>
    <w:rsid w:val="00724BB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D2F2D"/>
    <w:pPr>
      <w:ind w:left="720"/>
      <w:contextualSpacing/>
    </w:pPr>
  </w:style>
  <w:style w:type="paragraph" w:styleId="Header">
    <w:name w:val="header"/>
    <w:basedOn w:val="Normal"/>
    <w:link w:val="HeaderChar"/>
    <w:uiPriority w:val="99"/>
    <w:unhideWhenUsed/>
    <w:rsid w:val="00032A5B"/>
    <w:pPr>
      <w:tabs>
        <w:tab w:val="center" w:pos="4513"/>
        <w:tab w:val="right" w:pos="9026"/>
      </w:tabs>
      <w:spacing w:after="0" w:line="240" w:lineRule="auto"/>
    </w:pPr>
  </w:style>
  <w:style w:type="character" w:customStyle="1" w:styleId="HeaderChar">
    <w:name w:val="Header Char"/>
    <w:basedOn w:val="DefaultParagraphFont"/>
    <w:link w:val="Header"/>
    <w:uiPriority w:val="99"/>
    <w:rsid w:val="00032A5B"/>
    <w:rPr>
      <w:rFonts w:ascii="Times New Roman" w:hAnsi="Times New Roman"/>
      <w:sz w:val="24"/>
    </w:rPr>
  </w:style>
  <w:style w:type="paragraph" w:styleId="Footer">
    <w:name w:val="footer"/>
    <w:basedOn w:val="Normal"/>
    <w:link w:val="FooterChar"/>
    <w:uiPriority w:val="99"/>
    <w:unhideWhenUsed/>
    <w:rsid w:val="00032A5B"/>
    <w:pPr>
      <w:tabs>
        <w:tab w:val="center" w:pos="4513"/>
        <w:tab w:val="right" w:pos="9026"/>
      </w:tabs>
      <w:spacing w:after="0" w:line="240" w:lineRule="auto"/>
    </w:pPr>
  </w:style>
  <w:style w:type="character" w:customStyle="1" w:styleId="FooterChar">
    <w:name w:val="Footer Char"/>
    <w:basedOn w:val="DefaultParagraphFont"/>
    <w:link w:val="Footer"/>
    <w:uiPriority w:val="99"/>
    <w:rsid w:val="00032A5B"/>
    <w:rPr>
      <w:rFonts w:ascii="Times New Roman" w:hAnsi="Times New Roman"/>
      <w:sz w:val="24"/>
    </w:rPr>
  </w:style>
  <w:style w:type="character" w:customStyle="1" w:styleId="Heading1Char">
    <w:name w:val="Heading 1 Char"/>
    <w:basedOn w:val="DefaultParagraphFont"/>
    <w:link w:val="Heading1"/>
    <w:uiPriority w:val="9"/>
    <w:rsid w:val="00724BB2"/>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11</Pages>
  <Words>2862</Words>
  <Characters>16318</Characters>
  <Application>Microsoft Office Word</Application>
  <DocSecurity>0</DocSecurity>
  <Lines>135</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19142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Diola Bijlhout</dc:creator>
  <cp:keywords/>
  <dc:description/>
  <cp:lastModifiedBy>Spogmay Ahmadzai</cp:lastModifiedBy>
  <cp:revision>2</cp:revision>
  <dcterms:created xsi:type="dcterms:W3CDTF">2026-04-29T14:12:00Z</dcterms:created>
  <dcterms:modified xsi:type="dcterms:W3CDTF">2026-04-29T14:12:00Z</dcterms:modified>
</cp:coreProperties>
</file>