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Types>
</file>

<file path=_rels/.rels><?xml version="1.0" encoding="UTF-8" standalone="yes"?><Relationships xmlns="http://schemas.openxmlformats.org/package/2006/relationships"><Relationship Id="rId2" Type="http://schemas.openxmlformats.org/officeDocument/2006/relationships/extended-properties" Target="docProps/app.xml" /><Relationship Id="rId1" Type="http://schemas.openxmlformats.org/package/2006/relationships/metadata/core-properties" Target="docProps/core.xml" /><Relationship Id="rId0" Type="http://schemas.openxmlformats.org/officeDocument/2006/relationships/officeDocument" Target="word/document.xml" /></Relationships>
</file>

<file path=word/document.xml><?xml version="1.0" encoding="utf-8"?>
<w:document xmlns:wps="http://schemas.microsoft.com/office/word/2010/wordprocessingShape" xmlns:w16se="http://schemas.microsoft.com/office/word/2015/wordml/symex" xmlns:wne="http://schemas.microsoft.com/office/word/2006/wordml" xmlns:aink="http://schemas.microsoft.com/office/drawing/2016/ink" xmlns:w15="http://schemas.microsoft.com/office/word/2012/wordml" xmlns:wpi="http://schemas.microsoft.com/office/word/2010/wordprocessingInk" xmlns:w10="urn:schemas-microsoft-com:office:word" xmlns:w16cid="http://schemas.microsoft.com/office/word/2016/wordml/cid" xmlns:w16cex="http://schemas.microsoft.com/office/word/2018/wordml/cex" xmlns:m="http://schemas.openxmlformats.org/officeDocument/2006/math" xmlns:cx3="http://schemas.microsoft.com/office/drawing/2016/5/9/chartex" xmlns:o="urn:schemas-microsoft-com:office:office" xmlns:v="urn:schemas-microsoft-com:vml" xmlns:wp14="http://schemas.microsoft.com/office/word/2010/wordprocessingDrawing" xmlns:am3d="http://schemas.microsoft.com/office/drawing/2017/model3d" xmlns:cx8="http://schemas.microsoft.com/office/drawing/2016/5/14/chartex" xmlns:cx6="http://schemas.microsoft.com/office/drawing/2016/5/12/chartex" xmlns:wpg="http://schemas.microsoft.com/office/word/2010/wordprocessingGroup" xmlns:cx4="http://schemas.microsoft.com/office/drawing/2016/5/10/chartex" xmlns:mc="http://schemas.openxmlformats.org/markup-compatibility/2006" xmlns:cx2="http://schemas.microsoft.com/office/drawing/2015/10/21/chartex" xmlns:cx5="http://schemas.microsoft.com/office/drawing/2016/5/11/chartex" xmlns:r="http://schemas.openxmlformats.org/officeDocument/2006/relationships" xmlns:w16="http://schemas.microsoft.com/office/word/2018/wordml" xmlns:cx1="http://schemas.microsoft.com/office/drawing/2015/9/8/chartex" xmlns:cx="http://schemas.microsoft.com/office/drawing/2014/chartex" xmlns:w14="http://schemas.microsoft.com/office/word/2010/wordml" xmlns:wp="http://schemas.openxmlformats.org/drawingml/2006/wordprocessingDrawing" xmlns:wpc="http://schemas.microsoft.com/office/word/2010/wordprocessingCanvas" xmlns:w="http://schemas.openxmlformats.org/wordprocessingml/2006/main" xmlns:cx7="http://schemas.microsoft.com/office/drawing/2016/5/13/chartex" mc:Ignorable="w14 w15 w16se w16cid w16 w16cex wp14">
  <w:body>
    <w:p w14:paraId="0BDED443" w14:textId="5E73D4DD" w:rsidR="C5BAB148" w:rsidRPr="C5BAB148" w:rsidRDefault="C5BAB148" w:rsidP="C5BAB148">
      <w:pPr>
        <w:snapToGrid w:val="0"/>
        <w:rPr>
          <w:sz w:val="28"/>
          <w:rFonts w:hint="eastAsia" w:cs="Times New Roman" w:hAnsi="Times New Roman" w:ascii="Times New Roman"/>
        </w:rPr>
      </w:pPr>
      <w:r>
        <w:rPr>
          <w:sz w:val="28"/>
          <w:rFonts w:hint="eastAsia" w:cs="Times New Roman" w:hAnsi="Times New Roman" w:ascii="Times New Roman"/>
        </w:rPr>
        <w:t>Executive summary</w:t>
      </w:r>
    </w:p>
    <w:p w:rsidR="C5BAB148" w:rsidRDefault="C5BAB148">
      <w:pPr>
        <w:snapToGrid w:val="0"/>
        <w:rPr>
          <w:sz w:val="28"/>
          <w:rFonts w:hint="eastAsia" w:cs="Times New Roman" w:hAnsi="Times New Roman" w:ascii="Times New Roman"/>
        </w:rPr>
      </w:pPr>
      <w:r>
        <w:rPr>
          <w:sz w:val="28"/>
          <w:rFonts w:hint="eastAsia" w:cs="Times New Roman" w:hAnsi="Times New Roman" w:ascii="Times New Roman"/>
        </w:rPr>
      </w:r>
    </w:p>
    <w:p w:rsidR="C5BAB148" w:rsidRDefault="C5BAB148">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This report uses critical reflection to analyze the business communication challenges faced by UK companies when entering markets in other countries and to explore practical solutions. I chose Germany as my research object because Germany is an important country that is the engine of European economy. Germany and Britain are geographically similar, but there are profound differences in business culture. The high individualism, low uncertainty avoidance and short-term orientation in English culture are in sharp contrast to the high uncertainty avoidance, strong discipline and long-term orientation in German culture.</w:t>
      </w:r>
    </w:p>
    <w:p w14:paraId="43731056" w14:textId="6A8E37E5" w:rsidR="E051FADE" w:rsidRPr="E051FADE" w:rsidRDefault="E051FADE" w:rsidP="E051FADE">
      <w:pPr>
        <w:snapToGrid w:val="0"/>
        <w:rPr>
          <w:sz w:val="28"/>
          <w:rFonts w:hint="eastAsia" w:cs="Times New Roman" w:hAnsi="Times New Roman" w:ascii="Times New Roman"/>
        </w:rPr>
      </w:pP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I have chosen three main strategies to explore. The cultural assimilation strategy that focuses on oneself, the cultural adaptation strategy that adapts to others as a whole, and the cultural integration strategy that seeks win-win. My conclusion is that the cultural integration strategy is the most effective. Enterprises should actively carry out deep cross-cultural adaptation on the premise of sticking to the bottom line of business ethics.</w:t>
      </w: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 xml:space="preserve">1.0 Introduction</w:t>
      </w: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Under the background of global commercialization, misunderstandings, frictions and even conflicts will still occur frequently among business partners from different countries. Cultural clashes in business practice are usually concrete and sharp. I chose Germany as my analysis object. Germany is not only an important economy in Europe, but also one of Britain's most important trading partners. But Britain's close ties with Germany have not removed the challenge of business behaviour.</w:t>
      </w: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This report applies the classical theories of scholars such as hofstede and Hall to analyze the fundamental differences between Britain and Germany in cultural dimensions and the practical challenges that these differences present in business communication scenarios. I will critically assess several possible cross-cultural strategies adopted by UK companies and make recommendations that I believe are most practical.</w:t>
      </w:r>
    </w:p>
    <w:p w:rsidR="E051FADE" w:rsidRDefault="E051FADE">
      <w:pPr>
        <w:snapToGrid w:val="0"/>
        <w:rPr>
          <w:sz w:val="28"/>
          <w:rFonts w:hint="eastAsia" w:cs="Times New Roman" w:hAnsi="Times New Roman" w:ascii="Times New Roman"/>
        </w:rPr>
      </w:pPr>
      <w:r>
        <w:rPr>
          <w:sz w:val="28"/>
          <w:rFonts w:hint="eastAsia" w:cs="Times New Roman" w:hAnsi="Times New Roman" w:ascii="Times New Roman"/>
        </w:rPr>
      </w:r>
    </w:p>
    <w:p w14:paraId="2D6DAB4B" w14:textId="CDDB90F8" w:rsidR="FAD5205B" w:rsidRPr="FAD5205B" w:rsidRDefault="FAD5205B" w:rsidP="FAD5205B">
      <w:pPr>
        <w:snapToGrid w:val="0"/>
        <w:rPr>
          <w:sz w:val="28"/>
          <w:rFonts w:hint="eastAsia" w:cs="Times New Roman" w:hAnsi="Times New Roman" w:ascii="Times New Roman"/>
        </w:rPr>
      </w:pPr>
    </w:p>
    <w:p w:rsidR="FAD5205B" w:rsidRDefault="FAD5205B">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2.0 Business English Exchange between UK and Germany</w:t>
      </w:r>
    </w:p>
    <w:p w:rsidR="FAD5205B" w:rsidRDefault="FAD5205B">
      <w:pPr>
        <w:snapToGrid w:val="0"/>
        <w:rPr>
          <w:sz w:val="28"/>
          <w:rFonts w:hint="eastAsia" w:cs="Times New Roman" w:hAnsi="Times New Roman" w:ascii="Times New Roman"/>
        </w:rPr>
      </w:pPr>
      <w:r>
        <w:rPr>
          <w:sz w:val="28"/>
          <w:rFonts w:hint="eastAsia" w:cs="Times New Roman" w:hAnsi="Times New Roman" w:ascii="Times New Roman"/>
        </w:rPr>
      </w:r>
    </w:p>
    <w:p w:rsidR="FAD5205B" w:rsidRDefault="FAD5205B">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 xml:space="preserve">2.1 cultural differences</w:t>
      </w:r>
    </w:p>
    <w:p w:rsidR="FAD5205B" w:rsidRDefault="FAD5205B">
      <w:pPr>
        <w:snapToGrid w:val="0"/>
        <w:rPr>
          <w:sz w:val="28"/>
          <w:rFonts w:hint="eastAsia" w:cs="Times New Roman" w:hAnsi="Times New Roman" w:ascii="Times New Roman"/>
        </w:rPr>
      </w:pPr>
      <w:r>
        <w:rPr>
          <w:sz w:val="28"/>
          <w:rFonts w:hint="eastAsia" w:cs="Times New Roman" w:hAnsi="Times New Roman" w:ascii="Times New Roman"/>
        </w:rPr>
      </w:r>
    </w:p>
    <w:p w:rsidR="FAD5205B" w:rsidRDefault="FAD5205B">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In order to understand the root causes of communication challenges, companies can use hofstede's cultural dimension theory as a model. Britain is a typical highly individualistic society, emphasizing personal achievement, independent decision-making and self-expression. In business, this is demonstrated by encouraging personal initiative, heroic leadership and relatively flexible job descriptions. Although Germany is also a individualist society, its degree is lower than that of Britain, and it places more emphasis on order, discipline and consensus. Individual achievement is achieved within a clear framework of systems, rules and teamwork. Britain has a low level of uncertainty avoidance. The society has a high tolerance for fuzziness and a flexible business environment, which tends to make mistakes and then adjust. Germany has a high degree of uncertainty avoidance, which is one of the most significant characteristics of German culture. Society relies on rigorous planning, detailed contracts, clear standards and rigorous processes to avoid risks. The UK tends to be short-term oriented, focusing on immediate results, quarterly results and fast return on investment. Business decisions are relatively flexible to accommodate changes in the market. Germany is more long-term oriented, advocating investment in the future, focusing on engineering quality and long-term reputation. Companies are willing to sacrifice short-term profits for long-term technological accumulation and market position.</w:t>
      </w:r>
    </w:p>
    <w:p w14:paraId="2B09CBD8" w14:textId="B7B80F25" w:rsidR="24F4682F" w:rsidRPr="24F4682F" w:rsidRDefault="24F4682F" w:rsidP="24F4682F">
      <w:pPr>
        <w:snapToGrid w:val="0"/>
        <w:rPr>
          <w:sz w:val="28"/>
          <w:rFonts w:hint="eastAsia" w:cs="Times New Roman" w:hAnsi="Times New Roman" w:ascii="Times New Roman"/>
        </w:rPr>
      </w:pPr>
    </w:p>
    <w:p w:rsidR="24F4682F" w:rsidRDefault="24F4682F">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 xml:space="preserve">According to Hall's theory of high and low context, Germany belongs to low context culture. Communication needs clear and definite language, so it is straightforward to speak. Britain is also a low-context culture, but its communication style incorporates more euphemism and humor, especially when maintaining gentleman etiquette and handling differences.</w:t>
      </w:r>
    </w:p>
    <w:p w:rsidR="24F4682F" w:rsidRDefault="24F4682F">
      <w:pPr>
        <w:snapToGrid w:val="0"/>
        <w:rPr>
          <w:sz w:val="28"/>
          <w:rFonts w:hint="eastAsia" w:cs="Times New Roman" w:hAnsi="Times New Roman" w:ascii="Times New Roman"/>
        </w:rPr>
      </w:pPr>
      <w:r>
        <w:rPr>
          <w:sz w:val="28"/>
          <w:rFonts w:hint="eastAsia" w:cs="Times New Roman" w:hAnsi="Times New Roman" w:ascii="Times New Roman"/>
        </w:rPr>
      </w:r>
    </w:p>
    <w:p w:rsidR="24F4682F" w:rsidRDefault="24F4682F">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2.2 Challenges of Business Communication</w:t>
      </w:r>
    </w:p>
    <w:p w:rsidR="24F4682F" w:rsidRDefault="24F4682F">
      <w:pPr>
        <w:snapToGrid w:val="0"/>
        <w:rPr>
          <w:sz w:val="28"/>
          <w:rFonts w:hint="eastAsia" w:cs="Times New Roman" w:hAnsi="Times New Roman" w:ascii="Times New Roman"/>
        </w:rPr>
      </w:pPr>
      <w:r>
        <w:rPr>
          <w:sz w:val="28"/>
          <w:rFonts w:hint="eastAsia" w:cs="Times New Roman" w:hAnsi="Times New Roman" w:ascii="Times New Roman"/>
        </w:rPr>
      </w:r>
    </w:p>
    <w:p w:rsidR="24F4682F" w:rsidRDefault="24F4682F">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British managers are used to pushing the process forward quickly, hoping to stimulate debate, improvise and make directional decisions on the spot. Details can be added later. However, in the eyes of German colleagues, this may be a sign of ill-prepared and risk-averse. German-style meetings require detailed agendas and readings to be received in advance. The purpose of the meeting is to conduct in-depth review of the established plan and reach an accurate consensus, rather than brainstorming. I have seen a case in which a British technology company tried to promote an agile development project in Berlin, but the German partner insisted on completing the complete requirements specification and project plan first, which caused the British team to feel extremely frustrated and thought that the other team lacked flexibility. This is essentially a direct collision between low uncertainty avoidance and high uncertainty avoidance.</w:t>
      </w:r>
    </w:p>
    <w:p w14:paraId="78BBDA7A" w14:textId="7940C726" w:rsidR="24BFC0B3" w:rsidRPr="24BFC0B3" w:rsidRDefault="24BFC0B3" w:rsidP="24BFC0B3">
      <w:pPr>
        <w:snapToGrid w:val="0"/>
        <w:rPr>
          <w:sz w:val="28"/>
          <w:rFonts w:hint="eastAsia" w:cs="Times New Roman" w:hAnsi="Times New Roman" w:ascii="Times New Roman"/>
        </w:rPr>
      </w:pPr>
    </w:p>
    <w:p w:rsidR="24BFC0B3" w:rsidRDefault="24BFC0B3">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Although British business culture values relationships, it is generally more task-oriented. Business relationships can be quickly established and developed with the cooperation of specific projects. In Germany, the cornerstone of business trust is professional competence, reliability and rigour, not personal friendship. German businessmen are more inclined to the credit-oriented model. They need to gradually accumulate trust through many professional interactions to observe whether the other party is punctual and trustworthy. Trying to push the business with too quick a personal approach may instead alert the German partner that you are unprofessional or have ulterior motives.</w:t>
      </w:r>
    </w:p>
    <w:p w14:paraId="B3514B5E" w14:textId="0636AE2C" w:rsidR="4E5AFFD1" w:rsidRPr="4E5AFFD1" w:rsidRDefault="4E5AFFD1" w:rsidP="4E5AFFD1">
      <w:pPr>
        <w:snapToGrid w:val="0"/>
        <w:rPr>
          <w:sz w:val="28"/>
          <w:rFonts w:hint="eastAsia" w:cs="Times New Roman" w:hAnsi="Times New Roman" w:ascii="Times New Roman"/>
        </w:rPr>
      </w:pPr>
    </w:p>
    <w:p w:rsidR="4E5AFFD1" w:rsidRDefault="4E5AFFD1">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In business communication, it is difficult to grasp the scale of different languages. Germans are usually straightforward and may appear impolite to English speakers who are accustomed to using euphemisms. For the same project, a German engineer may write in a letter that the design is defective and will not pass. The British engineers' statement may be: the design is very creative, but we may face some interesting challenges at the implementation level. From another perspective, the English euphemism feedback may be taken literally by the German colleagues, resulting in the problem not being taken seriously. This difference in style between direct expression and euphemistic expression is one of the most common sources of misunderstanding and emotional friction.</w:t>
      </w:r>
    </w:p>
    <w:p w:rsidR="4E5AFFD1" w:rsidRDefault="4E5AFFD1">
      <w:pPr>
        <w:snapToGrid w:val="0"/>
        <w:rPr>
          <w:sz w:val="28"/>
          <w:rFonts w:hint="eastAsia" w:cs="Times New Roman" w:hAnsi="Times New Roman" w:ascii="Times New Roman"/>
        </w:rPr>
      </w:pPr>
      <w:r>
        <w:rPr>
          <w:sz w:val="28"/>
          <w:rFonts w:hint="eastAsia" w:cs="Times New Roman" w:hAnsi="Times New Roman" w:ascii="Times New Roman"/>
        </w:rPr>
      </w:r>
    </w:p>
    <w:p w14:paraId="A836827C" w14:textId="A932311E" w:rsidR="E48B1655" w:rsidRPr="E48B1655" w:rsidRDefault="E48B1655" w:rsidP="E48B1655">
      <w:pPr>
        <w:snapToGrid w:val="0"/>
        <w:rPr>
          <w:sz w:val="28"/>
          <w:rFonts w:hint="eastAsia" w:cs="Times New Roman" w:hAnsi="Times New Roman" w:ascii="Times New Roman"/>
        </w:rPr>
      </w:pP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 xml:space="preserve">3.0 Strategies to Overcome Challenges</w:t>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Cultural assimilation strategy refers to the requirement that German partners or employees fully adapt to the communication and working methods of British companies. Its advantages are high internal consistency and fast decision-making, as if the same operating system were applied globally.</w:t>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My assessment: this is the most dangerous and unwise strategy. The Topshop case has sounded the alarm. As a high-street fashion icon in Britain, Topshop entered Berlin in 2009 with high profile, but eventually closed its flagship store and withdrew from the German market a few years later. In Germany, where high uncertainty eludes society, the imposition of external culture will trigger strong resistance. This will not only lead to the breakdown of cooperation and staff loss, but also seriously damage the reputation of the company in the local market. This strategy is essentially cultural arrogance, which ignores the sense of dignity and professionalism of the local staff and ultimately leads to failure. In my opinion, this strategy cannot be used unless there is an absolute monopolistic technological advantage.</w:t>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The cultural adaptation strategy refers to the fact that the British companies completely imitate the practice of the German companies and formulate extremely detailed procedures. The meetings are all in German and follow the decision-making rhythm of Germany.</w:t>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My assessment: this is the greatest respect for other countries, but it will actually deprive British companies of their core advantages. Flexibility, speed of innovation and resilience in British business culture are important sources of competitiveness. Excessive adaptation to the cultures of other countries may slow down organizational decision-making. More importantly, this is not a true cross-cultural integration, and fragmented cultural cognition may be formed within the company. Therefore, cultural adaptation strategy is also not a good method.</w:t>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The cultural integration strategy refers to that both parties, on the basis of fully understanding each other's differences, jointly create a new set of work practices and communication norms that integrate the advantages of both parties. It is not compromise on one side, but coordination on both sides.</w:t>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My assessment: I think this is the most ideal and most likely way to succeed. For example, in decision-making, the advantages of British enterprises can be integrated with those of German enterprises. In terms of communication, the written report can adopt a clear German-style structure, but in oral discussions, both parties are required to consciously translate and confirm the expression. British enterprises learn to give feedback directly but politely, while German enterprises learn to interpret British euphemism signals and take the initiative to ask for confirmation. The advantage of this strategy is that it combines Britain's flexibility with Germany's reliability, which could lead to greater innovation. It can build a deeper trust based on mutual understanding and adjustment. However, the challenge of this strategy is that it is extremely difficult to implement and requires continuous communication and cooperation between the two sides.</w:t>
      </w:r>
    </w:p>
    <w:p w:rsidR="E48B1655" w:rsidRDefault="E48B1655">
      <w:pPr>
        <w:snapToGrid w:val="0"/>
        <w:rPr>
          <w:sz w:val="28"/>
          <w:rFonts w:hint="eastAsia" w:cs="Times New Roman" w:hAnsi="Times New Roman" w:ascii="Times New Roman"/>
        </w:rPr>
      </w:pPr>
      <w:r>
        <w:rPr>
          <w:sz w:val="28"/>
          <w:rFonts w:hint="eastAsia" w:cs="Times New Roman" w:hAnsi="Times New Roman" w:ascii="Times New Roman"/>
        </w:rPr>
      </w:r>
    </w:p>
    <w:p w14:paraId="376BCA57" w14:textId="BFB54EC4" w:rsidR="9BD5FB52" w:rsidRPr="9BD5FB52" w:rsidRDefault="9BD5FB52" w:rsidP="9BD5FB52">
      <w:pPr>
        <w:snapToGrid w:val="0"/>
        <w:rPr>
          <w:sz w:val="28"/>
          <w:rFonts w:hint="eastAsia" w:cs="Times New Roman" w:hAnsi="Times New Roman" w:ascii="Times New Roman"/>
        </w:rPr>
      </w:pPr>
    </w:p>
    <w:p w:rsidR="9BD5FB52" w:rsidRDefault="9BD5FB52">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4.0 Conclusion</w:t>
      </w:r>
    </w:p>
    <w:p w:rsidR="9BD5FB52" w:rsidRDefault="9BD5FB52">
      <w:pPr>
        <w:snapToGrid w:val="0"/>
        <w:rPr>
          <w:sz w:val="28"/>
          <w:rFonts w:hint="eastAsia" w:cs="Times New Roman" w:hAnsi="Times New Roman" w:ascii="Times New Roman"/>
        </w:rPr>
      </w:pPr>
      <w:r>
        <w:rPr>
          <w:sz w:val="28"/>
          <w:rFonts w:hint="eastAsia" w:cs="Times New Roman" w:hAnsi="Times New Roman" w:ascii="Times New Roman"/>
        </w:rPr>
      </w:r>
    </w:p>
    <w:p w:rsidR="9BD5FB52" w:rsidRDefault="9BD5FB52">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I think the challenge of business communication between England and Germany is not just a matter of language or etiquette, but a matter of friction between different cultures. Germany's high uncertainty avoidance and long-term orientation are challenged by Britain's low uncertainty avoidance and short-term orientation. These challenges are reflected in every link from strategic planning to daily mail.</w:t>
      </w:r>
    </w:p>
    <w:p w:rsidR="9BD5FB52" w:rsidRDefault="9BD5FB52">
      <w:pPr>
        <w:snapToGrid w:val="0"/>
        <w:rPr>
          <w:sz w:val="28"/>
          <w:rFonts w:hint="eastAsia" w:cs="Times New Roman" w:hAnsi="Times New Roman" w:ascii="Times New Roman"/>
        </w:rPr>
      </w:pPr>
      <w:r>
        <w:rPr>
          <w:sz w:val="28"/>
          <w:rFonts w:hint="eastAsia" w:cs="Times New Roman" w:hAnsi="Times New Roman" w:ascii="Times New Roman"/>
        </w:rPr>
      </w:r>
    </w:p>
    <w:p w:rsidR="9BD5FB52" w:rsidRDefault="9BD5FB52">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Whether it is the cultural assimilation strategy that leads to the conflict or the cultural adaptation strategy that may lose self, this contradiction cannot be properly solved. The setback of Topshop in Germany has proved that ignoring the restriction of cultural environment will pay a heavy price. Therefore, the only effective way for British companies that wish to achieve long-term success in the German market is to focus on cultural integration. British companies must regard cross-cultural communication as a core strategic capability. Companies need to work together to create a more efficient way to collaborate.</w:t>
      </w:r>
    </w:p>
    <w:p w:rsidR="9BD5FB52" w:rsidRDefault="9BD5FB52">
      <w:pPr>
        <w:snapToGrid w:val="0"/>
        <w:rPr>
          <w:sz w:val="28"/>
          <w:rFonts w:hint="eastAsia" w:cs="Times New Roman" w:hAnsi="Times New Roman" w:ascii="Times New Roman"/>
        </w:rPr>
      </w:pPr>
      <w:r>
        <w:rPr>
          <w:sz w:val="28"/>
          <w:rFonts w:hint="eastAsia" w:cs="Times New Roman" w:hAnsi="Times New Roman" w:ascii="Times New Roman"/>
        </w:rPr>
      </w:r>
    </w:p>
    <w:p w14:paraId="084D810C" w14:textId="F1B888C9" w:rsidR="2E485707" w:rsidRPr="2E485707" w:rsidRDefault="2E485707" w:rsidP="2E485707">
      <w:pPr>
        <w:snapToGrid w:val="0"/>
        <w:rPr>
          <w:sz w:val="28"/>
          <w:rFonts w:hint="eastAsia" w:cs="Times New Roman" w:hAnsi="Times New Roman" w:ascii="Times New Roman"/>
        </w:rPr>
      </w:pPr>
    </w:p>
    <w:p w:rsidR="2E485707" w:rsidRDefault="2E485707">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5.0 Recommendations</w:t>
      </w:r>
    </w:p>
    <w:p w:rsidR="2E485707" w:rsidRDefault="2E485707">
      <w:pPr>
        <w:snapToGrid w:val="0"/>
        <w:rPr>
          <w:sz w:val="28"/>
          <w:rFonts w:hint="eastAsia" w:cs="Times New Roman" w:hAnsi="Times New Roman" w:ascii="Times New Roman"/>
        </w:rPr>
      </w:pPr>
      <w:r>
        <w:rPr>
          <w:sz w:val="28"/>
          <w:rFonts w:hint="eastAsia" w:cs="Times New Roman" w:hAnsi="Times New Roman" w:ascii="Times New Roman"/>
        </w:rPr>
      </w:r>
    </w:p>
    <w:p w:rsidR="2E485707" w:rsidRDefault="2E485707">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Based on the above conclusion, I give some suggestions. The first suggestion is to conduct in-depth cultural training in other countries. The training content must go beyond some stereotypes. For example, through role-playing, British employees experience the anxiety of a vague contract in a highly uncertain environment. Or let German employees understand that low uncertainty eludes the competitive advantage given by a rapidly changing market. The goal of training is to cultivate cultural intelligence quotient, which requires employees to know what the differences are, understand the reasons for the differences and adjust their behavior in the differences. The second suggestion is to hire staff who are familiar with both cultures. Set up a mixed team with an understanding of the cultural differences between the two countries. In the key project team, cultural blending must be consciously implemented. . These staff are responsible for immediate translation and mediation when communication misunderstanding occurs, and regularly collect feedback from both teams to optimize the collaboration process. These employees are the lubricant of cultural integration. The third recommendation is to include cross-cultural management skills in the leadership assessment. The promotion and evaluation of senior management should include their ability to manage cross-cultural projects. Companies can know in advance whether managers in other countries have exacerbated cultural conflicts or succeeded in promoting cultural integration. This can greatly motivate the management to take cultural issues seriously.</w:t>
      </w:r>
    </w:p>
    <w:p w:rsidR="2E485707" w:rsidRDefault="2E485707">
      <w:pPr>
        <w:snapToGrid w:val="0"/>
        <w:rPr>
          <w:sz w:val="28"/>
          <w:rFonts w:hint="eastAsia" w:cs="Times New Roman" w:hAnsi="Times New Roman" w:ascii="Times New Roman"/>
        </w:rPr>
      </w:pPr>
      <w:r>
        <w:rPr>
          <w:sz w:val="28"/>
          <w:rFonts w:hint="eastAsia" w:cs="Times New Roman" w:hAnsi="Times New Roman" w:ascii="Times New Roman"/>
        </w:rPr>
      </w:r>
    </w:p>
    <w:p w:rsidR="2E485707" w:rsidRDefault="2E485707">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In short, entering the German market is not only a business adventure for British companies, but also a friction and learning between different cultures.</w:t>
      </w:r>
    </w:p>
    <w:p w:rsidR="2E485707" w:rsidRDefault="2E485707">
      <w:pPr>
        <w:snapToGrid w:val="0"/>
        <w:rPr>
          <w:sz w:val="28"/>
          <w:rFonts w:hint="eastAsia" w:cs="Times New Roman" w:hAnsi="Times New Roman" w:ascii="Times New Roman"/>
        </w:rPr>
      </w:pPr>
      <w:r>
        <w:rPr>
          <w:sz w:val="28"/>
          <w:rFonts w:hint="eastAsia" w:cs="Times New Roman" w:hAnsi="Times New Roman" w:ascii="Times New Roman"/>
        </w:rPr>
      </w:r>
    </w:p>
    <w:p w:rsidR="2E485707" w:rsidRDefault="2E485707">
      <w:pPr>
        <w:snapToGrid w:val="0"/>
        <w:rPr>
          <w:sz w:val="28"/>
          <w:rFonts w:hint="eastAsia" w:cs="Times New Roman" w:hAnsi="Times New Roman" w:ascii="Times New Roman"/>
        </w:rPr>
      </w:pPr>
      <w:r>
        <w:rPr>
          <w:sz w:val="28"/>
          <w:rFonts w:hint="eastAsia" w:cs="Times New Roman" w:hAnsi="Times New Roman" w:ascii="Times New Roman"/>
        </w:rPr>
      </w:r>
    </w:p>
    <w:p w14:paraId="FF433D2A" w14:textId="014EDE3F" w:rsidR="715FC5AA" w:rsidRPr="715FC5AA" w:rsidRDefault="715FC5AA" w:rsidP="715FC5AA">
      <w:pPr>
        <w:snapToGrid w:val="0"/>
        <w:rPr>
          <w:sz w:val="28"/>
          <w:rFonts w:hint="eastAsia" w:cs="Times New Roman" w:hAnsi="Times New Roman" w:ascii="Times New Roman"/>
        </w:rPr>
      </w:pPr>
      <w:r>
        <w:rPr>
          <w:sz w:val="28"/>
          <w:rFonts w:hint="eastAsia" w:cs="Times New Roman" w:hAnsi="Times New Roman" w:ascii="Times New Roman"/>
        </w:rPr>
        <w:t xml:space="preserve">6.0 Reference</w:t>
      </w:r>
    </w:p>
    <w:p w:rsidR="715FC5AA" w:rsidRDefault="715FC5AA">
      <w:pPr>
        <w:snapToGrid w:val="0"/>
        <w:rPr>
          <w:sz w:val="28"/>
          <w:rFonts w:hint="eastAsia" w:cs="Times New Roman" w:hAnsi="Times New Roman" w:ascii="Times New Roman"/>
        </w:rPr>
      </w:pPr>
      <w:r>
        <w:rPr>
          <w:sz w:val="28"/>
          <w:rFonts w:hint="eastAsia" w:cs="Times New Roman" w:hAnsi="Times New Roman" w:ascii="Times New Roman"/>
        </w:rPr>
      </w:r>
    </w:p>
    <w:p w:rsidR="715FC5AA" w:rsidRDefault="715FC5AA">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 Adler, N. J., &amp; Gundersen, A. (2008). International dimensions of organizational behavior (5th ed.). Thomson South-Western.</w:t>
      </w:r>
    </w:p>
    <w:p w:rsidR="715FC5AA" w:rsidRDefault="715FC5AA">
      <w:pPr>
        <w:snapToGrid w:val="0"/>
        <w:rPr>
          <w:sz w:val="28"/>
          <w:rFonts w:hint="eastAsia" w:cs="Times New Roman" w:hAnsi="Times New Roman" w:ascii="Times New Roman"/>
        </w:rPr>
      </w:pPr>
      <w:r>
        <w:rPr>
          <w:sz w:val="28"/>
          <w:rFonts w:hint="eastAsia" w:cs="Times New Roman" w:hAnsi="Times New Roman" w:ascii="Times New Roman"/>
        </w:rPr>
      </w:r>
    </w:p>
    <w:p w14:paraId="63CD6EFA" w14:textId="7F2809FC" w:rsidR="442B66E9" w:rsidRPr="442B66E9" w:rsidRDefault="442B66E9" w:rsidP="442B66E9">
      <w:pPr>
        <w:snapToGrid w:val="0"/>
        <w:rPr>
          <w:sz w:val="28"/>
          <w:rFonts w:hint="eastAsia" w:cs="Times New Roman" w:hAnsi="Times New Roman" w:ascii="Times New Roman"/>
        </w:rPr>
      </w:pPr>
      <w:r>
        <w:rPr>
          <w:sz w:val="28"/>
          <w:rFonts w:hint="eastAsia" w:cs="Times New Roman" w:hAnsi="Times New Roman" w:ascii="Times New Roman"/>
        </w:rPr>
        <w:t>2. Chen, G. M., &amp; Starosta, W. J. (2005). Foundations of intercultural communication. University Press of America.</w:t>
      </w:r>
    </w:p>
    <w:p w:rsidR="442B66E9" w:rsidRDefault="442B66E9">
      <w:pPr>
        <w:snapToGrid w:val="0"/>
        <w:rPr>
          <w:sz w:val="28"/>
          <w:rFonts w:hint="eastAsia" w:cs="Times New Roman" w:hAnsi="Times New Roman" w:ascii="Times New Roman"/>
        </w:rPr>
      </w:pPr>
      <w:r>
        <w:rPr>
          <w:sz w:val="28"/>
          <w:rFonts w:hint="eastAsia" w:cs="Times New Roman" w:hAnsi="Times New Roman" w:ascii="Times New Roman"/>
        </w:rPr>
      </w:r>
    </w:p>
    <w:p w14:paraId="2FAB53E9" w14:textId="6549ADC0" w:rsidR="B116C44A" w:rsidRPr="B116C44A" w:rsidRDefault="B116C44A" w:rsidP="B116C44A">
      <w:pPr>
        <w:snapToGrid w:val="0"/>
        <w:rPr>
          <w:sz w:val="28"/>
          <w:rFonts w:hint="eastAsia" w:cs="Times New Roman" w:hAnsi="Times New Roman" w:ascii="Times New Roman"/>
        </w:rPr>
      </w:pPr>
      <w:r>
        <w:rPr>
          <w:sz w:val="28"/>
          <w:rFonts w:hint="eastAsia" w:cs="Times New Roman" w:hAnsi="Times New Roman" w:ascii="Times New Roman"/>
        </w:rPr>
        <w:t>3. Czinkota, M. R., Ronkainen, I. A., &amp; Gupta, S. (2021). International business (9th ed.). Cambridge University Press.</w:t>
      </w:r>
    </w:p>
    <w:p w:rsidR="B116C44A" w:rsidRDefault="B116C44A">
      <w:pPr>
        <w:snapToGrid w:val="0"/>
        <w:rPr>
          <w:sz w:val="28"/>
          <w:rFonts w:hint="eastAsia" w:cs="Times New Roman" w:hAnsi="Times New Roman" w:ascii="Times New Roman"/>
        </w:rPr>
      </w:pPr>
      <w:r>
        <w:rPr>
          <w:sz w:val="28"/>
          <w:rFonts w:hint="eastAsia" w:cs="Times New Roman" w:hAnsi="Times New Roman" w:ascii="Times New Roman"/>
        </w:rPr>
      </w:r>
    </w:p>
    <w:p w14:paraId="3C4E5460" w14:textId="838F0BD5" w:rsidR="7BDE4511" w:rsidRPr="7BDE4511" w:rsidRDefault="7BDE4511" w:rsidP="7BDE4511">
      <w:pPr>
        <w:snapToGrid w:val="0"/>
        <w:rPr>
          <w:sz w:val="28"/>
          <w:rFonts w:hint="eastAsia" w:cs="Times New Roman" w:hAnsi="Times New Roman" w:ascii="Times New Roman"/>
        </w:rPr>
      </w:pPr>
      <w:r>
        <w:rPr>
          <w:sz w:val="28"/>
          <w:rFonts w:hint="eastAsia" w:cs="Times New Roman" w:hAnsi="Times New Roman" w:ascii="Times New Roman"/>
        </w:rPr>
        <w:t>4. Deresky, H. (2017). International management: Managing across borders and cultures (9th ed.). Pearson.</w:t>
      </w:r>
    </w:p>
    <w:p w:rsidR="7BDE4511" w:rsidRDefault="7BDE4511">
      <w:pPr>
        <w:snapToGrid w:val="0"/>
        <w:rPr>
          <w:sz w:val="28"/>
          <w:rFonts w:hint="eastAsia" w:cs="Times New Roman" w:hAnsi="Times New Roman" w:ascii="Times New Roman"/>
        </w:rPr>
      </w:pPr>
      <w:r>
        <w:rPr>
          <w:sz w:val="28"/>
          <w:rFonts w:hint="eastAsia" w:cs="Times New Roman" w:hAnsi="Times New Roman" w:ascii="Times New Roman"/>
        </w:rPr>
      </w:r>
    </w:p>
    <w:p w14:paraId="F1ACEC9B" w14:textId="E9A8DDE0" w:rsidR="3895B8E7" w:rsidRPr="3895B8E7" w:rsidRDefault="3895B8E7" w:rsidP="3895B8E7">
      <w:pPr>
        <w:snapToGrid w:val="0"/>
        <w:rPr>
          <w:sz w:val="28"/>
          <w:rFonts w:hint="eastAsia" w:cs="Times New Roman" w:hAnsi="Times New Roman" w:ascii="Times New Roman"/>
        </w:rPr>
      </w:pPr>
      <w:r>
        <w:rPr>
          <w:sz w:val="28"/>
          <w:rFonts w:hint="eastAsia" w:cs="Times New Roman" w:hAnsi="Times New Roman" w:ascii="Times New Roman"/>
        </w:rPr>
        <w:t>5. Fang, T. (2003). A critique of Hofstede’s fifth national culture dimension. International Journal of Cross Cultural Management, 3(3), 347-368.</w:t>
      </w:r>
    </w:p>
    <w:p w14:paraId="0040C1A3" w14:textId="263BC0BF" w:rsidR="923B5F90" w:rsidRPr="923B5F90" w:rsidRDefault="923B5F90" w:rsidP="923B5F90">
      <w:pPr>
        <w:snapToGrid w:val="0"/>
        <w:rPr>
          <w:sz w:val="28"/>
          <w:rFonts w:hint="eastAsia" w:cs="Times New Roman" w:hAnsi="Times New Roman" w:ascii="Times New Roman"/>
        </w:rPr>
      </w:pPr>
    </w:p>
    <w:p w:rsidR="923B5F90" w:rsidRDefault="923B5F90">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6. Gesteland, R. R. (2012). Cross-cultural business behavior: A guide for global management (5th ed.). Copenhagen Business School Press.</w:t>
      </w:r>
    </w:p>
    <w:p w:rsidR="923B5F90" w:rsidRDefault="923B5F90">
      <w:pPr>
        <w:snapToGrid w:val="0"/>
        <w:rPr>
          <w:sz w:val="28"/>
          <w:rFonts w:hint="eastAsia" w:cs="Times New Roman" w:hAnsi="Times New Roman" w:ascii="Times New Roman"/>
        </w:rPr>
      </w:pPr>
      <w:r>
        <w:rPr>
          <w:sz w:val="28"/>
          <w:rFonts w:hint="eastAsia" w:cs="Times New Roman" w:hAnsi="Times New Roman" w:ascii="Times New Roman"/>
        </w:rPr>
      </w:r>
    </w:p>
    <w:p w14:paraId="717765A5" w14:textId="CA4C2E9C" w:rsidR="6593E039" w:rsidRPr="6593E039" w:rsidRDefault="6593E039" w:rsidP="6593E039">
      <w:pPr>
        <w:snapToGrid w:val="0"/>
        <w:rPr>
          <w:sz w:val="28"/>
          <w:rFonts w:hint="eastAsia" w:cs="Times New Roman" w:hAnsi="Times New Roman" w:ascii="Times New Roman"/>
        </w:rPr>
      </w:pPr>
      <w:r>
        <w:rPr>
          <w:sz w:val="28"/>
          <w:rFonts w:hint="eastAsia" w:cs="Times New Roman" w:hAnsi="Times New Roman" w:ascii="Times New Roman"/>
        </w:rPr>
        <w:t>7. Gudykunst, W. B., &amp; Kim, Y. Y. (2003). Communicating with strangers: An approach to intercultural communication (4th ed.). McGraw-Hill.</w:t>
      </w:r>
    </w:p>
    <w:p w:rsidR="6593E039" w:rsidRDefault="6593E039">
      <w:pPr>
        <w:snapToGrid w:val="0"/>
        <w:rPr>
          <w:sz w:val="28"/>
          <w:rFonts w:hint="eastAsia" w:cs="Times New Roman" w:hAnsi="Times New Roman" w:ascii="Times New Roman"/>
        </w:rPr>
      </w:pPr>
      <w:r>
        <w:rPr>
          <w:sz w:val="28"/>
          <w:rFonts w:hint="eastAsia" w:cs="Times New Roman" w:hAnsi="Times New Roman" w:ascii="Times New Roman"/>
        </w:rPr>
      </w:r>
    </w:p>
    <w:p w14:paraId="36D76CB3" w14:textId="C47C3C47" w:rsidR="4CFAFE4D" w:rsidRPr="4CFAFE4D" w:rsidRDefault="4CFAFE4D" w:rsidP="4CFAFE4D">
      <w:pPr>
        <w:snapToGrid w:val="0"/>
        <w:rPr>
          <w:sz w:val="28"/>
          <w:rFonts w:hint="eastAsia" w:cs="Times New Roman" w:hAnsi="Times New Roman" w:ascii="Times New Roman"/>
        </w:rPr>
      </w:pPr>
      <w:r>
        <w:rPr>
          <w:sz w:val="28"/>
          <w:rFonts w:hint="eastAsia" w:cs="Times New Roman" w:hAnsi="Times New Roman" w:ascii="Times New Roman"/>
        </w:rPr>
        <w:t>8. Hall, E. T. (1976). Beyond culture. Anchor Books.</w:t>
      </w:r>
    </w:p>
    <w:p w14:paraId="05052214" w14:textId="825B577D" w:rsidR="27466606" w:rsidRPr="27466606" w:rsidRDefault="27466606" w:rsidP="27466606">
      <w:pPr>
        <w:snapToGrid w:val="0"/>
        <w:rPr>
          <w:sz w:val="28"/>
          <w:rFonts w:hint="eastAsia" w:cs="Times New Roman" w:hAnsi="Times New Roman" w:ascii="Times New Roman"/>
        </w:rPr>
      </w:pPr>
    </w:p>
    <w:p w:rsidR="27466606" w:rsidRDefault="27466606">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9. Hampden-Turner, C., &amp; Trompenaars, F. (2000). Building cross-cultural competence: How to create wealth from conflicting values. Yale University Press.</w:t>
      </w:r>
    </w:p>
    <w:p w14:paraId="0BEE0688" w14:textId="CC096F8D" w:rsidR="2875A1F5" w:rsidRPr="2875A1F5" w:rsidRDefault="2875A1F5" w:rsidP="2875A1F5">
      <w:pPr>
        <w:snapToGrid w:val="0"/>
        <w:rPr>
          <w:sz w:val="28"/>
          <w:rFonts w:hint="eastAsia" w:cs="Times New Roman" w:hAnsi="Times New Roman" w:ascii="Times New Roman"/>
        </w:rPr>
      </w:pPr>
    </w:p>
    <w:p w:rsidR="2875A1F5" w:rsidRDefault="2875A1F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10. Hofstede, G., Hofstede, G. J., &amp; Minkov, M. (2010). Cultures and organizations: Software of the mind (3rd ed.). McGraw-Hill.</w:t>
      </w:r>
    </w:p>
    <w:p w14:paraId="EF9163B6" w14:textId="4180DBAE" w:rsidR="343E757F" w:rsidRPr="343E757F" w:rsidRDefault="343E757F" w:rsidP="343E757F">
      <w:pPr>
        <w:snapToGrid w:val="0"/>
        <w:rPr>
          <w:sz w:val="28"/>
          <w:rFonts w:hint="eastAsia" w:cs="Times New Roman" w:hAnsi="Times New Roman" w:ascii="Times New Roman"/>
        </w:rPr>
      </w:pPr>
    </w:p>
    <w:p w:rsidR="343E757F" w:rsidRDefault="343E757F">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11. House, R. J., Hanges, P. J., Javidan, M., Dorfman, P. W., &amp; Gupta, V. (Eds.). (2004). Culture, leadership, and organizations: The GLOBE study of 62 societies. Sage Publications.</w:t>
      </w:r>
    </w:p>
    <w:p w14:paraId="D8FE8BFA" w14:textId="E5D3B410" w:rsidR="76EA9DB7" w:rsidRPr="76EA9DB7" w:rsidRDefault="76EA9DB7" w:rsidP="76EA9DB7">
      <w:pPr>
        <w:snapToGrid w:val="0"/>
        <w:rPr>
          <w:sz w:val="28"/>
          <w:rFonts w:hint="eastAsia" w:cs="Times New Roman" w:hAnsi="Times New Roman" w:ascii="Times New Roman"/>
        </w:rPr>
      </w:pPr>
    </w:p>
    <w:p w:rsidR="76EA9DB7" w:rsidRDefault="76EA9DB7">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12. Jandt, F. E. (2018). An introduction to intercultural communication: Identities in a global community (9th ed.). Sage Publications.</w:t>
      </w:r>
    </w:p>
    <w:p w14:paraId="B8D54689" w14:textId="2FE84A7F" w:rsidR="C661F187" w:rsidRPr="C661F187" w:rsidRDefault="C661F187" w:rsidP="C661F187">
      <w:pPr>
        <w:snapToGrid w:val="0"/>
        <w:rPr>
          <w:sz w:val="28"/>
          <w:rFonts w:hint="eastAsia" w:cs="Times New Roman" w:hAnsi="Times New Roman" w:ascii="Times New Roman"/>
        </w:rPr>
      </w:pPr>
    </w:p>
    <w:p w:rsidR="C661F187" w:rsidRDefault="C661F187">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13. Lewis, R. D. (2006). When cultures collide: Leading across cultures (3rd ed.). Nicholas Brealey Publishing.</w:t>
      </w:r>
    </w:p>
    <w:p w14:paraId="8CAE24C4" w14:textId="2264885A" w:rsidR="809FE37D" w:rsidRPr="809FE37D" w:rsidRDefault="809FE37D" w:rsidP="809FE37D">
      <w:pPr>
        <w:snapToGrid w:val="0"/>
        <w:rPr>
          <w:sz w:val="28"/>
          <w:rFonts w:hint="eastAsia" w:cs="Times New Roman" w:hAnsi="Times New Roman" w:ascii="Times New Roman"/>
        </w:rPr>
      </w:pPr>
    </w:p>
    <w:p w:rsidR="809FE37D" w:rsidRDefault="809FE37D">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14. Lustig, M. W., &amp; Koester, J. (2013). Intercultural competence: Interpersonal communication across cultures (7th ed.). Pearson.</w:t>
      </w:r>
    </w:p>
    <w:p w14:paraId="51FABAFA" w14:textId="615D8509" w:rsidR="AD06B915" w:rsidRPr="AD06B915" w:rsidRDefault="AD06B915" w:rsidP="AD06B915">
      <w:pPr>
        <w:snapToGrid w:val="0"/>
        <w:rPr>
          <w:sz w:val="28"/>
          <w:rFonts w:hint="eastAsia" w:cs="Times New Roman" w:hAnsi="Times New Roman" w:ascii="Times New Roman"/>
        </w:rPr>
      </w:pPr>
    </w:p>
    <w:p w:rsidR="AD06B915" w:rsidRDefault="AD06B915">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15. Luthans, F., &amp; Doh, J. P. (2021). International management: Culture, strategy, and behavior (12th ed.). McGraw-Hill.</w:t>
      </w:r>
    </w:p>
    <w:p w14:paraId="4C82E437" w14:textId="E3D0B12C" w:rsidR="0EA58069" w:rsidRPr="0EA58069" w:rsidRDefault="0EA58069" w:rsidP="0EA58069">
      <w:pPr>
        <w:snapToGrid w:val="0"/>
        <w:rPr>
          <w:sz w:val="28"/>
          <w:rFonts w:hint="eastAsia" w:cs="Times New Roman" w:hAnsi="Times New Roman" w:ascii="Times New Roman"/>
        </w:rPr>
      </w:pPr>
    </w:p>
    <w:p w:rsidR="0EA58069" w:rsidRDefault="0EA58069">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16. Meyer, E. (2014). The culture map: Breaking through the invisible boundaries of global business. PublicAffairs.</w:t>
      </w:r>
    </w:p>
    <w:p w14:paraId="5A432B51" w14:textId="14517D7D" w:rsidR="2B2873A8" w:rsidRPr="2B2873A8" w:rsidRDefault="2B2873A8" w:rsidP="2B2873A8">
      <w:pPr>
        <w:snapToGrid w:val="0"/>
        <w:rPr>
          <w:sz w:val="28"/>
          <w:rFonts w:hint="eastAsia" w:cs="Times New Roman" w:hAnsi="Times New Roman" w:ascii="Times New Roman"/>
        </w:rPr>
      </w:pPr>
    </w:p>
    <w:p w:rsidR="2B2873A8" w:rsidRDefault="2B2873A8">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17. Nardon, L., &amp; Steers,  R. M. (2009). The culture theory jungle: Divergence and convergence in models of national culture. In Cambridge handbook of culture, organizations, and work (pp. 3-22). Cambridge University Press.</w:t>
      </w:r>
    </w:p>
    <w:p w14:paraId="88A6964D" w14:textId="F0C69DBC" w:rsidR="7CADE167" w:rsidRPr="7CADE167" w:rsidRDefault="7CADE167" w:rsidP="7CADE167">
      <w:pPr>
        <w:snapToGrid w:val="0"/>
        <w:rPr>
          <w:sz w:val="28"/>
          <w:rFonts w:hint="eastAsia" w:cs="Times New Roman" w:hAnsi="Times New Roman" w:ascii="Times New Roman"/>
        </w:rPr>
      </w:pPr>
    </w:p>
    <w:p w:rsidR="7CADE167" w:rsidRDefault="7CADE167">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18. Schneider, S. C., &amp; Barsoux, J. L. (2003). Managing across cultures (2nd ed.). Pearson Education.</w:t>
      </w:r>
    </w:p>
    <w:p w14:paraId="42F754A9" w14:textId="1DBE1647" w:rsidR="ED69BFD4" w:rsidRPr="ED69BFD4" w:rsidRDefault="ED69BFD4" w:rsidP="ED69BFD4">
      <w:pPr>
        <w:snapToGrid w:val="0"/>
        <w:rPr>
          <w:sz w:val="28"/>
          <w:rFonts w:hint="eastAsia" w:cs="Times New Roman" w:hAnsi="Times New Roman" w:ascii="Times New Roman"/>
        </w:rPr>
      </w:pPr>
    </w:p>
    <w:p w:rsidR="ED69BFD4" w:rsidRDefault="ED69BFD4">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19. Storti, C. (2007). Speaking of India: Bridging the communication gap when working with Indians. Intercultural Press.</w:t>
      </w:r>
    </w:p>
    <w:p w14:paraId="BD8B8239" w14:textId="546B3295" w:rsidR="4861FD6C" w:rsidRPr="4861FD6C" w:rsidRDefault="4861FD6C" w:rsidP="4861FD6C">
      <w:pPr>
        <w:snapToGrid w:val="0"/>
        <w:rPr>
          <w:sz w:val="28"/>
          <w:rFonts w:hint="eastAsia" w:cs="Times New Roman" w:hAnsi="Times New Roman" w:ascii="Times New Roman"/>
        </w:rPr>
      </w:pPr>
    </w:p>
    <w:p w:rsidR="4861FD6C" w:rsidRDefault="4861FD6C">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20. Thomas, D. C., &amp; Peterson, M. F. (2018). Cross-cultural management: Essential concepts (4th ed.). Sage Publications.</w:t>
      </w:r>
    </w:p>
    <w:p w14:paraId="FF4E8F0A" w14:textId="C593AEBB" w:rsidR="6F95D2BD" w:rsidRPr="6F95D2BD" w:rsidRDefault="6F95D2BD" w:rsidP="6F95D2BD">
      <w:pPr>
        <w:snapToGrid w:val="0"/>
        <w:rPr>
          <w:sz w:val="28"/>
          <w:rFonts w:hint="eastAsia" w:cs="Times New Roman" w:hAnsi="Times New Roman" w:ascii="Times New Roman"/>
        </w:rPr>
      </w:pPr>
    </w:p>
    <w:p w:rsidR="6F95D2BD" w:rsidRDefault="6F95D2BD">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21. Ting-Toomey, S., &amp; Chung, L. C. (2012). Understanding intercultural communication (2nd ed.). Oxford University Press.</w:t>
      </w:r>
    </w:p>
    <w:p w14:paraId="A423B688" w14:textId="C6517E0A" w:rsidR="F1F2A05F" w:rsidRPr="F1F2A05F" w:rsidRDefault="F1F2A05F" w:rsidP="F1F2A05F">
      <w:pPr>
        <w:snapToGrid w:val="0"/>
        <w:rPr>
          <w:sz w:val="28"/>
          <w:rFonts w:hint="eastAsia" w:cs="Times New Roman" w:hAnsi="Times New Roman" w:ascii="Times New Roman"/>
        </w:rPr>
      </w:pPr>
    </w:p>
    <w:p w:rsidR="F1F2A05F" w:rsidRDefault="F1F2A05F">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22. Trompenaars, F., &amp; Hampden-Turner, C. (2012). Riding the waves of culture: Understanding diversity in global business (3rd ed.). Nicholas Brealey Publishing.</w:t>
      </w:r>
    </w:p>
    <w:p w14:paraId="56DF26CD" w14:textId="0406F7EF" w:rsidR="9D72CBEF" w:rsidRPr="9D72CBEF" w:rsidRDefault="9D72CBEF" w:rsidP="9D72CBEF">
      <w:pPr>
        <w:snapToGrid w:val="0"/>
        <w:rPr>
          <w:sz w:val="28"/>
          <w:rFonts w:hint="eastAsia" w:cs="Times New Roman" w:hAnsi="Times New Roman" w:ascii="Times New Roman"/>
        </w:rPr>
      </w:pPr>
    </w:p>
    <w:p w:rsidR="9D72CBEF" w:rsidRDefault="9D72CBEF">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23. Usunier, J. C., &amp; Lee, J. A. (2013). Marketing across cultures (6th ed.). Pearson Education.</w:t>
      </w:r>
    </w:p>
    <w:p w14:paraId="C23217EB" w14:textId="481158FD" w:rsidR="0BEB6587" w:rsidRPr="0BEB6587" w:rsidRDefault="0BEB6587" w:rsidP="0BEB6587">
      <w:pPr>
        <w:snapToGrid w:val="0"/>
        <w:rPr>
          <w:sz w:val="28"/>
          <w:rFonts w:hint="eastAsia" w:cs="Times New Roman" w:hAnsi="Times New Roman" w:ascii="Times New Roman"/>
        </w:rPr>
      </w:pPr>
    </w:p>
    <w:p w:rsidR="0BEB6587" w:rsidRDefault="0BEB6587">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24. Varner, I., &amp; Beamer, L. (2011). Intercultural communication in the global workplace (5th ed.). McGraw-Hill/Irwin.</w:t>
      </w:r>
    </w:p>
    <w:p w14:paraId="6EBDA2FF" w14:textId="4B52C478" w:rsidR="0028768E" w:rsidRPr="00F54202" w:rsidRDefault="0028768E" w:rsidP="005533ED">
      <w:pPr>
        <w:snapToGrid w:val="0"/>
        <w:rPr>
          <w:sz w:val="28"/>
          <w:rFonts w:hint="eastAsia" w:cs="Times New Roman" w:hAnsi="Times New Roman" w:ascii="Times New Roman"/>
        </w:rPr>
      </w:pPr>
    </w:p>
    <w:p w:rsidR="0028768E" w:rsidRDefault="0028768E">
      <w:pPr>
        <w:snapToGrid w:val="0"/>
        <w:rPr>
          <w:sz w:val="28"/>
          <w:rFonts w:hint="eastAsia" w:cs="Times New Roman" w:hAnsi="Times New Roman" w:ascii="Times New Roman"/>
        </w:rPr>
      </w:pPr>
      <w:r>
        <w:rPr>
          <w:sz w:val="28"/>
          <w:rFonts w:hint="eastAsia" w:cs="Times New Roman" w:hAnsi="Times New Roman" w:ascii="Times New Roman"/>
        </w:rPr>
      </w:r>
      <w:r>
        <w:rPr>
          <w:sz w:val="28"/>
          <w:rFonts w:hint="eastAsia" w:cs="Times New Roman" w:hAnsi="Times New Roman" w:ascii="Times New Roman"/>
        </w:rPr>
        <w:t>25. International Journal of Business Communication. (Various Issues). Sage Publications.</w:t>
      </w:r>
    </w:p>
    <w:sectPr w:rsidRPr="00F54202" w:rsidR="0028768E" w:rsidSect="000E1712">
      <w:docGrid w:type="lines" w:linePitch="312"/>
      <w:pgSz w:w="11900" w:h="16840"/>
      <w:pgMar w:top="1440" w:right="1800" w:bottom="1440" w:left="1800" w:header="851" w:footer="992" w:gutter="0"/>
      <w:cols w:space="425"/>
    </w:sectPr>
  </w:body>
</w:document>
</file>

<file path=word/fontTable.xml><?xml version="1.0" encoding="utf-8"?>
<w:fonts xmlns:w16se="http://schemas.microsoft.com/office/word/2015/wordml/symex" xmlns:w15="http://schemas.microsoft.com/office/word/2012/wordml" xmlns:w16cex="http://schemas.microsoft.com/office/word/2018/wordml/cex" xmlns:w="http://schemas.openxmlformats.org/wordprocessingml/2006/main" xmlns:w16cid="http://schemas.microsoft.com/office/word/2016/wordml/cid" xmlns:w14="http://schemas.microsoft.com/office/word/2010/wordml" xmlns:r="http://schemas.openxmlformats.org/officeDocument/2006/relationships" xmlns:w16="http://schemas.microsoft.com/office/word/2018/wordml" xmlns:mc="http://schemas.openxmlformats.org/markup-compatibility/2006"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sl="http://schemas.openxmlformats.org/schemaLibrary/2006/main" xmlns:v="urn:schemas-microsoft-com:vml" xmlns:w16se="http://schemas.microsoft.com/office/word/2015/wordml/symex" xmlns:w15="http://schemas.microsoft.com/office/word/2012/wordml" xmlns:w16cid="http://schemas.microsoft.com/office/word/2016/wordml/cid" xmlns:w14="http://schemas.microsoft.com/office/word/2010/wordml" xmlns:w10="urn:schemas-microsoft-com:office:word" xmlns:r="http://schemas.openxmlformats.org/officeDocument/2006/relationships" xmlns:o="urn:schemas-microsoft-com:office:office" xmlns:m="http://schemas.openxmlformats.org/officeDocument/2006/math" xmlns:w16cex="http://schemas.microsoft.com/office/word/2018/wordml/cex" xmlns:w="http://schemas.openxmlformats.org/wordprocessingml/2006/main" xmlns:w16="http://schemas.microsoft.com/office/word/2018/wordml" xmlns:mc="http://schemas.openxmlformats.org/markup-compatibility/2006" mc:Ignorable="w14 w15 w16se w16cid w16 w16cex">
  <w:bordersDoNotSurroundHeader/>
  <w:bordersDoNotSurroundFooter/>
  <w:proofState w:grammar="clean" w:spelling="clean"/>
  <w:defaultTabStop w:val="420"/>
  <w:drawingGridVerticalSpacing w:val="156"/>
  <w:displayHorizontalDrawingGridEvery w:val="0"/>
  <w:displayVerticalDrawingGridEvery w:val="2"/>
  <w:characterSpacingControl w:val="compressPunctuation"/>
  <w:zoom w:percent="174"/>
  <w:compat>
    <w:spaceForUL/>
    <w:balanceSingleByteDoubleByteWidth/>
    <w:doNotLeaveBackslashAlone/>
    <w:ulTrailSpace/>
    <w:doNotExpandShiftReturn/>
    <w:adjustLineHeightInTable/>
    <w:useFELayout/>
    <w:compatSetting w:val="15"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Setting w:val="1" w:uri="http://schemas.microsoft.com/office/word" w:name="differentiateMultirowTableHeaders"/>
    <w:compatSetting w:val="0" w:uri="http://schemas.microsoft.com/office/word" w:name="useWord2013TrackBottomHyphenation"/>
  </w:compat>
  <w:rsids>
    <w:rsidRoot w:val="00702569"/>
    <w:rsid w:val="000E1712"/>
    <w:rsid w:val="0028768E"/>
    <w:rsid w:val="005533ED"/>
    <w:rsid w:val="00702569"/>
    <w:rsid w:val="0089293C"/>
    <w:rsid w:val="00B176CB"/>
    <w:rsid w:val="00F54202"/>
  </w:rsids>
  <m:mathPr>
    <m:mathFont val="Cambria Math"/>
    <m:brkBin val="before"/>
    <m:brkBinSub val="--"/>
    <m:smallFrac val="0"/>
    <m:dispDef/>
    <m:lMargin val="0"/>
    <m:rMargin val="0"/>
    <m:defJc val="centerGroup"/>
    <m:wrapIndent val="1440"/>
    <m:intLim val="subSup"/>
    <m:naryLim val="undOvr"/>
  </m:mathPr>
  <w:themeFontLang w:eastAsia="zh-CN" w:val="en-US"/>
  <w:clrSchemeMapping w:bg1="lt1" w:t1="dark1" w:bg2="lt2" w:t2="dark2" w:accent1="accent1" w:accent2="accent2" w:accent3="accent3" w:accent4="accent4" w:accent5="accent5" w:accent6="accent6" w:hyperlink="hyperlink" w:followedHyperlink="followedHyperlink" tx1="dk1" tx2="dk2"/>
  <w:decimalSymbol w:val="."/>
  <w:listSeparator w:val=","/>
  <w14:docId w14:val="66C8AB2E"/>
  <w15:chartTrackingRefBased/>
  <w15:docId w15:val="{A247B957-58FB-784F-89D1-15990B0AB4A6}"/>
</w:settings>
</file>

<file path=word/styles.xml><?xml version="1.0" encoding="utf-8"?>
<w:styles xmlns:w16se="http://schemas.microsoft.com/office/word/2015/wordml/symex" xmlns:w15="http://schemas.microsoft.com/office/word/2012/wordml" xmlns:w16cex="http://schemas.microsoft.com/office/word/2018/wordml/cex" xmlns:w="http://schemas.openxmlformats.org/wordprocessingml/2006/main" xmlns:w16cid="http://schemas.microsoft.com/office/word/2016/wordml/cid" xmlns:w14="http://schemas.microsoft.com/office/word/2010/wordml" xmlns:r="http://schemas.openxmlformats.org/officeDocument/2006/relationships" xmlns:w16="http://schemas.microsoft.com/office/word/2018/wordml" xmlns:mc="http://schemas.openxmlformats.org/markup-compatibility/2006" mc:Ignorable="w14 w15 w16se w16cid w16 w16cex">
  <w:docDefaults>
    <w:rPrDefault>
      <w:rPr>
        <w:sz w:val="21"/>
        <w:lang w:val="en-US" w:eastAsia="zh-CN" w:bidi="ar-SA"/>
        <w:kern w:val="2"/>
        <w:szCs w:val="24"/>
        <w:rFonts w:asciiTheme="minorHAnsi" w:hAnsiTheme="minorHAnsi" w:eastAsiaTheme="minorEastAsia" w:cstheme="minorBidi"/>
      </w:rPr>
    </w:rPrDefault>
    <w:pPrDefault/>
  </w:docDefaults>
  <w:latentStyles w:defLockedState="0" w:defSemiHidden="0" w:defUnhideWhenUsed="0" w:defQFormat="0" w:defUIPriority="99" w:count="376">
    <w:lsdException w:name="Balloon Text" w:semiHidden="1" w:unhideWhenUsed="1"/>
    <w:lsdException w:name="Bibliography" w:semiHidden="1" w:unhideWhenUsed="1"/>
    <w:lsdException w:name="Block Text" w:semiHidden="1" w:unhideWhenUsed="1"/>
    <w:lsdException w:name="Body Text" w:semiHidden="1" w:unhideWhenUsed="1"/>
    <w:lsdException w:name="Body Text 2" w:semiHidden="1" w:unhideWhenUsed="1"/>
    <w:lsdException w:name="Body Text 3" w:semiHidden="1" w:unhideWhenUsed="1"/>
    <w:lsdException w:name="Body Text First Indent" w:semiHidden="1" w:unhideWhenUsed="1"/>
    <w:lsdException w:name="Body Text First Indent 2" w:semiHidden="1" w:unhideWhenUsed="1"/>
    <w:lsdException w:name="Body Text Indent" w:semiHidden="1" w:unhideWhenUsed="1"/>
    <w:lsdException w:name="Body Text Indent 2" w:semiHidden="1" w:unhideWhenUsed="1"/>
    <w:lsdException w:name="Body Text Indent 3" w:semiHidden="1" w:unhideWhenUsed="1"/>
    <w:lsdException w:name="Book Title"/>
    <w:lsdException w:name="Closing" w:semiHidden="1" w:unhideWhenUsed="1"/>
    <w:lsdException w:name="Colorful Grid"/>
    <w:lsdException w:name="Colorful Grid Accent 1"/>
    <w:lsdException w:name="Colorful Grid Accent 2"/>
    <w:lsdException w:name="Colorful Grid Accent 3"/>
    <w:lsdException w:name="Colorful Grid Accent 4"/>
    <w:lsdException w:name="Colorful Grid Accent 5"/>
    <w:lsdException w:name="Colorful Grid Accent 6"/>
    <w:lsdException w:name="Colorful List"/>
    <w:lsdException w:name="Colorful List Accent 1"/>
    <w:lsdException w:name="Colorful List Accent 2"/>
    <w:lsdException w:name="Colorful List Accent 3"/>
    <w:lsdException w:name="Colorful List Accent 4"/>
    <w:lsdException w:name="Colorful List Accent 5"/>
    <w:lsdException w:name="Colorful List Accent 6"/>
    <w:lsdException w:name="Colorful Shading"/>
    <w:lsdException w:name="Colorful Shading Accent 1"/>
    <w:lsdException w:name="Colorful Shading Accent 2"/>
    <w:lsdException w:name="Colorful Shading Accent 3"/>
    <w:lsdException w:name="Colorful Shading Accent 4"/>
    <w:lsdException w:name="Colorful Shading Accent 5"/>
    <w:lsdException w:name="Colorful Shading Accent 6"/>
    <w:lsdException w:name="Dark List"/>
    <w:lsdException w:name="Dark List Accent 1"/>
    <w:lsdException w:name="Dark List Accent 2"/>
    <w:lsdException w:name="Dark List Accent 3"/>
    <w:lsdException w:name="Dark List Accent 4"/>
    <w:lsdException w:name="Dark List Accent 5"/>
    <w:lsdException w:name="Dark List Accent 6"/>
    <w:lsdException w:name="Date" w:semiHidden="1" w:unhideWhenUsed="1"/>
    <w:lsdException w:name="Default Paragraph Font" w:semiHidden="1" w:unhideWhenUsed="1"/>
    <w:lsdException w:name="Document Map" w:semiHidden="1" w:unhideWhenUsed="1"/>
    <w:lsdException w:name="E-mail Signature" w:semiHidden="1" w:unhideWhenUsed="1"/>
    <w:lsdException w:name="Emphasis"/>
    <w:lsdException w:name="FollowedHyperlink" w:semiHidden="1" w:unhideWhenUsed="1"/>
    <w:lsdException w:name="Grid Table 1 Light"/>
    <w:lsdException w:name="Grid Table 1 Light Accent 1"/>
    <w:lsdException w:name="Grid Table 1 Light Accent 2"/>
    <w:lsdException w:name="Grid Table 1 Light Accent 3"/>
    <w:lsdException w:name="Grid Table 1 Light Accent 4"/>
    <w:lsdException w:name="Grid Table 1 Light Accent 5"/>
    <w:lsdException w:name="Grid Table 1 Light Accent 6"/>
    <w:lsdException w:name="Grid Table 2"/>
    <w:lsdException w:name="Grid Table 2 Accent 1"/>
    <w:lsdException w:name="Grid Table 2 Accent 2"/>
    <w:lsdException w:name="Grid Table 2 Accent 3"/>
    <w:lsdException w:name="Grid Table 2 Accent 4"/>
    <w:lsdException w:name="Grid Table 2 Accent 5"/>
    <w:lsdException w:name="Grid Table 2 Accent 6"/>
    <w:lsdException w:name="Grid Table 3"/>
    <w:lsdException w:name="Grid Table 3 Accent 1"/>
    <w:lsdException w:name="Grid Table 3 Accent 2"/>
    <w:lsdException w:name="Grid Table 3 Accent 3"/>
    <w:lsdException w:name="Grid Table 3 Accent 4"/>
    <w:lsdException w:name="Grid Table 3 Accent 5"/>
    <w:lsdException w:name="Grid Table 3 Accent 6"/>
    <w:lsdException w:name="Grid Table 4"/>
    <w:lsdException w:name="Grid Table 4 Accent 1"/>
    <w:lsdException w:name="Grid Table 4 Accent 2"/>
    <w:lsdException w:name="Grid Table 4 Accent 3"/>
    <w:lsdException w:name="Grid Table 4 Accent 4"/>
    <w:lsdException w:name="Grid Table 4 Accent 5"/>
    <w:lsdException w:name="Grid Table 4 Accent 6"/>
    <w:lsdException w:name="Grid Table 5 Dark"/>
    <w:lsdException w:name="Grid Table 5 Dark Accent 1"/>
    <w:lsdException w:name="Grid Table 5 Dark Accent 2"/>
    <w:lsdException w:name="Grid Table 5 Dark Accent 3"/>
    <w:lsdException w:name="Grid Table 5 Dark Accent 4"/>
    <w:lsdException w:name="Grid Table 5 Dark Accent 5"/>
    <w:lsdException w:name="Grid Table 5 Dark Accent 6"/>
    <w:lsdException w:name="Grid Table 6 Colorful"/>
    <w:lsdException w:name="Grid Table 6 Colorful Accent 1"/>
    <w:lsdException w:name="Grid Table 6 Colorful Accent 2"/>
    <w:lsdException w:name="Grid Table 6 Colorful Accent 3"/>
    <w:lsdException w:name="Grid Table 6 Colorful Accent 4"/>
    <w:lsdException w:name="Grid Table 6 Colorful Accent 5"/>
    <w:lsdException w:name="Grid Table 6 Colorful Accent 6"/>
    <w:lsdException w:name="Grid Table 7 Colorful"/>
    <w:lsdException w:name="Grid Table 7 Colorful Accent 1"/>
    <w:lsdException w:name="Grid Table 7 Colorful Accent 2"/>
    <w:lsdException w:name="Grid Table 7 Colorful Accent 3"/>
    <w:lsdException w:name="Grid Table 7 Colorful Accent 4"/>
    <w:lsdException w:name="Grid Table 7 Colorful Accent 5"/>
    <w:lsdException w:name="Grid Table 7 Colorful Accent 6"/>
    <w:lsdException w:name="Grid Table Light"/>
    <w:lsdException w:name="HTML Acronym" w:semiHidden="1" w:unhideWhenUsed="1"/>
    <w:lsdException w:name="HTML Address" w:semiHidden="1" w:unhideWhenUsed="1"/>
    <w:lsdException w:name="HTML Bottom of Form"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op of Form" w:semiHidden="1" w:unhideWhenUsed="1"/>
    <w:lsdException w:name="HTML Typewriter" w:semiHidden="1" w:unhideWhenUsed="1"/>
    <w:lsdException w:name="HTML Variable" w:semiHidden="1" w:unhideWhenUsed="1"/>
    <w:lsdException w:name="Hashtag" w:semiHidden="1" w:unhideWhenUsed="1"/>
    <w:lsdException w:name="Hyperlink" w:semiHidden="1" w:unhideWhenUsed="1"/>
    <w:lsdException w:name="Intense Emphasis"/>
    <w:lsdException w:name="Intense Quote"/>
    <w:lsdException w:name="Intense Reference"/>
    <w:lsdException w:name="Light Grid"/>
    <w:lsdException w:name="Light Grid Accent 1"/>
    <w:lsdException w:name="Light Grid Accent 2"/>
    <w:lsdException w:name="Light Grid Accent 3"/>
    <w:lsdException w:name="Light Grid Accent 4"/>
    <w:lsdException w:name="Light Grid Accent 5"/>
    <w:lsdException w:name="Light Grid Accent 6"/>
    <w:lsdException w:name="Light List"/>
    <w:lsdException w:name="Light List Accent 1"/>
    <w:lsdException w:name="Light List Accent 2"/>
    <w:lsdException w:name="Light List Accent 3"/>
    <w:lsdException w:name="Light List Accent 4"/>
    <w:lsdException w:name="Light List Accent 5"/>
    <w:lsdException w:name="Light List Accent 6"/>
    <w:lsdException w:name="Light Shading"/>
    <w:lsdException w:name="Light Shading Accent 1"/>
    <w:lsdException w:name="Light Shading Accent 2"/>
    <w:lsdException w:name="Light Shading Accent 3"/>
    <w:lsdException w:name="Light Shading Accent 4"/>
    <w:lsdException w:name="Light Shading Accent 5"/>
    <w:lsdException w:name="Light Shading Accent 6"/>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List Number"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List Paragraph"/>
    <w:lsdException w:name="List Table 1 Light"/>
    <w:lsdException w:name="List Table 1 Light Accent 1"/>
    <w:lsdException w:name="List Table 1 Light Accent 2"/>
    <w:lsdException w:name="List Table 1 Light Accent 3"/>
    <w:lsdException w:name="List Table 1 Light Accent 4"/>
    <w:lsdException w:name="List Table 1 Light Accent 5"/>
    <w:lsdException w:name="List Table 1 Light Accent 6"/>
    <w:lsdException w:name="List Table 2"/>
    <w:lsdException w:name="List Table 2 Accent 1"/>
    <w:lsdException w:name="List Table 2 Accent 2"/>
    <w:lsdException w:name="List Table 2 Accent 3"/>
    <w:lsdException w:name="List Table 2 Accent 4"/>
    <w:lsdException w:name="List Table 2 Accent 5"/>
    <w:lsdException w:name="List Table 2 Accent 6"/>
    <w:lsdException w:name="List Table 3"/>
    <w:lsdException w:name="List Table 3 Accent 1"/>
    <w:lsdException w:name="List Table 3 Accent 2"/>
    <w:lsdException w:name="List Table 3 Accent 3"/>
    <w:lsdException w:name="List Table 3 Accent 4"/>
    <w:lsdException w:name="List Table 3 Accent 5"/>
    <w:lsdException w:name="List Table 3 Accent 6"/>
    <w:lsdException w:name="List Table 4"/>
    <w:lsdException w:name="List Table 4 Accent 1"/>
    <w:lsdException w:name="List Table 4 Accent 2"/>
    <w:lsdException w:name="List Table 4 Accent 3"/>
    <w:lsdException w:name="List Table 4 Accent 4"/>
    <w:lsdException w:name="List Table 4 Accent 5"/>
    <w:lsdException w:name="List Table 4 Accent 6"/>
    <w:lsdException w:name="List Table 5 Dark"/>
    <w:lsdException w:name="List Table 5 Dark Accent 1"/>
    <w:lsdException w:name="List Table 5 Dark Accent 2"/>
    <w:lsdException w:name="List Table 5 Dark Accent 3"/>
    <w:lsdException w:name="List Table 5 Dark Accent 4"/>
    <w:lsdException w:name="List Table 5 Dark Accent 5"/>
    <w:lsdException w:name="List Table 5 Dark Accent 6"/>
    <w:lsdException w:name="List Table 6 Colorful"/>
    <w:lsdException w:name="List Table 6 Colorful Accent 1"/>
    <w:lsdException w:name="List Table 6 Colorful Accent 2"/>
    <w:lsdException w:name="List Table 6 Colorful Accent 3"/>
    <w:lsdException w:name="List Table 6 Colorful Accent 4"/>
    <w:lsdException w:name="List Table 6 Colorful Accent 5"/>
    <w:lsdException w:name="List Table 6 Colorful Accent 6"/>
    <w:lsdException w:name="List Table 7 Colorful"/>
    <w:lsdException w:name="List Table 7 Colorful Accent 1"/>
    <w:lsdException w:name="List Table 7 Colorful Accent 2"/>
    <w:lsdException w:name="List Table 7 Colorful Accent 3"/>
    <w:lsdException w:name="List Table 7 Colorful Accent 4"/>
    <w:lsdException w:name="List Table 7 Colorful Accent 5"/>
    <w:lsdException w:name="List Table 7 Colorful Accent 6"/>
    <w:lsdException w:name="Medium Grid 1"/>
    <w:lsdException w:name="Medium Grid 1 Accent 1"/>
    <w:lsdException w:name="Medium Grid 1 Accent 2"/>
    <w:lsdException w:name="Medium Grid 1 Accent 3"/>
    <w:lsdException w:name="Medium Grid 1 Accent 4"/>
    <w:lsdException w:name="Medium Grid 1 Accent 5"/>
    <w:lsdException w:name="Medium Grid 1 Accent 6"/>
    <w:lsdException w:name="Medium Grid 2"/>
    <w:lsdException w:name="Medium Grid 2 Accent 1"/>
    <w:lsdException w:name="Medium Grid 2 Accent 2"/>
    <w:lsdException w:name="Medium Grid 2 Accent 3"/>
    <w:lsdException w:name="Medium Grid 2 Accent 4"/>
    <w:lsdException w:name="Medium Grid 2 Accent 5"/>
    <w:lsdException w:name="Medium Grid 2 Accent 6"/>
    <w:lsdException w:name="Medium Grid 3"/>
    <w:lsdException w:name="Medium Grid 3 Accent 1"/>
    <w:lsdException w:name="Medium Grid 3 Accent 2"/>
    <w:lsdException w:name="Medium Grid 3 Accent 3"/>
    <w:lsdException w:name="Medium Grid 3 Accent 4"/>
    <w:lsdException w:name="Medium Grid 3 Accent 5"/>
    <w:lsdException w:name="Medium Grid 3 Accent 6"/>
    <w:lsdException w:name="Medium List 1"/>
    <w:lsdException w:name="Medium List 1 Accent 1"/>
    <w:lsdException w:name="Medium List 1 Accent 2"/>
    <w:lsdException w:name="Medium List 1 Accent 3"/>
    <w:lsdException w:name="Medium List 1 Accent 4"/>
    <w:lsdException w:name="Medium List 1 Accent 5"/>
    <w:lsdException w:name="Medium List 1 Accent 6"/>
    <w:lsdException w:name="Medium List 2"/>
    <w:lsdException w:name="Medium List 2 Accent 1"/>
    <w:lsdException w:name="Medium List 2 Accent 2"/>
    <w:lsdException w:name="Medium List 2 Accent 3"/>
    <w:lsdException w:name="Medium List 2 Accent 4"/>
    <w:lsdException w:name="Medium List 2 Accent 5"/>
    <w:lsdException w:name="Medium List 2 Accent 6"/>
    <w:lsdException w:name="Medium Shading 1"/>
    <w:lsdException w:name="Medium Shading 1 Accent 1"/>
    <w:lsdException w:name="Medium Shading 1 Accent 2"/>
    <w:lsdException w:name="Medium Shading 1 Accent 3"/>
    <w:lsdException w:name="Medium Shading 1 Accent 4"/>
    <w:lsdException w:name="Medium Shading 1 Accent 5"/>
    <w:lsdException w:name="Medium Shading 1 Accent 6"/>
    <w:lsdException w:name="Medium Shading 2"/>
    <w:lsdException w:name="Medium Shading 2 Accent 1"/>
    <w:lsdException w:name="Medium Shading 2 Accent 2"/>
    <w:lsdException w:name="Medium Shading 2 Accent 3"/>
    <w:lsdException w:name="Medium Shading 2 Accent 4"/>
    <w:lsdException w:name="Medium Shading 2 Accent 5"/>
    <w:lsdException w:name="Medium Shading 2 Accent 6"/>
    <w:lsdException w:name="Mention" w:semiHidden="1" w:unhideWhenUsed="1"/>
    <w:lsdException w:name="Message Header" w:semiHidden="1" w:unhideWhenUsed="1"/>
    <w:lsdException w:name="No List" w:semiHidden="1" w:unhideWhenUsed="1"/>
    <w:lsdException w:name="No Spacing"/>
    <w:lsdException w:name="Normal"/>
    <w:lsdException w:name="Normal (Web)" w:semiHidden="1" w:unhideWhenUsed="1"/>
    <w:lsdException w:name="Normal Indent" w:semiHidden="1" w:unhideWhenUsed="1"/>
    <w:lsdException w:name="Normal Table" w:semiHidden="1" w:unhideWhenUsed="1"/>
    <w:lsdException w:name="Note Heading" w:semiHidden="1" w:unhideWhenUsed="1"/>
    <w:lsdException w:name="Outline List 1" w:semiHidden="1" w:unhideWhenUsed="1"/>
    <w:lsdException w:name="Outline List 2" w:semiHidden="1" w:unhideWhenUsed="1"/>
    <w:lsdException w:name="Outline List 3" w:semiHidden="1" w:unhideWhenUsed="1"/>
    <w:lsdException w:name="Placeholder Text" w:semiHidden="1"/>
    <w:lsdException w:name="Plain Table 1"/>
    <w:lsdException w:name="Plain Table 2"/>
    <w:lsdException w:name="Plain Table 3"/>
    <w:lsdException w:name="Plain Table 4"/>
    <w:lsdException w:name="Plain Table 5"/>
    <w:lsdException w:name="Plain Text" w:semiHidden="1" w:unhideWhenUsed="1"/>
    <w:lsdException w:name="Quote"/>
    <w:lsdException w:name="Revision" w:semiHidden="1"/>
    <w:lsdException w:name="Salutation" w:semiHidden="1" w:unhideWhenUsed="1"/>
    <w:lsdException w:name="Signature" w:semiHidden="1" w:unhideWhenUsed="1"/>
    <w:lsdException w:name="Smart Hyperlink" w:semiHidden="1" w:unhideWhenUsed="1"/>
    <w:lsdException w:name="Smart Link" w:semiHidden="1" w:unhideWhenUsed="1"/>
    <w:lsdException w:name="Strong"/>
    <w:lsdException w:name="Subtitle"/>
    <w:lsdException w:name="Subtle Emphasis"/>
    <w:lsdException w:name="Subtle Reference"/>
    <w:lsdException w:name="TOC Heading" w:semiHidden="1" w:unhideWhenUsed="1"/>
    <w:lsdException w:name="Table 3D effects 1" w:semiHidden="1" w:unhideWhenUsed="1"/>
    <w:lsdException w:name="Table 3D effects 2" w:semiHidden="1" w:unhideWhenUsed="1"/>
    <w:lsdException w:name="Table 3D effects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Contemporary" w:semiHidden="1" w:unhideWhenUsed="1"/>
    <w:lsdException w:name="Table Elegant" w:semiHidden="1" w:unhideWhenUsed="1"/>
    <w:lsdException w:name="Table Grid"/>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Professional" w:semiHidden="1" w:unhideWhenUsed="1"/>
    <w:lsdException w:name="Table Simple 1" w:semiHidden="1" w:unhideWhenUsed="1"/>
    <w:lsdException w:name="Table Simple 2" w:semiHidden="1" w:unhideWhenUsed="1"/>
    <w:lsdException w:name="Table Simple 3" w:semiHidden="1" w:unhideWhenUsed="1"/>
    <w:lsdException w:name="Table Subtle 1" w:semiHidden="1" w:unhideWhenUsed="1"/>
    <w:lsdException w:name="Table Subtle 2" w:semiHidden="1" w:unhideWhenUsed="1"/>
    <w:lsdException w:name="Table Theme" w:semiHidden="1" w:unhideWhenUsed="1"/>
    <w:lsdException w:name="Table Web 1" w:semiHidden="1" w:unhideWhenUsed="1"/>
    <w:lsdException w:name="Table Web 2" w:semiHidden="1" w:unhideWhenUsed="1"/>
    <w:lsdException w:name="Table Web 3" w:semiHidden="1" w:unhideWhenUsed="1"/>
    <w:lsdException w:name="Title"/>
    <w:lsdException w:name="Unresolved Mention" w:semiHidden="1" w:unhideWhenUsed="1"/>
    <w:lsdException w:name="annotation reference" w:semiHidden="1" w:unhideWhenUsed="1"/>
    <w:lsdException w:name="annotation subject" w:semiHidden="1" w:unhideWhenUsed="1"/>
    <w:lsdException w:name="annotation text" w:semiHidden="1" w:unhideWhenUsed="1"/>
    <w:lsdException w:name="caption" w:semiHidden="1" w:unhideWhenUsed="1"/>
    <w:lsdException w:name="endnote reference" w:semiHidden="1" w:unhideWhenUsed="1"/>
    <w:lsdException w:name="endnote text" w:semiHidden="1" w:unhideWhenUsed="1"/>
    <w:lsdException w:name="envelope address" w:semiHidden="1" w:unhideWhenUsed="1"/>
    <w:lsdException w:name="envelope return" w:semiHidden="1" w:unhideWhenUsed="1"/>
    <w:lsdException w:name="footer" w:semiHidden="1" w:unhideWhenUsed="1"/>
    <w:lsdException w:name="footnote reference" w:semiHidden="1" w:unhideWhenUsed="1"/>
    <w:lsdException w:name="footnote text" w:semiHidden="1" w:unhideWhenUsed="1"/>
    <w:lsdException w:name="header" w:semiHidden="1" w:unhideWhenUsed="1"/>
    <w:lsdException w:name="heading 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index heading" w:semiHidden="1" w:unhideWhenUsed="1"/>
    <w:lsdException w:name="line number" w:semiHidden="1" w:unhideWhenUsed="1"/>
    <w:lsdException w:name="macro" w:semiHidden="1" w:unhideWhenUsed="1"/>
    <w:lsdException w:name="page number" w:semiHidden="1" w:unhideWhenUsed="1"/>
    <w:lsdException w:name="table of authorities" w:semiHidden="1" w:unhideWhenUsed="1"/>
    <w:lsdException w:name="table of figures" w:semiHidden="1" w:unhideWhenUsed="1"/>
    <w:lsdException w:name="toa heading"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atentStyles>
  <w:style w:type="paragraph" w:styleId="a" w:default="1">
    <w:name w:val="Normal"/>
    <w:rsid w:val="00F54202"/>
    <w:qFormat/>
    <w:pPr>
      <w:widowControl w:val="0"/>
      <w:jc w:val="both"/>
    </w:pPr>
    <w:rPr>
      <w:sz w:val="84"/>
    </w:rPr>
  </w:style>
  <w:style w:type="character" w:styleId="a0" w:default="1">
    <w:name w:val="Default Paragraph Font"/>
    <w:uiPriority w:val="1"/>
    <w:semiHidden/>
    <w:unhideWhenUsed/>
  </w:style>
  <w:style w:type="table" w:styleId="a1" w:default="1">
    <w:name w:val="Normal Table"/>
    <w:uiPriority w:val="99"/>
    <w:semiHidden/>
    <w:unhideWhenUsed/>
    <w:tblPr>
      <w:tblInd w:type="dxa" w:w="0.000000"/>
      <w:tblCellMar>
        <w:top w:type="dxa" w:w="0.000000"/>
        <w:bottom w:type="dxa" w:w="0.000000"/>
        <w:left w:type="dxa" w:w="108.000000"/>
        <w:right w:type="dxa" w:w="108.000000"/>
      </w:tblCellMar>
    </w:tblPr>
  </w:style>
  <w:style w:type="numbering" w:styleId="a2" w:default="1">
    <w:name w:val="No List"/>
    <w:uiPriority w:val="99"/>
    <w:semiHidden/>
    <w:unhideWhenUsed/>
  </w:style>
</w:styles>
</file>

<file path=word/_rels/document.xml.rels><?xml version="1.0" encoding="UTF-8" standalone="yes"?><Relationships xmlns="http://schemas.openxmlformats.org/package/2006/relationships"><Relationship Id="rId3" Type="http://schemas.openxmlformats.org/officeDocument/2006/relationships/theme" Target="theme/theme1.xml" /><Relationship Id="rId2" Type="http://schemas.openxmlformats.org/officeDocument/2006/relationships/fontTable" Target="fontTable.xml" /><Relationship Id="rId1" Type="http://schemas.openxmlformats.org/officeDocument/2006/relationships/settings" Target="settings.xml" /><Relationship Id="rId0"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Tfng" typeface="Ebrima"/>
        <a:font script="Tale" typeface="Microsoft Tai Le"/>
        <a:font script="Sora" typeface="Nirmala UI"/>
        <a:font script="Osma" typeface="Ebrima"/>
        <a:font script="Nkoo" typeface="Ebrima"/>
        <a:font script="Sinh" typeface="Iskoola Pota"/>
        <a:font script="Geor" typeface="Sylfaen"/>
        <a:font script="Talu" typeface="Microsoft New Tai Lue"/>
        <a:font script="Viet" typeface="Times New Roman"/>
        <a:font script="Mymr" typeface="Myanmar Text"/>
        <a:font script="Olck" typeface="Nirmala UI"/>
        <a:font script="Syrj" typeface="Estrangelo Edessa"/>
        <a:font script="Phag" typeface="Phagspa"/>
        <a:font script="Cans" typeface="Euphemia"/>
        <a:font script="Syre" typeface="Estrangelo Edessa"/>
        <a:font script="Java" typeface="Javanese Text"/>
        <a:font script="Laoo" typeface="DokChampa"/>
        <a:font script="Orya" typeface="Kalinga"/>
        <a:font script="Deva" typeface="Mangal"/>
        <a:font script="Mlym" typeface="Kartika"/>
        <a:font script="Hang" typeface="맑은 고딕"/>
        <a:font script="Telu" typeface="Gautami"/>
        <a:font script="Mong" typeface="Mongolian Baiti"/>
        <a:font script="Tibt" typeface="Microsoft Himalaya"/>
        <a:font script="Gujr" typeface="Shruti"/>
        <a:font script="Thai" typeface="Angsana New"/>
        <a:font script="Syrc" typeface="Estrangelo Edessa"/>
        <a:font script="Lisu" typeface="Segoe UI"/>
        <a:font script="Uigh" typeface="Microsoft Uighur"/>
        <a:font script="Beng" typeface="Vrinda"/>
        <a:font script="Khmr" typeface="MoolBoran"/>
        <a:font script="Syrn" typeface="Estrangelo Edessa"/>
        <a:font script="Bopo" typeface="Microsoft JhengHei"/>
        <a:font script="Jpan" typeface="游ゴシック Light"/>
        <a:font script="Thaa" typeface="MV Boli"/>
        <a:font script="Cher" typeface="Plantagenet Cherokee"/>
        <a:font script="Hebr" typeface="Times New Roman"/>
        <a:font script="Hans" typeface="等线 Light"/>
        <a:font script="Armn" typeface="Arial"/>
        <a:font script="Guru" typeface="Raavi"/>
        <a:font script="Yiii" typeface="Microsoft Yi Baiti"/>
        <a:font script="Taml" typeface="Latha"/>
        <a:font script="Ethi" typeface="Nyala"/>
        <a:font script="Hant" typeface="新細明體"/>
        <a:font script="Bugi" typeface="Leelawadee UI"/>
        <a:font script="Arab" typeface="Times New Roman"/>
        <a:font script="Knda" typeface="Tunga"/>
      </a:majorFont>
      <a:minorFont>
        <a:latin typeface="等线" panose="020F0502020204030204"/>
        <a:ea typeface=""/>
        <a:cs typeface=""/>
        <a:font script="Tfng" typeface="Ebrima"/>
        <a:font script="Tale" typeface="Microsoft Tai Le"/>
        <a:font script="Sora" typeface="Nirmala UI"/>
        <a:font script="Osma" typeface="Ebrima"/>
        <a:font script="Nkoo" typeface="Ebrima"/>
        <a:font script="Sinh" typeface="Iskoola Pota"/>
        <a:font script="Geor" typeface="Sylfaen"/>
        <a:font script="Talu" typeface="Microsoft New Tai Lue"/>
        <a:font script="Viet" typeface="Arial"/>
        <a:font script="Mymr" typeface="Myanmar Text"/>
        <a:font script="Olck" typeface="Nirmala UI"/>
        <a:font script="Syrj" typeface="Estrangelo Edessa"/>
        <a:font script="Phag" typeface="Phagspa"/>
        <a:font script="Cans" typeface="Euphemia"/>
        <a:font script="Syre" typeface="Estrangelo Edessa"/>
        <a:font script="Java" typeface="Javanese Text"/>
        <a:font script="Laoo" typeface="DokChampa"/>
        <a:font script="Orya" typeface="Kalinga"/>
        <a:font script="Deva" typeface="Mangal"/>
        <a:font script="Mlym" typeface="Kartika"/>
        <a:font script="Hang" typeface="맑은 고딕"/>
        <a:font script="Telu" typeface="Gautami"/>
        <a:font script="Mong" typeface="Mongolian Baiti"/>
        <a:font script="Tibt" typeface="Microsoft Himalaya"/>
        <a:font script="Gujr" typeface="Shruti"/>
        <a:font script="Thai" typeface="Cordia New"/>
        <a:font script="Syrc" typeface="Estrangelo Edessa"/>
        <a:font script="Lisu" typeface="Segoe UI"/>
        <a:font script="Uigh" typeface="Microsoft Uighur"/>
        <a:font script="Beng" typeface="Vrinda"/>
        <a:font script="Khmr" typeface="DaunPenh"/>
        <a:font script="Syrn" typeface="Estrangelo Edessa"/>
        <a:font script="Bopo" typeface="Microsoft JhengHei"/>
        <a:font script="Jpan" typeface="游明朝"/>
        <a:font script="Thaa" typeface="MV Boli"/>
        <a:font script="Cher" typeface="Plantagenet Cherokee"/>
        <a:font script="Hebr" typeface="Arial"/>
        <a:font script="Hans" typeface="等线"/>
        <a:font script="Armn" typeface="Arial"/>
        <a:font script="Guru" typeface="Raavi"/>
        <a:font script="Yiii" typeface="Microsoft Yi Baiti"/>
        <a:font script="Taml" typeface="Latha"/>
        <a:font script="Ethi" typeface="Nyala"/>
        <a:font script="Hant" typeface="新細明體"/>
        <a:font script="Bugi" typeface="Leelawadee UI"/>
        <a:font script="Arab" typeface="Arial"/>
        <a:font script="Knda" typeface="Tung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3</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xsi="http://www.w3.org/2001/XMLSchema-instance" xmlns:dcmitype="http://purl.org/dc/dcmitype/" xmlns:dc="http://purl.org/dc/elements/1.1/" xmlns:dcterms="http://purl.org/dc/terms/" xmlns:cp="http://schemas.openxmlformats.org/package/2006/metadata/core-properties">
  <dc:title/>
  <dc:subject/>
  <dc:creator>T148778</dc:creator>
  <cp:keywords/>
  <dc:description/>
  <cp:lastModifiedBy>T165472</cp:lastModifiedBy>
  <cp:revision>5</cp:revision>
  <dcterms:created xsi:type="dcterms:W3CDTF">2020-07-21T13:27:00Z</dcterms:created>
  <dcterms:modified xsi:type="dcterms:W3CDTF">2021-06-02T02:05:00Z</dcterms:modified>
</cp:coreProperties>
</file>

<file path=tbak/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DA2FF" w14:textId="4B52C478" w:rsidR="0028768E" w:rsidRPr="00F54202" w:rsidRDefault="0028768E" w:rsidP="005533ED">
      <w:pPr>
        <w:snapToGrid w:val="0"/>
        <w:rPr>
          <w:rFonts w:hint="eastAsia"/>
          <w:sz w:val="28"/>
        </w:rPr>
      </w:pPr>
    </w:p>
    <w:sectPr w:rsidR="0028768E" w:rsidRPr="00F54202" w:rsidSect="000E1712">
      <w:pgSz w:w="11900" w:h="16840"/>
      <w:pgMar w:top="1440" w:right="1800" w:bottom="1440" w:left="1800" w:header="851" w:footer="992" w:gutter="0"/>
      <w:cols w:space="425"/>
      <w:docGrid w:type="lines" w:linePitch="312"/>
    </w:sectPr>
  </w:body>
</w:document>
</file>

<file path=tbak/document1.xml><?xml version="1.0" encoding="utf-8"?>
<w:document xmlns:cx2="http://schemas.microsoft.com/office/drawing/2015/10/21/chartex" xmlns:cx7="http://schemas.microsoft.com/office/drawing/2016/5/13/chartex" xmlns:w="http://schemas.openxmlformats.org/wordprocessingml/2006/main" xmlns:cx="http://schemas.microsoft.com/office/drawing/2014/chartex" xmlns:cx1="http://schemas.microsoft.com/office/drawing/2015/9/8/chartex" xmlns:w16="http://schemas.microsoft.com/office/word/2018/wordml" xmlns:w14="http://schemas.microsoft.com/office/word/2010/wordml" xmlns:wpc="http://schemas.microsoft.com/office/word/2010/wordprocessingCanvas" xmlns:r="http://schemas.openxmlformats.org/officeDocument/2006/relationships" xmlns:cx5="http://schemas.microsoft.com/office/drawing/2016/5/11/chartex" xmlns:wp="http://schemas.openxmlformats.org/drawingml/2006/wordprocessingDrawing" xmlns:mc="http://schemas.openxmlformats.org/markup-compatibility/2006" xmlns:cx4="http://schemas.microsoft.com/office/drawing/2016/5/10/chartex" xmlns:wpg="http://schemas.microsoft.com/office/word/2010/wordprocessingGroup" xmlns:cx6="http://schemas.microsoft.com/office/drawing/2016/5/12/chartex" xmlns:cx8="http://schemas.microsoft.com/office/drawing/2016/5/14/chartex" xmlns:am3d="http://schemas.microsoft.com/office/drawing/2017/model3d" xmlns:wp14="http://schemas.microsoft.com/office/word/2010/wordprocessingDrawing" xmlns:v="urn:schemas-microsoft-com:vml" xmlns:o="urn:schemas-microsoft-com:office:office" xmlns:cx3="http://schemas.microsoft.com/office/drawing/2016/5/9/chartex" xmlns:m="http://schemas.openxmlformats.org/officeDocument/2006/math" xmlns:w16cex="http://schemas.microsoft.com/office/word/2018/wordml/cex" xmlns:w16cid="http://schemas.microsoft.com/office/word/2016/wordml/cid" xmlns:w10="urn:schemas-microsoft-com:office:word" xmlns:wpi="http://schemas.microsoft.com/office/word/2010/wordprocessingInk" xmlns:w15="http://schemas.microsoft.com/office/word/2012/wordml" xmlns:aink="http://schemas.microsoft.com/office/drawing/2016/ink" xmlns:wne="http://schemas.microsoft.com/office/word/2006/wordml" xmlns:w16se="http://schemas.microsoft.com/office/word/2015/wordml/symex" xmlns:wps="http://schemas.microsoft.com/office/word/2010/wordprocessingShape" mc:Ignorable="w14 w15 w16se w16cid w16 w16cex wp14">
  <w:body>
    <w:p w14:paraId="084D810C" w14:textId="F1B888C9" w:rsidR="2E485707" w:rsidRPr="2E485707" w:rsidRDefault="2E485707" w:rsidP="2E485707">
      <w:pPr>
        <w:snapToGrid w:val="0"/>
        <w:rPr>
          <w:sz w:val="28"/>
          <w:rFonts w:hint="eastAsia"/>
        </w:rPr>
      </w:pPr>
      <w:r>
        <w:rPr>
          <w:sz w:val="28"/>
          <w:rFonts w:hint="eastAsia"/>
        </w:rPr>
        <w:t>执行摘要</w:t>
      </w:r>
      <w:r>
        <w:br/>
        <w:rPr>
          <w:sz w:val="28"/>
          <w:rFonts w:hint="eastAsia"/>
        </w:rPr>
      </w:r>
      <w:r>
        <w:br/>
        <w:rPr>
          <w:sz w:val="28"/>
          <w:rFonts w:hint="eastAsia"/>
        </w:rPr>
      </w:r>
      <w:r>
        <w:rPr>
          <w:sz w:val="28"/>
          <w:rFonts w:hint="eastAsia"/>
        </w:rPr>
        <w:t>本报告旨在通过我个人的批判性反思，分析英国公司在进入德国市场时所面临的核心商务沟通挑战，并探讨切实可行的应对策略。我选择德国作为研究对象，源于其作为欧洲经济引擎的重要性以及与英国之间“既近又远”的独特关系——地理相近，但商业文化存在深刻差异。</w:t>
      </w:r>
      <w:r>
        <w:br/>
        <w:rPr>
          <w:sz w:val="28"/>
          <w:rFonts w:hint="eastAsia"/>
        </w:rPr>
      </w:r>
      <w:r>
        <w:br/>
        <w:rPr>
          <w:sz w:val="28"/>
          <w:rFonts w:hint="eastAsia"/>
        </w:rPr>
      </w:r>
      <w:r>
        <w:rPr>
          <w:sz w:val="28"/>
          <w:rFonts w:hint="eastAsia"/>
        </w:rPr>
        <w:t>通过分析，我发现挑战主要根植于霍夫斯泰德文化维度理论所揭示的深层次价值观冲突。具体而言，英国文化中较高的个人主义、较低的不确定性规避和短期导向，与德国文化中高度的不确定性规避、强烈的纪律性和长期导向形成了鲜明对比。这些差异在商务实践中表现为沟通风格（直接 vs. 委婉）、决策过程（快速灵活 vs. 严谨缓慢）以及关系建立方式（交易导向 vs. 信誉导向）的诸多摩擦。</w:t>
      </w:r>
      <w:r>
        <w:br/>
        <w:rPr>
          <w:sz w:val="28"/>
          <w:rFonts w:hint="eastAsia"/>
        </w:rPr>
      </w:r>
      <w:r>
        <w:br/>
        <w:rPr>
          <w:sz w:val="28"/>
          <w:rFonts w:hint="eastAsia"/>
        </w:rPr>
      </w:r>
      <w:r>
        <w:rPr>
          <w:sz w:val="28"/>
          <w:rFonts w:hint="eastAsia"/>
        </w:rPr>
        <w:t>基于对TikTok在英遭遇文化冲突等现实案例的反思，我评估了三种主要策略：以我为主的文化同化策略、全盘适应的文化顺应策略，以及寻求共赢的文化整合策略。我的结论是，简单粗暴的文化强加或毫无原则的妥协都难以持久。最有效的途径是文化整合策略，即在坚守商业伦理底线的前提下，主动进行深度跨文化适应。</w:t>
      </w:r>
      <w:r>
        <w:br/>
        <w:rPr>
          <w:sz w:val="28"/>
          <w:rFonts w:hint="eastAsia"/>
        </w:rPr>
      </w:r>
      <w:r>
        <w:br/>
        <w:rPr>
          <w:sz w:val="28"/>
          <w:rFonts w:hint="eastAsia"/>
        </w:rPr>
      </w:r>
      <w:r>
        <w:rPr>
          <w:sz w:val="28"/>
          <w:rFonts w:hint="eastAsia"/>
        </w:rPr>
        <w:t>因此，我建议英国公司应系统地培养文化智商（CQ） ，在组织层面建立跨文化沟通的“韧性系统”。这包括投资于深度的文化培训、在团队中配备文化桥梁角色、优化沟通流程以适应德国式的严谨，并将跨文化能力纳入高管考评。唯有通过这种真诚的、结构化的努力，才能将文化差异从潜在的冲突点转化为创新与信任的来源，从而在德国市场建立可持续的竞争优势。</w:t>
      </w:r>
      <w:r>
        <w:br/>
        <w:rPr>
          <w:sz w:val="28"/>
          <w:rFonts w:hint="eastAsia"/>
        </w:rPr>
      </w:r>
      <w:r>
        <w:br/>
        <w:rPr>
          <w:sz w:val="28"/>
          <w:rFonts w:hint="eastAsia"/>
        </w:rPr>
      </w:r>
      <w:r>
        <w:rPr>
          <w:sz w:val="28"/>
          <w:rFonts w:hint="eastAsia"/>
        </w:rPr>
        <w:t>1. 引言：我的研究缘起与核心问题</w:t>
      </w:r>
      <w:r>
        <w:br/>
        <w:rPr>
          <w:sz w:val="28"/>
          <w:rFonts w:hint="eastAsia"/>
        </w:rPr>
      </w:r>
      <w:r>
        <w:br/>
        <w:rPr>
          <w:sz w:val="28"/>
          <w:rFonts w:hint="eastAsia"/>
        </w:rPr>
      </w:r>
      <w:r>
        <w:rPr>
          <w:sz w:val="28"/>
          <w:rFonts w:hint="eastAsia"/>
        </w:rPr>
        <w:t>当我开始构思这篇关于国际商务沟通的反思报告时，一个问题一直萦绕在我心头：在全球化看似将世界抹平的今天，为什么来自不同国家的商业伙伴之间，依然会频繁产生那么多误解、摩擦甚至冲突？教科书上的“全球化”概念是抽象的，但商业实践中的文化碰撞却是具体而尖锐的。为此，我决定以一个具体的案例为切入点，进行一场深入的剖析。</w:t>
      </w:r>
      <w:r>
        <w:br/>
        <w:rPr>
          <w:sz w:val="28"/>
          <w:rFonts w:hint="eastAsia"/>
        </w:rPr>
      </w:r>
      <w:r>
        <w:br/>
        <w:rPr>
          <w:sz w:val="28"/>
          <w:rFonts w:hint="eastAsia"/>
        </w:rPr>
      </w:r>
      <w:r>
        <w:rPr>
          <w:sz w:val="28"/>
          <w:rFonts w:hint="eastAsia"/>
        </w:rPr>
        <w:t>我选择了德国作为我的分析对象。德国不仅是欧洲最大的经济体，也是英国最重要的贸易伙伴之一。然而，历史上的紧密联系并未消弭两国在商业行为方式上的鸿沟。对我而言，研究英国公司如何在德国开展业务，就像观察一对“熟悉的陌生人”如何相处——他们拥有许多共同的目标，却说着不同的“商业语言”。</w:t>
      </w:r>
      <w:r>
        <w:br/>
        <w:rPr>
          <w:sz w:val="28"/>
          <w:rFonts w:hint="eastAsia"/>
        </w:rPr>
      </w:r>
      <w:r>
        <w:br/>
        <w:rPr>
          <w:sz w:val="28"/>
          <w:rFonts w:hint="eastAsia"/>
        </w:rPr>
      </w:r>
      <w:r>
        <w:rPr>
          <w:sz w:val="28"/>
          <w:rFonts w:hint="eastAsia"/>
        </w:rPr>
        <w:t>在本报告中，我将以第一人称的视角，结合我的学习与思考，首先运用霍夫斯泰德、霍尔等学者的经典理论，剖析英德两国在文化维度上的根本差异，并具体阐述这些差异如何在商务会议、书面沟通、关系建立等日常场景中转化为实际挑战。接着，我将批判性地评估英国公司可能采用的几种跨文化策略。最后，基于我的分析，我将提出我认为最切实可行的建议。我的核心目的在于论证：在国际商务中，真正的沟通能力远不止于语言翻译，而在于对文化编码的深刻理解与主动管理。</w:t>
      </w:r>
      <w:r>
        <w:br/>
        <w:rPr>
          <w:sz w:val="28"/>
          <w:rFonts w:hint="eastAsia"/>
        </w:rPr>
      </w:r>
      <w:r>
        <w:br/>
        <w:rPr>
          <w:sz w:val="28"/>
          <w:rFonts w:hint="eastAsia"/>
        </w:rPr>
      </w:r>
      <w:r>
        <w:rPr>
          <w:sz w:val="28"/>
          <w:rFonts w:hint="eastAsia"/>
        </w:rPr>
        <w:t>2. 主要发现一：英德商务沟通中的核心文化差异与具体挑战</w:t>
      </w:r>
      <w:r>
        <w:br/>
        <w:rPr>
          <w:sz w:val="28"/>
          <w:rFonts w:hint="eastAsia"/>
        </w:rPr>
      </w:r>
      <w:r>
        <w:br/>
        <w:rPr>
          <w:sz w:val="28"/>
          <w:rFonts w:hint="eastAsia"/>
        </w:rPr>
      </w:r>
      <w:r>
        <w:rPr>
          <w:sz w:val="28"/>
          <w:rFonts w:hint="eastAsia"/>
        </w:rPr>
        <w:t>在深入学习跨文化理论后，我意识到，表面上的商务礼仪差异背后，是一整套关于时间、权威、风险和个人角色的不同文化预设。以下是我基于理论梳理出的英德关键文化维度对比，以及由此衍生出的具体沟通挑战。</w:t>
      </w:r>
      <w:r>
        <w:br/>
        <w:rPr>
          <w:sz w:val="28"/>
          <w:rFonts w:hint="eastAsia"/>
        </w:rPr>
      </w:r>
      <w:r>
        <w:br/>
        <w:rPr>
          <w:sz w:val="28"/>
          <w:rFonts w:hint="eastAsia"/>
        </w:rPr>
      </w:r>
      <w:r>
        <w:rPr>
          <w:sz w:val="28"/>
          <w:rFonts w:hint="eastAsia"/>
        </w:rPr>
        <w:t>2.1 理论透镜下的文化分野：霍夫斯泰德维度解读</w:t>
      </w:r>
      <w:r>
        <w:br/>
        <w:rPr>
          <w:sz w:val="28"/>
          <w:rFonts w:hint="eastAsia"/>
        </w:rPr>
      </w:r>
      <w:r>
        <w:br/>
        <w:rPr>
          <w:sz w:val="28"/>
          <w:rFonts w:hint="eastAsia"/>
        </w:rPr>
      </w:r>
      <w:r>
        <w:rPr>
          <w:sz w:val="28"/>
          <w:rFonts w:hint="eastAsia"/>
        </w:rPr>
        <w:t>要理解沟通挑战的根源，我们必须借助理论工具。霍夫斯泰德的文化维度理论为我提供了一个清晰的框架：</w:t>
      </w:r>
      <w:r>
        <w:br/>
        <w:rPr>
          <w:sz w:val="28"/>
          <w:rFonts w:hint="eastAsia"/>
        </w:rPr>
      </w:r>
      <w:r>
        <w:br/>
        <w:rPr>
          <w:sz w:val="28"/>
          <w:rFonts w:hint="eastAsia"/>
        </w:rPr>
      </w:r>
      <w:r>
        <w:rPr>
          <w:sz w:val="28"/>
          <w:rFonts w:hint="eastAsia"/>
        </w:rPr>
        <w:t>· 个人主义 vs. 集体主义</w:t>
      </w:r>
      <w:r>
        <w:br/>
        <w:rPr>
          <w:sz w:val="28"/>
          <w:rFonts w:hint="eastAsia"/>
        </w:rPr>
      </w:r>
      <w:r>
        <w:rPr>
          <w:sz w:val="28"/>
          <w:rFonts w:hint="eastAsia"/>
        </w:rPr>
        <w:t xml:space="preserve">  · 英国：是典型的高度个人主义社会，强调个人成就、自主决策和自我表达。在商业中，这表现为鼓励个人能动性、英雄式的领导和相对灵活的职责描述。</w:t>
      </w:r>
      <w:r>
        <w:br/>
        <w:rPr>
          <w:sz w:val="28"/>
          <w:rFonts w:hint="eastAsia"/>
        </w:rPr>
      </w:r>
      <w:r>
        <w:rPr>
          <w:sz w:val="28"/>
          <w:rFonts w:hint="eastAsia"/>
        </w:rPr>
        <w:t xml:space="preserve">  · 德国：虽然也属于个人主义社会，但其程度低于英国，并更强调秩序、纪律和共识。个人成就是在明确的系统、规则和团队协作框架内实现的。</w:t>
      </w:r>
      <w:r>
        <w:br/>
        <w:rPr>
          <w:sz w:val="28"/>
          <w:rFonts w:hint="eastAsia"/>
        </w:rPr>
      </w:r>
      <w:r>
        <w:rPr>
          <w:sz w:val="28"/>
          <w:rFonts w:hint="eastAsia"/>
        </w:rPr>
        <w:t>· 不确定性规避</w:t>
      </w:r>
      <w:r>
        <w:br/>
        <w:rPr>
          <w:sz w:val="28"/>
          <w:rFonts w:hint="eastAsia"/>
        </w:rPr>
      </w:r>
      <w:r>
        <w:rPr>
          <w:sz w:val="28"/>
          <w:rFonts w:hint="eastAsia"/>
        </w:rPr>
        <w:t xml:space="preserve">  · 英国：较低的不确定性规避。社会对模糊性的容忍度较高，商业环境灵活，倾向于“先试错，再调整”，规则和流程可以为实际需要让路。</w:t>
      </w:r>
      <w:r>
        <w:br/>
        <w:rPr>
          <w:sz w:val="28"/>
          <w:rFonts w:hint="eastAsia"/>
        </w:rPr>
      </w:r>
      <w:r>
        <w:rPr>
          <w:sz w:val="28"/>
          <w:rFonts w:hint="eastAsia"/>
        </w:rPr>
        <w:t xml:space="preserve">  · 德国：极高的不确定性规避。这是德国文化最显著的特征之一。社会依赖严谨的规划、详尽的合同、清晰的标准和缜密的流程来规避风险。“一切必须井井有条”是普遍的思维模式。</w:t>
      </w:r>
      <w:r>
        <w:br/>
        <w:rPr>
          <w:sz w:val="28"/>
          <w:rFonts w:hint="eastAsia"/>
        </w:rPr>
      </w:r>
      <w:r>
        <w:rPr>
          <w:sz w:val="28"/>
          <w:rFonts w:hint="eastAsia"/>
        </w:rPr>
        <w:t>· 长期导向</w:t>
      </w:r>
      <w:r>
        <w:br/>
        <w:rPr>
          <w:sz w:val="28"/>
          <w:rFonts w:hint="eastAsia"/>
        </w:rPr>
      </w:r>
      <w:r>
        <w:rPr>
          <w:sz w:val="28"/>
          <w:rFonts w:hint="eastAsia"/>
        </w:rPr>
        <w:t xml:space="preserve">  · 英国：倾向于短期导向，注重即时结果、季度财报和快速的投资回报。商业决策相对灵活，以适应市场变化。</w:t>
      </w:r>
      <w:r>
        <w:br/>
        <w:rPr>
          <w:sz w:val="28"/>
          <w:rFonts w:hint="eastAsia"/>
        </w:rPr>
      </w:r>
      <w:r>
        <w:rPr>
          <w:sz w:val="28"/>
          <w:rFonts w:hint="eastAsia"/>
        </w:rPr>
        <w:t xml:space="preserve">  · 德国：具有长期导向，崇尚投资未来、注重工程质量和持久信誉。企业愿意为长期的技术积累和市场地位牺牲短期利润。</w:t>
      </w:r>
      <w:r>
        <w:br/>
        <w:rPr>
          <w:sz w:val="28"/>
          <w:rFonts w:hint="eastAsia"/>
        </w:rPr>
      </w:r>
      <w:r>
        <w:rPr>
          <w:sz w:val="28"/>
          <w:rFonts w:hint="eastAsia"/>
        </w:rPr>
        <w:t>· 沟通语境</w:t>
      </w:r>
      <w:r>
        <w:br/>
        <w:rPr>
          <w:sz w:val="28"/>
          <w:rFonts w:hint="eastAsia"/>
        </w:rPr>
      </w:r>
      <w:r>
        <w:rPr>
          <w:sz w:val="28"/>
          <w:rFonts w:hint="eastAsia"/>
        </w:rPr>
        <w:t xml:space="preserve">  · 根据霍尔的高低语境理论，德国属于低语境文化，沟通极度依赖清晰、明确、编码化的语言本身，强调“言即所指”。</w:t>
      </w:r>
      <w:r>
        <w:br/>
        <w:rPr>
          <w:sz w:val="28"/>
          <w:rFonts w:hint="eastAsia"/>
        </w:rPr>
      </w:r>
      <w:r>
        <w:rPr>
          <w:sz w:val="28"/>
          <w:rFonts w:hint="eastAsia"/>
        </w:rPr>
        <w:t xml:space="preserve">  · 英国虽然也是低语境文化，但其沟通风格中融入了更多的委婉、幽默和“弦外之音”，尤其是在维护面子和处理分歧时。</w:t>
      </w:r>
      <w:r>
        <w:br/>
        <w:rPr>
          <w:sz w:val="28"/>
          <w:rFonts w:hint="eastAsia"/>
        </w:rPr>
      </w:r>
      <w:r>
        <w:br/>
        <w:rPr>
          <w:sz w:val="28"/>
          <w:rFonts w:hint="eastAsia"/>
        </w:rPr>
      </w:r>
      <w:r>
        <w:rPr>
          <w:sz w:val="28"/>
          <w:rFonts w:hint="eastAsia"/>
        </w:rPr>
        <w:t>2.2 从理论到实践：三大具体沟通挑战</w:t>
      </w:r>
      <w:r>
        <w:br/>
        <w:rPr>
          <w:sz w:val="28"/>
          <w:rFonts w:hint="eastAsia"/>
        </w:rPr>
      </w:r>
      <w:r>
        <w:br/>
        <w:rPr>
          <w:sz w:val="28"/>
          <w:rFonts w:hint="eastAsia"/>
        </w:rPr>
      </w:r>
      <w:r>
        <w:rPr>
          <w:sz w:val="28"/>
          <w:rFonts w:hint="eastAsia"/>
        </w:rPr>
        <w:t>上述理论差异，在真实的商务场景中会演变成非常具体的摩擦点，我将其归纳为以下三类：</w:t>
      </w:r>
      <w:r>
        <w:br/>
        <w:rPr>
          <w:sz w:val="28"/>
          <w:rFonts w:hint="eastAsia"/>
        </w:rPr>
      </w:r>
      <w:r>
        <w:br/>
        <w:rPr>
          <w:sz w:val="28"/>
          <w:rFonts w:hint="eastAsia"/>
        </w:rPr>
      </w:r>
      <w:r>
        <w:rPr>
          <w:sz w:val="28"/>
          <w:rFonts w:hint="eastAsia"/>
        </w:rPr>
        <w:t>挑战一：“效率之争”——决策节奏与会议文化的冲突</w:t>
      </w:r>
      <w:r>
        <w:br/>
        <w:rPr>
          <w:sz w:val="28"/>
          <w:rFonts w:hint="eastAsia"/>
        </w:rPr>
      </w:r>
      <w:r>
        <w:rPr>
          <w:sz w:val="28"/>
          <w:rFonts w:hint="eastAsia"/>
        </w:rPr>
        <w:t>英国管理者习惯快速推动进程，希望在会议中激发辩论、即兴发挥并当场做出方向性决定，细节可以后续补充。然而，在德国同事看来，这种“快节奏”可能是准备不足、轻视风险的表现。德国式会议要求事前收到详尽的议程和阅读材料，会议目的是就既定方案进行深入审核和达成精确共识，而非头脑风暴。我曾研究过一个案例：一家英国科技公司试图在柏林推进一个敏捷开发项目，但德方合作伙伴坚持要求先完成完整的需求规格书和项目计划，导致英方团队感到极其挫败，认为对方“缺乏灵活性”。这本质上是低不确定性规避与高不确定性规避的直接碰撞。</w:t>
      </w:r>
      <w:r>
        <w:br/>
        <w:rPr>
          <w:sz w:val="28"/>
          <w:rFonts w:hint="eastAsia"/>
        </w:rPr>
      </w:r>
      <w:r>
        <w:br/>
        <w:rPr>
          <w:sz w:val="28"/>
          <w:rFonts w:hint="eastAsia"/>
        </w:rPr>
      </w:r>
      <w:r>
        <w:rPr>
          <w:sz w:val="28"/>
          <w:rFonts w:hint="eastAsia"/>
        </w:rPr>
        <w:t>挑战二：“关系之谜”——建立信任的路径差异</w:t>
      </w:r>
      <w:r>
        <w:br/>
        <w:rPr>
          <w:sz w:val="28"/>
          <w:rFonts w:hint="eastAsia"/>
        </w:rPr>
      </w:r>
      <w:r>
        <w:rPr>
          <w:sz w:val="28"/>
          <w:rFonts w:hint="eastAsia"/>
        </w:rPr>
        <w:t>英国商业文化虽然也看重关系，但总体上更偏向任务导向，即业务关系可以随着具体项目的合作而快速建立和发展。一杯酒吧里的啤酒或许就能开启一段商业对话。在德国，商业信任的基石是专业能力、可靠性和严谨性，而非私人交情。德国商人更倾向于一种“信誉导向”的模式：他们需要通过多次正式、专业的互动，观察对方是否守时、承诺是否兑现、文件是否精准，来逐步积累信任。试图用过快的私人亲近来推动业务，反而可能让德国伙伴心生警惕，认为你不专业或别有用心。</w:t>
      </w:r>
      <w:r>
        <w:br/>
        <w:rPr>
          <w:sz w:val="28"/>
          <w:rFonts w:hint="eastAsia"/>
        </w:rPr>
      </w:r>
      <w:r>
        <w:br/>
        <w:rPr>
          <w:sz w:val="28"/>
          <w:rFonts w:hint="eastAsia"/>
        </w:rPr>
      </w:r>
      <w:r>
        <w:rPr>
          <w:sz w:val="28"/>
          <w:rFonts w:hint="eastAsia"/>
        </w:rPr>
        <w:t>挑战三：“表达之惑”——直接与委婉的尺度把握</w:t>
      </w:r>
      <w:r>
        <w:br/>
        <w:rPr>
          <w:sz w:val="28"/>
          <w:rFonts w:hint="eastAsia"/>
        </w:rPr>
      </w:r>
      <w:r>
        <w:rPr>
          <w:sz w:val="28"/>
          <w:rFonts w:hint="eastAsia"/>
        </w:rPr>
        <w:t>在书面和口头沟通中，尺度难以把握。德国人的直接了当，对于习惯用“或许”、“可能”、“我们不妨考虑”等委婉语包裹批评的英国人来说，可能显得生硬甚至粗鲁。例如，德国工程师在报告里直接写下“这个设计存在根本缺陷，不可行”，而英国同事期待的表述是“这个设计非常有创意，不过在实现层面我们可能面临一些有趣的挑战”。反之，英国人的委婉反馈，可能会被德国同事完全按字面理解，导致问题未被重视。这种直接表达与委婉表达的风格差异，是误解和情绪摩擦最常见的来源之一。</w:t>
      </w:r>
      <w:r>
        <w:br/>
        <w:rPr>
          <w:sz w:val="28"/>
          <w:rFonts w:hint="eastAsia"/>
        </w:rPr>
      </w:r>
      <w:r>
        <w:br/>
        <w:rPr>
          <w:sz w:val="28"/>
          <w:rFonts w:hint="eastAsia"/>
        </w:rPr>
      </w:r>
      <w:r>
        <w:rPr>
          <w:sz w:val="28"/>
          <w:rFonts w:hint="eastAsia"/>
        </w:rPr>
        <w:t>3. 主要发现二：策略评估与我的批判性反思</w:t>
      </w:r>
      <w:r>
        <w:br/>
        <w:rPr>
          <w:sz w:val="28"/>
          <w:rFonts w:hint="eastAsia"/>
        </w:rPr>
      </w:r>
      <w:r>
        <w:br/>
        <w:rPr>
          <w:sz w:val="28"/>
          <w:rFonts w:hint="eastAsia"/>
        </w:rPr>
      </w:r>
      <w:r>
        <w:rPr>
          <w:sz w:val="28"/>
          <w:rFonts w:hint="eastAsia"/>
        </w:rPr>
        <w:t>面对上述挑战，英国公司理论上可以采取不同的策略。结合TikTok在伦敦因推行“狼性”中国企业文化而遭遇强烈水土不服、导致员工离职潮的典型案例，我对三种主流策略进行了批判性反思。</w:t>
      </w:r>
      <w:r>
        <w:br/>
        <w:rPr>
          <w:sz w:val="28"/>
          <w:rFonts w:hint="eastAsia"/>
        </w:rPr>
      </w:r>
      <w:r>
        <w:br/>
        <w:rPr>
          <w:sz w:val="28"/>
          <w:rFonts w:hint="eastAsia"/>
        </w:rPr>
      </w:r>
      <w:r>
        <w:rPr>
          <w:sz w:val="28"/>
          <w:rFonts w:hint="eastAsia"/>
        </w:rPr>
        <w:t>3.1 策略一：文化同化策略——以我为主，强势推行</w:t>
      </w:r>
      <w:r>
        <w:br/>
        <w:rPr>
          <w:sz w:val="28"/>
          <w:rFonts w:hint="eastAsia"/>
        </w:rPr>
      </w:r>
      <w:r>
        <w:rPr>
          <w:sz w:val="28"/>
          <w:rFonts w:hint="eastAsia"/>
        </w:rPr>
        <w:t>这种策略要求德国合作伙伴或员工完全适应英国公司的沟通和工作方式。它的优势在于内部一致性高、决策执行快，仿佛在全球套用同一个“操作系统”。</w:t>
      </w:r>
      <w:r>
        <w:br/>
        <w:rPr>
          <w:sz w:val="28"/>
          <w:rFonts w:hint="eastAsia"/>
        </w:rPr>
      </w:r>
      <w:r>
        <w:br/>
        <w:rPr>
          <w:sz w:val="28"/>
          <w:rFonts w:hint="eastAsia"/>
        </w:rPr>
      </w:r>
      <w:r>
        <w:rPr>
          <w:sz w:val="28"/>
          <w:rFonts w:hint="eastAsia"/>
        </w:rPr>
        <w:t>· 我的批判性反思：这是最危险、最不明智的策略。TikTok的案例已经敲响了警钟。在德国这样一个以其自身文化和规则为傲的高不确定性规避社会，外部文化的强加会触发强烈的抵触。这不仅仅会导致合作破裂、员工流失，更会严重损害公司在当地市场的声誉。这种策略本质上是文化傲慢，它忽视了当地员工的尊严感和专业性，最终会因“文化毒性”而反噬自身。我认为，除非拥有绝对的垄断性技术优势，否则此策略不可行。</w:t>
      </w:r>
      <w:r>
        <w:br/>
        <w:rPr>
          <w:sz w:val="28"/>
          <w:rFonts w:hint="eastAsia"/>
        </w:rPr>
      </w:r>
      <w:r>
        <w:br/>
        <w:rPr>
          <w:sz w:val="28"/>
          <w:rFonts w:hint="eastAsia"/>
        </w:rPr>
      </w:r>
      <w:r>
        <w:rPr>
          <w:sz w:val="28"/>
          <w:rFonts w:hint="eastAsia"/>
        </w:rPr>
        <w:t>3.2 策略二：文化顺应策略——全盘本地化，入乡随俗</w:t>
      </w:r>
      <w:r>
        <w:br/>
        <w:rPr>
          <w:sz w:val="28"/>
          <w:rFonts w:hint="eastAsia"/>
        </w:rPr>
      </w:r>
      <w:r>
        <w:rPr>
          <w:sz w:val="28"/>
          <w:rFonts w:hint="eastAsia"/>
        </w:rPr>
        <w:t>这是另一个极端，即英国公司完全模仿德国企业的做法：制定极其详细的流程，会议全部使用德语，完全遵循德国的决策节奏。</w:t>
      </w:r>
      <w:r>
        <w:br/>
        <w:rPr>
          <w:sz w:val="28"/>
          <w:rFonts w:hint="eastAsia"/>
        </w:rPr>
      </w:r>
      <w:r>
        <w:br/>
        <w:rPr>
          <w:sz w:val="28"/>
          <w:rFonts w:hint="eastAsia"/>
        </w:rPr>
      </w:r>
      <w:r>
        <w:rPr>
          <w:sz w:val="28"/>
          <w:rFonts w:hint="eastAsia"/>
        </w:rPr>
        <w:t>· 我的批判性反思：这看似是一种尊重，但实际上可能让英国公司丧失其核心优势。英国商业文化中的灵活性、创新速度和应变能力是其重要的竞争力来源。全盘德国化可能会使组织变得僵化、决策缓慢，同时让派驻德国的英国高管感到极度不适和效能低下。更重要的是，这并非真正的跨文化融合，而只是简单地“换了一副面具”，公司内部可能会形成割裂的文化认知。因此，纯粹的顺应策略也难以持续。</w:t>
      </w:r>
      <w:r>
        <w:br/>
        <w:rPr>
          <w:sz w:val="28"/>
          <w:rFonts w:hint="eastAsia"/>
        </w:rPr>
      </w:r>
      <w:r>
        <w:br/>
        <w:rPr>
          <w:sz w:val="28"/>
          <w:rFonts w:hint="eastAsia"/>
        </w:rPr>
      </w:r>
      <w:r>
        <w:rPr>
          <w:sz w:val="28"/>
          <w:rFonts w:hint="eastAsia"/>
        </w:rPr>
        <w:t>3.3 策略三：文化整合策略——创造共享的“第三文化”</w:t>
      </w:r>
      <w:r>
        <w:br/>
        <w:rPr>
          <w:sz w:val="28"/>
          <w:rFonts w:hint="eastAsia"/>
        </w:rPr>
      </w:r>
      <w:r>
        <w:rPr>
          <w:sz w:val="28"/>
          <w:rFonts w:hint="eastAsia"/>
        </w:rPr>
        <w:t>这是指双方在充分认识彼此差异的基础上，共同创造出一套新的、融合双方优势的工作惯例和沟通规范。它不是简单的妥协，而是创新的协同。</w:t>
      </w:r>
      <w:r>
        <w:br/>
        <w:rPr>
          <w:sz w:val="28"/>
          <w:rFonts w:hint="eastAsia"/>
        </w:rPr>
      </w:r>
      <w:r>
        <w:br/>
        <w:rPr>
          <w:sz w:val="28"/>
          <w:rFonts w:hint="eastAsia"/>
        </w:rPr>
      </w:r>
      <w:r>
        <w:rPr>
          <w:sz w:val="28"/>
          <w:rFonts w:hint="eastAsia"/>
        </w:rPr>
        <w:t>· 我的反思与评估：我认为这是最理想、最可持续的路径。例如，在决策上，可以整合英国的“敏捷”与德国的“严谨”：在项目初期，设定一个德国式的详细规划阶段，但规划本身包含多个清晰的决策检查点，允许在框架内进行英式的快速迭代。在沟通上，可以明确约定“混合风格”：书面报告采用德国式的清晰结构，但口头讨论时，双方有意识地对表达方式进行“翻译”和确认。英国管理者学习直接但礼貌地给出反馈，德国同事则学习解读英方的委婉信号，并主动追问确认。</w:t>
      </w:r>
      <w:r>
        <w:br/>
        <w:rPr>
          <w:sz w:val="28"/>
          <w:rFonts w:hint="eastAsia"/>
        </w:rPr>
      </w:r>
      <w:r>
        <w:rPr>
          <w:sz w:val="28"/>
          <w:rFonts w:hint="eastAsia"/>
        </w:rPr>
        <w:t>· 此策略的优势在于它能最大化多样性红利，结合英国的灵活性与德国的可靠性，可能催生更强的创新能力。它能建立基于相互理解和调整的、更深厚的信任。</w:t>
      </w:r>
      <w:r>
        <w:br/>
        <w:rPr>
          <w:sz w:val="28"/>
          <w:rFonts w:hint="eastAsia"/>
        </w:rPr>
      </w:r>
      <w:r>
        <w:rPr>
          <w:sz w:val="28"/>
          <w:rFonts w:hint="eastAsia"/>
        </w:rPr>
        <w:t>· 其挑战则在于实施难度极高，需要双方极高的意愿、持续的沟通和制度性的投入。它要求领导者具备卓越的文化智商和桥梁作用。</w:t>
      </w:r>
      <w:r>
        <w:br/>
        <w:rPr>
          <w:sz w:val="28"/>
          <w:rFonts w:hint="eastAsia"/>
        </w:rPr>
      </w:r>
      <w:r>
        <w:br/>
        <w:rPr>
          <w:sz w:val="28"/>
          <w:rFonts w:hint="eastAsia"/>
        </w:rPr>
      </w:r>
      <w:r>
        <w:rPr>
          <w:sz w:val="28"/>
          <w:rFonts w:hint="eastAsia"/>
        </w:rPr>
        <w:t>4. 结论：从差异到协同——我的核心观点</w:t>
      </w:r>
      <w:r>
        <w:br/>
        <w:rPr>
          <w:sz w:val="28"/>
          <w:rFonts w:hint="eastAsia"/>
        </w:rPr>
      </w:r>
      <w:r>
        <w:br/>
        <w:rPr>
          <w:sz w:val="28"/>
          <w:rFonts w:hint="eastAsia"/>
        </w:rPr>
      </w:r>
      <w:r>
        <w:rPr>
          <w:sz w:val="28"/>
          <w:rFonts w:hint="eastAsia"/>
        </w:rPr>
        <w:t>通过这次系统的反思，我深刻认识到，英德之间的商务沟通挑战，绝非仅仅是语言或礼仪问题，而是源于各自文化系统对世界运行方式的根本不同假设。德国的高不确定性规避和长期导向，与英国的低不确定性规避和短期导向，构成了一对核心矛盾，体现在从战略规划到日常邮件的每一个环节。</w:t>
      </w:r>
      <w:r>
        <w:br/>
        <w:rPr>
          <w:sz w:val="28"/>
          <w:rFonts w:hint="eastAsia"/>
        </w:rPr>
      </w:r>
      <w:r>
        <w:br/>
        <w:rPr>
          <w:sz w:val="28"/>
          <w:rFonts w:hint="eastAsia"/>
        </w:rPr>
      </w:r>
      <w:r>
        <w:rPr>
          <w:sz w:val="28"/>
          <w:rFonts w:hint="eastAsia"/>
        </w:rPr>
        <w:t>无论是导致冲突的文化同化策略，还是可能丧失自我的文化顺应策略，都无法妥善解决这一矛盾。TikTok在英国的挫折已经证明，忽视文化环境的制约将付出沉重代价。因此，我的核心结论是：对于旨在德国市场取得长期成功的英国公司而言，唯一有效的途径是致力于文化整合。</w:t>
      </w:r>
      <w:r>
        <w:br/>
        <w:rPr>
          <w:sz w:val="28"/>
          <w:rFonts w:hint="eastAsia"/>
        </w:rPr>
      </w:r>
      <w:r>
        <w:br/>
        <w:rPr>
          <w:sz w:val="28"/>
          <w:rFonts w:hint="eastAsia"/>
        </w:rPr>
      </w:r>
      <w:r>
        <w:rPr>
          <w:sz w:val="28"/>
          <w:rFonts w:hint="eastAsia"/>
        </w:rPr>
        <w:t>这意味着，英国公司必须将跨文化沟通能力从一项“软技能”提升为一项核心战略能力。成功的沟通不是避免差异，而是管理差异，并智慧地将其转化为一种竞争优势。最终的目标，不是在“英国方式”和“德国方式”之间二选一，而是共同创造出一种更高效、更包容、更具韧性的“英德协作方式”。</w:t>
      </w:r>
      <w:r>
        <w:br/>
        <w:rPr>
          <w:sz w:val="28"/>
          <w:rFonts w:hint="eastAsia"/>
        </w:rPr>
      </w:r>
      <w:r>
        <w:br/>
        <w:rPr>
          <w:sz w:val="28"/>
          <w:rFonts w:hint="eastAsia"/>
        </w:rPr>
      </w:r>
      <w:r>
        <w:rPr>
          <w:sz w:val="28"/>
          <w:rFonts w:hint="eastAsia"/>
        </w:rPr>
        <w:t>5. 建议：构建面向德国市场的跨文化沟通韧性系统</w:t>
      </w:r>
      <w:r>
        <w:br/>
        <w:rPr>
          <w:sz w:val="28"/>
          <w:rFonts w:hint="eastAsia"/>
        </w:rPr>
      </w:r>
      <w:r>
        <w:br/>
        <w:rPr>
          <w:sz w:val="28"/>
          <w:rFonts w:hint="eastAsia"/>
        </w:rPr>
      </w:r>
      <w:r>
        <w:rPr>
          <w:sz w:val="28"/>
          <w:rFonts w:hint="eastAsia"/>
        </w:rPr>
        <w:t>基于以上结论，我并非仅仅给出几条泛泛之谈的建议，而是构想了一个系统性的“韧性系统”建设方案，供英国公司参考。</w:t>
      </w:r>
      <w:r>
        <w:br/>
        <w:rPr>
          <w:sz w:val="28"/>
          <w:rFonts w:hint="eastAsia"/>
        </w:rPr>
      </w:r>
      <w:r>
        <w:br/>
        <w:rPr>
          <w:sz w:val="28"/>
          <w:rFonts w:hint="eastAsia"/>
        </w:rPr>
      </w:r>
      <w:r>
        <w:rPr>
          <w:sz w:val="28"/>
          <w:rFonts w:hint="eastAsia"/>
        </w:rPr>
        <w:t>建议一：投资于“深水区”文化培训，超越表面礼仪</w:t>
      </w:r>
      <w:r>
        <w:br/>
        <w:rPr>
          <w:sz w:val="28"/>
          <w:rFonts w:hint="eastAsia"/>
        </w:rPr>
      </w:r>
      <w:r>
        <w:rPr>
          <w:sz w:val="28"/>
          <w:rFonts w:hint="eastAsia"/>
        </w:rPr>
        <w:t>培训内容必须超越“德国人守时、爱喝啤酒”的表面知识，深入探讨文化维度背后的逻辑。例如，通过角色扮演，让英国员工体验在高不确定性规避环境中，一份模糊的合同带来的焦虑感；也让德国员工理解，在快速变化的市场中，低不确定性规避所赋予的竞争优势。培训的目标是培养文化智商，即不仅知道差异是什么，更能理解差异为何存在，并能在压力下调整自身行为。</w:t>
      </w:r>
      <w:r>
        <w:br/>
        <w:rPr>
          <w:sz w:val="28"/>
          <w:rFonts w:hint="eastAsia"/>
        </w:rPr>
      </w:r>
      <w:r>
        <w:br/>
        <w:rPr>
          <w:sz w:val="28"/>
          <w:rFonts w:hint="eastAsia"/>
        </w:rPr>
      </w:r>
      <w:r>
        <w:rPr>
          <w:sz w:val="28"/>
          <w:rFonts w:hint="eastAsia"/>
        </w:rPr>
        <w:t>建议二：设立“文化桥梁角色”与混合团队</w:t>
      </w:r>
      <w:r>
        <w:br/>
        <w:rPr>
          <w:sz w:val="28"/>
          <w:rFonts w:hint="eastAsia"/>
        </w:rPr>
      </w:r>
      <w:r>
        <w:rPr>
          <w:sz w:val="28"/>
          <w:rFonts w:hint="eastAsia"/>
        </w:rPr>
        <w:t>在关键项目团队中，必须有意识地进行文化混合配置。更重要的是，要正式任命或认可具有双重文化经验的员工作为“文化桥梁”。此人负责在沟通误解发生时进行即时“翻译”和调解，并定期收集双方团队的反馈，优化协作流程。这个角色是文化整合的“催化剂”和“润滑剂”。</w:t>
      </w:r>
      <w:r>
        <w:br/>
        <w:rPr>
          <w:sz w:val="28"/>
          <w:rFonts w:hint="eastAsia"/>
        </w:rPr>
      </w:r>
      <w:r>
        <w:br/>
        <w:rPr>
          <w:sz w:val="28"/>
          <w:rFonts w:hint="eastAsia"/>
        </w:rPr>
      </w:r>
      <w:r>
        <w:rPr>
          <w:sz w:val="28"/>
          <w:rFonts w:hint="eastAsia"/>
        </w:rPr>
        <w:t>建议三：共同设计“协作章程”，流程化整合</w:t>
      </w:r>
      <w:r>
        <w:br/>
        <w:rPr>
          <w:sz w:val="28"/>
          <w:rFonts w:hint="eastAsia"/>
        </w:rPr>
      </w:r>
      <w:r>
        <w:rPr>
          <w:sz w:val="28"/>
          <w:rFonts w:hint="eastAsia"/>
        </w:rPr>
        <w:t>在项目启动时，双方应共同制定一份《跨文化协作章程》。这份活文件可以明确规定：会议议程需提前多久发布；决策是共识制还是授权制；哪些决策需要完整文档，哪些可以快速拍板；甚至包括“当出现分歧时，我们首先采用德国式的直接分析，还是英国式的头脑风暴”。这将差异管理从临场发挥变为有章可循。</w:t>
      </w:r>
      <w:r>
        <w:br/>
        <w:rPr>
          <w:sz w:val="28"/>
          <w:rFonts w:hint="eastAsia"/>
        </w:rPr>
      </w:r>
      <w:r>
        <w:br/>
        <w:rPr>
          <w:sz w:val="28"/>
          <w:rFonts w:hint="eastAsia"/>
        </w:rPr>
      </w:r>
      <w:r>
        <w:rPr>
          <w:sz w:val="28"/>
          <w:rFonts w:hint="eastAsia"/>
        </w:rPr>
        <w:t>建议四：将跨文化效能纳入领导力考核</w:t>
      </w:r>
      <w:r>
        <w:br/>
        <w:rPr>
          <w:sz w:val="28"/>
          <w:rFonts w:hint="eastAsia"/>
        </w:rPr>
      </w:r>
      <w:r>
        <w:rPr>
          <w:sz w:val="28"/>
          <w:rFonts w:hint="eastAsia"/>
        </w:rPr>
        <w:t>高管的晋升和考评，应包含其管理跨文化团队或项目的效能。他们在德国是加剧了文化冲突，还是成功促进了整合？这能从根本上激励管理层认真对待文化问题，避免其沦为口头上重要、执行时次要的点缀。</w:t>
      </w:r>
      <w:r>
        <w:br/>
        <w:rPr>
          <w:sz w:val="28"/>
          <w:rFonts w:hint="eastAsia"/>
        </w:rPr>
      </w:r>
      <w:r>
        <w:br/>
        <w:rPr>
          <w:sz w:val="28"/>
          <w:rFonts w:hint="eastAsia"/>
        </w:rPr>
      </w:r>
      <w:r>
        <w:rPr>
          <w:sz w:val="28"/>
          <w:rFonts w:hint="eastAsia"/>
        </w:rPr>
        <w:t>总而言之，进入德国市场，对英国公司而言既是一场商业冒险，也是一次深刻的跨文化学习之旅。唯有怀抱谦逊之心，运用系统智慧，才能在这场旅程中，将布满挑战的沟通之桥，铸就成为通往共同成功的坚实道路。</w:t>
      </w:r>
      <w:r>
        <w:br/>
        <w:rPr>
          <w:sz w:val="28"/>
          <w:rFonts w:hint="eastAsia"/>
        </w:rPr>
      </w:r>
      <w:r>
        <w:br/>
        <w:rPr>
          <w:sz w:val="28"/>
          <w:rFonts w:hint="eastAsia"/>
        </w:rPr>
      </w:r>
    </w:p>
    <w:p w14:paraId="FF433D2A" w14:textId="014EDE3F" w:rsidR="715FC5AA" w:rsidRPr="715FC5AA" w:rsidRDefault="715FC5AA" w:rsidP="715FC5AA">
      <w:pPr>
        <w:snapToGrid w:val="0"/>
        <w:rPr>
          <w:sz w:val="28"/>
          <w:rFonts w:hint="eastAsia"/>
        </w:rPr>
      </w:pPr>
      <w:r>
        <w:rPr>
          <w:sz w:val="28"/>
          <w:rFonts w:hint="eastAsia"/>
        </w:rPr>
        <w:t>参考文献</w:t>
      </w:r>
      <w:r>
        <w:br/>
        <w:rPr>
          <w:sz w:val="28"/>
          <w:rFonts w:hint="eastAsia"/>
        </w:rPr>
      </w:r>
      <w:r>
        <w:br/>
        <w:rPr>
          <w:sz w:val="28"/>
          <w:rFonts w:hint="eastAsia"/>
        </w:rPr>
      </w:r>
      <w:r>
        <w:rPr>
          <w:sz w:val="28"/>
          <w:rFonts w:hint="eastAsia"/>
        </w:rPr>
        <w:t>1. Adler, N. J., &amp; Gundersen, A. (2008). International dimensions of organizational behavior (5th ed.). Thomson South-Western.</w:t>
      </w:r>
      <w:r>
        <w:br/>
        <w:rPr>
          <w:sz w:val="28"/>
          <w:rFonts w:hint="eastAsia"/>
        </w:rPr>
      </w:r>
    </w:p>
    <w:p w14:paraId="63CD6EFA" w14:textId="7F2809FC" w:rsidR="442B66E9" w:rsidRPr="442B66E9" w:rsidRDefault="442B66E9" w:rsidP="442B66E9">
      <w:pPr>
        <w:snapToGrid w:val="0"/>
        <w:rPr>
          <w:sz w:val="28"/>
          <w:rFonts w:hint="eastAsia"/>
        </w:rPr>
      </w:pPr>
      <w:r>
        <w:rPr>
          <w:sz w:val="28"/>
          <w:rFonts w:hint="eastAsia"/>
        </w:rPr>
        <w:t>2. Chen, G. M., &amp; Starosta, W. J. (2005). Foundations of intercultural communication. University Press of America.</w:t>
      </w:r>
      <w:r>
        <w:br/>
        <w:rPr>
          <w:sz w:val="28"/>
          <w:rFonts w:hint="eastAsia"/>
        </w:rPr>
      </w:r>
    </w:p>
    <w:p w14:paraId="2FAB53E9" w14:textId="6549ADC0" w:rsidR="B116C44A" w:rsidRPr="B116C44A" w:rsidRDefault="B116C44A" w:rsidP="B116C44A">
      <w:pPr>
        <w:snapToGrid w:val="0"/>
        <w:rPr>
          <w:sz w:val="28"/>
          <w:rFonts w:hint="eastAsia"/>
        </w:rPr>
      </w:pPr>
      <w:r>
        <w:rPr>
          <w:sz w:val="28"/>
          <w:rFonts w:hint="eastAsia"/>
        </w:rPr>
        <w:t>3. Czinkota, M. R., Ronkainen, I. A., &amp; Gupta, S. (2021). International business (9th ed.). Cambridge University Press.</w:t>
      </w:r>
      <w:r>
        <w:br/>
        <w:rPr>
          <w:sz w:val="28"/>
          <w:rFonts w:hint="eastAsia"/>
        </w:rPr>
      </w:r>
    </w:p>
    <w:p w14:paraId="3C4E5460" w14:textId="838F0BD5" w:rsidR="7BDE4511" w:rsidRPr="7BDE4511" w:rsidRDefault="7BDE4511" w:rsidP="7BDE4511">
      <w:pPr>
        <w:snapToGrid w:val="0"/>
        <w:rPr>
          <w:sz w:val="28"/>
          <w:rFonts w:hint="eastAsia"/>
        </w:rPr>
      </w:pPr>
      <w:r>
        <w:rPr>
          <w:sz w:val="28"/>
          <w:rFonts w:hint="eastAsia"/>
        </w:rPr>
        <w:t>4. Deresky, H. (2017). International management: Managing across borders and cultures (9th ed.). Pearson.</w:t>
      </w:r>
      <w:r>
        <w:br/>
        <w:rPr>
          <w:sz w:val="28"/>
          <w:rFonts w:hint="eastAsia"/>
        </w:rPr>
      </w:r>
    </w:p>
    <w:p w14:paraId="F1ACEC9B" w14:textId="E9A8DDE0" w:rsidR="3895B8E7" w:rsidRPr="3895B8E7" w:rsidRDefault="3895B8E7" w:rsidP="3895B8E7">
      <w:pPr>
        <w:snapToGrid w:val="0"/>
        <w:rPr>
          <w:sz w:val="28"/>
          <w:rFonts w:hint="eastAsia"/>
        </w:rPr>
      </w:pPr>
      <w:r>
        <w:rPr>
          <w:sz w:val="28"/>
          <w:rFonts w:hint="eastAsia"/>
        </w:rPr>
        <w:t>5. Fang, T. (2003). A critique of Hofstede’s fifth national culture dimension. International Journal of Cross Cultural Management, 3(3), 347-368.</w:t>
      </w:r>
    </w:p>
    <w:p w14:paraId="0040C1A3" w14:textId="263BC0BF" w:rsidR="923B5F90" w:rsidRPr="923B5F90" w:rsidRDefault="923B5F90" w:rsidP="923B5F90">
      <w:pPr>
        <w:snapToGrid w:val="0"/>
        <w:rPr>
          <w:sz w:val="28"/>
          <w:rFonts w:hint="eastAsia"/>
        </w:rPr>
      </w:pPr>
      <w:r>
        <w:br/>
        <w:rPr>
          <w:sz w:val="28"/>
          <w:rFonts w:hint="eastAsia"/>
        </w:rPr>
      </w:r>
      <w:r>
        <w:rPr>
          <w:sz w:val="28"/>
          <w:rFonts w:hint="eastAsia"/>
        </w:rPr>
        <w:t>6. Gesteland, R. R. (2012). Cross-cultural business behavior: A guide for global management (5th ed.). Copenhagen Business School Press.</w:t>
      </w:r>
      <w:r>
        <w:br/>
        <w:rPr>
          <w:sz w:val="28"/>
          <w:rFonts w:hint="eastAsia"/>
        </w:rPr>
      </w:r>
    </w:p>
    <w:p w14:paraId="717765A5" w14:textId="CA4C2E9C" w:rsidR="6593E039" w:rsidRPr="6593E039" w:rsidRDefault="6593E039" w:rsidP="6593E039">
      <w:pPr>
        <w:snapToGrid w:val="0"/>
        <w:rPr>
          <w:sz w:val="28"/>
          <w:rFonts w:hint="eastAsia"/>
        </w:rPr>
      </w:pPr>
      <w:r>
        <w:rPr>
          <w:sz w:val="28"/>
          <w:rFonts w:hint="eastAsia"/>
        </w:rPr>
        <w:t>7. Gudykunst, W. B., &amp; Kim, Y. Y. (2003). Communicating with strangers: An approach to intercultural communication (4th ed.). McGraw-Hill.</w:t>
      </w:r>
      <w:r>
        <w:br/>
        <w:rPr>
          <w:sz w:val="28"/>
          <w:rFonts w:hint="eastAsia"/>
        </w:rPr>
      </w:r>
    </w:p>
    <w:p w14:paraId="36D76CB3" w14:textId="C47C3C47" w:rsidR="4CFAFE4D" w:rsidRPr="4CFAFE4D" w:rsidRDefault="4CFAFE4D" w:rsidP="4CFAFE4D">
      <w:pPr>
        <w:snapToGrid w:val="0"/>
        <w:rPr>
          <w:sz w:val="28"/>
          <w:rFonts w:hint="eastAsia"/>
        </w:rPr>
      </w:pPr>
      <w:r>
        <w:rPr>
          <w:sz w:val="28"/>
          <w:rFonts w:hint="eastAsia"/>
        </w:rPr>
        <w:t>8. Hall, E. T. (1976). Beyond culture. Anchor Books.</w:t>
      </w:r>
    </w:p>
    <w:p w14:paraId="05052214" w14:textId="825B577D" w:rsidR="27466606" w:rsidRPr="27466606" w:rsidRDefault="27466606" w:rsidP="27466606">
      <w:pPr>
        <w:snapToGrid w:val="0"/>
        <w:rPr>
          <w:sz w:val="28"/>
          <w:rFonts w:hint="eastAsia"/>
        </w:rPr>
      </w:pPr>
      <w:r>
        <w:br/>
        <w:rPr>
          <w:sz w:val="28"/>
          <w:rFonts w:hint="eastAsia"/>
        </w:rPr>
      </w:r>
      <w:r>
        <w:rPr>
          <w:sz w:val="28"/>
          <w:rFonts w:hint="eastAsia"/>
        </w:rPr>
        <w:t>9. Hampden-Turner, C., &amp; Trompenaars, F. (2000). Building cross-cultural competence: How to create wealth from conflicting values. Yale University Press.</w:t>
      </w:r>
    </w:p>
    <w:p w14:paraId="0BEE0688" w14:textId="CC096F8D" w:rsidR="2875A1F5" w:rsidRPr="2875A1F5" w:rsidRDefault="2875A1F5" w:rsidP="2875A1F5">
      <w:pPr>
        <w:snapToGrid w:val="0"/>
        <w:rPr>
          <w:sz w:val="28"/>
          <w:rFonts w:hint="eastAsia"/>
        </w:rPr>
      </w:pPr>
      <w:r>
        <w:br/>
        <w:rPr>
          <w:sz w:val="28"/>
          <w:rFonts w:hint="eastAsia"/>
        </w:rPr>
      </w:r>
      <w:r>
        <w:rPr>
          <w:sz w:val="28"/>
          <w:rFonts w:hint="eastAsia"/>
        </w:rPr>
        <w:t>10. Hofstede, G., Hofstede, G. J., &amp; Minkov, M. (2010). Cultures and organizations: Software of the mind (3rd ed.). McGraw-Hill.</w:t>
      </w:r>
    </w:p>
    <w:p w14:paraId="EF9163B6" w14:textId="4180DBAE" w:rsidR="343E757F" w:rsidRPr="343E757F" w:rsidRDefault="343E757F" w:rsidP="343E757F">
      <w:pPr>
        <w:snapToGrid w:val="0"/>
        <w:rPr>
          <w:sz w:val="28"/>
          <w:rFonts w:hint="eastAsia"/>
        </w:rPr>
      </w:pPr>
      <w:r>
        <w:br/>
        <w:rPr>
          <w:sz w:val="28"/>
          <w:rFonts w:hint="eastAsia"/>
        </w:rPr>
      </w:r>
      <w:r>
        <w:rPr>
          <w:sz w:val="28"/>
          <w:rFonts w:hint="eastAsia"/>
        </w:rPr>
        <w:t>11. House, R. J., Hanges, P. J., Javidan, M., Dorfman, P. W., &amp; Gupta, V. (Eds.). (2004). Culture, leadership, and organizations: The GLOBE study of 62 societies. Sage Publications.</w:t>
      </w:r>
    </w:p>
    <w:p w14:paraId="D8FE8BFA" w14:textId="E5D3B410" w:rsidR="76EA9DB7" w:rsidRPr="76EA9DB7" w:rsidRDefault="76EA9DB7" w:rsidP="76EA9DB7">
      <w:pPr>
        <w:snapToGrid w:val="0"/>
        <w:rPr>
          <w:sz w:val="28"/>
          <w:rFonts w:hint="eastAsia"/>
        </w:rPr>
      </w:pPr>
      <w:r>
        <w:br/>
        <w:rPr>
          <w:sz w:val="28"/>
          <w:rFonts w:hint="eastAsia"/>
        </w:rPr>
      </w:r>
      <w:r>
        <w:rPr>
          <w:sz w:val="28"/>
          <w:rFonts w:hint="eastAsia"/>
        </w:rPr>
        <w:t>12. Jandt, F. E. (2018). An introduction to intercultural communication: Identities in a global community (9th ed.). Sage Publications.</w:t>
      </w:r>
    </w:p>
    <w:p w14:paraId="B8D54689" w14:textId="2FE84A7F" w:rsidR="C661F187" w:rsidRPr="C661F187" w:rsidRDefault="C661F187" w:rsidP="C661F187">
      <w:pPr>
        <w:snapToGrid w:val="0"/>
        <w:rPr>
          <w:sz w:val="28"/>
          <w:rFonts w:hint="eastAsia"/>
        </w:rPr>
      </w:pPr>
      <w:r>
        <w:br/>
        <w:rPr>
          <w:sz w:val="28"/>
          <w:rFonts w:hint="eastAsia"/>
        </w:rPr>
      </w:r>
      <w:r>
        <w:rPr>
          <w:sz w:val="28"/>
          <w:rFonts w:hint="eastAsia"/>
        </w:rPr>
        <w:t>13. Lewis, R. D. (2006). When cultures collide: Leading across cultures (3rd ed.). Nicholas Brealey Publishing.</w:t>
      </w:r>
    </w:p>
    <w:p w14:paraId="8CAE24C4" w14:textId="2264885A" w:rsidR="809FE37D" w:rsidRPr="809FE37D" w:rsidRDefault="809FE37D" w:rsidP="809FE37D">
      <w:pPr>
        <w:snapToGrid w:val="0"/>
        <w:rPr>
          <w:sz w:val="28"/>
          <w:rFonts w:hint="eastAsia"/>
        </w:rPr>
      </w:pPr>
      <w:r>
        <w:br/>
        <w:rPr>
          <w:sz w:val="28"/>
          <w:rFonts w:hint="eastAsia"/>
        </w:rPr>
      </w:r>
      <w:r>
        <w:rPr>
          <w:sz w:val="28"/>
          <w:rFonts w:hint="eastAsia"/>
        </w:rPr>
        <w:t>14. Lustig, M. W., &amp; Koester, J. (2013). Intercultural competence: Interpersonal communication across cultures (7th ed.). Pearson.</w:t>
      </w:r>
    </w:p>
    <w:p w14:paraId="51FABAFA" w14:textId="615D8509" w:rsidR="AD06B915" w:rsidRPr="AD06B915" w:rsidRDefault="AD06B915" w:rsidP="AD06B915">
      <w:pPr>
        <w:snapToGrid w:val="0"/>
        <w:rPr>
          <w:sz w:val="28"/>
          <w:rFonts w:hint="eastAsia"/>
        </w:rPr>
      </w:pPr>
      <w:r>
        <w:br/>
        <w:rPr>
          <w:sz w:val="28"/>
          <w:rFonts w:hint="eastAsia"/>
        </w:rPr>
      </w:r>
      <w:r>
        <w:rPr>
          <w:sz w:val="28"/>
          <w:rFonts w:hint="eastAsia"/>
        </w:rPr>
        <w:t>15. Luthans, F., &amp; Doh, J. P. (2021). International management: Culture, strategy, and behavior (12th ed.). McGraw-Hill.</w:t>
      </w:r>
    </w:p>
    <w:p w14:paraId="4C82E437" w14:textId="E3D0B12C" w:rsidR="0EA58069" w:rsidRPr="0EA58069" w:rsidRDefault="0EA58069" w:rsidP="0EA58069">
      <w:pPr>
        <w:snapToGrid w:val="0"/>
        <w:rPr>
          <w:sz w:val="28"/>
          <w:rFonts w:hint="eastAsia"/>
        </w:rPr>
      </w:pPr>
      <w:r>
        <w:br/>
        <w:rPr>
          <w:sz w:val="28"/>
          <w:rFonts w:hint="eastAsia"/>
        </w:rPr>
      </w:r>
      <w:r>
        <w:rPr>
          <w:sz w:val="28"/>
          <w:rFonts w:hint="eastAsia"/>
        </w:rPr>
        <w:t>16. Meyer, E. (2014). The culture map: Breaking through the invisible boundaries of global business. PublicAffairs.</w:t>
      </w:r>
    </w:p>
    <w:p w14:paraId="5A432B51" w14:textId="14517D7D" w:rsidR="2B2873A8" w:rsidRPr="2B2873A8" w:rsidRDefault="2B2873A8" w:rsidP="2B2873A8">
      <w:pPr>
        <w:snapToGrid w:val="0"/>
        <w:rPr>
          <w:sz w:val="28"/>
          <w:rFonts w:hint="eastAsia"/>
        </w:rPr>
      </w:pPr>
      <w:r>
        <w:br/>
        <w:rPr>
          <w:sz w:val="28"/>
          <w:rFonts w:hint="eastAsia"/>
        </w:rPr>
      </w:r>
      <w:r>
        <w:rPr>
          <w:sz w:val="28"/>
          <w:rFonts w:hint="eastAsia"/>
        </w:rPr>
        <w:t>17. Nardon, L., &amp; Steers, R. M. (2009). The culture theory jungle: Divergence and convergence in models of national culture. In Cambridge handbook of culture, organizations, and work (pp. 3-22). Cambridge University Press.</w:t>
      </w:r>
    </w:p>
    <w:p w14:paraId="88A6964D" w14:textId="F0C69DBC" w:rsidR="7CADE167" w:rsidRPr="7CADE167" w:rsidRDefault="7CADE167" w:rsidP="7CADE167">
      <w:pPr>
        <w:snapToGrid w:val="0"/>
        <w:rPr>
          <w:sz w:val="28"/>
          <w:rFonts w:hint="eastAsia"/>
        </w:rPr>
      </w:pPr>
      <w:r>
        <w:br/>
        <w:rPr>
          <w:sz w:val="28"/>
          <w:rFonts w:hint="eastAsia"/>
        </w:rPr>
      </w:r>
      <w:r>
        <w:rPr>
          <w:sz w:val="28"/>
          <w:rFonts w:hint="eastAsia"/>
        </w:rPr>
        <w:t>18. Schneider, S. C., &amp; Barsoux, J. L. (2003). Managing across cultures (2nd ed.). Pearson Education.</w:t>
      </w:r>
    </w:p>
    <w:p w14:paraId="42F754A9" w14:textId="1DBE1647" w:rsidR="ED69BFD4" w:rsidRPr="ED69BFD4" w:rsidRDefault="ED69BFD4" w:rsidP="ED69BFD4">
      <w:pPr>
        <w:snapToGrid w:val="0"/>
        <w:rPr>
          <w:sz w:val="28"/>
          <w:rFonts w:hint="eastAsia"/>
        </w:rPr>
      </w:pPr>
      <w:r>
        <w:br/>
        <w:rPr>
          <w:sz w:val="28"/>
          <w:rFonts w:hint="eastAsia"/>
        </w:rPr>
      </w:r>
      <w:r>
        <w:rPr>
          <w:sz w:val="28"/>
          <w:rFonts w:hint="eastAsia"/>
        </w:rPr>
        <w:t>19. Storti, C. (2007). Speaking of India: Bridging the communication gap when working with Indians. Intercultural Press.</w:t>
      </w:r>
    </w:p>
    <w:p w14:paraId="BD8B8239" w14:textId="546B3295" w:rsidR="4861FD6C" w:rsidRPr="4861FD6C" w:rsidRDefault="4861FD6C" w:rsidP="4861FD6C">
      <w:pPr>
        <w:snapToGrid w:val="0"/>
        <w:rPr>
          <w:sz w:val="28"/>
          <w:rFonts w:hint="eastAsia"/>
        </w:rPr>
      </w:pPr>
      <w:r>
        <w:br/>
        <w:rPr>
          <w:sz w:val="28"/>
          <w:rFonts w:hint="eastAsia"/>
        </w:rPr>
      </w:r>
      <w:r>
        <w:rPr>
          <w:sz w:val="28"/>
          <w:rFonts w:hint="eastAsia"/>
        </w:rPr>
        <w:t>20. Thomas, D. C., &amp; Peterson, M. F. (2018). Cross-cultural management: Essential concepts (4th ed.). Sage Publications.</w:t>
      </w:r>
    </w:p>
    <w:p w14:paraId="FF4E8F0A" w14:textId="C593AEBB" w:rsidR="6F95D2BD" w:rsidRPr="6F95D2BD" w:rsidRDefault="6F95D2BD" w:rsidP="6F95D2BD">
      <w:pPr>
        <w:snapToGrid w:val="0"/>
        <w:rPr>
          <w:sz w:val="28"/>
          <w:rFonts w:hint="eastAsia"/>
        </w:rPr>
      </w:pPr>
      <w:r>
        <w:br/>
        <w:rPr>
          <w:sz w:val="28"/>
          <w:rFonts w:hint="eastAsia"/>
        </w:rPr>
      </w:r>
      <w:r>
        <w:rPr>
          <w:sz w:val="28"/>
          <w:rFonts w:hint="eastAsia"/>
        </w:rPr>
        <w:t>21. Ting-Toomey, S., &amp; Chung, L. C. (2012). Understanding intercultural communication (2nd ed.). Oxford University Press.</w:t>
      </w:r>
    </w:p>
    <w:p w14:paraId="A423B688" w14:textId="C6517E0A" w:rsidR="F1F2A05F" w:rsidRPr="F1F2A05F" w:rsidRDefault="F1F2A05F" w:rsidP="F1F2A05F">
      <w:pPr>
        <w:snapToGrid w:val="0"/>
        <w:rPr>
          <w:sz w:val="28"/>
          <w:rFonts w:hint="eastAsia"/>
        </w:rPr>
      </w:pPr>
      <w:r>
        <w:br/>
        <w:rPr>
          <w:sz w:val="28"/>
          <w:rFonts w:hint="eastAsia"/>
        </w:rPr>
      </w:r>
      <w:r>
        <w:rPr>
          <w:sz w:val="28"/>
          <w:rFonts w:hint="eastAsia"/>
        </w:rPr>
        <w:t>22. Trompenaars, F., &amp; Hampden-Turner, C. (2012). Riding the waves of culture: Understanding diversity in global business (3rd ed.). Nicholas Brealey Publishing.</w:t>
      </w:r>
    </w:p>
    <w:p w14:paraId="56DF26CD" w14:textId="0406F7EF" w:rsidR="9D72CBEF" w:rsidRPr="9D72CBEF" w:rsidRDefault="9D72CBEF" w:rsidP="9D72CBEF">
      <w:pPr>
        <w:snapToGrid w:val="0"/>
        <w:rPr>
          <w:sz w:val="28"/>
          <w:rFonts w:hint="eastAsia"/>
        </w:rPr>
      </w:pPr>
      <w:r>
        <w:br/>
        <w:rPr>
          <w:sz w:val="28"/>
          <w:rFonts w:hint="eastAsia"/>
        </w:rPr>
      </w:r>
      <w:r>
        <w:rPr>
          <w:sz w:val="28"/>
          <w:rFonts w:hint="eastAsia"/>
        </w:rPr>
        <w:t>23. Usunier, J. C., &amp; Lee, J. A. (2013). Marketing across cultures (6th ed.). Pearson Education.</w:t>
      </w:r>
    </w:p>
    <w:p w14:paraId="C23217EB" w14:textId="481158FD" w:rsidR="0BEB6587" w:rsidRPr="0BEB6587" w:rsidRDefault="0BEB6587" w:rsidP="0BEB6587">
      <w:pPr>
        <w:snapToGrid w:val="0"/>
        <w:rPr>
          <w:sz w:val="28"/>
          <w:rFonts w:hint="eastAsia"/>
        </w:rPr>
      </w:pPr>
      <w:r>
        <w:br/>
        <w:rPr>
          <w:sz w:val="28"/>
          <w:rFonts w:hint="eastAsia"/>
        </w:rPr>
      </w:r>
      <w:r>
        <w:rPr>
          <w:sz w:val="28"/>
          <w:rFonts w:hint="eastAsia"/>
        </w:rPr>
        <w:t>24. Varner, I., &amp; Beamer, L. (2011). Intercultural communication in the global workplace (5th ed.). McGraw-Hill/Irwin.</w:t>
      </w:r>
    </w:p>
    <w:p w14:paraId="6EBDA2FF" w14:textId="4B52C478" w:rsidR="0028768E" w:rsidRPr="00F54202" w:rsidRDefault="0028768E" w:rsidP="005533ED">
      <w:pPr>
        <w:snapToGrid w:val="0"/>
        <w:rPr>
          <w:sz w:val="28"/>
          <w:rFonts w:hint="eastAsia"/>
        </w:rPr>
      </w:pPr>
      <w:r>
        <w:br/>
        <w:rPr>
          <w:sz w:val="28"/>
          <w:rFonts w:hint="eastAsia"/>
        </w:rPr>
      </w:r>
      <w:r>
        <w:rPr>
          <w:sz w:val="28"/>
          <w:rFonts w:hint="eastAsia"/>
        </w:rPr>
        <w:t>25. International Journal of Business Communication. (Various Issues). Sage Publications.</w:t>
      </w:r>
    </w:p>
    <w:sectPr w:rsidRPr="00F54202" w:rsidR="0028768E" w:rsidSect="000E1712">
      <w:docGrid w:type="lines" w:linePitch="312"/>
      <w:pgSz w:w="11900" w:h="16840"/>
      <w:pgMar w:top="1440" w:right="1800" w:bottom="1440" w:left="1800" w:header="851" w:footer="992" w:gutter="0"/>
      <w:cols w:space="425"/>
    </w:sectPr>
  </w:body>
</w:document>
</file>

<file path=tbak/modified.xml>Fri Dec 12 18:00:42 2025
save:Fri Dec 12 18:05:17 2025

</file>