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8B2BA" w14:textId="77777777" w:rsidR="00C62950" w:rsidRDefault="00C62950" w:rsidP="00C62950">
      <w:pPr>
        <w:rPr>
          <w:b/>
        </w:rPr>
      </w:pPr>
    </w:p>
    <w:p w14:paraId="41FD6369" w14:textId="77777777" w:rsidR="00C62950" w:rsidRDefault="00C62950" w:rsidP="00C62950">
      <w:pPr>
        <w:rPr>
          <w:b/>
        </w:rPr>
      </w:pPr>
    </w:p>
    <w:p w14:paraId="30DB84D1" w14:textId="77777777" w:rsidR="00C62950" w:rsidRPr="00AA3357" w:rsidRDefault="00C62950" w:rsidP="00C62950">
      <w:pPr>
        <w:jc w:val="center"/>
        <w:rPr>
          <w:rFonts w:ascii="Times New Roman" w:hAnsi="Times New Roman" w:cs="Times New Roman"/>
          <w:b/>
          <w:sz w:val="40"/>
          <w:szCs w:val="40"/>
        </w:rPr>
      </w:pPr>
      <w:r w:rsidRPr="00AA3357">
        <w:rPr>
          <w:rFonts w:ascii="Times New Roman" w:hAnsi="Times New Roman" w:cs="Times New Roman"/>
          <w:b/>
          <w:sz w:val="40"/>
          <w:szCs w:val="40"/>
        </w:rPr>
        <w:t>AI ACKNOWLEDGEMENT:</w:t>
      </w:r>
    </w:p>
    <w:p w14:paraId="70831F50" w14:textId="77777777" w:rsidR="00C62950" w:rsidRPr="00AA3357" w:rsidRDefault="00C62950" w:rsidP="00C62950">
      <w:pPr>
        <w:jc w:val="center"/>
        <w:rPr>
          <w:rFonts w:ascii="Times New Roman" w:hAnsi="Times New Roman" w:cs="Times New Roman"/>
          <w:sz w:val="40"/>
          <w:szCs w:val="40"/>
        </w:rPr>
      </w:pPr>
      <w:r w:rsidRPr="00AA3357">
        <w:rPr>
          <w:rFonts w:ascii="Times New Roman" w:hAnsi="Times New Roman" w:cs="Times New Roman"/>
          <w:sz w:val="40"/>
          <w:szCs w:val="40"/>
        </w:rPr>
        <w:t>I acknowledge the use of CAN</w:t>
      </w:r>
      <w:r>
        <w:rPr>
          <w:rFonts w:ascii="Times New Roman" w:hAnsi="Times New Roman" w:cs="Times New Roman"/>
          <w:sz w:val="40"/>
          <w:szCs w:val="40"/>
        </w:rPr>
        <w:t>VA (https://www.canva.com) on 2 June</w:t>
      </w:r>
      <w:r w:rsidRPr="00AA3357">
        <w:rPr>
          <w:rFonts w:ascii="Times New Roman" w:hAnsi="Times New Roman" w:cs="Times New Roman"/>
          <w:sz w:val="40"/>
          <w:szCs w:val="40"/>
        </w:rPr>
        <w:t xml:space="preserve"> 2025 to draft the infographic and charts/photos in this report. I confirm that I have not presented any AI generated text as my own work. I confirm I have copies of my drafts, notes, and other resources I used before, and after the use of AI tools which I may be asked to provide in evidence.</w:t>
      </w:r>
    </w:p>
    <w:p w14:paraId="715534A6" w14:textId="77777777" w:rsidR="00C62950" w:rsidRPr="00AA3357" w:rsidRDefault="00C62950" w:rsidP="00C62950">
      <w:pPr>
        <w:jc w:val="center"/>
        <w:rPr>
          <w:rFonts w:ascii="Times New Roman" w:hAnsi="Times New Roman" w:cs="Times New Roman"/>
          <w:b/>
          <w:sz w:val="40"/>
          <w:szCs w:val="40"/>
        </w:rPr>
      </w:pPr>
    </w:p>
    <w:p w14:paraId="6CD1B66B" w14:textId="77777777" w:rsidR="00C62950" w:rsidRPr="00AA3357" w:rsidRDefault="00C62950" w:rsidP="00C62950">
      <w:pPr>
        <w:jc w:val="center"/>
        <w:rPr>
          <w:rFonts w:ascii="Times New Roman" w:hAnsi="Times New Roman" w:cs="Times New Roman"/>
          <w:b/>
          <w:sz w:val="40"/>
          <w:szCs w:val="40"/>
        </w:rPr>
      </w:pPr>
    </w:p>
    <w:p w14:paraId="44501949" w14:textId="77777777" w:rsidR="00C62950" w:rsidRPr="00AA3357" w:rsidRDefault="00C62950" w:rsidP="00C62950">
      <w:pPr>
        <w:jc w:val="center"/>
        <w:rPr>
          <w:rFonts w:ascii="Times New Roman" w:hAnsi="Times New Roman" w:cs="Times New Roman"/>
          <w:b/>
          <w:sz w:val="40"/>
          <w:szCs w:val="40"/>
        </w:rPr>
      </w:pPr>
    </w:p>
    <w:p w14:paraId="4FE6ED72" w14:textId="77777777" w:rsidR="00C62950" w:rsidRPr="00AA3357" w:rsidRDefault="00C62950" w:rsidP="00C62950">
      <w:pPr>
        <w:jc w:val="center"/>
        <w:rPr>
          <w:rFonts w:ascii="Times New Roman" w:hAnsi="Times New Roman" w:cs="Times New Roman"/>
          <w:b/>
          <w:sz w:val="40"/>
          <w:szCs w:val="40"/>
        </w:rPr>
      </w:pPr>
    </w:p>
    <w:p w14:paraId="693005C7" w14:textId="77777777" w:rsidR="00C62950" w:rsidRPr="00AA3357" w:rsidRDefault="00C62950" w:rsidP="00C62950">
      <w:pPr>
        <w:jc w:val="center"/>
        <w:rPr>
          <w:rFonts w:ascii="Times New Roman" w:hAnsi="Times New Roman" w:cs="Times New Roman"/>
          <w:sz w:val="40"/>
          <w:szCs w:val="40"/>
        </w:rPr>
      </w:pPr>
      <w:r w:rsidRPr="00AA3357">
        <w:rPr>
          <w:rFonts w:ascii="Times New Roman" w:hAnsi="Times New Roman" w:cs="Times New Roman"/>
          <w:b/>
          <w:sz w:val="40"/>
          <w:szCs w:val="40"/>
        </w:rPr>
        <w:t>Student name:</w:t>
      </w:r>
      <w:r w:rsidRPr="00AA3357">
        <w:rPr>
          <w:rFonts w:ascii="Times New Roman" w:hAnsi="Times New Roman" w:cs="Times New Roman"/>
          <w:sz w:val="40"/>
          <w:szCs w:val="40"/>
        </w:rPr>
        <w:t xml:space="preserve"> George Andrei Codrianu</w:t>
      </w:r>
    </w:p>
    <w:p w14:paraId="725A9B8D" w14:textId="77777777" w:rsidR="00C62950" w:rsidRPr="00AA3357" w:rsidRDefault="00C62950" w:rsidP="00C62950">
      <w:pPr>
        <w:jc w:val="center"/>
        <w:rPr>
          <w:rFonts w:ascii="Times New Roman" w:hAnsi="Times New Roman" w:cs="Times New Roman"/>
          <w:sz w:val="40"/>
          <w:szCs w:val="40"/>
        </w:rPr>
      </w:pPr>
      <w:r w:rsidRPr="00AA3357">
        <w:rPr>
          <w:rFonts w:ascii="Times New Roman" w:hAnsi="Times New Roman" w:cs="Times New Roman"/>
          <w:b/>
          <w:sz w:val="40"/>
          <w:szCs w:val="40"/>
        </w:rPr>
        <w:t>Student no:</w:t>
      </w:r>
      <w:r w:rsidRPr="00AA3357">
        <w:rPr>
          <w:rFonts w:ascii="Times New Roman" w:hAnsi="Times New Roman" w:cs="Times New Roman"/>
          <w:sz w:val="40"/>
          <w:szCs w:val="40"/>
        </w:rPr>
        <w:t xml:space="preserve"> 2210052</w:t>
      </w:r>
    </w:p>
    <w:p w14:paraId="190E5E85" w14:textId="77777777" w:rsidR="00C62950" w:rsidRDefault="00C62950" w:rsidP="00C62950">
      <w:pPr>
        <w:jc w:val="center"/>
        <w:rPr>
          <w:rFonts w:ascii="Times New Roman" w:hAnsi="Times New Roman" w:cs="Times New Roman"/>
          <w:sz w:val="40"/>
          <w:szCs w:val="40"/>
        </w:rPr>
      </w:pPr>
      <w:r w:rsidRPr="00AA3357">
        <w:rPr>
          <w:rFonts w:ascii="Times New Roman" w:hAnsi="Times New Roman" w:cs="Times New Roman"/>
          <w:b/>
          <w:sz w:val="40"/>
          <w:szCs w:val="40"/>
        </w:rPr>
        <w:t>Module code:</w:t>
      </w:r>
      <w:r w:rsidRPr="00AA3357">
        <w:rPr>
          <w:rFonts w:ascii="Times New Roman" w:hAnsi="Times New Roman" w:cs="Times New Roman"/>
          <w:sz w:val="40"/>
          <w:szCs w:val="40"/>
        </w:rPr>
        <w:t xml:space="preserve"> International meetings management (BMIH6007)</w:t>
      </w:r>
    </w:p>
    <w:p w14:paraId="574CD62D" w14:textId="6FDFAC3B" w:rsidR="00C62950" w:rsidRPr="00AA3357" w:rsidRDefault="00C62950" w:rsidP="00C62950">
      <w:pPr>
        <w:jc w:val="center"/>
        <w:rPr>
          <w:b/>
        </w:rPr>
      </w:pPr>
      <w:r w:rsidRPr="00AA3357">
        <w:rPr>
          <w:rFonts w:ascii="Times New Roman" w:hAnsi="Times New Roman" w:cs="Times New Roman"/>
          <w:b/>
          <w:sz w:val="40"/>
          <w:szCs w:val="40"/>
        </w:rPr>
        <w:t>Module Lead:</w:t>
      </w:r>
      <w:r>
        <w:rPr>
          <w:rFonts w:ascii="Times New Roman" w:hAnsi="Times New Roman" w:cs="Times New Roman"/>
          <w:b/>
          <w:sz w:val="40"/>
          <w:szCs w:val="40"/>
        </w:rPr>
        <w:t xml:space="preserve"> </w:t>
      </w:r>
      <w:r w:rsidRPr="00C62950">
        <w:rPr>
          <w:rFonts w:ascii="Times New Roman" w:hAnsi="Times New Roman" w:cs="Times New Roman"/>
          <w:bCs/>
          <w:sz w:val="40"/>
          <w:szCs w:val="40"/>
        </w:rPr>
        <w:t>Kathryn Roberts</w:t>
      </w:r>
      <w:r w:rsidRPr="00AA3357">
        <w:rPr>
          <w:rFonts w:ascii="Times New Roman" w:hAnsi="Times New Roman" w:cs="Times New Roman"/>
          <w:b/>
          <w:sz w:val="40"/>
          <w:szCs w:val="40"/>
        </w:rPr>
        <w:br w:type="page"/>
      </w:r>
    </w:p>
    <w:sdt>
      <w:sdtPr>
        <w:rPr>
          <w:rFonts w:asciiTheme="minorHAnsi" w:eastAsiaTheme="minorHAnsi" w:hAnsiTheme="minorHAnsi" w:cstheme="minorBidi"/>
          <w:color w:val="auto"/>
          <w:sz w:val="22"/>
          <w:szCs w:val="22"/>
        </w:rPr>
        <w:id w:val="-776483317"/>
        <w:docPartObj>
          <w:docPartGallery w:val="Table of Contents"/>
          <w:docPartUnique/>
        </w:docPartObj>
      </w:sdtPr>
      <w:sdtEndPr>
        <w:rPr>
          <w:b/>
          <w:bCs/>
          <w:noProof/>
        </w:rPr>
      </w:sdtEndPr>
      <w:sdtContent>
        <w:p w14:paraId="39C16F97" w14:textId="77777777" w:rsidR="00C62950" w:rsidRDefault="00C62950" w:rsidP="00C62950">
          <w:pPr>
            <w:pStyle w:val="TOCHeading"/>
          </w:pPr>
          <w:r>
            <w:t>Table of Contents</w:t>
          </w:r>
        </w:p>
        <w:p w14:paraId="4CE2B544" w14:textId="77777777" w:rsidR="00C62950" w:rsidRDefault="00C62950" w:rsidP="00C62950">
          <w:pPr>
            <w:pStyle w:val="TOC1"/>
            <w:tabs>
              <w:tab w:val="right" w:leader="dot" w:pos="9350"/>
            </w:tabs>
          </w:pPr>
        </w:p>
        <w:p w14:paraId="3050E17F" w14:textId="77777777" w:rsidR="00C62950" w:rsidRDefault="00C62950" w:rsidP="00C6295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00676295" w:history="1">
            <w:r w:rsidRPr="00D42892">
              <w:rPr>
                <w:rStyle w:val="Hyperlink"/>
                <w:noProof/>
              </w:rPr>
              <w:t>Introduction</w:t>
            </w:r>
            <w:r>
              <w:rPr>
                <w:noProof/>
                <w:webHidden/>
              </w:rPr>
              <w:tab/>
            </w:r>
            <w:r>
              <w:rPr>
                <w:noProof/>
                <w:webHidden/>
              </w:rPr>
              <w:fldChar w:fldCharType="begin"/>
            </w:r>
            <w:r>
              <w:rPr>
                <w:noProof/>
                <w:webHidden/>
              </w:rPr>
              <w:instrText xml:space="preserve"> PAGEREF _Toc200676295 \h </w:instrText>
            </w:r>
            <w:r>
              <w:rPr>
                <w:noProof/>
                <w:webHidden/>
              </w:rPr>
            </w:r>
            <w:r>
              <w:rPr>
                <w:noProof/>
                <w:webHidden/>
              </w:rPr>
              <w:fldChar w:fldCharType="separate"/>
            </w:r>
            <w:r>
              <w:rPr>
                <w:noProof/>
                <w:webHidden/>
              </w:rPr>
              <w:t>4</w:t>
            </w:r>
            <w:r>
              <w:rPr>
                <w:noProof/>
                <w:webHidden/>
              </w:rPr>
              <w:fldChar w:fldCharType="end"/>
            </w:r>
          </w:hyperlink>
        </w:p>
        <w:p w14:paraId="29E79F47" w14:textId="77777777" w:rsidR="00C62950" w:rsidRDefault="00C62950" w:rsidP="00C62950">
          <w:pPr>
            <w:pStyle w:val="TOC1"/>
            <w:tabs>
              <w:tab w:val="right" w:leader="dot" w:pos="9350"/>
            </w:tabs>
            <w:rPr>
              <w:rFonts w:eastAsiaTheme="minorEastAsia"/>
              <w:noProof/>
            </w:rPr>
          </w:pPr>
          <w:hyperlink w:anchor="_Toc200676296" w:history="1">
            <w:r w:rsidRPr="00D42892">
              <w:rPr>
                <w:rStyle w:val="Hyperlink"/>
                <w:noProof/>
              </w:rPr>
              <w:t>The Event Cycle</w:t>
            </w:r>
            <w:r>
              <w:rPr>
                <w:noProof/>
                <w:webHidden/>
              </w:rPr>
              <w:tab/>
            </w:r>
            <w:r>
              <w:rPr>
                <w:noProof/>
                <w:webHidden/>
              </w:rPr>
              <w:fldChar w:fldCharType="begin"/>
            </w:r>
            <w:r>
              <w:rPr>
                <w:noProof/>
                <w:webHidden/>
              </w:rPr>
              <w:instrText xml:space="preserve"> PAGEREF _Toc200676296 \h </w:instrText>
            </w:r>
            <w:r>
              <w:rPr>
                <w:noProof/>
                <w:webHidden/>
              </w:rPr>
            </w:r>
            <w:r>
              <w:rPr>
                <w:noProof/>
                <w:webHidden/>
              </w:rPr>
              <w:fldChar w:fldCharType="separate"/>
            </w:r>
            <w:r>
              <w:rPr>
                <w:noProof/>
                <w:webHidden/>
              </w:rPr>
              <w:t>4</w:t>
            </w:r>
            <w:r>
              <w:rPr>
                <w:noProof/>
                <w:webHidden/>
              </w:rPr>
              <w:fldChar w:fldCharType="end"/>
            </w:r>
          </w:hyperlink>
        </w:p>
        <w:p w14:paraId="35D62DFA" w14:textId="77777777" w:rsidR="00C62950" w:rsidRDefault="00C62950" w:rsidP="00C62950">
          <w:pPr>
            <w:pStyle w:val="TOC1"/>
            <w:tabs>
              <w:tab w:val="right" w:leader="dot" w:pos="9350"/>
            </w:tabs>
            <w:rPr>
              <w:rFonts w:eastAsiaTheme="minorEastAsia"/>
              <w:noProof/>
            </w:rPr>
          </w:pPr>
          <w:hyperlink w:anchor="_Toc200676297" w:history="1">
            <w:r w:rsidRPr="00D42892">
              <w:rPr>
                <w:rStyle w:val="Hyperlink"/>
                <w:noProof/>
              </w:rPr>
              <w:t>Model of an event – Guest Experience &amp; Full Itinerary</w:t>
            </w:r>
            <w:r>
              <w:rPr>
                <w:noProof/>
                <w:webHidden/>
              </w:rPr>
              <w:tab/>
            </w:r>
            <w:r>
              <w:rPr>
                <w:noProof/>
                <w:webHidden/>
              </w:rPr>
              <w:fldChar w:fldCharType="begin"/>
            </w:r>
            <w:r>
              <w:rPr>
                <w:noProof/>
                <w:webHidden/>
              </w:rPr>
              <w:instrText xml:space="preserve"> PAGEREF _Toc200676297 \h </w:instrText>
            </w:r>
            <w:r>
              <w:rPr>
                <w:noProof/>
                <w:webHidden/>
              </w:rPr>
            </w:r>
            <w:r>
              <w:rPr>
                <w:noProof/>
                <w:webHidden/>
              </w:rPr>
              <w:fldChar w:fldCharType="separate"/>
            </w:r>
            <w:r>
              <w:rPr>
                <w:noProof/>
                <w:webHidden/>
              </w:rPr>
              <w:t>5</w:t>
            </w:r>
            <w:r>
              <w:rPr>
                <w:noProof/>
                <w:webHidden/>
              </w:rPr>
              <w:fldChar w:fldCharType="end"/>
            </w:r>
          </w:hyperlink>
        </w:p>
        <w:p w14:paraId="74AE98B9" w14:textId="77777777" w:rsidR="00C62950" w:rsidRDefault="00C62950" w:rsidP="00C62950">
          <w:pPr>
            <w:pStyle w:val="TOC1"/>
            <w:tabs>
              <w:tab w:val="right" w:leader="dot" w:pos="9350"/>
            </w:tabs>
            <w:rPr>
              <w:rFonts w:eastAsiaTheme="minorEastAsia"/>
              <w:noProof/>
            </w:rPr>
          </w:pPr>
          <w:hyperlink w:anchor="_Toc200676298" w:history="1">
            <w:r w:rsidRPr="00D42892">
              <w:rPr>
                <w:rStyle w:val="Hyperlink"/>
                <w:noProof/>
              </w:rPr>
              <w:t>Aim and Objectives of the Event:</w:t>
            </w:r>
            <w:r>
              <w:rPr>
                <w:noProof/>
                <w:webHidden/>
              </w:rPr>
              <w:tab/>
            </w:r>
            <w:r>
              <w:rPr>
                <w:noProof/>
                <w:webHidden/>
              </w:rPr>
              <w:fldChar w:fldCharType="begin"/>
            </w:r>
            <w:r>
              <w:rPr>
                <w:noProof/>
                <w:webHidden/>
              </w:rPr>
              <w:instrText xml:space="preserve"> PAGEREF _Toc200676298 \h </w:instrText>
            </w:r>
            <w:r>
              <w:rPr>
                <w:noProof/>
                <w:webHidden/>
              </w:rPr>
            </w:r>
            <w:r>
              <w:rPr>
                <w:noProof/>
                <w:webHidden/>
              </w:rPr>
              <w:fldChar w:fldCharType="separate"/>
            </w:r>
            <w:r>
              <w:rPr>
                <w:noProof/>
                <w:webHidden/>
              </w:rPr>
              <w:t>6</w:t>
            </w:r>
            <w:r>
              <w:rPr>
                <w:noProof/>
                <w:webHidden/>
              </w:rPr>
              <w:fldChar w:fldCharType="end"/>
            </w:r>
          </w:hyperlink>
        </w:p>
        <w:p w14:paraId="6925E74B" w14:textId="77777777" w:rsidR="00C62950" w:rsidRDefault="00C62950" w:rsidP="00C62950">
          <w:pPr>
            <w:pStyle w:val="TOC2"/>
            <w:tabs>
              <w:tab w:val="right" w:leader="dot" w:pos="9350"/>
            </w:tabs>
            <w:rPr>
              <w:rFonts w:eastAsiaTheme="minorEastAsia"/>
              <w:noProof/>
            </w:rPr>
          </w:pPr>
          <w:hyperlink w:anchor="_Toc200676299" w:history="1">
            <w:r w:rsidRPr="00D42892">
              <w:rPr>
                <w:rStyle w:val="Hyperlink"/>
                <w:noProof/>
              </w:rPr>
              <w:t>Aim:</w:t>
            </w:r>
            <w:r>
              <w:rPr>
                <w:noProof/>
                <w:webHidden/>
              </w:rPr>
              <w:tab/>
            </w:r>
            <w:r>
              <w:rPr>
                <w:noProof/>
                <w:webHidden/>
              </w:rPr>
              <w:fldChar w:fldCharType="begin"/>
            </w:r>
            <w:r>
              <w:rPr>
                <w:noProof/>
                <w:webHidden/>
              </w:rPr>
              <w:instrText xml:space="preserve"> PAGEREF _Toc200676299 \h </w:instrText>
            </w:r>
            <w:r>
              <w:rPr>
                <w:noProof/>
                <w:webHidden/>
              </w:rPr>
            </w:r>
            <w:r>
              <w:rPr>
                <w:noProof/>
                <w:webHidden/>
              </w:rPr>
              <w:fldChar w:fldCharType="separate"/>
            </w:r>
            <w:r>
              <w:rPr>
                <w:noProof/>
                <w:webHidden/>
              </w:rPr>
              <w:t>6</w:t>
            </w:r>
            <w:r>
              <w:rPr>
                <w:noProof/>
                <w:webHidden/>
              </w:rPr>
              <w:fldChar w:fldCharType="end"/>
            </w:r>
          </w:hyperlink>
        </w:p>
        <w:p w14:paraId="6E270C46" w14:textId="77777777" w:rsidR="00C62950" w:rsidRDefault="00C62950" w:rsidP="00C62950">
          <w:pPr>
            <w:pStyle w:val="TOC2"/>
            <w:tabs>
              <w:tab w:val="right" w:leader="dot" w:pos="9350"/>
            </w:tabs>
            <w:rPr>
              <w:rFonts w:eastAsiaTheme="minorEastAsia"/>
              <w:noProof/>
            </w:rPr>
          </w:pPr>
          <w:hyperlink w:anchor="_Toc200676300" w:history="1">
            <w:r w:rsidRPr="00D42892">
              <w:rPr>
                <w:rStyle w:val="Hyperlink"/>
                <w:noProof/>
              </w:rPr>
              <w:t>SMART Objectives:</w:t>
            </w:r>
            <w:r>
              <w:rPr>
                <w:noProof/>
                <w:webHidden/>
              </w:rPr>
              <w:tab/>
            </w:r>
            <w:r>
              <w:rPr>
                <w:noProof/>
                <w:webHidden/>
              </w:rPr>
              <w:fldChar w:fldCharType="begin"/>
            </w:r>
            <w:r>
              <w:rPr>
                <w:noProof/>
                <w:webHidden/>
              </w:rPr>
              <w:instrText xml:space="preserve"> PAGEREF _Toc200676300 \h </w:instrText>
            </w:r>
            <w:r>
              <w:rPr>
                <w:noProof/>
                <w:webHidden/>
              </w:rPr>
            </w:r>
            <w:r>
              <w:rPr>
                <w:noProof/>
                <w:webHidden/>
              </w:rPr>
              <w:fldChar w:fldCharType="separate"/>
            </w:r>
            <w:r>
              <w:rPr>
                <w:noProof/>
                <w:webHidden/>
              </w:rPr>
              <w:t>6</w:t>
            </w:r>
            <w:r>
              <w:rPr>
                <w:noProof/>
                <w:webHidden/>
              </w:rPr>
              <w:fldChar w:fldCharType="end"/>
            </w:r>
          </w:hyperlink>
        </w:p>
        <w:p w14:paraId="6B0EC613" w14:textId="77777777" w:rsidR="00C62950" w:rsidRDefault="00C62950" w:rsidP="00C62950">
          <w:pPr>
            <w:pStyle w:val="TOC1"/>
            <w:tabs>
              <w:tab w:val="right" w:leader="dot" w:pos="9350"/>
            </w:tabs>
            <w:rPr>
              <w:rFonts w:eastAsiaTheme="minorEastAsia"/>
              <w:noProof/>
            </w:rPr>
          </w:pPr>
          <w:hyperlink w:anchor="_Toc200676301" w:history="1">
            <w:r w:rsidRPr="00D42892">
              <w:rPr>
                <w:rStyle w:val="Hyperlink"/>
                <w:noProof/>
              </w:rPr>
              <w:t>Operational Skills:</w:t>
            </w:r>
            <w:r>
              <w:rPr>
                <w:noProof/>
                <w:webHidden/>
              </w:rPr>
              <w:tab/>
            </w:r>
            <w:r>
              <w:rPr>
                <w:noProof/>
                <w:webHidden/>
              </w:rPr>
              <w:fldChar w:fldCharType="begin"/>
            </w:r>
            <w:r>
              <w:rPr>
                <w:noProof/>
                <w:webHidden/>
              </w:rPr>
              <w:instrText xml:space="preserve"> PAGEREF _Toc200676301 \h </w:instrText>
            </w:r>
            <w:r>
              <w:rPr>
                <w:noProof/>
                <w:webHidden/>
              </w:rPr>
            </w:r>
            <w:r>
              <w:rPr>
                <w:noProof/>
                <w:webHidden/>
              </w:rPr>
              <w:fldChar w:fldCharType="separate"/>
            </w:r>
            <w:r>
              <w:rPr>
                <w:noProof/>
                <w:webHidden/>
              </w:rPr>
              <w:t>7</w:t>
            </w:r>
            <w:r>
              <w:rPr>
                <w:noProof/>
                <w:webHidden/>
              </w:rPr>
              <w:fldChar w:fldCharType="end"/>
            </w:r>
          </w:hyperlink>
        </w:p>
        <w:p w14:paraId="30D1AF6E" w14:textId="77777777" w:rsidR="00C62950" w:rsidRDefault="00C62950" w:rsidP="00C62950">
          <w:pPr>
            <w:pStyle w:val="TOC2"/>
            <w:tabs>
              <w:tab w:val="right" w:leader="dot" w:pos="9350"/>
            </w:tabs>
            <w:rPr>
              <w:rFonts w:eastAsiaTheme="minorEastAsia"/>
              <w:noProof/>
            </w:rPr>
          </w:pPr>
          <w:hyperlink w:anchor="_Toc200676302" w:history="1">
            <w:r w:rsidRPr="00D42892">
              <w:rPr>
                <w:rStyle w:val="Hyperlink"/>
                <w:noProof/>
              </w:rPr>
              <w:t>Planning Skills:</w:t>
            </w:r>
            <w:r>
              <w:rPr>
                <w:noProof/>
                <w:webHidden/>
              </w:rPr>
              <w:tab/>
            </w:r>
            <w:r>
              <w:rPr>
                <w:noProof/>
                <w:webHidden/>
              </w:rPr>
              <w:fldChar w:fldCharType="begin"/>
            </w:r>
            <w:r>
              <w:rPr>
                <w:noProof/>
                <w:webHidden/>
              </w:rPr>
              <w:instrText xml:space="preserve"> PAGEREF _Toc200676302 \h </w:instrText>
            </w:r>
            <w:r>
              <w:rPr>
                <w:noProof/>
                <w:webHidden/>
              </w:rPr>
            </w:r>
            <w:r>
              <w:rPr>
                <w:noProof/>
                <w:webHidden/>
              </w:rPr>
              <w:fldChar w:fldCharType="separate"/>
            </w:r>
            <w:r>
              <w:rPr>
                <w:noProof/>
                <w:webHidden/>
              </w:rPr>
              <w:t>7</w:t>
            </w:r>
            <w:r>
              <w:rPr>
                <w:noProof/>
                <w:webHidden/>
              </w:rPr>
              <w:fldChar w:fldCharType="end"/>
            </w:r>
          </w:hyperlink>
        </w:p>
        <w:p w14:paraId="7743D16B" w14:textId="77777777" w:rsidR="00C62950" w:rsidRDefault="00C62950" w:rsidP="00C62950">
          <w:pPr>
            <w:pStyle w:val="TOC2"/>
            <w:tabs>
              <w:tab w:val="right" w:leader="dot" w:pos="9350"/>
            </w:tabs>
            <w:rPr>
              <w:rFonts w:eastAsiaTheme="minorEastAsia"/>
              <w:noProof/>
            </w:rPr>
          </w:pPr>
          <w:hyperlink w:anchor="_Toc200676303" w:history="1">
            <w:r w:rsidRPr="00D42892">
              <w:rPr>
                <w:rStyle w:val="Hyperlink"/>
                <w:noProof/>
              </w:rPr>
              <w:t>Marketing Skills:</w:t>
            </w:r>
            <w:r>
              <w:rPr>
                <w:noProof/>
                <w:webHidden/>
              </w:rPr>
              <w:tab/>
            </w:r>
            <w:r>
              <w:rPr>
                <w:noProof/>
                <w:webHidden/>
              </w:rPr>
              <w:fldChar w:fldCharType="begin"/>
            </w:r>
            <w:r>
              <w:rPr>
                <w:noProof/>
                <w:webHidden/>
              </w:rPr>
              <w:instrText xml:space="preserve"> PAGEREF _Toc200676303 \h </w:instrText>
            </w:r>
            <w:r>
              <w:rPr>
                <w:noProof/>
                <w:webHidden/>
              </w:rPr>
            </w:r>
            <w:r>
              <w:rPr>
                <w:noProof/>
                <w:webHidden/>
              </w:rPr>
              <w:fldChar w:fldCharType="separate"/>
            </w:r>
            <w:r>
              <w:rPr>
                <w:noProof/>
                <w:webHidden/>
              </w:rPr>
              <w:t>7</w:t>
            </w:r>
            <w:r>
              <w:rPr>
                <w:noProof/>
                <w:webHidden/>
              </w:rPr>
              <w:fldChar w:fldCharType="end"/>
            </w:r>
          </w:hyperlink>
        </w:p>
        <w:p w14:paraId="7FC5FA7E" w14:textId="77777777" w:rsidR="00C62950" w:rsidRDefault="00C62950" w:rsidP="00C62950">
          <w:pPr>
            <w:pStyle w:val="TOC2"/>
            <w:tabs>
              <w:tab w:val="right" w:leader="dot" w:pos="9350"/>
            </w:tabs>
            <w:rPr>
              <w:rFonts w:eastAsiaTheme="minorEastAsia"/>
              <w:noProof/>
            </w:rPr>
          </w:pPr>
          <w:hyperlink w:anchor="_Toc200676304" w:history="1">
            <w:r w:rsidRPr="00D42892">
              <w:rPr>
                <w:rStyle w:val="Hyperlink"/>
                <w:noProof/>
              </w:rPr>
              <w:t>Resources Required:</w:t>
            </w:r>
            <w:r>
              <w:rPr>
                <w:noProof/>
                <w:webHidden/>
              </w:rPr>
              <w:tab/>
            </w:r>
            <w:r>
              <w:rPr>
                <w:noProof/>
                <w:webHidden/>
              </w:rPr>
              <w:fldChar w:fldCharType="begin"/>
            </w:r>
            <w:r>
              <w:rPr>
                <w:noProof/>
                <w:webHidden/>
              </w:rPr>
              <w:instrText xml:space="preserve"> PAGEREF _Toc200676304 \h </w:instrText>
            </w:r>
            <w:r>
              <w:rPr>
                <w:noProof/>
                <w:webHidden/>
              </w:rPr>
            </w:r>
            <w:r>
              <w:rPr>
                <w:noProof/>
                <w:webHidden/>
              </w:rPr>
              <w:fldChar w:fldCharType="separate"/>
            </w:r>
            <w:r>
              <w:rPr>
                <w:noProof/>
                <w:webHidden/>
              </w:rPr>
              <w:t>7</w:t>
            </w:r>
            <w:r>
              <w:rPr>
                <w:noProof/>
                <w:webHidden/>
              </w:rPr>
              <w:fldChar w:fldCharType="end"/>
            </w:r>
          </w:hyperlink>
        </w:p>
        <w:p w14:paraId="6927A117" w14:textId="77777777" w:rsidR="00C62950" w:rsidRDefault="00C62950" w:rsidP="00C62950">
          <w:pPr>
            <w:pStyle w:val="TOC1"/>
            <w:tabs>
              <w:tab w:val="right" w:leader="dot" w:pos="9350"/>
            </w:tabs>
            <w:rPr>
              <w:rFonts w:eastAsiaTheme="minorEastAsia"/>
              <w:noProof/>
            </w:rPr>
          </w:pPr>
          <w:hyperlink w:anchor="_Toc200676305" w:history="1">
            <w:r w:rsidRPr="00D42892">
              <w:rPr>
                <w:rStyle w:val="Hyperlink"/>
                <w:noProof/>
              </w:rPr>
              <w:t>Application of the EMBOK Framework</w:t>
            </w:r>
            <w:r>
              <w:rPr>
                <w:noProof/>
                <w:webHidden/>
              </w:rPr>
              <w:tab/>
            </w:r>
            <w:r>
              <w:rPr>
                <w:noProof/>
                <w:webHidden/>
              </w:rPr>
              <w:fldChar w:fldCharType="begin"/>
            </w:r>
            <w:r>
              <w:rPr>
                <w:noProof/>
                <w:webHidden/>
              </w:rPr>
              <w:instrText xml:space="preserve"> PAGEREF _Toc200676305 \h </w:instrText>
            </w:r>
            <w:r>
              <w:rPr>
                <w:noProof/>
                <w:webHidden/>
              </w:rPr>
            </w:r>
            <w:r>
              <w:rPr>
                <w:noProof/>
                <w:webHidden/>
              </w:rPr>
              <w:fldChar w:fldCharType="separate"/>
            </w:r>
            <w:r>
              <w:rPr>
                <w:noProof/>
                <w:webHidden/>
              </w:rPr>
              <w:t>8</w:t>
            </w:r>
            <w:r>
              <w:rPr>
                <w:noProof/>
                <w:webHidden/>
              </w:rPr>
              <w:fldChar w:fldCharType="end"/>
            </w:r>
          </w:hyperlink>
        </w:p>
        <w:p w14:paraId="305BF029" w14:textId="77777777" w:rsidR="00C62950" w:rsidRDefault="00C62950" w:rsidP="00C62950">
          <w:pPr>
            <w:pStyle w:val="TOC2"/>
            <w:tabs>
              <w:tab w:val="right" w:leader="dot" w:pos="9350"/>
            </w:tabs>
            <w:rPr>
              <w:rFonts w:eastAsiaTheme="minorEastAsia"/>
              <w:noProof/>
            </w:rPr>
          </w:pPr>
          <w:hyperlink w:anchor="_Toc200676306" w:history="1">
            <w:r w:rsidRPr="00D42892">
              <w:rPr>
                <w:rStyle w:val="Hyperlink"/>
                <w:noProof/>
              </w:rPr>
              <w:t>Domains:</w:t>
            </w:r>
            <w:r>
              <w:rPr>
                <w:noProof/>
                <w:webHidden/>
              </w:rPr>
              <w:tab/>
            </w:r>
            <w:r>
              <w:rPr>
                <w:noProof/>
                <w:webHidden/>
              </w:rPr>
              <w:fldChar w:fldCharType="begin"/>
            </w:r>
            <w:r>
              <w:rPr>
                <w:noProof/>
                <w:webHidden/>
              </w:rPr>
              <w:instrText xml:space="preserve"> PAGEREF _Toc200676306 \h </w:instrText>
            </w:r>
            <w:r>
              <w:rPr>
                <w:noProof/>
                <w:webHidden/>
              </w:rPr>
            </w:r>
            <w:r>
              <w:rPr>
                <w:noProof/>
                <w:webHidden/>
              </w:rPr>
              <w:fldChar w:fldCharType="separate"/>
            </w:r>
            <w:r>
              <w:rPr>
                <w:noProof/>
                <w:webHidden/>
              </w:rPr>
              <w:t>8</w:t>
            </w:r>
            <w:r>
              <w:rPr>
                <w:noProof/>
                <w:webHidden/>
              </w:rPr>
              <w:fldChar w:fldCharType="end"/>
            </w:r>
          </w:hyperlink>
        </w:p>
        <w:p w14:paraId="52191196" w14:textId="77777777" w:rsidR="00C62950" w:rsidRDefault="00C62950" w:rsidP="00C62950">
          <w:pPr>
            <w:pStyle w:val="TOC2"/>
            <w:tabs>
              <w:tab w:val="right" w:leader="dot" w:pos="9350"/>
            </w:tabs>
            <w:rPr>
              <w:rFonts w:eastAsiaTheme="minorEastAsia"/>
              <w:noProof/>
            </w:rPr>
          </w:pPr>
          <w:hyperlink w:anchor="_Toc200676307" w:history="1">
            <w:r w:rsidRPr="00D42892">
              <w:rPr>
                <w:rStyle w:val="Hyperlink"/>
                <w:noProof/>
              </w:rPr>
              <w:t>Core Values:</w:t>
            </w:r>
            <w:r>
              <w:rPr>
                <w:noProof/>
                <w:webHidden/>
              </w:rPr>
              <w:tab/>
            </w:r>
            <w:r>
              <w:rPr>
                <w:noProof/>
                <w:webHidden/>
              </w:rPr>
              <w:fldChar w:fldCharType="begin"/>
            </w:r>
            <w:r>
              <w:rPr>
                <w:noProof/>
                <w:webHidden/>
              </w:rPr>
              <w:instrText xml:space="preserve"> PAGEREF _Toc200676307 \h </w:instrText>
            </w:r>
            <w:r>
              <w:rPr>
                <w:noProof/>
                <w:webHidden/>
              </w:rPr>
            </w:r>
            <w:r>
              <w:rPr>
                <w:noProof/>
                <w:webHidden/>
              </w:rPr>
              <w:fldChar w:fldCharType="separate"/>
            </w:r>
            <w:r>
              <w:rPr>
                <w:noProof/>
                <w:webHidden/>
              </w:rPr>
              <w:t>8</w:t>
            </w:r>
            <w:r>
              <w:rPr>
                <w:noProof/>
                <w:webHidden/>
              </w:rPr>
              <w:fldChar w:fldCharType="end"/>
            </w:r>
          </w:hyperlink>
        </w:p>
        <w:p w14:paraId="26C48647" w14:textId="77777777" w:rsidR="00C62950" w:rsidRDefault="00C62950" w:rsidP="00C62950">
          <w:pPr>
            <w:pStyle w:val="TOC2"/>
            <w:tabs>
              <w:tab w:val="right" w:leader="dot" w:pos="9350"/>
            </w:tabs>
            <w:rPr>
              <w:rFonts w:eastAsiaTheme="minorEastAsia"/>
              <w:noProof/>
            </w:rPr>
          </w:pPr>
          <w:hyperlink w:anchor="_Toc200676308" w:history="1">
            <w:r w:rsidRPr="00D42892">
              <w:rPr>
                <w:rStyle w:val="Hyperlink"/>
                <w:noProof/>
              </w:rPr>
              <w:t>Phases:</w:t>
            </w:r>
            <w:r>
              <w:rPr>
                <w:noProof/>
                <w:webHidden/>
              </w:rPr>
              <w:tab/>
            </w:r>
            <w:r>
              <w:rPr>
                <w:noProof/>
                <w:webHidden/>
              </w:rPr>
              <w:fldChar w:fldCharType="begin"/>
            </w:r>
            <w:r>
              <w:rPr>
                <w:noProof/>
                <w:webHidden/>
              </w:rPr>
              <w:instrText xml:space="preserve"> PAGEREF _Toc200676308 \h </w:instrText>
            </w:r>
            <w:r>
              <w:rPr>
                <w:noProof/>
                <w:webHidden/>
              </w:rPr>
            </w:r>
            <w:r>
              <w:rPr>
                <w:noProof/>
                <w:webHidden/>
              </w:rPr>
              <w:fldChar w:fldCharType="separate"/>
            </w:r>
            <w:r>
              <w:rPr>
                <w:noProof/>
                <w:webHidden/>
              </w:rPr>
              <w:t>9</w:t>
            </w:r>
            <w:r>
              <w:rPr>
                <w:noProof/>
                <w:webHidden/>
              </w:rPr>
              <w:fldChar w:fldCharType="end"/>
            </w:r>
          </w:hyperlink>
        </w:p>
        <w:p w14:paraId="5C602304" w14:textId="77777777" w:rsidR="00C62950" w:rsidRDefault="00C62950" w:rsidP="00C62950">
          <w:pPr>
            <w:pStyle w:val="TOC2"/>
            <w:tabs>
              <w:tab w:val="right" w:leader="dot" w:pos="9350"/>
            </w:tabs>
            <w:rPr>
              <w:rFonts w:eastAsiaTheme="minorEastAsia"/>
              <w:noProof/>
            </w:rPr>
          </w:pPr>
          <w:hyperlink w:anchor="_Toc200676309" w:history="1">
            <w:r w:rsidRPr="00D42892">
              <w:rPr>
                <w:rStyle w:val="Hyperlink"/>
                <w:noProof/>
              </w:rPr>
              <w:t>Processes:</w:t>
            </w:r>
            <w:r>
              <w:rPr>
                <w:noProof/>
                <w:webHidden/>
              </w:rPr>
              <w:tab/>
            </w:r>
            <w:r>
              <w:rPr>
                <w:noProof/>
                <w:webHidden/>
              </w:rPr>
              <w:fldChar w:fldCharType="begin"/>
            </w:r>
            <w:r>
              <w:rPr>
                <w:noProof/>
                <w:webHidden/>
              </w:rPr>
              <w:instrText xml:space="preserve"> PAGEREF _Toc200676309 \h </w:instrText>
            </w:r>
            <w:r>
              <w:rPr>
                <w:noProof/>
                <w:webHidden/>
              </w:rPr>
            </w:r>
            <w:r>
              <w:rPr>
                <w:noProof/>
                <w:webHidden/>
              </w:rPr>
              <w:fldChar w:fldCharType="separate"/>
            </w:r>
            <w:r>
              <w:rPr>
                <w:noProof/>
                <w:webHidden/>
              </w:rPr>
              <w:t>9</w:t>
            </w:r>
            <w:r>
              <w:rPr>
                <w:noProof/>
                <w:webHidden/>
              </w:rPr>
              <w:fldChar w:fldCharType="end"/>
            </w:r>
          </w:hyperlink>
        </w:p>
        <w:p w14:paraId="6F2C2665" w14:textId="77777777" w:rsidR="00C62950" w:rsidRDefault="00C62950" w:rsidP="00C62950">
          <w:pPr>
            <w:pStyle w:val="TOC1"/>
            <w:tabs>
              <w:tab w:val="right" w:leader="dot" w:pos="9350"/>
            </w:tabs>
            <w:rPr>
              <w:rFonts w:eastAsiaTheme="minorEastAsia"/>
              <w:noProof/>
            </w:rPr>
          </w:pPr>
          <w:hyperlink w:anchor="_Toc200676310" w:history="1">
            <w:r w:rsidRPr="00D42892">
              <w:rPr>
                <w:rStyle w:val="Hyperlink"/>
                <w:noProof/>
              </w:rPr>
              <w:t>Event Budget – Income, expenditure and analysis</w:t>
            </w:r>
            <w:r>
              <w:rPr>
                <w:noProof/>
                <w:webHidden/>
              </w:rPr>
              <w:tab/>
            </w:r>
            <w:r>
              <w:rPr>
                <w:noProof/>
                <w:webHidden/>
              </w:rPr>
              <w:fldChar w:fldCharType="begin"/>
            </w:r>
            <w:r>
              <w:rPr>
                <w:noProof/>
                <w:webHidden/>
              </w:rPr>
              <w:instrText xml:space="preserve"> PAGEREF _Toc200676310 \h </w:instrText>
            </w:r>
            <w:r>
              <w:rPr>
                <w:noProof/>
                <w:webHidden/>
              </w:rPr>
            </w:r>
            <w:r>
              <w:rPr>
                <w:noProof/>
                <w:webHidden/>
              </w:rPr>
              <w:fldChar w:fldCharType="separate"/>
            </w:r>
            <w:r>
              <w:rPr>
                <w:noProof/>
                <w:webHidden/>
              </w:rPr>
              <w:t>10</w:t>
            </w:r>
            <w:r>
              <w:rPr>
                <w:noProof/>
                <w:webHidden/>
              </w:rPr>
              <w:fldChar w:fldCharType="end"/>
            </w:r>
          </w:hyperlink>
        </w:p>
        <w:p w14:paraId="0BC9D7A5" w14:textId="77777777" w:rsidR="00C62950" w:rsidRDefault="00C62950" w:rsidP="00C62950">
          <w:pPr>
            <w:pStyle w:val="TOC2"/>
            <w:tabs>
              <w:tab w:val="right" w:leader="dot" w:pos="9350"/>
            </w:tabs>
            <w:rPr>
              <w:rFonts w:eastAsiaTheme="minorEastAsia"/>
              <w:noProof/>
            </w:rPr>
          </w:pPr>
          <w:hyperlink w:anchor="_Toc200676311" w:history="1">
            <w:r w:rsidRPr="00D42892">
              <w:rPr>
                <w:rStyle w:val="Hyperlink"/>
                <w:noProof/>
              </w:rPr>
              <w:t>Income Sources:</w:t>
            </w:r>
            <w:r>
              <w:rPr>
                <w:noProof/>
                <w:webHidden/>
              </w:rPr>
              <w:tab/>
            </w:r>
            <w:r>
              <w:rPr>
                <w:noProof/>
                <w:webHidden/>
              </w:rPr>
              <w:fldChar w:fldCharType="begin"/>
            </w:r>
            <w:r>
              <w:rPr>
                <w:noProof/>
                <w:webHidden/>
              </w:rPr>
              <w:instrText xml:space="preserve"> PAGEREF _Toc200676311 \h </w:instrText>
            </w:r>
            <w:r>
              <w:rPr>
                <w:noProof/>
                <w:webHidden/>
              </w:rPr>
            </w:r>
            <w:r>
              <w:rPr>
                <w:noProof/>
                <w:webHidden/>
              </w:rPr>
              <w:fldChar w:fldCharType="separate"/>
            </w:r>
            <w:r>
              <w:rPr>
                <w:noProof/>
                <w:webHidden/>
              </w:rPr>
              <w:t>10</w:t>
            </w:r>
            <w:r>
              <w:rPr>
                <w:noProof/>
                <w:webHidden/>
              </w:rPr>
              <w:fldChar w:fldCharType="end"/>
            </w:r>
          </w:hyperlink>
        </w:p>
        <w:p w14:paraId="59629E98" w14:textId="77777777" w:rsidR="00C62950" w:rsidRDefault="00C62950" w:rsidP="00C62950">
          <w:pPr>
            <w:pStyle w:val="TOC2"/>
            <w:tabs>
              <w:tab w:val="right" w:leader="dot" w:pos="9350"/>
            </w:tabs>
            <w:rPr>
              <w:rFonts w:eastAsiaTheme="minorEastAsia"/>
              <w:noProof/>
            </w:rPr>
          </w:pPr>
          <w:hyperlink w:anchor="_Toc200676312" w:history="1">
            <w:r w:rsidRPr="00D42892">
              <w:rPr>
                <w:rStyle w:val="Hyperlink"/>
                <w:noProof/>
              </w:rPr>
              <w:t>Expenditure Breakdown:</w:t>
            </w:r>
            <w:r>
              <w:rPr>
                <w:noProof/>
                <w:webHidden/>
              </w:rPr>
              <w:tab/>
            </w:r>
            <w:r>
              <w:rPr>
                <w:noProof/>
                <w:webHidden/>
              </w:rPr>
              <w:fldChar w:fldCharType="begin"/>
            </w:r>
            <w:r>
              <w:rPr>
                <w:noProof/>
                <w:webHidden/>
              </w:rPr>
              <w:instrText xml:space="preserve"> PAGEREF _Toc200676312 \h </w:instrText>
            </w:r>
            <w:r>
              <w:rPr>
                <w:noProof/>
                <w:webHidden/>
              </w:rPr>
            </w:r>
            <w:r>
              <w:rPr>
                <w:noProof/>
                <w:webHidden/>
              </w:rPr>
              <w:fldChar w:fldCharType="separate"/>
            </w:r>
            <w:r>
              <w:rPr>
                <w:noProof/>
                <w:webHidden/>
              </w:rPr>
              <w:t>11</w:t>
            </w:r>
            <w:r>
              <w:rPr>
                <w:noProof/>
                <w:webHidden/>
              </w:rPr>
              <w:fldChar w:fldCharType="end"/>
            </w:r>
          </w:hyperlink>
        </w:p>
        <w:p w14:paraId="376B1C43" w14:textId="77777777" w:rsidR="00C62950" w:rsidRDefault="00C62950" w:rsidP="00C62950">
          <w:pPr>
            <w:pStyle w:val="TOC1"/>
            <w:tabs>
              <w:tab w:val="right" w:leader="dot" w:pos="9350"/>
            </w:tabs>
            <w:rPr>
              <w:rFonts w:eastAsiaTheme="minorEastAsia"/>
              <w:noProof/>
            </w:rPr>
          </w:pPr>
          <w:hyperlink w:anchor="_Toc200676313" w:history="1">
            <w:r w:rsidRPr="00D42892">
              <w:rPr>
                <w:rStyle w:val="Hyperlink"/>
                <w:noProof/>
              </w:rPr>
              <w:t>Trends, Issues &amp; Impacts in the Industry:</w:t>
            </w:r>
            <w:r>
              <w:rPr>
                <w:noProof/>
                <w:webHidden/>
              </w:rPr>
              <w:tab/>
            </w:r>
            <w:r>
              <w:rPr>
                <w:noProof/>
                <w:webHidden/>
              </w:rPr>
              <w:fldChar w:fldCharType="begin"/>
            </w:r>
            <w:r>
              <w:rPr>
                <w:noProof/>
                <w:webHidden/>
              </w:rPr>
              <w:instrText xml:space="preserve"> PAGEREF _Toc200676313 \h </w:instrText>
            </w:r>
            <w:r>
              <w:rPr>
                <w:noProof/>
                <w:webHidden/>
              </w:rPr>
            </w:r>
            <w:r>
              <w:rPr>
                <w:noProof/>
                <w:webHidden/>
              </w:rPr>
              <w:fldChar w:fldCharType="separate"/>
            </w:r>
            <w:r>
              <w:rPr>
                <w:noProof/>
                <w:webHidden/>
              </w:rPr>
              <w:t>12</w:t>
            </w:r>
            <w:r>
              <w:rPr>
                <w:noProof/>
                <w:webHidden/>
              </w:rPr>
              <w:fldChar w:fldCharType="end"/>
            </w:r>
          </w:hyperlink>
        </w:p>
        <w:p w14:paraId="23281786" w14:textId="77777777" w:rsidR="00C62950" w:rsidRDefault="00C62950" w:rsidP="00C62950">
          <w:pPr>
            <w:pStyle w:val="TOC2"/>
            <w:tabs>
              <w:tab w:val="right" w:leader="dot" w:pos="9350"/>
            </w:tabs>
            <w:rPr>
              <w:rFonts w:eastAsiaTheme="minorEastAsia"/>
              <w:noProof/>
            </w:rPr>
          </w:pPr>
          <w:hyperlink w:anchor="_Toc200676314" w:history="1">
            <w:r w:rsidRPr="00D42892">
              <w:rPr>
                <w:rStyle w:val="Hyperlink"/>
                <w:noProof/>
              </w:rPr>
              <w:t>Inclusivity and Diversity, Equity, Inclusion:</w:t>
            </w:r>
            <w:r>
              <w:rPr>
                <w:noProof/>
                <w:webHidden/>
              </w:rPr>
              <w:tab/>
            </w:r>
            <w:r>
              <w:rPr>
                <w:noProof/>
                <w:webHidden/>
              </w:rPr>
              <w:fldChar w:fldCharType="begin"/>
            </w:r>
            <w:r>
              <w:rPr>
                <w:noProof/>
                <w:webHidden/>
              </w:rPr>
              <w:instrText xml:space="preserve"> PAGEREF _Toc200676314 \h </w:instrText>
            </w:r>
            <w:r>
              <w:rPr>
                <w:noProof/>
                <w:webHidden/>
              </w:rPr>
            </w:r>
            <w:r>
              <w:rPr>
                <w:noProof/>
                <w:webHidden/>
              </w:rPr>
              <w:fldChar w:fldCharType="separate"/>
            </w:r>
            <w:r>
              <w:rPr>
                <w:noProof/>
                <w:webHidden/>
              </w:rPr>
              <w:t>12</w:t>
            </w:r>
            <w:r>
              <w:rPr>
                <w:noProof/>
                <w:webHidden/>
              </w:rPr>
              <w:fldChar w:fldCharType="end"/>
            </w:r>
          </w:hyperlink>
        </w:p>
        <w:p w14:paraId="541B39B5" w14:textId="77777777" w:rsidR="00C62950" w:rsidRDefault="00C62950" w:rsidP="00C62950">
          <w:pPr>
            <w:pStyle w:val="TOC2"/>
            <w:tabs>
              <w:tab w:val="right" w:leader="dot" w:pos="9350"/>
            </w:tabs>
            <w:rPr>
              <w:rFonts w:eastAsiaTheme="minorEastAsia"/>
              <w:noProof/>
            </w:rPr>
          </w:pPr>
          <w:hyperlink w:anchor="_Toc200676315" w:history="1">
            <w:r w:rsidRPr="00D42892">
              <w:rPr>
                <w:rStyle w:val="Hyperlink"/>
                <w:noProof/>
              </w:rPr>
              <w:t>Tech Integration and Hybrid Capability:</w:t>
            </w:r>
            <w:r>
              <w:rPr>
                <w:noProof/>
                <w:webHidden/>
              </w:rPr>
              <w:tab/>
            </w:r>
            <w:r>
              <w:rPr>
                <w:noProof/>
                <w:webHidden/>
              </w:rPr>
              <w:fldChar w:fldCharType="begin"/>
            </w:r>
            <w:r>
              <w:rPr>
                <w:noProof/>
                <w:webHidden/>
              </w:rPr>
              <w:instrText xml:space="preserve"> PAGEREF _Toc200676315 \h </w:instrText>
            </w:r>
            <w:r>
              <w:rPr>
                <w:noProof/>
                <w:webHidden/>
              </w:rPr>
            </w:r>
            <w:r>
              <w:rPr>
                <w:noProof/>
                <w:webHidden/>
              </w:rPr>
              <w:fldChar w:fldCharType="separate"/>
            </w:r>
            <w:r>
              <w:rPr>
                <w:noProof/>
                <w:webHidden/>
              </w:rPr>
              <w:t>12</w:t>
            </w:r>
            <w:r>
              <w:rPr>
                <w:noProof/>
                <w:webHidden/>
              </w:rPr>
              <w:fldChar w:fldCharType="end"/>
            </w:r>
          </w:hyperlink>
        </w:p>
        <w:p w14:paraId="3381C047" w14:textId="77777777" w:rsidR="00C62950" w:rsidRDefault="00C62950" w:rsidP="00C62950">
          <w:pPr>
            <w:pStyle w:val="TOC2"/>
            <w:tabs>
              <w:tab w:val="right" w:leader="dot" w:pos="9350"/>
            </w:tabs>
            <w:rPr>
              <w:rFonts w:eastAsiaTheme="minorEastAsia"/>
              <w:noProof/>
            </w:rPr>
          </w:pPr>
          <w:hyperlink w:anchor="_Toc200676316" w:history="1">
            <w:r w:rsidRPr="00D42892">
              <w:rPr>
                <w:rStyle w:val="Hyperlink"/>
                <w:noProof/>
              </w:rPr>
              <w:t>Sustainability:</w:t>
            </w:r>
            <w:r>
              <w:rPr>
                <w:noProof/>
                <w:webHidden/>
              </w:rPr>
              <w:tab/>
            </w:r>
            <w:r>
              <w:rPr>
                <w:noProof/>
                <w:webHidden/>
              </w:rPr>
              <w:fldChar w:fldCharType="begin"/>
            </w:r>
            <w:r>
              <w:rPr>
                <w:noProof/>
                <w:webHidden/>
              </w:rPr>
              <w:instrText xml:space="preserve"> PAGEREF _Toc200676316 \h </w:instrText>
            </w:r>
            <w:r>
              <w:rPr>
                <w:noProof/>
                <w:webHidden/>
              </w:rPr>
            </w:r>
            <w:r>
              <w:rPr>
                <w:noProof/>
                <w:webHidden/>
              </w:rPr>
              <w:fldChar w:fldCharType="separate"/>
            </w:r>
            <w:r>
              <w:rPr>
                <w:noProof/>
                <w:webHidden/>
              </w:rPr>
              <w:t>12</w:t>
            </w:r>
            <w:r>
              <w:rPr>
                <w:noProof/>
                <w:webHidden/>
              </w:rPr>
              <w:fldChar w:fldCharType="end"/>
            </w:r>
          </w:hyperlink>
        </w:p>
        <w:p w14:paraId="13BA305F" w14:textId="77777777" w:rsidR="00C62950" w:rsidRDefault="00C62950" w:rsidP="00C62950">
          <w:pPr>
            <w:pStyle w:val="TOC2"/>
            <w:tabs>
              <w:tab w:val="right" w:leader="dot" w:pos="9350"/>
            </w:tabs>
            <w:rPr>
              <w:rFonts w:eastAsiaTheme="minorEastAsia"/>
              <w:noProof/>
            </w:rPr>
          </w:pPr>
          <w:hyperlink w:anchor="_Toc200676317" w:history="1">
            <w:r w:rsidRPr="00D42892">
              <w:rPr>
                <w:rStyle w:val="Hyperlink"/>
                <w:noProof/>
              </w:rPr>
              <w:t>Financial Constraints in the Education Sector:</w:t>
            </w:r>
            <w:r>
              <w:rPr>
                <w:noProof/>
                <w:webHidden/>
              </w:rPr>
              <w:tab/>
            </w:r>
            <w:r>
              <w:rPr>
                <w:noProof/>
                <w:webHidden/>
              </w:rPr>
              <w:fldChar w:fldCharType="begin"/>
            </w:r>
            <w:r>
              <w:rPr>
                <w:noProof/>
                <w:webHidden/>
              </w:rPr>
              <w:instrText xml:space="preserve"> PAGEREF _Toc200676317 \h </w:instrText>
            </w:r>
            <w:r>
              <w:rPr>
                <w:noProof/>
                <w:webHidden/>
              </w:rPr>
            </w:r>
            <w:r>
              <w:rPr>
                <w:noProof/>
                <w:webHidden/>
              </w:rPr>
              <w:fldChar w:fldCharType="separate"/>
            </w:r>
            <w:r>
              <w:rPr>
                <w:noProof/>
                <w:webHidden/>
              </w:rPr>
              <w:t>12</w:t>
            </w:r>
            <w:r>
              <w:rPr>
                <w:noProof/>
                <w:webHidden/>
              </w:rPr>
              <w:fldChar w:fldCharType="end"/>
            </w:r>
          </w:hyperlink>
        </w:p>
        <w:p w14:paraId="68DE7869" w14:textId="77777777" w:rsidR="00C62950" w:rsidRDefault="00C62950" w:rsidP="00C62950">
          <w:pPr>
            <w:pStyle w:val="TOC1"/>
            <w:tabs>
              <w:tab w:val="right" w:leader="dot" w:pos="9350"/>
            </w:tabs>
            <w:rPr>
              <w:rFonts w:eastAsiaTheme="minorEastAsia"/>
              <w:noProof/>
            </w:rPr>
          </w:pPr>
          <w:hyperlink w:anchor="_Toc200676318" w:history="1">
            <w:r w:rsidRPr="00D42892">
              <w:rPr>
                <w:rStyle w:val="Hyperlink"/>
                <w:noProof/>
              </w:rPr>
              <w:t>PESTEL Analysis:</w:t>
            </w:r>
            <w:r>
              <w:rPr>
                <w:noProof/>
                <w:webHidden/>
              </w:rPr>
              <w:tab/>
            </w:r>
            <w:r>
              <w:rPr>
                <w:noProof/>
                <w:webHidden/>
              </w:rPr>
              <w:fldChar w:fldCharType="begin"/>
            </w:r>
            <w:r>
              <w:rPr>
                <w:noProof/>
                <w:webHidden/>
              </w:rPr>
              <w:instrText xml:space="preserve"> PAGEREF _Toc200676318 \h </w:instrText>
            </w:r>
            <w:r>
              <w:rPr>
                <w:noProof/>
                <w:webHidden/>
              </w:rPr>
            </w:r>
            <w:r>
              <w:rPr>
                <w:noProof/>
                <w:webHidden/>
              </w:rPr>
              <w:fldChar w:fldCharType="separate"/>
            </w:r>
            <w:r>
              <w:rPr>
                <w:noProof/>
                <w:webHidden/>
              </w:rPr>
              <w:t>13</w:t>
            </w:r>
            <w:r>
              <w:rPr>
                <w:noProof/>
                <w:webHidden/>
              </w:rPr>
              <w:fldChar w:fldCharType="end"/>
            </w:r>
          </w:hyperlink>
        </w:p>
        <w:p w14:paraId="39BE546C" w14:textId="77777777" w:rsidR="00C62950" w:rsidRDefault="00C62950" w:rsidP="00C62950">
          <w:pPr>
            <w:pStyle w:val="TOC2"/>
            <w:tabs>
              <w:tab w:val="right" w:leader="dot" w:pos="9350"/>
            </w:tabs>
            <w:rPr>
              <w:rFonts w:eastAsiaTheme="minorEastAsia"/>
              <w:noProof/>
            </w:rPr>
          </w:pPr>
          <w:hyperlink w:anchor="_Toc200676319" w:history="1">
            <w:r w:rsidRPr="00D42892">
              <w:rPr>
                <w:rStyle w:val="Hyperlink"/>
                <w:noProof/>
              </w:rPr>
              <w:t>Political:</w:t>
            </w:r>
            <w:r>
              <w:rPr>
                <w:noProof/>
                <w:webHidden/>
              </w:rPr>
              <w:tab/>
            </w:r>
            <w:r>
              <w:rPr>
                <w:noProof/>
                <w:webHidden/>
              </w:rPr>
              <w:fldChar w:fldCharType="begin"/>
            </w:r>
            <w:r>
              <w:rPr>
                <w:noProof/>
                <w:webHidden/>
              </w:rPr>
              <w:instrText xml:space="preserve"> PAGEREF _Toc200676319 \h </w:instrText>
            </w:r>
            <w:r>
              <w:rPr>
                <w:noProof/>
                <w:webHidden/>
              </w:rPr>
            </w:r>
            <w:r>
              <w:rPr>
                <w:noProof/>
                <w:webHidden/>
              </w:rPr>
              <w:fldChar w:fldCharType="separate"/>
            </w:r>
            <w:r>
              <w:rPr>
                <w:noProof/>
                <w:webHidden/>
              </w:rPr>
              <w:t>13</w:t>
            </w:r>
            <w:r>
              <w:rPr>
                <w:noProof/>
                <w:webHidden/>
              </w:rPr>
              <w:fldChar w:fldCharType="end"/>
            </w:r>
          </w:hyperlink>
        </w:p>
        <w:p w14:paraId="55B98BE0" w14:textId="77777777" w:rsidR="00C62950" w:rsidRDefault="00C62950" w:rsidP="00C62950">
          <w:pPr>
            <w:pStyle w:val="TOC2"/>
            <w:tabs>
              <w:tab w:val="right" w:leader="dot" w:pos="9350"/>
            </w:tabs>
            <w:rPr>
              <w:rFonts w:eastAsiaTheme="minorEastAsia"/>
              <w:noProof/>
            </w:rPr>
          </w:pPr>
          <w:hyperlink w:anchor="_Toc200676320" w:history="1">
            <w:r w:rsidRPr="00D42892">
              <w:rPr>
                <w:rStyle w:val="Hyperlink"/>
                <w:noProof/>
              </w:rPr>
              <w:t>Economic:</w:t>
            </w:r>
            <w:r>
              <w:rPr>
                <w:noProof/>
                <w:webHidden/>
              </w:rPr>
              <w:tab/>
            </w:r>
            <w:r>
              <w:rPr>
                <w:noProof/>
                <w:webHidden/>
              </w:rPr>
              <w:fldChar w:fldCharType="begin"/>
            </w:r>
            <w:r>
              <w:rPr>
                <w:noProof/>
                <w:webHidden/>
              </w:rPr>
              <w:instrText xml:space="preserve"> PAGEREF _Toc200676320 \h </w:instrText>
            </w:r>
            <w:r>
              <w:rPr>
                <w:noProof/>
                <w:webHidden/>
              </w:rPr>
            </w:r>
            <w:r>
              <w:rPr>
                <w:noProof/>
                <w:webHidden/>
              </w:rPr>
              <w:fldChar w:fldCharType="separate"/>
            </w:r>
            <w:r>
              <w:rPr>
                <w:noProof/>
                <w:webHidden/>
              </w:rPr>
              <w:t>13</w:t>
            </w:r>
            <w:r>
              <w:rPr>
                <w:noProof/>
                <w:webHidden/>
              </w:rPr>
              <w:fldChar w:fldCharType="end"/>
            </w:r>
          </w:hyperlink>
        </w:p>
        <w:p w14:paraId="4A37E5A5" w14:textId="77777777" w:rsidR="00C62950" w:rsidRDefault="00C62950" w:rsidP="00C62950">
          <w:pPr>
            <w:pStyle w:val="TOC2"/>
            <w:tabs>
              <w:tab w:val="right" w:leader="dot" w:pos="9350"/>
            </w:tabs>
            <w:rPr>
              <w:rFonts w:eastAsiaTheme="minorEastAsia"/>
              <w:noProof/>
            </w:rPr>
          </w:pPr>
          <w:hyperlink w:anchor="_Toc200676321" w:history="1">
            <w:r w:rsidRPr="00D42892">
              <w:rPr>
                <w:rStyle w:val="Hyperlink"/>
                <w:noProof/>
              </w:rPr>
              <w:t>Social:</w:t>
            </w:r>
            <w:r>
              <w:rPr>
                <w:noProof/>
                <w:webHidden/>
              </w:rPr>
              <w:tab/>
            </w:r>
            <w:r>
              <w:rPr>
                <w:noProof/>
                <w:webHidden/>
              </w:rPr>
              <w:fldChar w:fldCharType="begin"/>
            </w:r>
            <w:r>
              <w:rPr>
                <w:noProof/>
                <w:webHidden/>
              </w:rPr>
              <w:instrText xml:space="preserve"> PAGEREF _Toc200676321 \h </w:instrText>
            </w:r>
            <w:r>
              <w:rPr>
                <w:noProof/>
                <w:webHidden/>
              </w:rPr>
            </w:r>
            <w:r>
              <w:rPr>
                <w:noProof/>
                <w:webHidden/>
              </w:rPr>
              <w:fldChar w:fldCharType="separate"/>
            </w:r>
            <w:r>
              <w:rPr>
                <w:noProof/>
                <w:webHidden/>
              </w:rPr>
              <w:t>13</w:t>
            </w:r>
            <w:r>
              <w:rPr>
                <w:noProof/>
                <w:webHidden/>
              </w:rPr>
              <w:fldChar w:fldCharType="end"/>
            </w:r>
          </w:hyperlink>
        </w:p>
        <w:p w14:paraId="5D71B98A" w14:textId="77777777" w:rsidR="00C62950" w:rsidRDefault="00C62950" w:rsidP="00C62950">
          <w:pPr>
            <w:pStyle w:val="TOC2"/>
            <w:tabs>
              <w:tab w:val="right" w:leader="dot" w:pos="9350"/>
            </w:tabs>
            <w:rPr>
              <w:rFonts w:eastAsiaTheme="minorEastAsia"/>
              <w:noProof/>
            </w:rPr>
          </w:pPr>
          <w:hyperlink w:anchor="_Toc200676322" w:history="1">
            <w:r w:rsidRPr="00D42892">
              <w:rPr>
                <w:rStyle w:val="Hyperlink"/>
                <w:noProof/>
              </w:rPr>
              <w:t>Technological:</w:t>
            </w:r>
            <w:r>
              <w:rPr>
                <w:noProof/>
                <w:webHidden/>
              </w:rPr>
              <w:tab/>
            </w:r>
            <w:r>
              <w:rPr>
                <w:noProof/>
                <w:webHidden/>
              </w:rPr>
              <w:fldChar w:fldCharType="begin"/>
            </w:r>
            <w:r>
              <w:rPr>
                <w:noProof/>
                <w:webHidden/>
              </w:rPr>
              <w:instrText xml:space="preserve"> PAGEREF _Toc200676322 \h </w:instrText>
            </w:r>
            <w:r>
              <w:rPr>
                <w:noProof/>
                <w:webHidden/>
              </w:rPr>
            </w:r>
            <w:r>
              <w:rPr>
                <w:noProof/>
                <w:webHidden/>
              </w:rPr>
              <w:fldChar w:fldCharType="separate"/>
            </w:r>
            <w:r>
              <w:rPr>
                <w:noProof/>
                <w:webHidden/>
              </w:rPr>
              <w:t>13</w:t>
            </w:r>
            <w:r>
              <w:rPr>
                <w:noProof/>
                <w:webHidden/>
              </w:rPr>
              <w:fldChar w:fldCharType="end"/>
            </w:r>
          </w:hyperlink>
        </w:p>
        <w:p w14:paraId="6EE7D1B9" w14:textId="77777777" w:rsidR="00C62950" w:rsidRDefault="00C62950" w:rsidP="00C62950">
          <w:pPr>
            <w:pStyle w:val="TOC2"/>
            <w:tabs>
              <w:tab w:val="right" w:leader="dot" w:pos="9350"/>
            </w:tabs>
            <w:rPr>
              <w:rFonts w:eastAsiaTheme="minorEastAsia"/>
              <w:noProof/>
            </w:rPr>
          </w:pPr>
          <w:hyperlink w:anchor="_Toc200676323" w:history="1">
            <w:r w:rsidRPr="00D42892">
              <w:rPr>
                <w:rStyle w:val="Hyperlink"/>
                <w:noProof/>
              </w:rPr>
              <w:t>Environmental:</w:t>
            </w:r>
            <w:r>
              <w:rPr>
                <w:noProof/>
                <w:webHidden/>
              </w:rPr>
              <w:tab/>
            </w:r>
            <w:r>
              <w:rPr>
                <w:noProof/>
                <w:webHidden/>
              </w:rPr>
              <w:fldChar w:fldCharType="begin"/>
            </w:r>
            <w:r>
              <w:rPr>
                <w:noProof/>
                <w:webHidden/>
              </w:rPr>
              <w:instrText xml:space="preserve"> PAGEREF _Toc200676323 \h </w:instrText>
            </w:r>
            <w:r>
              <w:rPr>
                <w:noProof/>
                <w:webHidden/>
              </w:rPr>
            </w:r>
            <w:r>
              <w:rPr>
                <w:noProof/>
                <w:webHidden/>
              </w:rPr>
              <w:fldChar w:fldCharType="separate"/>
            </w:r>
            <w:r>
              <w:rPr>
                <w:noProof/>
                <w:webHidden/>
              </w:rPr>
              <w:t>13</w:t>
            </w:r>
            <w:r>
              <w:rPr>
                <w:noProof/>
                <w:webHidden/>
              </w:rPr>
              <w:fldChar w:fldCharType="end"/>
            </w:r>
          </w:hyperlink>
        </w:p>
        <w:p w14:paraId="4E65AA4E" w14:textId="77777777" w:rsidR="00C62950" w:rsidRDefault="00C62950" w:rsidP="00C62950">
          <w:pPr>
            <w:pStyle w:val="TOC2"/>
            <w:tabs>
              <w:tab w:val="right" w:leader="dot" w:pos="9350"/>
            </w:tabs>
            <w:rPr>
              <w:rFonts w:eastAsiaTheme="minorEastAsia"/>
              <w:noProof/>
            </w:rPr>
          </w:pPr>
          <w:hyperlink w:anchor="_Toc200676324" w:history="1">
            <w:r w:rsidRPr="00D42892">
              <w:rPr>
                <w:rStyle w:val="Hyperlink"/>
                <w:noProof/>
              </w:rPr>
              <w:t>Legal:</w:t>
            </w:r>
            <w:r>
              <w:rPr>
                <w:noProof/>
                <w:webHidden/>
              </w:rPr>
              <w:tab/>
            </w:r>
            <w:r>
              <w:rPr>
                <w:noProof/>
                <w:webHidden/>
              </w:rPr>
              <w:fldChar w:fldCharType="begin"/>
            </w:r>
            <w:r>
              <w:rPr>
                <w:noProof/>
                <w:webHidden/>
              </w:rPr>
              <w:instrText xml:space="preserve"> PAGEREF _Toc200676324 \h </w:instrText>
            </w:r>
            <w:r>
              <w:rPr>
                <w:noProof/>
                <w:webHidden/>
              </w:rPr>
            </w:r>
            <w:r>
              <w:rPr>
                <w:noProof/>
                <w:webHidden/>
              </w:rPr>
              <w:fldChar w:fldCharType="separate"/>
            </w:r>
            <w:r>
              <w:rPr>
                <w:noProof/>
                <w:webHidden/>
              </w:rPr>
              <w:t>14</w:t>
            </w:r>
            <w:r>
              <w:rPr>
                <w:noProof/>
                <w:webHidden/>
              </w:rPr>
              <w:fldChar w:fldCharType="end"/>
            </w:r>
          </w:hyperlink>
        </w:p>
        <w:p w14:paraId="2D43552B" w14:textId="77777777" w:rsidR="00C62950" w:rsidRDefault="00C62950" w:rsidP="00C62950">
          <w:pPr>
            <w:pStyle w:val="TOC1"/>
            <w:tabs>
              <w:tab w:val="right" w:leader="dot" w:pos="9350"/>
            </w:tabs>
            <w:rPr>
              <w:rFonts w:eastAsiaTheme="minorEastAsia"/>
              <w:noProof/>
            </w:rPr>
          </w:pPr>
          <w:hyperlink w:anchor="_Toc200676325" w:history="1">
            <w:r w:rsidRPr="00D42892">
              <w:rPr>
                <w:rStyle w:val="Hyperlink"/>
                <w:noProof/>
              </w:rPr>
              <w:t>Conclusion</w:t>
            </w:r>
            <w:r>
              <w:rPr>
                <w:noProof/>
                <w:webHidden/>
              </w:rPr>
              <w:tab/>
            </w:r>
            <w:r>
              <w:rPr>
                <w:noProof/>
                <w:webHidden/>
              </w:rPr>
              <w:fldChar w:fldCharType="begin"/>
            </w:r>
            <w:r>
              <w:rPr>
                <w:noProof/>
                <w:webHidden/>
              </w:rPr>
              <w:instrText xml:space="preserve"> PAGEREF _Toc200676325 \h </w:instrText>
            </w:r>
            <w:r>
              <w:rPr>
                <w:noProof/>
                <w:webHidden/>
              </w:rPr>
            </w:r>
            <w:r>
              <w:rPr>
                <w:noProof/>
                <w:webHidden/>
              </w:rPr>
              <w:fldChar w:fldCharType="separate"/>
            </w:r>
            <w:r>
              <w:rPr>
                <w:noProof/>
                <w:webHidden/>
              </w:rPr>
              <w:t>14</w:t>
            </w:r>
            <w:r>
              <w:rPr>
                <w:noProof/>
                <w:webHidden/>
              </w:rPr>
              <w:fldChar w:fldCharType="end"/>
            </w:r>
          </w:hyperlink>
        </w:p>
        <w:p w14:paraId="0B271C81" w14:textId="77777777" w:rsidR="00C62950" w:rsidRDefault="00C62950" w:rsidP="00C62950">
          <w:pPr>
            <w:pStyle w:val="TOC1"/>
            <w:tabs>
              <w:tab w:val="right" w:leader="dot" w:pos="9350"/>
            </w:tabs>
            <w:rPr>
              <w:rFonts w:eastAsiaTheme="minorEastAsia"/>
              <w:noProof/>
            </w:rPr>
          </w:pPr>
          <w:hyperlink w:anchor="_Toc200676326" w:history="1">
            <w:r w:rsidRPr="00D42892">
              <w:rPr>
                <w:rStyle w:val="Hyperlink"/>
                <w:noProof/>
              </w:rPr>
              <w:t>References</w:t>
            </w:r>
            <w:r>
              <w:rPr>
                <w:noProof/>
                <w:webHidden/>
              </w:rPr>
              <w:tab/>
            </w:r>
            <w:r>
              <w:rPr>
                <w:noProof/>
                <w:webHidden/>
              </w:rPr>
              <w:fldChar w:fldCharType="begin"/>
            </w:r>
            <w:r>
              <w:rPr>
                <w:noProof/>
                <w:webHidden/>
              </w:rPr>
              <w:instrText xml:space="preserve"> PAGEREF _Toc200676326 \h </w:instrText>
            </w:r>
            <w:r>
              <w:rPr>
                <w:noProof/>
                <w:webHidden/>
              </w:rPr>
            </w:r>
            <w:r>
              <w:rPr>
                <w:noProof/>
                <w:webHidden/>
              </w:rPr>
              <w:fldChar w:fldCharType="separate"/>
            </w:r>
            <w:r>
              <w:rPr>
                <w:noProof/>
                <w:webHidden/>
              </w:rPr>
              <w:t>15</w:t>
            </w:r>
            <w:r>
              <w:rPr>
                <w:noProof/>
                <w:webHidden/>
              </w:rPr>
              <w:fldChar w:fldCharType="end"/>
            </w:r>
          </w:hyperlink>
        </w:p>
        <w:p w14:paraId="767D3815" w14:textId="77777777" w:rsidR="00C62950" w:rsidRDefault="00C62950" w:rsidP="00C62950">
          <w:r>
            <w:rPr>
              <w:b/>
              <w:bCs/>
              <w:noProof/>
            </w:rPr>
            <w:fldChar w:fldCharType="end"/>
          </w:r>
        </w:p>
      </w:sdtContent>
    </w:sdt>
    <w:p w14:paraId="3CDD78D0" w14:textId="77777777" w:rsidR="00C62950" w:rsidRDefault="00C62950" w:rsidP="00C62950">
      <w:pPr>
        <w:rPr>
          <w:rFonts w:ascii="Times New Roman" w:eastAsiaTheme="majorEastAsia" w:hAnsi="Times New Roman" w:cstheme="majorBidi"/>
          <w:color w:val="000000" w:themeColor="text1"/>
          <w:sz w:val="24"/>
          <w:szCs w:val="32"/>
        </w:rPr>
      </w:pPr>
    </w:p>
    <w:p w14:paraId="17708EB8" w14:textId="77777777" w:rsidR="00C62950" w:rsidRDefault="00C62950" w:rsidP="00C62950">
      <w:pPr>
        <w:rPr>
          <w:rFonts w:ascii="Times New Roman" w:eastAsiaTheme="majorEastAsia" w:hAnsi="Times New Roman" w:cstheme="majorBidi"/>
          <w:color w:val="000000" w:themeColor="text1"/>
          <w:sz w:val="24"/>
          <w:szCs w:val="32"/>
        </w:rPr>
      </w:pPr>
    </w:p>
    <w:p w14:paraId="541FE370" w14:textId="77777777" w:rsidR="00C62950" w:rsidRDefault="00C62950" w:rsidP="00C62950">
      <w:pPr>
        <w:rPr>
          <w:rFonts w:ascii="Times New Roman" w:eastAsiaTheme="majorEastAsia" w:hAnsi="Times New Roman" w:cstheme="majorBidi"/>
          <w:color w:val="000000" w:themeColor="text1"/>
          <w:sz w:val="24"/>
          <w:szCs w:val="32"/>
        </w:rPr>
      </w:pPr>
    </w:p>
    <w:p w14:paraId="66651B2C" w14:textId="77777777" w:rsidR="00C62950" w:rsidRDefault="00C62950" w:rsidP="00C62950">
      <w:pPr>
        <w:rPr>
          <w:rFonts w:ascii="Times New Roman" w:eastAsiaTheme="majorEastAsia" w:hAnsi="Times New Roman" w:cstheme="majorBidi"/>
          <w:color w:val="000000" w:themeColor="text1"/>
          <w:sz w:val="24"/>
          <w:szCs w:val="32"/>
        </w:rPr>
      </w:pPr>
    </w:p>
    <w:p w14:paraId="4FD05EDE" w14:textId="77777777" w:rsidR="00C62950" w:rsidRDefault="00C62950" w:rsidP="00C62950">
      <w:pPr>
        <w:rPr>
          <w:rFonts w:ascii="Times New Roman" w:eastAsiaTheme="majorEastAsia" w:hAnsi="Times New Roman" w:cstheme="majorBidi"/>
          <w:color w:val="000000" w:themeColor="text1"/>
          <w:sz w:val="24"/>
          <w:szCs w:val="32"/>
        </w:rPr>
      </w:pPr>
    </w:p>
    <w:p w14:paraId="07D45C78" w14:textId="77777777" w:rsidR="00C62950" w:rsidRDefault="00C62950" w:rsidP="00C62950">
      <w:pPr>
        <w:rPr>
          <w:rFonts w:ascii="Times New Roman" w:eastAsiaTheme="majorEastAsia" w:hAnsi="Times New Roman" w:cstheme="majorBidi"/>
          <w:color w:val="000000" w:themeColor="text1"/>
          <w:sz w:val="24"/>
          <w:szCs w:val="32"/>
        </w:rPr>
      </w:pPr>
    </w:p>
    <w:p w14:paraId="78EC17B2" w14:textId="77777777" w:rsidR="00C62950" w:rsidRDefault="00C62950" w:rsidP="00C62950">
      <w:pPr>
        <w:rPr>
          <w:rFonts w:ascii="Times New Roman" w:eastAsiaTheme="majorEastAsia" w:hAnsi="Times New Roman" w:cstheme="majorBidi"/>
          <w:color w:val="000000" w:themeColor="text1"/>
          <w:sz w:val="24"/>
          <w:szCs w:val="32"/>
        </w:rPr>
      </w:pPr>
    </w:p>
    <w:p w14:paraId="1455F909" w14:textId="77777777" w:rsidR="00C62950" w:rsidRDefault="00C62950" w:rsidP="00C62950">
      <w:pPr>
        <w:rPr>
          <w:rFonts w:ascii="Times New Roman" w:eastAsiaTheme="majorEastAsia" w:hAnsi="Times New Roman" w:cstheme="majorBidi"/>
          <w:color w:val="000000" w:themeColor="text1"/>
          <w:sz w:val="24"/>
          <w:szCs w:val="32"/>
        </w:rPr>
      </w:pPr>
    </w:p>
    <w:p w14:paraId="413F7B01" w14:textId="77777777" w:rsidR="00C62950" w:rsidRDefault="00C62950" w:rsidP="00C62950">
      <w:pPr>
        <w:rPr>
          <w:rFonts w:ascii="Times New Roman" w:eastAsiaTheme="majorEastAsia" w:hAnsi="Times New Roman" w:cstheme="majorBidi"/>
          <w:color w:val="000000" w:themeColor="text1"/>
          <w:sz w:val="24"/>
          <w:szCs w:val="32"/>
        </w:rPr>
      </w:pPr>
    </w:p>
    <w:p w14:paraId="3B5E99B3" w14:textId="77777777" w:rsidR="00C62950" w:rsidRDefault="00C62950" w:rsidP="00C62950">
      <w:pPr>
        <w:rPr>
          <w:rFonts w:ascii="Times New Roman" w:eastAsiaTheme="majorEastAsia" w:hAnsi="Times New Roman" w:cstheme="majorBidi"/>
          <w:color w:val="000000" w:themeColor="text1"/>
          <w:sz w:val="24"/>
          <w:szCs w:val="32"/>
        </w:rPr>
      </w:pPr>
    </w:p>
    <w:p w14:paraId="373B34AE" w14:textId="77777777" w:rsidR="00C62950" w:rsidRDefault="00C62950" w:rsidP="00C62950">
      <w:pPr>
        <w:rPr>
          <w:rFonts w:ascii="Times New Roman" w:eastAsiaTheme="majorEastAsia" w:hAnsi="Times New Roman" w:cstheme="majorBidi"/>
          <w:color w:val="000000" w:themeColor="text1"/>
          <w:sz w:val="24"/>
          <w:szCs w:val="32"/>
        </w:rPr>
      </w:pPr>
    </w:p>
    <w:p w14:paraId="7560CA14" w14:textId="77777777" w:rsidR="00C62950" w:rsidRDefault="00C62950" w:rsidP="00C62950">
      <w:pPr>
        <w:rPr>
          <w:rFonts w:ascii="Times New Roman" w:eastAsiaTheme="majorEastAsia" w:hAnsi="Times New Roman" w:cstheme="majorBidi"/>
          <w:color w:val="000000" w:themeColor="text1"/>
          <w:sz w:val="24"/>
          <w:szCs w:val="32"/>
        </w:rPr>
      </w:pPr>
    </w:p>
    <w:p w14:paraId="1D355D6D" w14:textId="77777777" w:rsidR="00C62950" w:rsidRDefault="00C62950" w:rsidP="00C62950">
      <w:pPr>
        <w:rPr>
          <w:rFonts w:ascii="Times New Roman" w:eastAsiaTheme="majorEastAsia" w:hAnsi="Times New Roman" w:cstheme="majorBidi"/>
          <w:color w:val="000000" w:themeColor="text1"/>
          <w:sz w:val="24"/>
          <w:szCs w:val="32"/>
        </w:rPr>
      </w:pPr>
    </w:p>
    <w:p w14:paraId="234DD154" w14:textId="77777777" w:rsidR="00C62950" w:rsidRDefault="00C62950" w:rsidP="00C62950">
      <w:pPr>
        <w:rPr>
          <w:rFonts w:ascii="Times New Roman" w:eastAsiaTheme="majorEastAsia" w:hAnsi="Times New Roman" w:cstheme="majorBidi"/>
          <w:color w:val="000000" w:themeColor="text1"/>
          <w:sz w:val="24"/>
          <w:szCs w:val="32"/>
        </w:rPr>
      </w:pPr>
    </w:p>
    <w:p w14:paraId="7B6435DD" w14:textId="77777777" w:rsidR="00C62950" w:rsidRDefault="00C62950" w:rsidP="00C62950">
      <w:pPr>
        <w:rPr>
          <w:rFonts w:ascii="Times New Roman" w:eastAsiaTheme="majorEastAsia" w:hAnsi="Times New Roman" w:cstheme="majorBidi"/>
          <w:color w:val="000000" w:themeColor="text1"/>
          <w:sz w:val="24"/>
          <w:szCs w:val="32"/>
        </w:rPr>
      </w:pPr>
    </w:p>
    <w:p w14:paraId="4E7361E2" w14:textId="77777777" w:rsidR="00C62950" w:rsidRDefault="00C62950" w:rsidP="00C62950">
      <w:pPr>
        <w:rPr>
          <w:rFonts w:ascii="Times New Roman" w:eastAsiaTheme="majorEastAsia" w:hAnsi="Times New Roman" w:cstheme="majorBidi"/>
          <w:color w:val="000000" w:themeColor="text1"/>
          <w:sz w:val="24"/>
          <w:szCs w:val="32"/>
        </w:rPr>
      </w:pPr>
    </w:p>
    <w:p w14:paraId="3B7F0C05" w14:textId="77777777" w:rsidR="00C62950" w:rsidRDefault="00C62950" w:rsidP="00C62950">
      <w:pPr>
        <w:rPr>
          <w:rFonts w:ascii="Times New Roman" w:eastAsiaTheme="majorEastAsia" w:hAnsi="Times New Roman" w:cstheme="majorBidi"/>
          <w:color w:val="000000" w:themeColor="text1"/>
          <w:sz w:val="24"/>
          <w:szCs w:val="32"/>
        </w:rPr>
      </w:pPr>
    </w:p>
    <w:p w14:paraId="13FCEB65" w14:textId="77777777" w:rsidR="00C62950" w:rsidRDefault="00C62950" w:rsidP="00C62950">
      <w:pPr>
        <w:rPr>
          <w:rFonts w:ascii="Times New Roman" w:eastAsiaTheme="majorEastAsia" w:hAnsi="Times New Roman" w:cstheme="majorBidi"/>
          <w:color w:val="000000" w:themeColor="text1"/>
          <w:sz w:val="24"/>
          <w:szCs w:val="32"/>
        </w:rPr>
      </w:pPr>
    </w:p>
    <w:p w14:paraId="68DF316B" w14:textId="77777777" w:rsidR="00C62950" w:rsidRDefault="00C62950" w:rsidP="00C62950">
      <w:pPr>
        <w:rPr>
          <w:rFonts w:ascii="Times New Roman" w:eastAsiaTheme="majorEastAsia" w:hAnsi="Times New Roman" w:cstheme="majorBidi"/>
          <w:color w:val="000000" w:themeColor="text1"/>
          <w:sz w:val="24"/>
          <w:szCs w:val="32"/>
        </w:rPr>
      </w:pPr>
    </w:p>
    <w:p w14:paraId="5577CAC2" w14:textId="77777777" w:rsidR="00C62950" w:rsidRDefault="00C62950" w:rsidP="00C62950">
      <w:pPr>
        <w:rPr>
          <w:rFonts w:ascii="Times New Roman" w:eastAsiaTheme="majorEastAsia" w:hAnsi="Times New Roman" w:cstheme="majorBidi"/>
          <w:color w:val="000000" w:themeColor="text1"/>
          <w:sz w:val="24"/>
          <w:szCs w:val="32"/>
        </w:rPr>
      </w:pPr>
    </w:p>
    <w:p w14:paraId="6FAA5C1A" w14:textId="77777777" w:rsidR="00C62950" w:rsidRDefault="00C62950" w:rsidP="00C62950">
      <w:pPr>
        <w:rPr>
          <w:rFonts w:ascii="Times New Roman" w:eastAsiaTheme="majorEastAsia" w:hAnsi="Times New Roman" w:cstheme="majorBidi"/>
          <w:color w:val="000000" w:themeColor="text1"/>
          <w:sz w:val="24"/>
          <w:szCs w:val="32"/>
        </w:rPr>
      </w:pPr>
    </w:p>
    <w:p w14:paraId="759C334C" w14:textId="77777777" w:rsidR="00C62950" w:rsidRDefault="00C62950" w:rsidP="00C62950">
      <w:pPr>
        <w:rPr>
          <w:rFonts w:ascii="Times New Roman" w:eastAsiaTheme="majorEastAsia" w:hAnsi="Times New Roman" w:cstheme="majorBidi"/>
          <w:color w:val="000000" w:themeColor="text1"/>
          <w:sz w:val="24"/>
          <w:szCs w:val="32"/>
        </w:rPr>
      </w:pPr>
    </w:p>
    <w:p w14:paraId="0468F382" w14:textId="77777777" w:rsidR="00C62950" w:rsidRDefault="00C62950" w:rsidP="00C62950">
      <w:pPr>
        <w:rPr>
          <w:rFonts w:ascii="Times New Roman" w:eastAsiaTheme="majorEastAsia" w:hAnsi="Times New Roman" w:cstheme="majorBidi"/>
          <w:color w:val="000000" w:themeColor="text1"/>
          <w:sz w:val="24"/>
          <w:szCs w:val="32"/>
        </w:rPr>
      </w:pPr>
    </w:p>
    <w:p w14:paraId="4952704F" w14:textId="77777777" w:rsidR="00C62950" w:rsidRDefault="00C62950" w:rsidP="00C62950">
      <w:pPr>
        <w:rPr>
          <w:rFonts w:ascii="Times New Roman" w:eastAsiaTheme="majorEastAsia" w:hAnsi="Times New Roman" w:cstheme="majorBidi"/>
          <w:color w:val="000000" w:themeColor="text1"/>
          <w:sz w:val="24"/>
          <w:szCs w:val="32"/>
        </w:rPr>
      </w:pPr>
    </w:p>
    <w:p w14:paraId="7AAB555F" w14:textId="77777777" w:rsidR="00C62950" w:rsidRDefault="00C62950" w:rsidP="00C62950">
      <w:pPr>
        <w:rPr>
          <w:rFonts w:ascii="Times New Roman" w:eastAsiaTheme="majorEastAsia" w:hAnsi="Times New Roman" w:cstheme="majorBidi"/>
          <w:color w:val="000000" w:themeColor="text1"/>
          <w:sz w:val="24"/>
          <w:szCs w:val="32"/>
        </w:rPr>
      </w:pPr>
    </w:p>
    <w:p w14:paraId="19F71314" w14:textId="77777777" w:rsidR="00C62950" w:rsidRDefault="00C62950" w:rsidP="00C62950">
      <w:pPr>
        <w:rPr>
          <w:rFonts w:ascii="Times New Roman" w:eastAsiaTheme="majorEastAsia" w:hAnsi="Times New Roman" w:cstheme="majorBidi"/>
          <w:color w:val="000000" w:themeColor="text1"/>
          <w:sz w:val="24"/>
          <w:szCs w:val="32"/>
        </w:rPr>
      </w:pPr>
    </w:p>
    <w:p w14:paraId="36A39998" w14:textId="77777777" w:rsidR="00C62950" w:rsidRPr="009F122A" w:rsidRDefault="00C62950" w:rsidP="00C62950">
      <w:pPr>
        <w:spacing w:line="360" w:lineRule="auto"/>
        <w:jc w:val="both"/>
        <w:rPr>
          <w:rFonts w:ascii="Times New Roman" w:eastAsiaTheme="majorEastAsia" w:hAnsi="Times New Roman" w:cs="Times New Roman"/>
          <w:color w:val="000000" w:themeColor="text1"/>
          <w:sz w:val="24"/>
          <w:szCs w:val="24"/>
        </w:rPr>
      </w:pPr>
    </w:p>
    <w:p w14:paraId="3D481FF4" w14:textId="77777777" w:rsidR="00C62950" w:rsidRPr="009F122A" w:rsidRDefault="00C62950" w:rsidP="00C62950">
      <w:pPr>
        <w:pStyle w:val="Heading1"/>
        <w:spacing w:line="360" w:lineRule="auto"/>
        <w:rPr>
          <w:rFonts w:cs="Times New Roman"/>
          <w:szCs w:val="24"/>
        </w:rPr>
      </w:pPr>
      <w:bookmarkStart w:id="0" w:name="_Toc200676295"/>
      <w:r w:rsidRPr="009F122A">
        <w:rPr>
          <w:rFonts w:cs="Times New Roman"/>
          <w:szCs w:val="24"/>
        </w:rPr>
        <w:t>Introduction</w:t>
      </w:r>
      <w:bookmarkEnd w:id="0"/>
    </w:p>
    <w:p w14:paraId="12FEB546"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The proposed event, Wales Welcome Fa</w:t>
      </w:r>
      <w:r>
        <w:rPr>
          <w:rFonts w:ascii="Times New Roman" w:hAnsi="Times New Roman" w:cs="Times New Roman"/>
          <w:sz w:val="24"/>
          <w:szCs w:val="24"/>
        </w:rPr>
        <w:t>ir: Student Cultures &amp; Creative</w:t>
      </w:r>
      <w:r w:rsidRPr="009F122A">
        <w:rPr>
          <w:rFonts w:ascii="Times New Roman" w:hAnsi="Times New Roman" w:cs="Times New Roman"/>
          <w:sz w:val="24"/>
          <w:szCs w:val="24"/>
        </w:rPr>
        <w:t xml:space="preserve"> Expo, is an energetic and student-initiated cultural presentation </w:t>
      </w:r>
      <w:sdt>
        <w:sdtPr>
          <w:rPr>
            <w:rFonts w:ascii="Times New Roman" w:hAnsi="Times New Roman" w:cs="Times New Roman"/>
            <w:sz w:val="24"/>
            <w:szCs w:val="24"/>
          </w:rPr>
          <w:id w:val="113777095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Sim24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(Simon,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engineered to complement Visit </w:t>
      </w:r>
      <w:proofErr w:type="spellStart"/>
      <w:r w:rsidRPr="009F122A">
        <w:rPr>
          <w:rFonts w:ascii="Times New Roman" w:hAnsi="Times New Roman" w:cs="Times New Roman"/>
          <w:sz w:val="24"/>
          <w:szCs w:val="24"/>
        </w:rPr>
        <w:t>Wales’</w:t>
      </w:r>
      <w:proofErr w:type="spellEnd"/>
      <w:r w:rsidRPr="009F122A">
        <w:rPr>
          <w:rFonts w:ascii="Times New Roman" w:hAnsi="Times New Roman" w:cs="Times New Roman"/>
          <w:sz w:val="24"/>
          <w:szCs w:val="24"/>
        </w:rPr>
        <w:t xml:space="preserve"> national campaign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2025”. Times of national joy, with the phrase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(“welcome”), a Welsh word, spoke volumes about the warm, inclusive experience that the nation was committed to providing to all. This event represents </w:t>
      </w:r>
      <w:proofErr w:type="gramStart"/>
      <w:r w:rsidRPr="009F122A">
        <w:rPr>
          <w:rFonts w:ascii="Times New Roman" w:hAnsi="Times New Roman" w:cs="Times New Roman"/>
          <w:sz w:val="24"/>
          <w:szCs w:val="24"/>
        </w:rPr>
        <w:t>the ethos</w:t>
      </w:r>
      <w:proofErr w:type="gramEnd"/>
      <w:r w:rsidRPr="009F122A">
        <w:rPr>
          <w:rFonts w:ascii="Times New Roman" w:hAnsi="Times New Roman" w:cs="Times New Roman"/>
          <w:sz w:val="24"/>
          <w:szCs w:val="24"/>
        </w:rPr>
        <w:t xml:space="preserve">’ values by providing an opportunity for students of different backgrounds to showcase their creativity whilst </w:t>
      </w:r>
      <w:proofErr w:type="spellStart"/>
      <w:r w:rsidRPr="009F122A">
        <w:rPr>
          <w:rFonts w:ascii="Times New Roman" w:hAnsi="Times New Roman" w:cs="Times New Roman"/>
          <w:sz w:val="24"/>
          <w:szCs w:val="24"/>
        </w:rPr>
        <w:t>recognising</w:t>
      </w:r>
      <w:proofErr w:type="spellEnd"/>
      <w:r w:rsidRPr="009F122A">
        <w:rPr>
          <w:rFonts w:ascii="Times New Roman" w:hAnsi="Times New Roman" w:cs="Times New Roman"/>
          <w:sz w:val="24"/>
          <w:szCs w:val="24"/>
        </w:rPr>
        <w:t xml:space="preserve"> the Welsh identity, hospitality and communal values</w:t>
      </w:r>
      <w:sdt>
        <w:sdtPr>
          <w:rPr>
            <w:rFonts w:ascii="Times New Roman" w:hAnsi="Times New Roman" w:cs="Times New Roman"/>
            <w:sz w:val="24"/>
            <w:szCs w:val="24"/>
          </w:rPr>
          <w:id w:val="36502223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Bla22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(Bladen et al., 2022)</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507D0BE8"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venue for the fair will </w:t>
      </w:r>
      <w:proofErr w:type="gramStart"/>
      <w:r w:rsidRPr="009F122A">
        <w:rPr>
          <w:rFonts w:ascii="Times New Roman" w:hAnsi="Times New Roman" w:cs="Times New Roman"/>
          <w:sz w:val="24"/>
          <w:szCs w:val="24"/>
        </w:rPr>
        <w:t>be located in</w:t>
      </w:r>
      <w:proofErr w:type="gramEnd"/>
      <w:r w:rsidRPr="009F122A">
        <w:rPr>
          <w:rFonts w:ascii="Times New Roman" w:hAnsi="Times New Roman" w:cs="Times New Roman"/>
          <w:sz w:val="24"/>
          <w:szCs w:val="24"/>
        </w:rPr>
        <w:t xml:space="preserve"> the middle of downtown, and it could be a university atrium, a gallery, or a community </w:t>
      </w:r>
      <w:proofErr w:type="spellStart"/>
      <w:r w:rsidRPr="009F122A">
        <w:rPr>
          <w:rFonts w:ascii="Times New Roman" w:hAnsi="Times New Roman" w:cs="Times New Roman"/>
          <w:sz w:val="24"/>
          <w:szCs w:val="24"/>
        </w:rPr>
        <w:t>centre</w:t>
      </w:r>
      <w:proofErr w:type="spellEnd"/>
      <w:r w:rsidRPr="009F122A">
        <w:rPr>
          <w:rFonts w:ascii="Times New Roman" w:hAnsi="Times New Roman" w:cs="Times New Roman"/>
          <w:sz w:val="24"/>
          <w:szCs w:val="24"/>
        </w:rPr>
        <w:t>, known for access, visibility, and easier engagement. To 100 – 200 guests, the expo invites students, educators and local creatives to connect in a common celebration of cultural expression, artistic talent and storytelling. We will be displaying handmade crafts, digital artwork, poetry readings, short films and performances, and we will be hosting performances from a diverse group of students with many backgrounds academically and culturally</w:t>
      </w:r>
      <w:sdt>
        <w:sdtPr>
          <w:rPr>
            <w:rFonts w:ascii="Times New Roman" w:hAnsi="Times New Roman" w:cs="Times New Roman"/>
            <w:sz w:val="24"/>
            <w:szCs w:val="24"/>
          </w:rPr>
          <w:id w:val="-1330820169"/>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Fro17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(From, 2017)</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683E9613"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event has been selected because it is highly aligned with the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campaign objectives and it can deliver real student needs, particularly first years and international students, who may seek connection, identity and belonging. It also assists in the development of a larger narrative about </w:t>
      </w:r>
      <w:proofErr w:type="gramStart"/>
      <w:r w:rsidRPr="009F122A">
        <w:rPr>
          <w:rFonts w:ascii="Times New Roman" w:hAnsi="Times New Roman" w:cs="Times New Roman"/>
          <w:sz w:val="24"/>
          <w:szCs w:val="24"/>
        </w:rPr>
        <w:t>the engagement</w:t>
      </w:r>
      <w:proofErr w:type="gramEnd"/>
      <w:r w:rsidRPr="009F122A">
        <w:rPr>
          <w:rFonts w:ascii="Times New Roman" w:hAnsi="Times New Roman" w:cs="Times New Roman"/>
          <w:sz w:val="24"/>
          <w:szCs w:val="24"/>
        </w:rPr>
        <w:t xml:space="preserve"> with a native culture within the ambit of the higher education settings and so promotes cross-cultural </w:t>
      </w:r>
      <w:proofErr w:type="gramStart"/>
      <w:r w:rsidRPr="009F122A">
        <w:rPr>
          <w:rFonts w:ascii="Times New Roman" w:hAnsi="Times New Roman" w:cs="Times New Roman"/>
          <w:sz w:val="24"/>
          <w:szCs w:val="24"/>
        </w:rPr>
        <w:t>comprehension, and</w:t>
      </w:r>
      <w:proofErr w:type="gramEnd"/>
      <w:r w:rsidRPr="009F122A">
        <w:rPr>
          <w:rFonts w:ascii="Times New Roman" w:hAnsi="Times New Roman" w:cs="Times New Roman"/>
          <w:sz w:val="24"/>
          <w:szCs w:val="24"/>
        </w:rPr>
        <w:t xml:space="preserve"> helps the local creative economy</w:t>
      </w:r>
      <w:sdt>
        <w:sdtPr>
          <w:rPr>
            <w:rFonts w:ascii="Times New Roman" w:hAnsi="Times New Roman" w:cs="Times New Roman"/>
            <w:sz w:val="24"/>
            <w:szCs w:val="24"/>
          </w:rPr>
          <w:id w:val="53486272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Gol11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(Goldblatt, 2011)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44104C17" w14:textId="77777777" w:rsidR="00C62950" w:rsidRPr="009F122A" w:rsidRDefault="00C62950" w:rsidP="00C62950">
      <w:pPr>
        <w:pStyle w:val="Heading1"/>
        <w:spacing w:line="360" w:lineRule="auto"/>
        <w:rPr>
          <w:rFonts w:cs="Times New Roman"/>
          <w:szCs w:val="24"/>
        </w:rPr>
      </w:pPr>
      <w:bookmarkStart w:id="1" w:name="_Toc200676296"/>
      <w:r w:rsidRPr="009F122A">
        <w:rPr>
          <w:rFonts w:cs="Times New Roman"/>
          <w:szCs w:val="24"/>
        </w:rPr>
        <w:t>The Event Cycle</w:t>
      </w:r>
      <w:bookmarkEnd w:id="1"/>
    </w:p>
    <w:p w14:paraId="4043EB7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For the Wales Welcome Fair: The event cycle, Student Cultures &amp; Creatives Expo event has been pivotal in shaping the initial idea into a feasible strategic event </w:t>
      </w:r>
      <w:sdt>
        <w:sdtPr>
          <w:rPr>
            <w:rFonts w:ascii="Times New Roman" w:hAnsi="Times New Roman" w:cs="Times New Roman"/>
            <w:sz w:val="24"/>
            <w:szCs w:val="24"/>
          </w:rPr>
          <w:id w:val="-39065266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Wal25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(Wales, 2025)</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that subscribes to Visit </w:t>
      </w:r>
      <w:proofErr w:type="spellStart"/>
      <w:r w:rsidRPr="009F122A">
        <w:rPr>
          <w:rFonts w:ascii="Times New Roman" w:hAnsi="Times New Roman" w:cs="Times New Roman"/>
          <w:sz w:val="24"/>
          <w:szCs w:val="24"/>
        </w:rPr>
        <w:t>Wales’</w:t>
      </w:r>
      <w:proofErr w:type="spellEnd"/>
      <w:r w:rsidRPr="009F122A">
        <w:rPr>
          <w:rFonts w:ascii="Times New Roman" w:hAnsi="Times New Roman" w:cs="Times New Roman"/>
          <w:sz w:val="24"/>
          <w:szCs w:val="24"/>
        </w:rPr>
        <w:t xml:space="preserv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2025.</w:t>
      </w:r>
    </w:p>
    <w:p w14:paraId="08AE1226" w14:textId="77777777" w:rsidR="00C62950" w:rsidRPr="009F122A" w:rsidRDefault="00C62950" w:rsidP="00C62950">
      <w:pPr>
        <w:pStyle w:val="ListParagraph"/>
        <w:numPr>
          <w:ilvl w:val="0"/>
          <w:numId w:val="2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lastRenderedPageBreak/>
        <w:t>The initial research on feasibility focused on determining what the needs of the student population in general were, especially as it included first-</w:t>
      </w:r>
      <w:proofErr w:type="gramStart"/>
      <w:r w:rsidRPr="009F122A">
        <w:rPr>
          <w:rFonts w:ascii="Times New Roman" w:hAnsi="Times New Roman" w:cs="Times New Roman"/>
          <w:sz w:val="24"/>
          <w:szCs w:val="24"/>
        </w:rPr>
        <w:t>years</w:t>
      </w:r>
      <w:proofErr w:type="gramEnd"/>
      <w:r w:rsidRPr="009F122A">
        <w:rPr>
          <w:rFonts w:ascii="Times New Roman" w:hAnsi="Times New Roman" w:cs="Times New Roman"/>
          <w:sz w:val="24"/>
          <w:szCs w:val="24"/>
        </w:rPr>
        <w:t xml:space="preserve"> and international students, who</w:t>
      </w:r>
      <w:proofErr w:type="gramStart"/>
      <w:r w:rsidRPr="009F122A">
        <w:rPr>
          <w:rFonts w:ascii="Times New Roman" w:hAnsi="Times New Roman" w:cs="Times New Roman"/>
          <w:sz w:val="24"/>
          <w:szCs w:val="24"/>
        </w:rPr>
        <w:t>, as a whole, sought</w:t>
      </w:r>
      <w:proofErr w:type="gramEnd"/>
      <w:r w:rsidRPr="009F122A">
        <w:rPr>
          <w:rFonts w:ascii="Times New Roman" w:hAnsi="Times New Roman" w:cs="Times New Roman"/>
          <w:sz w:val="24"/>
          <w:szCs w:val="24"/>
        </w:rPr>
        <w:t xml:space="preserve"> meaningful cultural integration</w:t>
      </w:r>
      <w:sdt>
        <w:sdtPr>
          <w:rPr>
            <w:rFonts w:ascii="Times New Roman" w:hAnsi="Times New Roman" w:cs="Times New Roman"/>
            <w:sz w:val="24"/>
            <w:szCs w:val="24"/>
          </w:rPr>
          <w:id w:val="847603034"/>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HEP23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(HEPI, 2023)</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18FAF953" w14:textId="77777777" w:rsidR="00C62950" w:rsidRPr="009F122A" w:rsidRDefault="00C62950" w:rsidP="00C62950">
      <w:pPr>
        <w:pStyle w:val="ListParagraph"/>
        <w:numPr>
          <w:ilvl w:val="0"/>
          <w:numId w:val="2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 During the conceptual phase, there was a goal to develop an experience richer with culture and inclusiveness. Design considerations entailed venue layout (performance zones, stalls, film corners), content curation (music, crafts, poetry) and essential sensory inputs (sound, visuals, decor) to bring warmth and community.</w:t>
      </w:r>
    </w:p>
    <w:p w14:paraId="6F3B9D7F" w14:textId="77777777" w:rsidR="00C62950" w:rsidRPr="009F122A" w:rsidRDefault="00C62950" w:rsidP="00C62950">
      <w:pPr>
        <w:pStyle w:val="ListParagraph"/>
        <w:numPr>
          <w:ilvl w:val="0"/>
          <w:numId w:val="2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Strategic planning included logistics (venue booking, volunteer staffing, AV needs), marketing (social media, posters and Welcome Week integration), budgeting and </w:t>
      </w:r>
      <w:proofErr w:type="gramStart"/>
      <w:r w:rsidRPr="009F122A">
        <w:rPr>
          <w:rFonts w:ascii="Times New Roman" w:hAnsi="Times New Roman" w:cs="Times New Roman"/>
          <w:sz w:val="24"/>
          <w:szCs w:val="24"/>
        </w:rPr>
        <w:t>a consultation</w:t>
      </w:r>
      <w:proofErr w:type="gramEnd"/>
      <w:r w:rsidRPr="009F122A">
        <w:rPr>
          <w:rFonts w:ascii="Times New Roman" w:hAnsi="Times New Roman" w:cs="Times New Roman"/>
          <w:sz w:val="24"/>
          <w:szCs w:val="24"/>
        </w:rPr>
        <w:t xml:space="preserve"> with student societies and university services as stakeholders</w:t>
      </w:r>
      <w:sdt>
        <w:sdtPr>
          <w:rPr>
            <w:rFonts w:ascii="Times New Roman" w:hAnsi="Times New Roman" w:cs="Times New Roman"/>
            <w:sz w:val="24"/>
            <w:szCs w:val="24"/>
          </w:rPr>
          <w:id w:val="1328789655"/>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Roc24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(Rochin,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5D1601C1" w14:textId="77777777" w:rsidR="00C62950" w:rsidRPr="009F122A" w:rsidRDefault="00C62950" w:rsidP="00C62950">
      <w:pPr>
        <w:pStyle w:val="ListParagraph"/>
        <w:numPr>
          <w:ilvl w:val="0"/>
          <w:numId w:val="2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Surveys, focus groups, and social media engagement analytics will be used post-event as a feedback tool for evaluating the success of such activities against SMART targets and lessons learned that can be applied to future activities.</w:t>
      </w:r>
    </w:p>
    <w:p w14:paraId="304E2341" w14:textId="77777777" w:rsidR="00C62950" w:rsidRPr="009F122A" w:rsidRDefault="00C62950" w:rsidP="00C62950">
      <w:pPr>
        <w:pStyle w:val="Heading1"/>
        <w:spacing w:line="360" w:lineRule="auto"/>
        <w:rPr>
          <w:rFonts w:cs="Times New Roman"/>
          <w:szCs w:val="24"/>
        </w:rPr>
      </w:pPr>
      <w:bookmarkStart w:id="2" w:name="_Toc200676297"/>
      <w:r w:rsidRPr="009F122A">
        <w:rPr>
          <w:rFonts w:cs="Times New Roman"/>
          <w:szCs w:val="24"/>
        </w:rPr>
        <w:t>Model of an event – Guest Experience &amp; Full Itinerary</w:t>
      </w:r>
      <w:bookmarkEnd w:id="2"/>
    </w:p>
    <w:p w14:paraId="40AB3BCC"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The Wales Welcome Fair provides guests with a richly sensory, active setting rooted in creativity and cultural expression. Located in a high-traffic university atrium or community arts venue, the space will become a vibrant cultural space of Wales and international student diversity and a warm welcome</w:t>
      </w:r>
      <w:sdt>
        <w:sdtPr>
          <w:rPr>
            <w:rFonts w:ascii="Times New Roman" w:hAnsi="Times New Roman" w:cs="Times New Roman"/>
            <w:sz w:val="24"/>
            <w:szCs w:val="24"/>
          </w:rPr>
          <w:id w:val="1435863825"/>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Hag21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(Hagen,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0421CA05"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Full Event Itinerary:</w:t>
      </w:r>
    </w:p>
    <w:p w14:paraId="1F4FCB2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10:00 AM – 10:30 AM:</w:t>
      </w:r>
    </w:p>
    <w:p w14:paraId="53326160" w14:textId="77777777" w:rsidR="00C62950" w:rsidRPr="009F122A" w:rsidRDefault="00C62950" w:rsidP="00C62950">
      <w:pPr>
        <w:pStyle w:val="ListParagraph"/>
        <w:numPr>
          <w:ilvl w:val="0"/>
          <w:numId w:val="26"/>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Guest arrival and registration </w:t>
      </w:r>
      <w:sdt>
        <w:sdtPr>
          <w:rPr>
            <w:rFonts w:ascii="Times New Roman" w:hAnsi="Times New Roman" w:cs="Times New Roman"/>
            <w:sz w:val="24"/>
            <w:szCs w:val="24"/>
          </w:rPr>
          <w:id w:val="-1987006369"/>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Sha212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(Sharifi, 2021)</w:t>
          </w:r>
          <w:r w:rsidRPr="009F122A">
            <w:rPr>
              <w:rFonts w:ascii="Times New Roman" w:hAnsi="Times New Roman" w:cs="Times New Roman"/>
              <w:sz w:val="24"/>
              <w:szCs w:val="24"/>
            </w:rPr>
            <w:fldChar w:fldCharType="end"/>
          </w:r>
        </w:sdtContent>
      </w:sdt>
    </w:p>
    <w:p w14:paraId="4ECE8C85" w14:textId="77777777" w:rsidR="00C62950" w:rsidRPr="009F122A" w:rsidRDefault="00C62950" w:rsidP="00C62950">
      <w:pPr>
        <w:pStyle w:val="ListParagraph"/>
        <w:numPr>
          <w:ilvl w:val="0"/>
          <w:numId w:val="26"/>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Soft background (acoustic Welsh folk + global student playlists) music </w:t>
      </w:r>
    </w:p>
    <w:p w14:paraId="64F1B2B1" w14:textId="77777777" w:rsidR="00C62950" w:rsidRPr="009F122A" w:rsidRDefault="00C62950" w:rsidP="00C62950">
      <w:pPr>
        <w:pStyle w:val="ListParagraph"/>
        <w:numPr>
          <w:ilvl w:val="0"/>
          <w:numId w:val="26"/>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Welcoming drink (Welsh tea; soft refreshments)</w:t>
      </w:r>
    </w:p>
    <w:p w14:paraId="27610B1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10:30 AM – 10:45 AM:</w:t>
      </w:r>
    </w:p>
    <w:p w14:paraId="50F43711" w14:textId="77777777" w:rsidR="00C62950" w:rsidRPr="009F122A" w:rsidRDefault="00C62950" w:rsidP="00C62950">
      <w:pPr>
        <w:pStyle w:val="ListParagraph"/>
        <w:numPr>
          <w:ilvl w:val="0"/>
          <w:numId w:val="2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Opening speech by university representative </w:t>
      </w:r>
    </w:p>
    <w:p w14:paraId="43F177B8" w14:textId="77777777" w:rsidR="00C62950" w:rsidRPr="009F122A" w:rsidRDefault="00C62950" w:rsidP="00C62950">
      <w:pPr>
        <w:pStyle w:val="ListParagraph"/>
        <w:numPr>
          <w:ilvl w:val="0"/>
          <w:numId w:val="2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Introduction to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and the purpose of the event</w:t>
      </w:r>
    </w:p>
    <w:p w14:paraId="218AA0F1"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10:45 AM – 12:30 PM:</w:t>
      </w:r>
    </w:p>
    <w:p w14:paraId="5E4D01E2"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lastRenderedPageBreak/>
        <w:t>Exhibition opens:</w:t>
      </w:r>
    </w:p>
    <w:p w14:paraId="4B4E2E1E" w14:textId="77777777" w:rsidR="00C62950" w:rsidRPr="009F122A" w:rsidRDefault="00C62950" w:rsidP="00C62950">
      <w:pPr>
        <w:pStyle w:val="ListParagraph"/>
        <w:numPr>
          <w:ilvl w:val="0"/>
          <w:numId w:val="2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Stalls operated by students (crafts, digital art)</w:t>
      </w:r>
    </w:p>
    <w:p w14:paraId="114C07C6" w14:textId="77777777" w:rsidR="00C62950" w:rsidRPr="009F122A" w:rsidRDefault="00C62950" w:rsidP="00C62950">
      <w:pPr>
        <w:pStyle w:val="ListParagraph"/>
        <w:numPr>
          <w:ilvl w:val="0"/>
          <w:numId w:val="2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Short film screenings (in a digital corner, repeated) </w:t>
      </w:r>
    </w:p>
    <w:p w14:paraId="2CD2E65C" w14:textId="77777777" w:rsidR="00C62950" w:rsidRPr="009F122A" w:rsidRDefault="00C62950" w:rsidP="00C62950">
      <w:pPr>
        <w:pStyle w:val="ListParagraph"/>
        <w:numPr>
          <w:ilvl w:val="0"/>
          <w:numId w:val="2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Open mic poetry corner </w:t>
      </w:r>
      <w:sdt>
        <w:sdtPr>
          <w:rPr>
            <w:rFonts w:ascii="Times New Roman" w:hAnsi="Times New Roman" w:cs="Times New Roman"/>
            <w:sz w:val="24"/>
            <w:szCs w:val="24"/>
          </w:rPr>
          <w:id w:val="-1518532066"/>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Wic21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(Wickham et al., 2021)</w:t>
          </w:r>
          <w:r w:rsidRPr="009F122A">
            <w:rPr>
              <w:rFonts w:ascii="Times New Roman" w:hAnsi="Times New Roman" w:cs="Times New Roman"/>
              <w:sz w:val="24"/>
              <w:szCs w:val="24"/>
            </w:rPr>
            <w:fldChar w:fldCharType="end"/>
          </w:r>
        </w:sdtContent>
      </w:sdt>
    </w:p>
    <w:p w14:paraId="31DC3070"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12:30 PM – 1:00 PM:</w:t>
      </w:r>
    </w:p>
    <w:p w14:paraId="673B0A6F" w14:textId="77777777" w:rsidR="00C62950" w:rsidRPr="009F122A" w:rsidRDefault="00C62950" w:rsidP="00C62950">
      <w:pPr>
        <w:pStyle w:val="ListParagraph"/>
        <w:numPr>
          <w:ilvl w:val="0"/>
          <w:numId w:val="2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Light lunch and networking </w:t>
      </w:r>
    </w:p>
    <w:p w14:paraId="5F0C24AE" w14:textId="77777777" w:rsidR="00C62950" w:rsidRPr="009F122A" w:rsidRDefault="00C62950" w:rsidP="00C62950">
      <w:pPr>
        <w:pStyle w:val="ListParagraph"/>
        <w:numPr>
          <w:ilvl w:val="0"/>
          <w:numId w:val="2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Bilingual acoustic performance (background Welsh harp)</w:t>
      </w:r>
    </w:p>
    <w:p w14:paraId="6FE817AD"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1:00 PM – 2:00 PM:</w:t>
      </w:r>
    </w:p>
    <w:p w14:paraId="35E13A57"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Main stage performances:</w:t>
      </w:r>
    </w:p>
    <w:p w14:paraId="1C87E410" w14:textId="77777777" w:rsidR="00C62950" w:rsidRPr="009F122A" w:rsidRDefault="00C62950" w:rsidP="00C62950">
      <w:pPr>
        <w:pStyle w:val="ListParagraph"/>
        <w:numPr>
          <w:ilvl w:val="0"/>
          <w:numId w:val="30"/>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Student musicians and cultural dancers</w:t>
      </w:r>
    </w:p>
    <w:p w14:paraId="24450617" w14:textId="77777777" w:rsidR="00C62950" w:rsidRPr="009F122A" w:rsidRDefault="00C62950" w:rsidP="00C62950">
      <w:pPr>
        <w:pStyle w:val="ListParagraph"/>
        <w:numPr>
          <w:ilvl w:val="0"/>
          <w:numId w:val="30"/>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Collaborative art performance </w:t>
      </w:r>
    </w:p>
    <w:p w14:paraId="070776C0"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2:00 PM – 3:00 PM:</w:t>
      </w:r>
    </w:p>
    <w:p w14:paraId="446367C9" w14:textId="77777777" w:rsidR="00C62950" w:rsidRPr="009F122A" w:rsidRDefault="00C62950" w:rsidP="00C62950">
      <w:pPr>
        <w:pStyle w:val="ListParagraph"/>
        <w:numPr>
          <w:ilvl w:val="0"/>
          <w:numId w:val="31"/>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Interactive creative workshops (such as Welsh calligraphy and making badges)</w:t>
      </w:r>
    </w:p>
    <w:p w14:paraId="3491612A" w14:textId="77777777" w:rsidR="00C62950" w:rsidRPr="009F122A" w:rsidRDefault="00C62950" w:rsidP="00C62950">
      <w:pPr>
        <w:pStyle w:val="ListParagraph"/>
        <w:numPr>
          <w:ilvl w:val="0"/>
          <w:numId w:val="31"/>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Community artist Q&amp;A</w:t>
      </w:r>
    </w:p>
    <w:p w14:paraId="48494540"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3:00 PM – 3:30 PM:</w:t>
      </w:r>
    </w:p>
    <w:p w14:paraId="3DF27C8B" w14:textId="77777777" w:rsidR="00C62950" w:rsidRPr="009F122A" w:rsidRDefault="00C62950" w:rsidP="00C62950">
      <w:pPr>
        <w:pStyle w:val="ListParagraph"/>
        <w:numPr>
          <w:ilvl w:val="0"/>
          <w:numId w:val="32"/>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Closing remarks and feedback forms collection. </w:t>
      </w:r>
    </w:p>
    <w:p w14:paraId="1AA0C79A" w14:textId="77777777" w:rsidR="00C62950" w:rsidRPr="009F122A" w:rsidRDefault="00C62950" w:rsidP="00C62950">
      <w:pPr>
        <w:pStyle w:val="ListParagraph"/>
        <w:numPr>
          <w:ilvl w:val="0"/>
          <w:numId w:val="32"/>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Optional group photo and giveaways (Welsh). </w:t>
      </w:r>
    </w:p>
    <w:p w14:paraId="25161006"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Guests will leave having gained a stronger sense of belonging, having experienced local and student cultures, and understanding what practical knowledge there is of how life is lived out in Wales with creativity and inclusivity</w:t>
      </w:r>
      <w:sdt>
        <w:sdtPr>
          <w:rPr>
            <w:rFonts w:ascii="Times New Roman" w:hAnsi="Times New Roman" w:cs="Times New Roman"/>
            <w:sz w:val="24"/>
            <w:szCs w:val="24"/>
          </w:rPr>
          <w:id w:val="233833995"/>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Tuc02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(Tucker et al., 2002)</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5A718F0B" w14:textId="77777777" w:rsidR="00C62950" w:rsidRPr="009F122A" w:rsidRDefault="00C62950" w:rsidP="00C62950">
      <w:pPr>
        <w:pStyle w:val="Heading1"/>
        <w:spacing w:line="360" w:lineRule="auto"/>
        <w:rPr>
          <w:rFonts w:cs="Times New Roman"/>
          <w:szCs w:val="24"/>
        </w:rPr>
      </w:pPr>
      <w:bookmarkStart w:id="3" w:name="_Toc200676298"/>
      <w:r w:rsidRPr="009F122A">
        <w:rPr>
          <w:rFonts w:cs="Times New Roman"/>
          <w:szCs w:val="24"/>
        </w:rPr>
        <w:t>Aim and Objectives of the Event:</w:t>
      </w:r>
      <w:bookmarkEnd w:id="3"/>
    </w:p>
    <w:p w14:paraId="5189832B" w14:textId="77777777" w:rsidR="00C62950" w:rsidRPr="009F122A" w:rsidRDefault="00C62950" w:rsidP="00C62950">
      <w:pPr>
        <w:spacing w:line="360" w:lineRule="auto"/>
        <w:jc w:val="both"/>
        <w:rPr>
          <w:rFonts w:ascii="Times New Roman" w:hAnsi="Times New Roman" w:cs="Times New Roman"/>
          <w:sz w:val="24"/>
          <w:szCs w:val="24"/>
        </w:rPr>
      </w:pPr>
      <w:bookmarkStart w:id="4" w:name="_Toc200676299"/>
      <w:r w:rsidRPr="009F122A">
        <w:rPr>
          <w:rStyle w:val="Heading2Char"/>
          <w:rFonts w:cs="Times New Roman"/>
          <w:szCs w:val="24"/>
        </w:rPr>
        <w:t>Aim:</w:t>
      </w:r>
      <w:bookmarkEnd w:id="4"/>
      <w:r w:rsidRPr="009F122A">
        <w:rPr>
          <w:rStyle w:val="Heading2Char"/>
          <w:rFonts w:cs="Times New Roman"/>
          <w:szCs w:val="24"/>
        </w:rPr>
        <w:br/>
      </w:r>
      <w:r w:rsidRPr="009F122A">
        <w:rPr>
          <w:rFonts w:ascii="Times New Roman" w:hAnsi="Times New Roman" w:cs="Times New Roman"/>
          <w:sz w:val="24"/>
          <w:szCs w:val="24"/>
        </w:rPr>
        <w:t xml:space="preserve">To develop an inclusive, welcoming, culturally rich event that promotes student integration, </w:t>
      </w:r>
      <w:r w:rsidRPr="009F122A">
        <w:rPr>
          <w:rFonts w:ascii="Times New Roman" w:hAnsi="Times New Roman" w:cs="Times New Roman"/>
          <w:sz w:val="24"/>
          <w:szCs w:val="24"/>
        </w:rPr>
        <w:lastRenderedPageBreak/>
        <w:t xml:space="preserve">celebrates Welsh identity and helps to increase community connection, in line with Visit </w:t>
      </w:r>
      <w:proofErr w:type="spellStart"/>
      <w:r w:rsidRPr="009F122A">
        <w:rPr>
          <w:rFonts w:ascii="Times New Roman" w:hAnsi="Times New Roman" w:cs="Times New Roman"/>
          <w:sz w:val="24"/>
          <w:szCs w:val="24"/>
        </w:rPr>
        <w:t>Wales’</w:t>
      </w:r>
      <w:proofErr w:type="spellEnd"/>
      <w:r w:rsidRPr="009F122A">
        <w:rPr>
          <w:rFonts w:ascii="Times New Roman" w:hAnsi="Times New Roman" w:cs="Times New Roman"/>
          <w:sz w:val="24"/>
          <w:szCs w:val="24"/>
        </w:rPr>
        <w:t xml:space="preserv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2025. </w:t>
      </w:r>
    </w:p>
    <w:p w14:paraId="2379F139" w14:textId="77777777" w:rsidR="00C62950" w:rsidRPr="009F122A" w:rsidRDefault="00C62950" w:rsidP="00C62950">
      <w:pPr>
        <w:pStyle w:val="Heading2"/>
        <w:spacing w:line="360" w:lineRule="auto"/>
        <w:jc w:val="both"/>
        <w:rPr>
          <w:rFonts w:cs="Times New Roman"/>
          <w:szCs w:val="24"/>
        </w:rPr>
      </w:pPr>
      <w:bookmarkStart w:id="5" w:name="_Toc200676300"/>
      <w:r w:rsidRPr="009F122A">
        <w:rPr>
          <w:rFonts w:cs="Times New Roman"/>
          <w:szCs w:val="24"/>
        </w:rPr>
        <w:t>SMART Objectives:</w:t>
      </w:r>
      <w:bookmarkEnd w:id="5"/>
    </w:p>
    <w:p w14:paraId="1827E111"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Specific:</w:t>
      </w:r>
    </w:p>
    <w:p w14:paraId="4CF1F5FC"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Event management and delivery of a one-day creative and cultural showcase event to form part of the University’s Welcome Week. The event is going to incorporate a large series of student-led artistic and cultural </w:t>
      </w:r>
      <w:proofErr w:type="spellStart"/>
      <w:r w:rsidRPr="009F122A">
        <w:rPr>
          <w:rFonts w:ascii="Times New Roman" w:hAnsi="Times New Roman" w:cs="Times New Roman"/>
          <w:sz w:val="24"/>
          <w:szCs w:val="24"/>
        </w:rPr>
        <w:t>endeavours</w:t>
      </w:r>
      <w:proofErr w:type="spellEnd"/>
      <w:r w:rsidRPr="009F122A">
        <w:rPr>
          <w:rFonts w:ascii="Times New Roman" w:hAnsi="Times New Roman" w:cs="Times New Roman"/>
          <w:sz w:val="24"/>
          <w:szCs w:val="24"/>
        </w:rPr>
        <w:t>, including the visual arts, live music, spoken word poetry, traditional crafts and digital media</w:t>
      </w:r>
      <w:sdt>
        <w:sdtPr>
          <w:rPr>
            <w:rFonts w:ascii="Times New Roman" w:hAnsi="Times New Roman" w:cs="Times New Roman"/>
            <w:sz w:val="24"/>
            <w:szCs w:val="24"/>
          </w:rPr>
          <w:id w:val="55132022"/>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Rog16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(Rogers, 2016)</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79768FD9"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Measurable:</w:t>
      </w:r>
    </w:p>
    <w:p w14:paraId="547966BA"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The number of participating student exhibitors and performers in various forms of art and culture shall be used to determine success, with at least 15 students to be exhibitors and performers. Furthermore, the event is also going to have at least three: an interactive workshop, a Welsh language taster session, a craft activity of traditional Welsh, and a global cuisine corner workshop, which will help with encouraging hands-on and cross-cultural learning</w:t>
      </w:r>
      <w:sdt>
        <w:sdtPr>
          <w:rPr>
            <w:rFonts w:ascii="Times New Roman" w:hAnsi="Times New Roman" w:cs="Times New Roman"/>
            <w:sz w:val="24"/>
            <w:szCs w:val="24"/>
          </w:rPr>
          <w:id w:val="-1366059823"/>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Par21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(Parncutt et al.,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5066C0D1"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Achievable:</w:t>
      </w:r>
    </w:p>
    <w:p w14:paraId="10FFE433"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The proposed budget (£4,000-£6,000) and the resources of the university support, student societies, and local cultural contributors make the objectives realistic. Surveys (digital and paper ones) will be available among all the attendees to receive feedback on their experience</w:t>
      </w:r>
      <w:sdt>
        <w:sdtPr>
          <w:rPr>
            <w:rFonts w:ascii="Times New Roman" w:hAnsi="Times New Roman" w:cs="Times New Roman"/>
            <w:sz w:val="24"/>
            <w:szCs w:val="24"/>
          </w:rPr>
          <w:id w:val="-1509521658"/>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Roc24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(Rochin,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The goal is to obtain responses from at least 75% of the attendees and an 80% satisfaction rate, which means that the event has the character of creating a spirit of welcome and community.</w:t>
      </w:r>
    </w:p>
    <w:p w14:paraId="43E23CF0"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Relevant:</w:t>
      </w:r>
    </w:p>
    <w:p w14:paraId="594896C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These goals fit directly with the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2025 campaign that is designed to feature the hospitality, identity and inclusiveness of Wales</w:t>
      </w:r>
      <w:sdt>
        <w:sdtPr>
          <w:rPr>
            <w:rFonts w:ascii="Times New Roman" w:hAnsi="Times New Roman" w:cs="Times New Roman"/>
            <w:sz w:val="24"/>
            <w:szCs w:val="24"/>
          </w:rPr>
          <w:id w:val="-1001736964"/>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Wal251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(Wales, 2025)</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They also help achieve university outcomes of increasing student engagement, retention, and well-being within inclusive programming.</w:t>
      </w:r>
    </w:p>
    <w:p w14:paraId="50CE51F3"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Time-bound:</w:t>
      </w:r>
    </w:p>
    <w:p w14:paraId="162AAD73"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lastRenderedPageBreak/>
        <w:t>Everything from planning, promotion, implementation, monitoring and evaluation would take place during a defined three-month period running up to the event, with the event itself to be held during the university’s September Welcome Week 2025.</w:t>
      </w:r>
    </w:p>
    <w:p w14:paraId="7E4CC3E7" w14:textId="77777777" w:rsidR="00C62950" w:rsidRPr="009F122A" w:rsidRDefault="00C62950" w:rsidP="00C62950">
      <w:pPr>
        <w:pStyle w:val="Heading1"/>
        <w:spacing w:line="360" w:lineRule="auto"/>
        <w:rPr>
          <w:rFonts w:cs="Times New Roman"/>
          <w:szCs w:val="24"/>
        </w:rPr>
      </w:pPr>
      <w:bookmarkStart w:id="6" w:name="_Toc200676301"/>
      <w:r w:rsidRPr="009F122A">
        <w:rPr>
          <w:rFonts w:cs="Times New Roman"/>
          <w:szCs w:val="24"/>
        </w:rPr>
        <w:t>Operational Skills:</w:t>
      </w:r>
      <w:bookmarkEnd w:id="6"/>
    </w:p>
    <w:p w14:paraId="62047EC9" w14:textId="77777777" w:rsidR="00C62950" w:rsidRPr="009F122A" w:rsidRDefault="00C62950" w:rsidP="00C62950">
      <w:pPr>
        <w:pStyle w:val="ListParagraph"/>
        <w:numPr>
          <w:ilvl w:val="0"/>
          <w:numId w:val="33"/>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Project coordination: Controlling the movement, time usage of the logistics and communication with stakeholders.</w:t>
      </w:r>
    </w:p>
    <w:p w14:paraId="6180C740" w14:textId="77777777" w:rsidR="00C62950" w:rsidRPr="009F122A" w:rsidRDefault="00C62950" w:rsidP="00C62950">
      <w:pPr>
        <w:pStyle w:val="ListParagraph"/>
        <w:numPr>
          <w:ilvl w:val="0"/>
          <w:numId w:val="33"/>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Technical AV skills: Needed for proper configuration, digital listings, and screen coordination</w:t>
      </w:r>
      <w:sdt>
        <w:sdtPr>
          <w:rPr>
            <w:rFonts w:ascii="Times New Roman" w:hAnsi="Times New Roman" w:cs="Times New Roman"/>
            <w:sz w:val="24"/>
            <w:szCs w:val="24"/>
          </w:rPr>
          <w:id w:val="136625896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Kau20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(Kaurav et al., 2020)</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2468C11C" w14:textId="77777777" w:rsidR="00C62950" w:rsidRPr="009F122A" w:rsidRDefault="00C62950" w:rsidP="00C62950">
      <w:pPr>
        <w:pStyle w:val="ListParagraph"/>
        <w:numPr>
          <w:ilvl w:val="0"/>
          <w:numId w:val="33"/>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Risk management: Health and safety compliance</w:t>
      </w:r>
      <w:proofErr w:type="gramStart"/>
      <w:r w:rsidRPr="009F122A">
        <w:rPr>
          <w:rFonts w:ascii="Times New Roman" w:hAnsi="Times New Roman" w:cs="Times New Roman"/>
          <w:sz w:val="24"/>
          <w:szCs w:val="24"/>
        </w:rPr>
        <w:t>, in particular, for</w:t>
      </w:r>
      <w:proofErr w:type="gramEnd"/>
      <w:r w:rsidRPr="009F122A">
        <w:rPr>
          <w:rFonts w:ascii="Times New Roman" w:hAnsi="Times New Roman" w:cs="Times New Roman"/>
          <w:sz w:val="24"/>
          <w:szCs w:val="24"/>
        </w:rPr>
        <w:t xml:space="preserve"> high-traffic indoor sites.</w:t>
      </w:r>
    </w:p>
    <w:p w14:paraId="61C5275C" w14:textId="77777777" w:rsidR="00C62950" w:rsidRPr="009F122A" w:rsidRDefault="00C62950" w:rsidP="00C62950">
      <w:pPr>
        <w:pStyle w:val="Heading2"/>
        <w:spacing w:line="360" w:lineRule="auto"/>
        <w:jc w:val="both"/>
        <w:rPr>
          <w:rFonts w:cs="Times New Roman"/>
          <w:szCs w:val="24"/>
        </w:rPr>
      </w:pPr>
      <w:bookmarkStart w:id="7" w:name="_Toc200676302"/>
      <w:r w:rsidRPr="009F122A">
        <w:rPr>
          <w:rFonts w:cs="Times New Roman"/>
          <w:szCs w:val="24"/>
        </w:rPr>
        <w:t>Planning Skills:</w:t>
      </w:r>
      <w:bookmarkEnd w:id="7"/>
    </w:p>
    <w:p w14:paraId="6383EC9B" w14:textId="77777777" w:rsidR="00C62950" w:rsidRPr="009F122A" w:rsidRDefault="00C62950" w:rsidP="00C62950">
      <w:pPr>
        <w:pStyle w:val="ListParagraph"/>
        <w:numPr>
          <w:ilvl w:val="0"/>
          <w:numId w:val="34"/>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Budgeting and finance: Resource management within a range of £4,000–£6,000; monitoring spend, obtaining funding.</w:t>
      </w:r>
    </w:p>
    <w:p w14:paraId="5718DDA2" w14:textId="77777777" w:rsidR="00C62950" w:rsidRPr="009F122A" w:rsidRDefault="00C62950" w:rsidP="00C62950">
      <w:pPr>
        <w:pStyle w:val="ListParagraph"/>
        <w:numPr>
          <w:ilvl w:val="0"/>
          <w:numId w:val="34"/>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Vendor/partner relations: Engaging with the local artists, societies and departments of the university.</w:t>
      </w:r>
    </w:p>
    <w:p w14:paraId="6FFB7C32" w14:textId="77777777" w:rsidR="00C62950" w:rsidRPr="009F122A" w:rsidRDefault="00C62950" w:rsidP="00C62950">
      <w:pPr>
        <w:pStyle w:val="ListParagraph"/>
        <w:numPr>
          <w:ilvl w:val="0"/>
          <w:numId w:val="34"/>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Scheduling: Planning the time of performances, workshops, and venue usage in a way that keeps the flow.</w:t>
      </w:r>
    </w:p>
    <w:p w14:paraId="1DD87D08" w14:textId="77777777" w:rsidR="00C62950" w:rsidRPr="009F122A" w:rsidRDefault="00C62950" w:rsidP="00C62950">
      <w:pPr>
        <w:pStyle w:val="Heading2"/>
        <w:spacing w:line="360" w:lineRule="auto"/>
        <w:jc w:val="both"/>
        <w:rPr>
          <w:rFonts w:cs="Times New Roman"/>
          <w:szCs w:val="24"/>
        </w:rPr>
      </w:pPr>
      <w:bookmarkStart w:id="8" w:name="_Toc200676303"/>
      <w:r w:rsidRPr="009F122A">
        <w:rPr>
          <w:rFonts w:cs="Times New Roman"/>
          <w:szCs w:val="24"/>
        </w:rPr>
        <w:t>Marketing Skills:</w:t>
      </w:r>
      <w:bookmarkEnd w:id="8"/>
    </w:p>
    <w:p w14:paraId="154160EB" w14:textId="77777777" w:rsidR="00C62950" w:rsidRPr="009F122A" w:rsidRDefault="00C62950" w:rsidP="00C62950">
      <w:pPr>
        <w:pStyle w:val="ListParagraph"/>
        <w:numPr>
          <w:ilvl w:val="0"/>
          <w:numId w:val="3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Digital communication: Developing interesting content for </w:t>
      </w:r>
      <w:proofErr w:type="gramStart"/>
      <w:r w:rsidRPr="009F122A">
        <w:rPr>
          <w:rFonts w:ascii="Times New Roman" w:hAnsi="Times New Roman" w:cs="Times New Roman"/>
          <w:sz w:val="24"/>
          <w:szCs w:val="24"/>
        </w:rPr>
        <w:t>such platforms</w:t>
      </w:r>
      <w:proofErr w:type="gramEnd"/>
      <w:r w:rsidRPr="009F122A">
        <w:rPr>
          <w:rFonts w:ascii="Times New Roman" w:hAnsi="Times New Roman" w:cs="Times New Roman"/>
          <w:sz w:val="24"/>
          <w:szCs w:val="24"/>
        </w:rPr>
        <w:t xml:space="preserve"> as Instagram and TikTok</w:t>
      </w:r>
      <w:sdt>
        <w:sdtPr>
          <w:rPr>
            <w:rFonts w:ascii="Times New Roman" w:hAnsi="Times New Roman" w:cs="Times New Roman"/>
            <w:sz w:val="24"/>
            <w:szCs w:val="24"/>
          </w:rPr>
          <w:id w:val="-1059387229"/>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Bir20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(Birdir et al., 2020)</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082FD604" w14:textId="77777777" w:rsidR="00C62950" w:rsidRPr="009F122A" w:rsidRDefault="00C62950" w:rsidP="00C62950">
      <w:pPr>
        <w:pStyle w:val="ListParagraph"/>
        <w:numPr>
          <w:ilvl w:val="0"/>
          <w:numId w:val="3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Print design: Preparing posters, flyers and signage for the event.</w:t>
      </w:r>
    </w:p>
    <w:p w14:paraId="2E32053C" w14:textId="77777777" w:rsidR="00C62950" w:rsidRPr="009F122A" w:rsidRDefault="00C62950" w:rsidP="00C62950">
      <w:pPr>
        <w:pStyle w:val="ListParagraph"/>
        <w:numPr>
          <w:ilvl w:val="0"/>
          <w:numId w:val="35"/>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Audience engagement: Promotion through union societies and welcome week.</w:t>
      </w:r>
    </w:p>
    <w:p w14:paraId="4FFFA7F6" w14:textId="77777777" w:rsidR="00C62950" w:rsidRPr="009F122A" w:rsidRDefault="00C62950" w:rsidP="00C62950">
      <w:pPr>
        <w:pStyle w:val="Heading1"/>
        <w:spacing w:line="360" w:lineRule="auto"/>
        <w:rPr>
          <w:rFonts w:cs="Times New Roman"/>
          <w:szCs w:val="24"/>
        </w:rPr>
      </w:pPr>
      <w:bookmarkStart w:id="9" w:name="_Toc200676305"/>
      <w:r w:rsidRPr="009F122A">
        <w:rPr>
          <w:rFonts w:cs="Times New Roman"/>
          <w:szCs w:val="24"/>
        </w:rPr>
        <w:t>Application of the EMBOK Framework</w:t>
      </w:r>
      <w:bookmarkEnd w:id="9"/>
    </w:p>
    <w:p w14:paraId="1DDB680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EMBOK Framework comprises four key domains, which, as Silvers et al. (2006) mentioned, are: Administration, Design, Marketing and Operations.  </w:t>
      </w:r>
    </w:p>
    <w:p w14:paraId="053392D8" w14:textId="77777777" w:rsidR="00C62950" w:rsidRPr="009F122A" w:rsidRDefault="00C62950" w:rsidP="00C62950">
      <w:pPr>
        <w:pStyle w:val="Heading2"/>
        <w:spacing w:line="360" w:lineRule="auto"/>
        <w:jc w:val="both"/>
        <w:rPr>
          <w:rFonts w:cs="Times New Roman"/>
          <w:szCs w:val="24"/>
        </w:rPr>
      </w:pPr>
      <w:bookmarkStart w:id="10" w:name="_Toc200676306"/>
      <w:r w:rsidRPr="009F122A">
        <w:rPr>
          <w:rFonts w:cs="Times New Roman"/>
          <w:szCs w:val="24"/>
        </w:rPr>
        <w:lastRenderedPageBreak/>
        <w:t>Domains:</w:t>
      </w:r>
      <w:bookmarkEnd w:id="10"/>
    </w:p>
    <w:p w14:paraId="26950CF6" w14:textId="77777777" w:rsidR="00C62950" w:rsidRPr="009F122A" w:rsidRDefault="00C62950" w:rsidP="00C62950">
      <w:pPr>
        <w:pStyle w:val="ListParagraph"/>
        <w:numPr>
          <w:ilvl w:val="0"/>
          <w:numId w:val="3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In Administration, an event’s budget </w:t>
      </w:r>
      <w:proofErr w:type="gramStart"/>
      <w:r w:rsidRPr="009F122A">
        <w:rPr>
          <w:rFonts w:ascii="Times New Roman" w:hAnsi="Times New Roman" w:cs="Times New Roman"/>
          <w:sz w:val="24"/>
          <w:szCs w:val="24"/>
        </w:rPr>
        <w:t>forecasting</w:t>
      </w:r>
      <w:proofErr w:type="gramEnd"/>
      <w:r w:rsidRPr="009F122A">
        <w:rPr>
          <w:rFonts w:ascii="Times New Roman" w:hAnsi="Times New Roman" w:cs="Times New Roman"/>
          <w:sz w:val="24"/>
          <w:szCs w:val="24"/>
        </w:rPr>
        <w:t xml:space="preserve"> falls to £4,000-£6,000. Other considerations include risk assessments for audiovisual equipment and food safety, as well as volunteer management of 10-15 student helpers and liaising with GDPR for legal compliance alongside university policies</w:t>
      </w:r>
      <w:sdt>
        <w:sdtPr>
          <w:rPr>
            <w:rFonts w:ascii="Times New Roman" w:hAnsi="Times New Roman" w:cs="Times New Roman"/>
            <w:sz w:val="24"/>
            <w:szCs w:val="24"/>
          </w:rPr>
          <w:id w:val="246552683"/>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Ric081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(Richman et al., 2008)</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3F1EFE74" w14:textId="77777777" w:rsidR="00C62950" w:rsidRPr="009F122A" w:rsidRDefault="00C62950" w:rsidP="00C62950">
      <w:pPr>
        <w:pStyle w:val="ListParagraph"/>
        <w:numPr>
          <w:ilvl w:val="0"/>
          <w:numId w:val="3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Design addresses the delivery of culture-rich experiences and inclusivity within the context of the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Spatial considerations for bilingual signage and Welsh cultural elements are mandatory, as well as performance and workshop zones.  </w:t>
      </w:r>
    </w:p>
    <w:p w14:paraId="23146DC0" w14:textId="77777777" w:rsidR="00C62950" w:rsidRPr="009F122A" w:rsidRDefault="00C62950" w:rsidP="00C62950">
      <w:pPr>
        <w:pStyle w:val="ListParagraph"/>
        <w:numPr>
          <w:ilvl w:val="0"/>
          <w:numId w:val="3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Marketing focuses on </w:t>
      </w:r>
      <w:proofErr w:type="gramStart"/>
      <w:r w:rsidRPr="009F122A">
        <w:rPr>
          <w:rFonts w:ascii="Times New Roman" w:hAnsi="Times New Roman" w:cs="Times New Roman"/>
          <w:sz w:val="24"/>
          <w:szCs w:val="24"/>
        </w:rPr>
        <w:t>first-year</w:t>
      </w:r>
      <w:proofErr w:type="gramEnd"/>
      <w:r w:rsidRPr="009F122A">
        <w:rPr>
          <w:rFonts w:ascii="Times New Roman" w:hAnsi="Times New Roman" w:cs="Times New Roman"/>
          <w:sz w:val="24"/>
          <w:szCs w:val="24"/>
        </w:rPr>
        <w:t xml:space="preserve"> and international students, </w:t>
      </w:r>
      <w:proofErr w:type="spellStart"/>
      <w:r w:rsidRPr="009F122A">
        <w:rPr>
          <w:rFonts w:ascii="Times New Roman" w:hAnsi="Times New Roman" w:cs="Times New Roman"/>
          <w:sz w:val="24"/>
          <w:szCs w:val="24"/>
        </w:rPr>
        <w:t>utilising</w:t>
      </w:r>
      <w:proofErr w:type="spellEnd"/>
      <w:r w:rsidRPr="009F122A">
        <w:rPr>
          <w:rFonts w:ascii="Times New Roman" w:hAnsi="Times New Roman" w:cs="Times New Roman"/>
          <w:sz w:val="24"/>
          <w:szCs w:val="24"/>
        </w:rPr>
        <w:t xml:space="preserve"> social media and student union bulletins, along with QR-coded posters. The messages </w:t>
      </w:r>
      <w:proofErr w:type="spellStart"/>
      <w:r w:rsidRPr="009F122A">
        <w:rPr>
          <w:rFonts w:ascii="Times New Roman" w:hAnsi="Times New Roman" w:cs="Times New Roman"/>
          <w:sz w:val="24"/>
          <w:szCs w:val="24"/>
        </w:rPr>
        <w:t>centre</w:t>
      </w:r>
      <w:proofErr w:type="spellEnd"/>
      <w:r w:rsidRPr="009F122A">
        <w:rPr>
          <w:rFonts w:ascii="Times New Roman" w:hAnsi="Times New Roman" w:cs="Times New Roman"/>
          <w:sz w:val="24"/>
          <w:szCs w:val="24"/>
        </w:rPr>
        <w:t xml:space="preserve"> on creativity, belonging, and Welsh welcome culture</w:t>
      </w:r>
      <w:sdt>
        <w:sdtPr>
          <w:rPr>
            <w:rFonts w:ascii="Times New Roman" w:hAnsi="Times New Roman" w:cs="Times New Roman"/>
            <w:sz w:val="24"/>
            <w:szCs w:val="24"/>
          </w:rPr>
          <w:id w:val="119357675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Dam24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(Dame,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61C32EC6" w14:textId="77777777" w:rsidR="00C62950" w:rsidRPr="009F122A" w:rsidRDefault="00C62950" w:rsidP="00C62950">
      <w:pPr>
        <w:pStyle w:val="ListParagraph"/>
        <w:numPr>
          <w:ilvl w:val="0"/>
          <w:numId w:val="3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Selecting a venue such as the student atrium ensures accessibility, along with standard catering and tea, AV equipment setup, overseeing flow, and traffic management, all fall under operations. Effective event communication strengthens delivery.</w:t>
      </w:r>
    </w:p>
    <w:p w14:paraId="17E63B79" w14:textId="77777777" w:rsidR="00C62950" w:rsidRPr="009F122A" w:rsidRDefault="00C62950" w:rsidP="00C62950">
      <w:pPr>
        <w:pStyle w:val="ListParagraph"/>
        <w:numPr>
          <w:ilvl w:val="0"/>
          <w:numId w:val="37"/>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These components culminate towards achieving efficiency in the use of resources while resonating with the target audience for the event</w:t>
      </w:r>
      <w:sdt>
        <w:sdtPr>
          <w:rPr>
            <w:rFonts w:ascii="Times New Roman" w:hAnsi="Times New Roman" w:cs="Times New Roman"/>
            <w:sz w:val="24"/>
            <w:szCs w:val="24"/>
          </w:rPr>
          <w:id w:val="1353070038"/>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Lew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(Course and T.R.A.I.N.I.N.G, 2010)</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768446C1" w14:textId="77777777" w:rsidR="00C62950" w:rsidRPr="009F122A" w:rsidRDefault="00C62950" w:rsidP="00C62950">
      <w:pPr>
        <w:pStyle w:val="Heading2"/>
        <w:spacing w:line="360" w:lineRule="auto"/>
        <w:jc w:val="both"/>
        <w:rPr>
          <w:rFonts w:cs="Times New Roman"/>
          <w:szCs w:val="24"/>
        </w:rPr>
      </w:pPr>
      <w:bookmarkStart w:id="11" w:name="_Toc200676307"/>
      <w:r w:rsidRPr="009F122A">
        <w:rPr>
          <w:rFonts w:cs="Times New Roman"/>
          <w:szCs w:val="24"/>
        </w:rPr>
        <w:t>Core Values:</w:t>
      </w:r>
      <w:bookmarkEnd w:id="11"/>
    </w:p>
    <w:p w14:paraId="4B9B43FD"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Core Values of the EMBOK framework, represented by creativity, strategic thinking, continuous improvement, ethics, and integration, must be perceived as integral processes toward creating a meaningful and inclusive event. Creativity brings life to the Wales Welcome Fair </w:t>
      </w:r>
      <w:sdt>
        <w:sdtPr>
          <w:rPr>
            <w:rFonts w:ascii="Times New Roman" w:hAnsi="Times New Roman" w:cs="Times New Roman"/>
            <w:sz w:val="24"/>
            <w:szCs w:val="24"/>
          </w:rPr>
          <w:id w:val="-142355802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Meg25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(Megan Williams, 2025)</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where students can express themselves through various art forms, such as visual arts, music, poetry, and multimedia. Strategic thinking indicates whether the event truly fits with institutional goals and the Welsh Government's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campaign in terms of cultural identity and community-building. Continuous improvement occurs through feedback and post-event analysis, which can dictate change for future events</w:t>
      </w:r>
      <w:sdt>
        <w:sdtPr>
          <w:rPr>
            <w:rFonts w:ascii="Times New Roman" w:hAnsi="Times New Roman" w:cs="Times New Roman"/>
            <w:sz w:val="24"/>
            <w:szCs w:val="24"/>
          </w:rPr>
          <w:id w:val="-2031018472"/>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Bau16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(Baum, 2016)</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Ethics </w:t>
      </w:r>
      <w:proofErr w:type="gramStart"/>
      <w:r w:rsidRPr="009F122A">
        <w:rPr>
          <w:rFonts w:ascii="Times New Roman" w:hAnsi="Times New Roman" w:cs="Times New Roman"/>
          <w:sz w:val="24"/>
          <w:szCs w:val="24"/>
        </w:rPr>
        <w:t>define</w:t>
      </w:r>
      <w:proofErr w:type="gramEnd"/>
      <w:r w:rsidRPr="009F122A">
        <w:rPr>
          <w:rFonts w:ascii="Times New Roman" w:hAnsi="Times New Roman" w:cs="Times New Roman"/>
          <w:sz w:val="24"/>
          <w:szCs w:val="24"/>
        </w:rPr>
        <w:t xml:space="preserve"> inclusive representation and respectful engagement with varied student backgrounds. Integration aims to lessen the burden of event management through consultation, collaboration, and cooperation between ED&amp;I, departments, student societies, and external partners, regarding logistics, communications, and resource-sharing. </w:t>
      </w:r>
    </w:p>
    <w:p w14:paraId="1E8C0DB7" w14:textId="77777777" w:rsidR="00C62950" w:rsidRPr="009F122A" w:rsidRDefault="00C62950" w:rsidP="00C62950">
      <w:pPr>
        <w:pStyle w:val="Heading2"/>
        <w:spacing w:line="360" w:lineRule="auto"/>
        <w:jc w:val="both"/>
        <w:rPr>
          <w:rFonts w:cs="Times New Roman"/>
          <w:szCs w:val="24"/>
        </w:rPr>
      </w:pPr>
      <w:r w:rsidRPr="009F122A">
        <w:rPr>
          <w:rFonts w:cs="Times New Roman"/>
          <w:szCs w:val="24"/>
        </w:rPr>
        <w:lastRenderedPageBreak/>
        <w:t xml:space="preserve"> </w:t>
      </w:r>
      <w:bookmarkStart w:id="12" w:name="_Toc200676308"/>
      <w:r w:rsidRPr="009F122A">
        <w:rPr>
          <w:rFonts w:cs="Times New Roman"/>
          <w:szCs w:val="24"/>
        </w:rPr>
        <w:t>Phases:</w:t>
      </w:r>
      <w:bookmarkEnd w:id="12"/>
    </w:p>
    <w:p w14:paraId="7DF6DFEC" w14:textId="77777777" w:rsidR="00C62950" w:rsidRPr="009F122A" w:rsidRDefault="00C62950" w:rsidP="00C62950">
      <w:pPr>
        <w:pStyle w:val="ListParagraph"/>
        <w:numPr>
          <w:ilvl w:val="0"/>
          <w:numId w:val="3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During the assessment, the </w:t>
      </w:r>
      <w:proofErr w:type="gramStart"/>
      <w:r w:rsidRPr="009F122A">
        <w:rPr>
          <w:rFonts w:ascii="Times New Roman" w:hAnsi="Times New Roman" w:cs="Times New Roman"/>
          <w:sz w:val="24"/>
          <w:szCs w:val="24"/>
        </w:rPr>
        <w:t>event idea</w:t>
      </w:r>
      <w:proofErr w:type="gramEnd"/>
      <w:r w:rsidRPr="009F122A">
        <w:rPr>
          <w:rFonts w:ascii="Times New Roman" w:hAnsi="Times New Roman" w:cs="Times New Roman"/>
          <w:sz w:val="24"/>
          <w:szCs w:val="24"/>
        </w:rPr>
        <w:t xml:space="preserve"> was generated from the Time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with clear pretensions set to promote integration and artistic expression. </w:t>
      </w:r>
    </w:p>
    <w:p w14:paraId="02F954A7" w14:textId="77777777" w:rsidR="00C62950" w:rsidRPr="009F122A" w:rsidRDefault="00C62950" w:rsidP="00C62950">
      <w:pPr>
        <w:pStyle w:val="ListParagraph"/>
        <w:numPr>
          <w:ilvl w:val="0"/>
          <w:numId w:val="3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Planning involved stakeholder consultations, budget creation, venue booking, levy reclamation, and event scheduling</w:t>
      </w:r>
      <w:sdt>
        <w:sdtPr>
          <w:rPr>
            <w:rFonts w:ascii="Times New Roman" w:hAnsi="Times New Roman" w:cs="Times New Roman"/>
            <w:sz w:val="24"/>
            <w:szCs w:val="24"/>
          </w:rPr>
          <w:id w:val="-113678643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CITATION AGr24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(A Greener Future,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32313E25" w14:textId="77777777" w:rsidR="00C62950" w:rsidRPr="009F122A" w:rsidRDefault="00C62950" w:rsidP="00C62950">
      <w:pPr>
        <w:pStyle w:val="ListParagraph"/>
        <w:numPr>
          <w:ilvl w:val="0"/>
          <w:numId w:val="3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Perpetration entails coordinating logistics, setting up zones, AV </w:t>
      </w:r>
      <w:proofErr w:type="gramStart"/>
      <w:r w:rsidRPr="009F122A">
        <w:rPr>
          <w:rFonts w:ascii="Times New Roman" w:hAnsi="Times New Roman" w:cs="Times New Roman"/>
          <w:sz w:val="24"/>
          <w:szCs w:val="24"/>
        </w:rPr>
        <w:t>readiness,  attesting</w:t>
      </w:r>
      <w:proofErr w:type="gramEnd"/>
      <w:r w:rsidRPr="009F122A">
        <w:rPr>
          <w:rFonts w:ascii="Times New Roman" w:hAnsi="Times New Roman" w:cs="Times New Roman"/>
          <w:sz w:val="24"/>
          <w:szCs w:val="24"/>
        </w:rPr>
        <w:t xml:space="preserve"> players and feeding services. </w:t>
      </w:r>
    </w:p>
    <w:p w14:paraId="2629E31E" w14:textId="77777777" w:rsidR="00C62950" w:rsidRPr="009F122A" w:rsidRDefault="00C62950" w:rsidP="00C62950">
      <w:pPr>
        <w:pStyle w:val="ListParagraph"/>
        <w:numPr>
          <w:ilvl w:val="0"/>
          <w:numId w:val="3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Event phase is the live delivery — managing attendee experience, keeping on schedule, and ensuring health and safety protocols are observed. </w:t>
      </w:r>
    </w:p>
    <w:p w14:paraId="2FFABFEE" w14:textId="77777777" w:rsidR="00C62950" w:rsidRPr="009F122A" w:rsidRDefault="00C62950" w:rsidP="00C62950">
      <w:pPr>
        <w:pStyle w:val="ListParagraph"/>
        <w:numPr>
          <w:ilvl w:val="0"/>
          <w:numId w:val="38"/>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Eventually, the Closure phase includes post-event </w:t>
      </w:r>
      <w:proofErr w:type="gramStart"/>
      <w:r w:rsidRPr="009F122A">
        <w:rPr>
          <w:rFonts w:ascii="Times New Roman" w:hAnsi="Times New Roman" w:cs="Times New Roman"/>
          <w:sz w:val="24"/>
          <w:szCs w:val="24"/>
        </w:rPr>
        <w:t>breakdown,  platoon</w:t>
      </w:r>
      <w:proofErr w:type="gramEnd"/>
      <w:r w:rsidRPr="009F122A">
        <w:rPr>
          <w:rFonts w:ascii="Times New Roman" w:hAnsi="Times New Roman" w:cs="Times New Roman"/>
          <w:sz w:val="24"/>
          <w:szCs w:val="24"/>
        </w:rPr>
        <w:t xml:space="preserve"> debriefs, collecting feedback checks, and establishing assignments learned. </w:t>
      </w:r>
    </w:p>
    <w:p w14:paraId="41A1D29F" w14:textId="77777777" w:rsidR="00C62950" w:rsidRPr="009F122A" w:rsidRDefault="00C62950" w:rsidP="00C62950">
      <w:pPr>
        <w:pStyle w:val="Heading2"/>
        <w:spacing w:line="360" w:lineRule="auto"/>
        <w:jc w:val="both"/>
        <w:rPr>
          <w:rFonts w:cs="Times New Roman"/>
          <w:szCs w:val="24"/>
        </w:rPr>
      </w:pPr>
      <w:bookmarkStart w:id="13" w:name="_Toc200676309"/>
      <w:r w:rsidRPr="009F122A">
        <w:rPr>
          <w:rFonts w:cs="Times New Roman"/>
          <w:szCs w:val="24"/>
        </w:rPr>
        <w:t>Processes:</w:t>
      </w:r>
      <w:bookmarkEnd w:id="13"/>
    </w:p>
    <w:p w14:paraId="7819EA56" w14:textId="77777777" w:rsidR="00C62950" w:rsidRPr="009F122A" w:rsidRDefault="00C62950" w:rsidP="00C62950">
      <w:pPr>
        <w:pStyle w:val="ListParagraph"/>
        <w:numPr>
          <w:ilvl w:val="0"/>
          <w:numId w:val="3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Selection will be related to the proper performers, volunteers, and vendors, who should be aligned with the theme of inclusivity and Welsh culture celebration</w:t>
      </w:r>
      <w:sdt>
        <w:sdtPr>
          <w:rPr>
            <w:rFonts w:ascii="Times New Roman" w:hAnsi="Times New Roman" w:cs="Times New Roman"/>
            <w:sz w:val="24"/>
            <w:szCs w:val="24"/>
          </w:rPr>
          <w:id w:val="1841509757"/>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Bus25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(Business Wales, 2025)</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153FD783" w14:textId="77777777" w:rsidR="00C62950" w:rsidRPr="009F122A" w:rsidRDefault="00C62950" w:rsidP="00C62950">
      <w:pPr>
        <w:pStyle w:val="ListParagraph"/>
        <w:numPr>
          <w:ilvl w:val="0"/>
          <w:numId w:val="3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Monitoring makes sure that every task is on time and on budget </w:t>
      </w:r>
      <w:proofErr w:type="gramStart"/>
      <w:r w:rsidRPr="009F122A">
        <w:rPr>
          <w:rFonts w:ascii="Times New Roman" w:hAnsi="Times New Roman" w:cs="Times New Roman"/>
          <w:sz w:val="24"/>
          <w:szCs w:val="24"/>
        </w:rPr>
        <w:t>through the use of</w:t>
      </w:r>
      <w:proofErr w:type="gramEnd"/>
      <w:r w:rsidRPr="009F122A">
        <w:rPr>
          <w:rFonts w:ascii="Times New Roman" w:hAnsi="Times New Roman" w:cs="Times New Roman"/>
          <w:sz w:val="24"/>
          <w:szCs w:val="24"/>
        </w:rPr>
        <w:t xml:space="preserve"> tools like a checklist and a timeline tracker. </w:t>
      </w:r>
    </w:p>
    <w:p w14:paraId="4D3B7037" w14:textId="77777777" w:rsidR="00C62950" w:rsidRPr="009F122A" w:rsidRDefault="00C62950" w:rsidP="00C62950">
      <w:pPr>
        <w:pStyle w:val="ListParagraph"/>
        <w:numPr>
          <w:ilvl w:val="0"/>
          <w:numId w:val="3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Constant communication is maintained with the stakeholders (including the university departments, student societies and sponsors) to ensure that everyone is on track. This consists of marketing efforts through social media, electronic mail newsletters, and hard copies. </w:t>
      </w:r>
    </w:p>
    <w:p w14:paraId="7C4CCD96" w14:textId="77777777" w:rsidR="00C62950" w:rsidRPr="009F122A" w:rsidRDefault="00C62950" w:rsidP="00C62950">
      <w:pPr>
        <w:pStyle w:val="ListParagraph"/>
        <w:numPr>
          <w:ilvl w:val="0"/>
          <w:numId w:val="39"/>
        </w:num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All plans, contracts, permits and evaluation reports should be documented to be available in future to refer to and make necessary enhancements. </w:t>
      </w:r>
    </w:p>
    <w:p w14:paraId="2977EB01"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noProof/>
          <w:sz w:val="24"/>
          <w:szCs w:val="24"/>
          <w:lang w:val="en-GB" w:eastAsia="en-GB"/>
        </w:rPr>
        <w:lastRenderedPageBreak/>
        <w:drawing>
          <wp:inline distT="0" distB="0" distL="0" distR="0" wp14:anchorId="2793CE87" wp14:editId="6C66E99B">
            <wp:extent cx="3952875" cy="2809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52875" cy="2809875"/>
                    </a:xfrm>
                    <a:prstGeom prst="rect">
                      <a:avLst/>
                    </a:prstGeom>
                  </pic:spPr>
                </pic:pic>
              </a:graphicData>
            </a:graphic>
          </wp:inline>
        </w:drawing>
      </w:r>
    </w:p>
    <w:p w14:paraId="787F5469" w14:textId="77777777" w:rsidR="00C62950" w:rsidRPr="009F122A" w:rsidRDefault="00C62950" w:rsidP="00C62950">
      <w:pPr>
        <w:spacing w:line="360" w:lineRule="auto"/>
        <w:jc w:val="both"/>
        <w:rPr>
          <w:rFonts w:ascii="Times New Roman" w:hAnsi="Times New Roman" w:cs="Times New Roman"/>
          <w:sz w:val="24"/>
          <w:szCs w:val="24"/>
        </w:rPr>
      </w:pPr>
    </w:p>
    <w:p w14:paraId="47D6322F" w14:textId="77777777" w:rsidR="00C62950" w:rsidRPr="009F122A" w:rsidRDefault="00C62950" w:rsidP="00C62950">
      <w:pPr>
        <w:pStyle w:val="Heading1"/>
        <w:spacing w:line="360" w:lineRule="auto"/>
        <w:rPr>
          <w:rFonts w:cs="Times New Roman"/>
          <w:szCs w:val="24"/>
        </w:rPr>
      </w:pPr>
      <w:bookmarkStart w:id="14" w:name="_Toc200676310"/>
      <w:r w:rsidRPr="009F122A">
        <w:rPr>
          <w:rFonts w:cs="Times New Roman"/>
          <w:szCs w:val="24"/>
        </w:rPr>
        <w:t>Event Budget – Income, expenditure and analysis</w:t>
      </w:r>
      <w:bookmarkEnd w:id="14"/>
    </w:p>
    <w:p w14:paraId="7F502098"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Wales Welcome Fair is planned with a 3-month projected budget between £4,000 and £6,000, and is aimed </w:t>
      </w:r>
      <w:proofErr w:type="gramStart"/>
      <w:r w:rsidRPr="009F122A">
        <w:rPr>
          <w:rFonts w:ascii="Times New Roman" w:hAnsi="Times New Roman" w:cs="Times New Roman"/>
          <w:sz w:val="24"/>
          <w:szCs w:val="24"/>
        </w:rPr>
        <w:t>to be</w:t>
      </w:r>
      <w:proofErr w:type="gramEnd"/>
      <w:r w:rsidRPr="009F122A">
        <w:rPr>
          <w:rFonts w:ascii="Times New Roman" w:hAnsi="Times New Roman" w:cs="Times New Roman"/>
          <w:sz w:val="24"/>
          <w:szCs w:val="24"/>
        </w:rPr>
        <w:t xml:space="preserve"> a low-cost, high-impact cultural event</w:t>
      </w:r>
      <w:sdt>
        <w:sdtPr>
          <w:rPr>
            <w:rFonts w:ascii="Times New Roman" w:hAnsi="Times New Roman" w:cs="Times New Roman"/>
            <w:sz w:val="24"/>
            <w:szCs w:val="24"/>
          </w:rPr>
          <w:id w:val="178954651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Par21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(Parncutt et al.,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w:t>
      </w:r>
    </w:p>
    <w:p w14:paraId="3FFF5A29" w14:textId="77777777" w:rsidR="00C62950" w:rsidRPr="009F122A" w:rsidRDefault="00C62950" w:rsidP="00C62950">
      <w:pPr>
        <w:pStyle w:val="Heading2"/>
        <w:spacing w:line="360" w:lineRule="auto"/>
        <w:jc w:val="both"/>
        <w:rPr>
          <w:rFonts w:cs="Times New Roman"/>
          <w:szCs w:val="24"/>
        </w:rPr>
      </w:pPr>
      <w:bookmarkStart w:id="15" w:name="_Toc200676311"/>
      <w:r w:rsidRPr="009F122A">
        <w:rPr>
          <w:rFonts w:cs="Times New Roman"/>
          <w:szCs w:val="24"/>
        </w:rPr>
        <w:t>Income Sources:</w:t>
      </w:r>
      <w:bookmarkEnd w:id="1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60"/>
        <w:gridCol w:w="1255"/>
      </w:tblGrid>
      <w:tr w:rsidR="00C62950" w:rsidRPr="009F122A" w14:paraId="01C4009B" w14:textId="77777777" w:rsidTr="00AA43F3">
        <w:trPr>
          <w:tblHeader/>
          <w:tblCellSpacing w:w="15" w:type="dxa"/>
        </w:trPr>
        <w:tc>
          <w:tcPr>
            <w:tcW w:w="0" w:type="auto"/>
            <w:vAlign w:val="center"/>
            <w:hideMark/>
          </w:tcPr>
          <w:p w14:paraId="4232A2F2" w14:textId="77777777" w:rsidR="00C62950" w:rsidRPr="009F122A" w:rsidRDefault="00C62950" w:rsidP="00AA43F3">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Source</w:t>
            </w:r>
          </w:p>
        </w:tc>
        <w:tc>
          <w:tcPr>
            <w:tcW w:w="0" w:type="auto"/>
            <w:vAlign w:val="center"/>
            <w:hideMark/>
          </w:tcPr>
          <w:p w14:paraId="2BA205C4" w14:textId="77777777" w:rsidR="00C62950" w:rsidRPr="009F122A" w:rsidRDefault="00C62950" w:rsidP="00AA43F3">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Amount (£)</w:t>
            </w:r>
          </w:p>
        </w:tc>
      </w:tr>
      <w:tr w:rsidR="00C62950" w:rsidRPr="009F122A" w14:paraId="325BA345" w14:textId="77777777" w:rsidTr="00AA43F3">
        <w:trPr>
          <w:tblCellSpacing w:w="15" w:type="dxa"/>
        </w:trPr>
        <w:tc>
          <w:tcPr>
            <w:tcW w:w="0" w:type="auto"/>
            <w:vAlign w:val="center"/>
            <w:hideMark/>
          </w:tcPr>
          <w:p w14:paraId="5757E9F6"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University Welcome Week Fund</w:t>
            </w:r>
          </w:p>
        </w:tc>
        <w:tc>
          <w:tcPr>
            <w:tcW w:w="0" w:type="auto"/>
            <w:vAlign w:val="center"/>
            <w:hideMark/>
          </w:tcPr>
          <w:p w14:paraId="62B7704A"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2,000</w:t>
            </w:r>
          </w:p>
        </w:tc>
      </w:tr>
      <w:tr w:rsidR="00C62950" w:rsidRPr="009F122A" w14:paraId="7C258E1B" w14:textId="77777777" w:rsidTr="00AA43F3">
        <w:trPr>
          <w:tblCellSpacing w:w="15" w:type="dxa"/>
        </w:trPr>
        <w:tc>
          <w:tcPr>
            <w:tcW w:w="0" w:type="auto"/>
            <w:vAlign w:val="center"/>
            <w:hideMark/>
          </w:tcPr>
          <w:p w14:paraId="0093667C"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Local Cultural Grant (Arts Council of Wales or local authority)</w:t>
            </w:r>
          </w:p>
        </w:tc>
        <w:tc>
          <w:tcPr>
            <w:tcW w:w="0" w:type="auto"/>
            <w:vAlign w:val="center"/>
            <w:hideMark/>
          </w:tcPr>
          <w:p w14:paraId="31CF6369"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1,500</w:t>
            </w:r>
          </w:p>
        </w:tc>
      </w:tr>
      <w:tr w:rsidR="00C62950" w:rsidRPr="009F122A" w14:paraId="6D775D95" w14:textId="77777777" w:rsidTr="00AA43F3">
        <w:trPr>
          <w:tblCellSpacing w:w="15" w:type="dxa"/>
        </w:trPr>
        <w:tc>
          <w:tcPr>
            <w:tcW w:w="0" w:type="auto"/>
            <w:vAlign w:val="center"/>
            <w:hideMark/>
          </w:tcPr>
          <w:p w14:paraId="47C99AC8"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Sponsorship (Local businesses / cultural </w:t>
            </w:r>
            <w:proofErr w:type="spellStart"/>
            <w:r w:rsidRPr="009F122A">
              <w:rPr>
                <w:rFonts w:ascii="Times New Roman" w:hAnsi="Times New Roman" w:cs="Times New Roman"/>
                <w:sz w:val="24"/>
                <w:szCs w:val="24"/>
              </w:rPr>
              <w:t>organisations</w:t>
            </w:r>
            <w:proofErr w:type="spellEnd"/>
            <w:r w:rsidRPr="009F122A">
              <w:rPr>
                <w:rFonts w:ascii="Times New Roman" w:hAnsi="Times New Roman" w:cs="Times New Roman"/>
                <w:sz w:val="24"/>
                <w:szCs w:val="24"/>
              </w:rPr>
              <w:t>)</w:t>
            </w:r>
          </w:p>
        </w:tc>
        <w:tc>
          <w:tcPr>
            <w:tcW w:w="0" w:type="auto"/>
            <w:vAlign w:val="center"/>
            <w:hideMark/>
          </w:tcPr>
          <w:p w14:paraId="1C43BB5B"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1,000</w:t>
            </w:r>
          </w:p>
        </w:tc>
      </w:tr>
      <w:tr w:rsidR="00C62950" w:rsidRPr="009F122A" w14:paraId="0673103D" w14:textId="77777777" w:rsidTr="00AA43F3">
        <w:trPr>
          <w:tblCellSpacing w:w="15" w:type="dxa"/>
        </w:trPr>
        <w:tc>
          <w:tcPr>
            <w:tcW w:w="0" w:type="auto"/>
            <w:vAlign w:val="center"/>
            <w:hideMark/>
          </w:tcPr>
          <w:p w14:paraId="174E20EE"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In-kind contributions (venue, equipment, staff time)</w:t>
            </w:r>
          </w:p>
        </w:tc>
        <w:tc>
          <w:tcPr>
            <w:tcW w:w="0" w:type="auto"/>
            <w:vAlign w:val="center"/>
            <w:hideMark/>
          </w:tcPr>
          <w:p w14:paraId="2B52116B"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1,500</w:t>
            </w:r>
          </w:p>
        </w:tc>
      </w:tr>
      <w:tr w:rsidR="00C62950" w:rsidRPr="009F122A" w14:paraId="6CCAEB92" w14:textId="77777777" w:rsidTr="00AA43F3">
        <w:trPr>
          <w:tblCellSpacing w:w="15" w:type="dxa"/>
        </w:trPr>
        <w:tc>
          <w:tcPr>
            <w:tcW w:w="0" w:type="auto"/>
            <w:vAlign w:val="center"/>
            <w:hideMark/>
          </w:tcPr>
          <w:p w14:paraId="0742A9E3"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Total Estimated Income</w:t>
            </w:r>
          </w:p>
        </w:tc>
        <w:tc>
          <w:tcPr>
            <w:tcW w:w="0" w:type="auto"/>
            <w:vAlign w:val="center"/>
            <w:hideMark/>
          </w:tcPr>
          <w:p w14:paraId="237C2602"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£6,000</w:t>
            </w:r>
          </w:p>
        </w:tc>
      </w:tr>
    </w:tbl>
    <w:p w14:paraId="3FBC3FDE"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noProof/>
          <w:sz w:val="24"/>
          <w:szCs w:val="24"/>
          <w:lang w:val="en-GB" w:eastAsia="en-GB"/>
        </w:rPr>
        <w:lastRenderedPageBreak/>
        <w:drawing>
          <wp:inline distT="0" distB="0" distL="0" distR="0" wp14:anchorId="431CD3F9" wp14:editId="43FCCA4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EAFCFE" w14:textId="77777777" w:rsidR="00C62950" w:rsidRPr="009F122A" w:rsidRDefault="00C62950" w:rsidP="00C62950">
      <w:pPr>
        <w:pStyle w:val="Heading2"/>
        <w:spacing w:line="360" w:lineRule="auto"/>
        <w:jc w:val="both"/>
        <w:rPr>
          <w:rFonts w:cs="Times New Roman"/>
          <w:szCs w:val="24"/>
        </w:rPr>
      </w:pPr>
      <w:bookmarkStart w:id="16" w:name="_Toc200676312"/>
      <w:r w:rsidRPr="009F122A">
        <w:rPr>
          <w:rFonts w:cs="Times New Roman"/>
          <w:szCs w:val="24"/>
        </w:rPr>
        <w:t>Expenditure Breakdown:</w:t>
      </w:r>
      <w:bookmarkEnd w:id="1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8"/>
        <w:gridCol w:w="30"/>
        <w:gridCol w:w="867"/>
        <w:gridCol w:w="45"/>
      </w:tblGrid>
      <w:tr w:rsidR="00C62950" w:rsidRPr="009F122A" w14:paraId="43121EE0" w14:textId="77777777" w:rsidTr="00AA43F3">
        <w:trPr>
          <w:gridAfter w:val="1"/>
          <w:tblHeader/>
          <w:tblCellSpacing w:w="15" w:type="dxa"/>
        </w:trPr>
        <w:tc>
          <w:tcPr>
            <w:tcW w:w="0" w:type="auto"/>
            <w:gridSpan w:val="2"/>
            <w:vAlign w:val="center"/>
            <w:hideMark/>
          </w:tcPr>
          <w:p w14:paraId="58F871D7" w14:textId="77777777" w:rsidR="00C62950" w:rsidRPr="009F122A" w:rsidRDefault="00C62950" w:rsidP="00AA43F3">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Item</w:t>
            </w:r>
          </w:p>
        </w:tc>
        <w:tc>
          <w:tcPr>
            <w:tcW w:w="0" w:type="auto"/>
            <w:vAlign w:val="center"/>
            <w:hideMark/>
          </w:tcPr>
          <w:p w14:paraId="4E342F94" w14:textId="77777777" w:rsidR="00C62950" w:rsidRPr="009F122A" w:rsidRDefault="00C62950" w:rsidP="00AA43F3">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Cost (£)</w:t>
            </w:r>
          </w:p>
        </w:tc>
      </w:tr>
      <w:tr w:rsidR="00C62950" w:rsidRPr="009F122A" w14:paraId="380FB430" w14:textId="77777777" w:rsidTr="00AA43F3">
        <w:trPr>
          <w:tblCellSpacing w:w="15" w:type="dxa"/>
        </w:trPr>
        <w:tc>
          <w:tcPr>
            <w:tcW w:w="0" w:type="auto"/>
            <w:vAlign w:val="center"/>
            <w:hideMark/>
          </w:tcPr>
          <w:p w14:paraId="2937569C"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Venue (in-kind or hired)</w:t>
            </w:r>
          </w:p>
        </w:tc>
        <w:tc>
          <w:tcPr>
            <w:tcW w:w="0" w:type="auto"/>
            <w:gridSpan w:val="3"/>
            <w:vAlign w:val="center"/>
            <w:hideMark/>
          </w:tcPr>
          <w:p w14:paraId="4B027357"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£0–£500</w:t>
            </w:r>
          </w:p>
        </w:tc>
      </w:tr>
      <w:tr w:rsidR="00C62950" w:rsidRPr="009F122A" w14:paraId="2C5B5A30" w14:textId="77777777" w:rsidTr="00AA43F3">
        <w:trPr>
          <w:tblCellSpacing w:w="15" w:type="dxa"/>
        </w:trPr>
        <w:tc>
          <w:tcPr>
            <w:tcW w:w="0" w:type="auto"/>
            <w:vAlign w:val="center"/>
            <w:hideMark/>
          </w:tcPr>
          <w:p w14:paraId="4D805846"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Marketing materials</w:t>
            </w:r>
          </w:p>
        </w:tc>
        <w:tc>
          <w:tcPr>
            <w:tcW w:w="0" w:type="auto"/>
            <w:gridSpan w:val="3"/>
            <w:vAlign w:val="center"/>
            <w:hideMark/>
          </w:tcPr>
          <w:p w14:paraId="4FC7502B"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£500</w:t>
            </w:r>
          </w:p>
        </w:tc>
      </w:tr>
      <w:tr w:rsidR="00C62950" w:rsidRPr="009F122A" w14:paraId="459AE175" w14:textId="77777777" w:rsidTr="00AA43F3">
        <w:trPr>
          <w:tblCellSpacing w:w="15" w:type="dxa"/>
        </w:trPr>
        <w:tc>
          <w:tcPr>
            <w:tcW w:w="0" w:type="auto"/>
            <w:vAlign w:val="center"/>
            <w:hideMark/>
          </w:tcPr>
          <w:p w14:paraId="479FB1BD"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AV Equipment &amp; Screens</w:t>
            </w:r>
          </w:p>
        </w:tc>
        <w:tc>
          <w:tcPr>
            <w:tcW w:w="0" w:type="auto"/>
            <w:gridSpan w:val="3"/>
            <w:vAlign w:val="center"/>
            <w:hideMark/>
          </w:tcPr>
          <w:p w14:paraId="54727261"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£500</w:t>
            </w:r>
          </w:p>
        </w:tc>
      </w:tr>
      <w:tr w:rsidR="00C62950" w:rsidRPr="009F122A" w14:paraId="1AFC1425" w14:textId="77777777" w:rsidTr="00AA43F3">
        <w:trPr>
          <w:tblCellSpacing w:w="15" w:type="dxa"/>
        </w:trPr>
        <w:tc>
          <w:tcPr>
            <w:tcW w:w="0" w:type="auto"/>
            <w:vAlign w:val="center"/>
            <w:hideMark/>
          </w:tcPr>
          <w:p w14:paraId="61C826C2"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Catering &amp; Refreshments</w:t>
            </w:r>
          </w:p>
        </w:tc>
        <w:tc>
          <w:tcPr>
            <w:tcW w:w="0" w:type="auto"/>
            <w:gridSpan w:val="3"/>
            <w:vAlign w:val="center"/>
            <w:hideMark/>
          </w:tcPr>
          <w:p w14:paraId="5683D7D6"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£1,000</w:t>
            </w:r>
          </w:p>
        </w:tc>
      </w:tr>
      <w:tr w:rsidR="00C62950" w:rsidRPr="009F122A" w14:paraId="00017937" w14:textId="77777777" w:rsidTr="00AA43F3">
        <w:trPr>
          <w:tblCellSpacing w:w="15" w:type="dxa"/>
        </w:trPr>
        <w:tc>
          <w:tcPr>
            <w:tcW w:w="0" w:type="auto"/>
            <w:vAlign w:val="center"/>
            <w:hideMark/>
          </w:tcPr>
          <w:p w14:paraId="539D9C64"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Facilitators &amp; Performers</w:t>
            </w:r>
          </w:p>
        </w:tc>
        <w:tc>
          <w:tcPr>
            <w:tcW w:w="0" w:type="auto"/>
            <w:gridSpan w:val="3"/>
            <w:vAlign w:val="center"/>
            <w:hideMark/>
          </w:tcPr>
          <w:p w14:paraId="60859712"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£2,000</w:t>
            </w:r>
          </w:p>
        </w:tc>
      </w:tr>
      <w:tr w:rsidR="00C62950" w:rsidRPr="009F122A" w14:paraId="40DDA69D" w14:textId="77777777" w:rsidTr="00AA43F3">
        <w:trPr>
          <w:tblCellSpacing w:w="15" w:type="dxa"/>
        </w:trPr>
        <w:tc>
          <w:tcPr>
            <w:tcW w:w="0" w:type="auto"/>
            <w:vAlign w:val="center"/>
            <w:hideMark/>
          </w:tcPr>
          <w:p w14:paraId="5393E721"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Décor &amp; Print Materials</w:t>
            </w:r>
          </w:p>
        </w:tc>
        <w:tc>
          <w:tcPr>
            <w:tcW w:w="0" w:type="auto"/>
            <w:gridSpan w:val="3"/>
            <w:vAlign w:val="center"/>
            <w:hideMark/>
          </w:tcPr>
          <w:p w14:paraId="6C16C703"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£500</w:t>
            </w:r>
          </w:p>
        </w:tc>
      </w:tr>
      <w:tr w:rsidR="00C62950" w:rsidRPr="009F122A" w14:paraId="0F10F4E3" w14:textId="77777777" w:rsidTr="00AA43F3">
        <w:trPr>
          <w:tblCellSpacing w:w="15" w:type="dxa"/>
        </w:trPr>
        <w:tc>
          <w:tcPr>
            <w:tcW w:w="0" w:type="auto"/>
            <w:vAlign w:val="center"/>
            <w:hideMark/>
          </w:tcPr>
          <w:p w14:paraId="124DBDDD"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Contingency Fund</w:t>
            </w:r>
          </w:p>
        </w:tc>
        <w:tc>
          <w:tcPr>
            <w:tcW w:w="0" w:type="auto"/>
            <w:gridSpan w:val="3"/>
            <w:vAlign w:val="center"/>
            <w:hideMark/>
          </w:tcPr>
          <w:p w14:paraId="4B797F2E"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£500</w:t>
            </w:r>
          </w:p>
        </w:tc>
      </w:tr>
      <w:tr w:rsidR="00C62950" w:rsidRPr="009F122A" w14:paraId="27D79FAB" w14:textId="77777777" w:rsidTr="00AA43F3">
        <w:trPr>
          <w:tblCellSpacing w:w="15" w:type="dxa"/>
        </w:trPr>
        <w:tc>
          <w:tcPr>
            <w:tcW w:w="0" w:type="auto"/>
            <w:vAlign w:val="center"/>
            <w:hideMark/>
          </w:tcPr>
          <w:p w14:paraId="188F4E88"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Total Estimated</w:t>
            </w:r>
          </w:p>
        </w:tc>
        <w:tc>
          <w:tcPr>
            <w:tcW w:w="0" w:type="auto"/>
            <w:gridSpan w:val="3"/>
            <w:vAlign w:val="center"/>
            <w:hideMark/>
          </w:tcPr>
          <w:p w14:paraId="4CC4755F" w14:textId="77777777" w:rsidR="00C62950" w:rsidRPr="009F122A" w:rsidRDefault="00C62950" w:rsidP="00AA43F3">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£5,000</w:t>
            </w:r>
          </w:p>
        </w:tc>
      </w:tr>
    </w:tbl>
    <w:p w14:paraId="16153B04"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noProof/>
          <w:sz w:val="24"/>
          <w:szCs w:val="24"/>
          <w:lang w:val="en-GB" w:eastAsia="en-GB"/>
        </w:rPr>
        <w:lastRenderedPageBreak/>
        <w:drawing>
          <wp:inline distT="0" distB="0" distL="0" distR="0" wp14:anchorId="53E7EE70" wp14:editId="03B31BD4">
            <wp:extent cx="5400675" cy="32004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785BE67" w14:textId="77777777" w:rsidR="00C62950" w:rsidRPr="009F122A" w:rsidRDefault="00C62950" w:rsidP="00C62950">
      <w:pPr>
        <w:spacing w:line="360" w:lineRule="auto"/>
        <w:jc w:val="both"/>
        <w:rPr>
          <w:rFonts w:ascii="Times New Roman" w:hAnsi="Times New Roman" w:cs="Times New Roman"/>
          <w:b/>
          <w:sz w:val="24"/>
          <w:szCs w:val="24"/>
        </w:rPr>
      </w:pPr>
      <w:r w:rsidRPr="009F122A">
        <w:rPr>
          <w:rFonts w:ascii="Times New Roman" w:hAnsi="Times New Roman" w:cs="Times New Roman"/>
          <w:b/>
          <w:sz w:val="24"/>
          <w:szCs w:val="24"/>
        </w:rPr>
        <w:t>Analysis:</w:t>
      </w:r>
    </w:p>
    <w:p w14:paraId="70E646DD"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new event is designed to break even, with more importance given to social impact than to commercial return. University partnerships and student involvement are major elements of cost-saving measures. In-kind contributions (e.g., free venue usage, volunteers’ </w:t>
      </w:r>
      <w:proofErr w:type="spellStart"/>
      <w:r w:rsidRPr="009F122A">
        <w:rPr>
          <w:rFonts w:ascii="Times New Roman" w:hAnsi="Times New Roman" w:cs="Times New Roman"/>
          <w:sz w:val="24"/>
          <w:szCs w:val="24"/>
        </w:rPr>
        <w:t>labour</w:t>
      </w:r>
      <w:proofErr w:type="spellEnd"/>
      <w:r w:rsidRPr="009F122A">
        <w:rPr>
          <w:rFonts w:ascii="Times New Roman" w:hAnsi="Times New Roman" w:cs="Times New Roman"/>
          <w:sz w:val="24"/>
          <w:szCs w:val="24"/>
        </w:rPr>
        <w:t>, student performers) substantially decrease the overheads</w:t>
      </w:r>
      <w:sdt>
        <w:sdtPr>
          <w:rPr>
            <w:rFonts w:ascii="Times New Roman" w:hAnsi="Times New Roman" w:cs="Times New Roman"/>
            <w:sz w:val="24"/>
            <w:szCs w:val="24"/>
          </w:rPr>
          <w:id w:val="-439676416"/>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Yit21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(Yitmen et al.,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4D397722"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Revenue generation is not a central </w:t>
      </w:r>
      <w:proofErr w:type="gramStart"/>
      <w:r w:rsidRPr="009F122A">
        <w:rPr>
          <w:rFonts w:ascii="Times New Roman" w:hAnsi="Times New Roman" w:cs="Times New Roman"/>
          <w:sz w:val="24"/>
          <w:szCs w:val="24"/>
        </w:rPr>
        <w:t>goal, but</w:t>
      </w:r>
      <w:proofErr w:type="gramEnd"/>
      <w:r w:rsidRPr="009F122A">
        <w:rPr>
          <w:rFonts w:ascii="Times New Roman" w:hAnsi="Times New Roman" w:cs="Times New Roman"/>
          <w:sz w:val="24"/>
          <w:szCs w:val="24"/>
        </w:rPr>
        <w:t xml:space="preserve"> winning merchandising stalls or refreshments on a suggested donation basis are likely side income opportunities. The access guide is free for students to be as inclusive as possible while involving students.</w:t>
      </w:r>
    </w:p>
    <w:p w14:paraId="309C2E17"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noProof/>
          <w:sz w:val="24"/>
          <w:szCs w:val="24"/>
          <w:lang w:val="en-GB" w:eastAsia="en-GB"/>
        </w:rPr>
        <w:lastRenderedPageBreak/>
        <w:drawing>
          <wp:inline distT="0" distB="0" distL="0" distR="0" wp14:anchorId="093F3F07" wp14:editId="5A61AD0F">
            <wp:extent cx="5943600" cy="28682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868295"/>
                    </a:xfrm>
                    <a:prstGeom prst="rect">
                      <a:avLst/>
                    </a:prstGeom>
                  </pic:spPr>
                </pic:pic>
              </a:graphicData>
            </a:graphic>
          </wp:inline>
        </w:drawing>
      </w:r>
    </w:p>
    <w:p w14:paraId="72A100EB"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Gantt chart for the </w:t>
      </w:r>
      <w:r w:rsidRPr="009F122A">
        <w:rPr>
          <w:rStyle w:val="Strong"/>
          <w:rFonts w:ascii="Times New Roman" w:hAnsi="Times New Roman" w:cs="Times New Roman"/>
          <w:sz w:val="24"/>
          <w:szCs w:val="24"/>
        </w:rPr>
        <w:t>Wales Welcome Fair 2025</w:t>
      </w:r>
    </w:p>
    <w:p w14:paraId="25AD2C09" w14:textId="77777777" w:rsidR="00C62950" w:rsidRPr="009F122A" w:rsidRDefault="00C62950" w:rsidP="00C62950">
      <w:pPr>
        <w:spacing w:line="360" w:lineRule="auto"/>
        <w:jc w:val="both"/>
        <w:rPr>
          <w:rFonts w:ascii="Times New Roman" w:hAnsi="Times New Roman" w:cs="Times New Roman"/>
          <w:sz w:val="24"/>
          <w:szCs w:val="24"/>
        </w:rPr>
      </w:pPr>
      <w:bookmarkStart w:id="17" w:name="_Toc200676313"/>
      <w:r w:rsidRPr="009F122A">
        <w:rPr>
          <w:rFonts w:ascii="Times New Roman" w:hAnsi="Times New Roman" w:cs="Times New Roman"/>
          <w:sz w:val="24"/>
          <w:szCs w:val="24"/>
        </w:rPr>
        <w:t xml:space="preserve"> It describes all the major planning stages, including preliminary research and post-event analysis, to provide clear milestones and hassle-free delivery. </w:t>
      </w:r>
    </w:p>
    <w:p w14:paraId="7F7F2810" w14:textId="77777777" w:rsidR="00C62950" w:rsidRPr="009F122A" w:rsidRDefault="00C62950" w:rsidP="00C62950">
      <w:pPr>
        <w:pStyle w:val="Heading1"/>
        <w:spacing w:line="360" w:lineRule="auto"/>
        <w:rPr>
          <w:rFonts w:cs="Times New Roman"/>
          <w:szCs w:val="24"/>
        </w:rPr>
      </w:pPr>
      <w:r w:rsidRPr="009F122A">
        <w:rPr>
          <w:rFonts w:cs="Times New Roman"/>
          <w:szCs w:val="24"/>
        </w:rPr>
        <w:t>Trends, Issues &amp; Impacts in the Industry:</w:t>
      </w:r>
      <w:bookmarkEnd w:id="17"/>
    </w:p>
    <w:p w14:paraId="4C30E300"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industry of global events and gatherings is rapidly transforming </w:t>
      </w:r>
      <w:proofErr w:type="gramStart"/>
      <w:r w:rsidRPr="009F122A">
        <w:rPr>
          <w:rFonts w:ascii="Times New Roman" w:hAnsi="Times New Roman" w:cs="Times New Roman"/>
          <w:sz w:val="24"/>
          <w:szCs w:val="24"/>
        </w:rPr>
        <w:t>as a result of</w:t>
      </w:r>
      <w:proofErr w:type="gramEnd"/>
      <w:r w:rsidRPr="009F122A">
        <w:rPr>
          <w:rFonts w:ascii="Times New Roman" w:hAnsi="Times New Roman" w:cs="Times New Roman"/>
          <w:sz w:val="24"/>
          <w:szCs w:val="24"/>
        </w:rPr>
        <w:t xml:space="preserve"> changes in technology, social expectations, sustainability, and inclusion</w:t>
      </w:r>
      <w:sdt>
        <w:sdtPr>
          <w:rPr>
            <w:rFonts w:ascii="Times New Roman" w:hAnsi="Times New Roman" w:cs="Times New Roman"/>
            <w:sz w:val="24"/>
            <w:szCs w:val="24"/>
          </w:rPr>
          <w:id w:val="1485200181"/>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Bat22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(Battisti and Baiani, 2022)</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The Wales Welcome Fair is greatly affected by a number of these main trends:</w:t>
      </w:r>
    </w:p>
    <w:p w14:paraId="0A815424" w14:textId="77777777" w:rsidR="00C62950" w:rsidRPr="009F122A" w:rsidRDefault="00C62950" w:rsidP="00C62950">
      <w:pPr>
        <w:pStyle w:val="Heading2"/>
        <w:spacing w:line="360" w:lineRule="auto"/>
        <w:jc w:val="both"/>
        <w:rPr>
          <w:rFonts w:cs="Times New Roman"/>
          <w:szCs w:val="24"/>
        </w:rPr>
      </w:pPr>
      <w:bookmarkStart w:id="18" w:name="_Toc200676314"/>
      <w:r w:rsidRPr="009F122A">
        <w:rPr>
          <w:rFonts w:cs="Times New Roman"/>
          <w:szCs w:val="24"/>
        </w:rPr>
        <w:t>Inclusivity and Diversity, Equity, Inclusion:</w:t>
      </w:r>
      <w:bookmarkEnd w:id="18"/>
    </w:p>
    <w:p w14:paraId="1E859417"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Events with a diverse voice and lived experiences are in higher demand. A good number, over 70%, of the Gen Z attendees, according to Eventbrite (2023), will demand that active promotion of inclusivity be a requirement</w:t>
      </w:r>
      <w:sdt>
        <w:sdtPr>
          <w:rPr>
            <w:rFonts w:ascii="Times New Roman" w:hAnsi="Times New Roman" w:cs="Times New Roman"/>
            <w:sz w:val="24"/>
            <w:szCs w:val="24"/>
          </w:rPr>
          <w:id w:val="-133198089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CITATION Eve23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(Eventbrite, 2023)</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The Fair does so by presenting performances by multicultural students, offering the </w:t>
      </w:r>
      <w:proofErr w:type="gramStart"/>
      <w:r w:rsidRPr="009F122A">
        <w:rPr>
          <w:rFonts w:ascii="Times New Roman" w:hAnsi="Times New Roman" w:cs="Times New Roman"/>
          <w:sz w:val="24"/>
          <w:szCs w:val="24"/>
        </w:rPr>
        <w:t>aforementioned language</w:t>
      </w:r>
      <w:proofErr w:type="gramEnd"/>
      <w:r w:rsidRPr="009F122A">
        <w:rPr>
          <w:rFonts w:ascii="Times New Roman" w:hAnsi="Times New Roman" w:cs="Times New Roman"/>
          <w:sz w:val="24"/>
          <w:szCs w:val="24"/>
        </w:rPr>
        <w:t xml:space="preserve"> options (bilingual signs, etc.), and providing welcoming areas specifically for </w:t>
      </w:r>
      <w:proofErr w:type="gramStart"/>
      <w:r w:rsidRPr="009F122A">
        <w:rPr>
          <w:rFonts w:ascii="Times New Roman" w:hAnsi="Times New Roman" w:cs="Times New Roman"/>
          <w:sz w:val="24"/>
          <w:szCs w:val="24"/>
        </w:rPr>
        <w:t>first-year</w:t>
      </w:r>
      <w:proofErr w:type="gramEnd"/>
      <w:r w:rsidRPr="009F122A">
        <w:rPr>
          <w:rFonts w:ascii="Times New Roman" w:hAnsi="Times New Roman" w:cs="Times New Roman"/>
          <w:sz w:val="24"/>
          <w:szCs w:val="24"/>
        </w:rPr>
        <w:t xml:space="preserve"> and international students.</w:t>
      </w:r>
    </w:p>
    <w:p w14:paraId="058EF3E0" w14:textId="77777777" w:rsidR="00C62950" w:rsidRPr="009F122A" w:rsidRDefault="00C62950" w:rsidP="00C62950">
      <w:pPr>
        <w:pStyle w:val="Heading2"/>
        <w:spacing w:line="360" w:lineRule="auto"/>
        <w:jc w:val="both"/>
        <w:rPr>
          <w:rFonts w:cs="Times New Roman"/>
          <w:szCs w:val="24"/>
        </w:rPr>
      </w:pPr>
      <w:bookmarkStart w:id="19" w:name="_Toc200676315"/>
      <w:r w:rsidRPr="009F122A">
        <w:rPr>
          <w:rFonts w:cs="Times New Roman"/>
          <w:szCs w:val="24"/>
        </w:rPr>
        <w:lastRenderedPageBreak/>
        <w:t>Tech Integration and Hybrid Capability:</w:t>
      </w:r>
      <w:bookmarkEnd w:id="19"/>
    </w:p>
    <w:p w14:paraId="582E90B8"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It will be primarily in-person with digital art displays and short films that will be available to be shared afterwards on university platforms or social media. This light-weight hybrid strategy is compatible with the digital-forward expectations of audiences of students without the need for full virtual infrastructure</w:t>
      </w:r>
      <w:sdt>
        <w:sdtPr>
          <w:rPr>
            <w:rFonts w:ascii="Times New Roman" w:hAnsi="Times New Roman" w:cs="Times New Roman"/>
            <w:sz w:val="24"/>
            <w:szCs w:val="24"/>
          </w:rPr>
          <w:id w:val="93137358"/>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Roc21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(Rocha et al.,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0D72D377" w14:textId="77777777" w:rsidR="00C62950" w:rsidRPr="009F122A" w:rsidRDefault="00C62950" w:rsidP="00C62950">
      <w:pPr>
        <w:pStyle w:val="Heading2"/>
        <w:spacing w:line="360" w:lineRule="auto"/>
        <w:jc w:val="both"/>
        <w:rPr>
          <w:rFonts w:cs="Times New Roman"/>
          <w:szCs w:val="24"/>
        </w:rPr>
      </w:pPr>
      <w:bookmarkStart w:id="20" w:name="_Toc200676316"/>
      <w:r w:rsidRPr="009F122A">
        <w:rPr>
          <w:rFonts w:cs="Times New Roman"/>
          <w:szCs w:val="24"/>
        </w:rPr>
        <w:t>Sustainability:</w:t>
      </w:r>
      <w:bookmarkEnd w:id="20"/>
    </w:p>
    <w:p w14:paraId="09272FEF"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Eco-conscious planning is increasingly non-negotiable. The event will implement ‘’ green practices like paperless marketing (digital QR codes and social media), reusable décor and refreshments that are locally sourced. These reflect the university’s sustainability targets and overall industrial trend toward low-waste events</w:t>
      </w:r>
      <w:sdt>
        <w:sdtPr>
          <w:rPr>
            <w:rFonts w:ascii="Times New Roman" w:hAnsi="Times New Roman" w:cs="Times New Roman"/>
            <w:sz w:val="24"/>
            <w:szCs w:val="24"/>
          </w:rPr>
          <w:id w:val="-1605415295"/>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Cel21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(Celuch, 2021)</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3F66A40A" w14:textId="77777777" w:rsidR="00C62950" w:rsidRPr="009F122A" w:rsidRDefault="00C62950" w:rsidP="00C62950">
      <w:pPr>
        <w:pStyle w:val="Heading1"/>
        <w:spacing w:line="360" w:lineRule="auto"/>
        <w:rPr>
          <w:rFonts w:cs="Times New Roman"/>
          <w:szCs w:val="24"/>
        </w:rPr>
      </w:pPr>
      <w:bookmarkStart w:id="21" w:name="_Toc200676318"/>
      <w:r w:rsidRPr="009F122A">
        <w:rPr>
          <w:rFonts w:cs="Times New Roman"/>
          <w:szCs w:val="24"/>
        </w:rPr>
        <w:t>PESTEL Analysis:</w:t>
      </w:r>
      <w:bookmarkEnd w:id="21"/>
    </w:p>
    <w:p w14:paraId="5FAFE0A8"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Understanding situational and cultural sensitivities is relentless when we plan a culturally inclusive and public event like the Wales Welcome Fair: Student Cultures &amp; Creatives Expo</w:t>
      </w:r>
      <w:sdt>
        <w:sdtPr>
          <w:rPr>
            <w:rFonts w:ascii="Times New Roman" w:hAnsi="Times New Roman" w:cs="Times New Roman"/>
            <w:sz w:val="24"/>
            <w:szCs w:val="24"/>
          </w:rPr>
          <w:id w:val="157053337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Nat24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(Nation Cymru, 2024)</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Using the PESTEL analysis (Political, Economic, Social, Technological, Environmental, Legal), we could determine the wider context that affects the event.</w:t>
      </w:r>
    </w:p>
    <w:p w14:paraId="794A82BE" w14:textId="77777777" w:rsidR="00C62950" w:rsidRPr="009F122A" w:rsidRDefault="00C62950" w:rsidP="00C62950">
      <w:pPr>
        <w:pStyle w:val="Heading2"/>
        <w:spacing w:line="360" w:lineRule="auto"/>
        <w:jc w:val="both"/>
        <w:rPr>
          <w:rFonts w:cs="Times New Roman"/>
          <w:szCs w:val="24"/>
        </w:rPr>
      </w:pPr>
      <w:bookmarkStart w:id="22" w:name="_Toc200676319"/>
      <w:r w:rsidRPr="009F122A">
        <w:rPr>
          <w:rFonts w:cs="Times New Roman"/>
          <w:szCs w:val="24"/>
        </w:rPr>
        <w:t>Political:</w:t>
      </w:r>
      <w:bookmarkEnd w:id="22"/>
    </w:p>
    <w:p w14:paraId="3A869A93" w14:textId="77777777" w:rsidR="00C62950" w:rsidRPr="009F122A" w:rsidRDefault="00C62950" w:rsidP="00C62950">
      <w:pPr>
        <w:spacing w:line="360" w:lineRule="auto"/>
        <w:jc w:val="both"/>
        <w:rPr>
          <w:rFonts w:ascii="Times New Roman" w:hAnsi="Times New Roman" w:cs="Times New Roman"/>
          <w:sz w:val="24"/>
          <w:szCs w:val="24"/>
        </w:rPr>
      </w:pP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xml:space="preserve"> 2025 is an initiative from the government to promote inclusive cultural participation and tourism</w:t>
      </w:r>
      <w:sdt>
        <w:sdtPr>
          <w:rPr>
            <w:rFonts w:ascii="Times New Roman" w:hAnsi="Times New Roman" w:cs="Times New Roman"/>
            <w:sz w:val="24"/>
            <w:szCs w:val="24"/>
          </w:rPr>
          <w:id w:val="-492950014"/>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Gov253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(Wales, 2025)</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In line with this national initiative, institutional support is enhanced, and the door is </w:t>
      </w:r>
      <w:proofErr w:type="gramStart"/>
      <w:r w:rsidRPr="009F122A">
        <w:rPr>
          <w:rFonts w:ascii="Times New Roman" w:hAnsi="Times New Roman" w:cs="Times New Roman"/>
          <w:sz w:val="24"/>
          <w:szCs w:val="24"/>
        </w:rPr>
        <w:t>opened up</w:t>
      </w:r>
      <w:proofErr w:type="gramEnd"/>
      <w:r w:rsidRPr="009F122A">
        <w:rPr>
          <w:rFonts w:ascii="Times New Roman" w:hAnsi="Times New Roman" w:cs="Times New Roman"/>
          <w:sz w:val="24"/>
          <w:szCs w:val="24"/>
        </w:rPr>
        <w:t xml:space="preserve"> for access to funding from local councils or arts bodies. However, changes in policy concerning funding for students, immigration or local authority budgets may affect stakeholder support or resources.</w:t>
      </w:r>
    </w:p>
    <w:p w14:paraId="58E4D470" w14:textId="77777777" w:rsidR="00C62950" w:rsidRPr="009F122A" w:rsidRDefault="00C62950" w:rsidP="00C62950">
      <w:pPr>
        <w:pStyle w:val="Heading2"/>
        <w:spacing w:line="360" w:lineRule="auto"/>
        <w:jc w:val="both"/>
        <w:rPr>
          <w:rFonts w:cs="Times New Roman"/>
          <w:szCs w:val="24"/>
        </w:rPr>
      </w:pPr>
      <w:bookmarkStart w:id="23" w:name="_Toc200676320"/>
      <w:proofErr w:type="gramStart"/>
      <w:r w:rsidRPr="009F122A">
        <w:rPr>
          <w:rFonts w:cs="Times New Roman"/>
          <w:szCs w:val="24"/>
        </w:rPr>
        <w:t>Economic</w:t>
      </w:r>
      <w:proofErr w:type="gramEnd"/>
      <w:r w:rsidRPr="009F122A">
        <w:rPr>
          <w:rFonts w:cs="Times New Roman"/>
          <w:szCs w:val="24"/>
        </w:rPr>
        <w:t>:</w:t>
      </w:r>
      <w:bookmarkEnd w:id="23"/>
    </w:p>
    <w:p w14:paraId="5DB6C120"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The event should also be able to remain cost-effective, given the financial constraints in the education sector and the economic recovery from </w:t>
      </w:r>
      <w:proofErr w:type="gramStart"/>
      <w:r w:rsidRPr="009F122A">
        <w:rPr>
          <w:rFonts w:ascii="Times New Roman" w:hAnsi="Times New Roman" w:cs="Times New Roman"/>
          <w:sz w:val="24"/>
          <w:szCs w:val="24"/>
        </w:rPr>
        <w:t>the global</w:t>
      </w:r>
      <w:proofErr w:type="gramEnd"/>
      <w:r w:rsidRPr="009F122A">
        <w:rPr>
          <w:rFonts w:ascii="Times New Roman" w:hAnsi="Times New Roman" w:cs="Times New Roman"/>
          <w:sz w:val="24"/>
          <w:szCs w:val="24"/>
        </w:rPr>
        <w:t xml:space="preserve"> inflation and cost of living. The economic conditions influence student spending, and therefore, the event needs to be free to attend. </w:t>
      </w:r>
      <w:r w:rsidRPr="009F122A">
        <w:rPr>
          <w:rFonts w:ascii="Times New Roman" w:hAnsi="Times New Roman" w:cs="Times New Roman"/>
          <w:sz w:val="24"/>
          <w:szCs w:val="24"/>
        </w:rPr>
        <w:lastRenderedPageBreak/>
        <w:t>Budgetary constraints expressed in local businesses can also contribute to caution in sponsorship, affecting a funding strategy</w:t>
      </w:r>
      <w:sdt>
        <w:sdtPr>
          <w:rPr>
            <w:rFonts w:ascii="Times New Roman" w:hAnsi="Times New Roman" w:cs="Times New Roman"/>
            <w:sz w:val="24"/>
            <w:szCs w:val="24"/>
          </w:rPr>
          <w:id w:val="314686690"/>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Ger16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(Gereffi and Joonkoo, 2016)</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471BCCCE" w14:textId="77777777" w:rsidR="00C62950" w:rsidRPr="009F122A" w:rsidRDefault="00C62950" w:rsidP="00C62950">
      <w:pPr>
        <w:pStyle w:val="Heading2"/>
        <w:spacing w:line="360" w:lineRule="auto"/>
        <w:jc w:val="both"/>
        <w:rPr>
          <w:rFonts w:cs="Times New Roman"/>
          <w:szCs w:val="24"/>
        </w:rPr>
      </w:pPr>
      <w:bookmarkStart w:id="24" w:name="_Toc200676321"/>
      <w:r w:rsidRPr="009F122A">
        <w:rPr>
          <w:rFonts w:cs="Times New Roman"/>
          <w:szCs w:val="24"/>
        </w:rPr>
        <w:t>Social:</w:t>
      </w:r>
      <w:bookmarkEnd w:id="24"/>
    </w:p>
    <w:p w14:paraId="108CCF0F"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This event responds to growing concerns about the state of students’ mental health, social isolation, and the need to be culturally integrated in </w:t>
      </w:r>
      <w:proofErr w:type="gramStart"/>
      <w:r w:rsidRPr="009F122A">
        <w:rPr>
          <w:rFonts w:ascii="Times New Roman" w:hAnsi="Times New Roman" w:cs="Times New Roman"/>
          <w:sz w:val="24"/>
          <w:szCs w:val="24"/>
        </w:rPr>
        <w:t>particularly</w:t>
      </w:r>
      <w:proofErr w:type="gramEnd"/>
      <w:r w:rsidRPr="009F122A">
        <w:rPr>
          <w:rFonts w:ascii="Times New Roman" w:hAnsi="Times New Roman" w:cs="Times New Roman"/>
          <w:sz w:val="24"/>
          <w:szCs w:val="24"/>
        </w:rPr>
        <w:t xml:space="preserve"> for international and freshman students. The socially inclusive design brings diversity in different cultural groups taking part, promoting understanding of cultures across the world. Belonging-enhancing events are now a necessary component of the university onboarding experience.</w:t>
      </w:r>
    </w:p>
    <w:p w14:paraId="04F02C39" w14:textId="77777777" w:rsidR="00C62950" w:rsidRPr="009F122A" w:rsidRDefault="00C62950" w:rsidP="00C62950">
      <w:pPr>
        <w:pStyle w:val="Heading2"/>
        <w:spacing w:line="360" w:lineRule="auto"/>
        <w:jc w:val="both"/>
        <w:rPr>
          <w:rFonts w:cs="Times New Roman"/>
          <w:szCs w:val="24"/>
        </w:rPr>
      </w:pPr>
      <w:bookmarkStart w:id="25" w:name="_Toc200676322"/>
      <w:r w:rsidRPr="009F122A">
        <w:rPr>
          <w:rFonts w:cs="Times New Roman"/>
          <w:szCs w:val="24"/>
        </w:rPr>
        <w:t>Technological:</w:t>
      </w:r>
      <w:bookmarkEnd w:id="25"/>
    </w:p>
    <w:p w14:paraId="0CDD3BE9"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Students are digital natives; therefore, the event uses social media for marketing and subsequent involvement</w:t>
      </w:r>
      <w:sdt>
        <w:sdtPr>
          <w:rPr>
            <w:rFonts w:ascii="Times New Roman" w:hAnsi="Times New Roman" w:cs="Times New Roman"/>
            <w:sz w:val="24"/>
            <w:szCs w:val="24"/>
          </w:rPr>
          <w:id w:val="-1016379457"/>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Cho201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(Chodor, 2020)</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Digital screens to present student films and visual content suit TV-literate audiences. However, too much reliance upon technology needs to be counterbalanced with significant in-person communication</w:t>
      </w:r>
      <w:sdt>
        <w:sdtPr>
          <w:rPr>
            <w:rFonts w:ascii="Times New Roman" w:hAnsi="Times New Roman" w:cs="Times New Roman"/>
            <w:sz w:val="24"/>
            <w:szCs w:val="24"/>
          </w:rPr>
          <w:id w:val="-1419944284"/>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Sar22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(Sarker and Datta, 2022)</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1E500BC6" w14:textId="77777777" w:rsidR="00C62950" w:rsidRPr="009F122A" w:rsidRDefault="00C62950" w:rsidP="00C62950">
      <w:pPr>
        <w:pStyle w:val="Heading2"/>
        <w:spacing w:line="360" w:lineRule="auto"/>
        <w:jc w:val="both"/>
        <w:rPr>
          <w:rFonts w:cs="Times New Roman"/>
          <w:szCs w:val="24"/>
        </w:rPr>
      </w:pPr>
      <w:bookmarkStart w:id="26" w:name="_Toc200676323"/>
      <w:r w:rsidRPr="009F122A">
        <w:rPr>
          <w:rFonts w:cs="Times New Roman"/>
          <w:szCs w:val="24"/>
        </w:rPr>
        <w:t>Environmental:</w:t>
      </w:r>
      <w:bookmarkEnd w:id="26"/>
    </w:p>
    <w:p w14:paraId="7FE07242"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Universities and public institutions are increasingly under pressure to </w:t>
      </w:r>
      <w:proofErr w:type="spellStart"/>
      <w:r w:rsidRPr="009F122A">
        <w:rPr>
          <w:rFonts w:ascii="Times New Roman" w:hAnsi="Times New Roman" w:cs="Times New Roman"/>
          <w:sz w:val="24"/>
          <w:szCs w:val="24"/>
        </w:rPr>
        <w:t>practise</w:t>
      </w:r>
      <w:proofErr w:type="spellEnd"/>
      <w:r w:rsidRPr="009F122A">
        <w:rPr>
          <w:rFonts w:ascii="Times New Roman" w:hAnsi="Times New Roman" w:cs="Times New Roman"/>
          <w:sz w:val="24"/>
          <w:szCs w:val="24"/>
        </w:rPr>
        <w:t xml:space="preserve"> environmental sustainability. The fair is planned with eco-conscious stages, including </w:t>
      </w:r>
      <w:proofErr w:type="spellStart"/>
      <w:r w:rsidRPr="009F122A">
        <w:rPr>
          <w:rFonts w:ascii="Times New Roman" w:hAnsi="Times New Roman" w:cs="Times New Roman"/>
          <w:sz w:val="24"/>
          <w:szCs w:val="24"/>
        </w:rPr>
        <w:t>minimising</w:t>
      </w:r>
      <w:proofErr w:type="spellEnd"/>
      <w:r w:rsidRPr="009F122A">
        <w:rPr>
          <w:rFonts w:ascii="Times New Roman" w:hAnsi="Times New Roman" w:cs="Times New Roman"/>
          <w:sz w:val="24"/>
          <w:szCs w:val="24"/>
        </w:rPr>
        <w:t xml:space="preserve"> printed materials, encouraging the use of public transit, and sourcing local products to diminish environmental impact and meet the sustainability goals of the institution</w:t>
      </w:r>
      <w:sdt>
        <w:sdtPr>
          <w:rPr>
            <w:rFonts w:ascii="Times New Roman" w:hAnsi="Times New Roman" w:cs="Times New Roman"/>
            <w:sz w:val="24"/>
            <w:szCs w:val="24"/>
          </w:rPr>
          <w:id w:val="517436055"/>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Bex17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(Bexell and Jönsson, 2017)</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w:t>
      </w:r>
    </w:p>
    <w:p w14:paraId="608C4B2E" w14:textId="77777777" w:rsidR="00C62950" w:rsidRPr="009F122A" w:rsidRDefault="00C62950" w:rsidP="00C62950">
      <w:pPr>
        <w:pStyle w:val="Heading2"/>
        <w:spacing w:line="360" w:lineRule="auto"/>
        <w:jc w:val="both"/>
        <w:rPr>
          <w:rFonts w:cs="Times New Roman"/>
          <w:szCs w:val="24"/>
        </w:rPr>
      </w:pPr>
      <w:bookmarkStart w:id="27" w:name="_Toc200676324"/>
      <w:r w:rsidRPr="009F122A">
        <w:rPr>
          <w:rFonts w:cs="Times New Roman"/>
          <w:szCs w:val="24"/>
        </w:rPr>
        <w:t>Legal:</w:t>
      </w:r>
      <w:bookmarkEnd w:id="27"/>
    </w:p>
    <w:p w14:paraId="012D11A3"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Adherence to health, safety and data protection (notably on attendees’ surveys), as well as compliance with equality legislation, is a necessity. Simple risk assessments, safeguarding measures, and access plans will be put in place to maintain legal integrity, as well as a safe environment for all participants.</w:t>
      </w:r>
    </w:p>
    <w:p w14:paraId="390A393C" w14:textId="77777777" w:rsidR="00C62950" w:rsidRPr="009F122A" w:rsidRDefault="00C62950" w:rsidP="00C62950">
      <w:pPr>
        <w:pStyle w:val="Heading1"/>
        <w:spacing w:line="360" w:lineRule="auto"/>
        <w:rPr>
          <w:rFonts w:cs="Times New Roman"/>
          <w:szCs w:val="24"/>
        </w:rPr>
      </w:pPr>
      <w:bookmarkStart w:id="28" w:name="_Toc200676325"/>
      <w:r w:rsidRPr="009F122A">
        <w:rPr>
          <w:rFonts w:cs="Times New Roman"/>
          <w:szCs w:val="24"/>
        </w:rPr>
        <w:lastRenderedPageBreak/>
        <w:t>Conclusion</w:t>
      </w:r>
      <w:bookmarkEnd w:id="28"/>
    </w:p>
    <w:p w14:paraId="58429447" w14:textId="77777777" w:rsidR="00C62950" w:rsidRPr="009F122A" w:rsidRDefault="00C62950" w:rsidP="00C62950">
      <w:pPr>
        <w:spacing w:line="360" w:lineRule="auto"/>
        <w:jc w:val="both"/>
        <w:rPr>
          <w:rFonts w:ascii="Times New Roman" w:hAnsi="Times New Roman" w:cs="Times New Roman"/>
          <w:sz w:val="24"/>
          <w:szCs w:val="24"/>
        </w:rPr>
      </w:pPr>
      <w:r w:rsidRPr="009F122A">
        <w:rPr>
          <w:rFonts w:ascii="Times New Roman" w:hAnsi="Times New Roman" w:cs="Times New Roman"/>
          <w:sz w:val="24"/>
          <w:szCs w:val="24"/>
        </w:rPr>
        <w:t xml:space="preserve">Student Cultures &amp; Creatives Expo is well well-planned and culturally inclusive event that is nestled within the Year of </w:t>
      </w:r>
      <w:proofErr w:type="spellStart"/>
      <w:r w:rsidRPr="009F122A">
        <w:rPr>
          <w:rFonts w:ascii="Times New Roman" w:hAnsi="Times New Roman" w:cs="Times New Roman"/>
          <w:sz w:val="24"/>
          <w:szCs w:val="24"/>
        </w:rPr>
        <w:t>Croeso</w:t>
      </w:r>
      <w:proofErr w:type="spellEnd"/>
      <w:r w:rsidRPr="009F122A">
        <w:rPr>
          <w:rFonts w:ascii="Times New Roman" w:hAnsi="Times New Roman" w:cs="Times New Roman"/>
          <w:sz w:val="24"/>
          <w:szCs w:val="24"/>
        </w:rPr>
        <w:t>, 2025. It is an opportunity to nurture student belonging, celebrate diversity and promote Welsh identity. Planning, a budget, engagement, as well as sustainability, guide the event to meet the meeting of institutional and national goals. By using strategic models such as the Event Cycle and PESTEL, feasibility and relevance are illustrated in the event</w:t>
      </w:r>
      <w:sdt>
        <w:sdtPr>
          <w:rPr>
            <w:rFonts w:ascii="Times New Roman" w:hAnsi="Times New Roman" w:cs="Times New Roman"/>
            <w:sz w:val="24"/>
            <w:szCs w:val="24"/>
          </w:rPr>
          <w:id w:val="498545783"/>
          <w:citation/>
        </w:sdtPr>
        <w:sdtContent>
          <w:r w:rsidRPr="009F122A">
            <w:rPr>
              <w:rFonts w:ascii="Times New Roman" w:hAnsi="Times New Roman" w:cs="Times New Roman"/>
              <w:sz w:val="24"/>
              <w:szCs w:val="24"/>
            </w:rPr>
            <w:fldChar w:fldCharType="begin"/>
          </w:r>
          <w:r w:rsidRPr="009F122A">
            <w:rPr>
              <w:rFonts w:ascii="Times New Roman" w:hAnsi="Times New Roman" w:cs="Times New Roman"/>
              <w:sz w:val="24"/>
              <w:szCs w:val="24"/>
            </w:rPr>
            <w:instrText xml:space="preserve"> CITATION Lin10 \l 1033 </w:instrText>
          </w:r>
          <w:r w:rsidRPr="009F122A">
            <w:rPr>
              <w:rFonts w:ascii="Times New Roman" w:hAnsi="Times New Roman" w:cs="Times New Roman"/>
              <w:sz w:val="24"/>
              <w:szCs w:val="24"/>
            </w:rPr>
            <w:fldChar w:fldCharType="separate"/>
          </w:r>
          <w:r w:rsidRPr="009F122A">
            <w:rPr>
              <w:rFonts w:ascii="Times New Roman" w:hAnsi="Times New Roman" w:cs="Times New Roman"/>
              <w:noProof/>
              <w:sz w:val="24"/>
              <w:szCs w:val="24"/>
            </w:rPr>
            <w:t xml:space="preserve"> (Lindström et al., 2010)</w:t>
          </w:r>
          <w:r w:rsidRPr="009F122A">
            <w:rPr>
              <w:rFonts w:ascii="Times New Roman" w:hAnsi="Times New Roman" w:cs="Times New Roman"/>
              <w:sz w:val="24"/>
              <w:szCs w:val="24"/>
            </w:rPr>
            <w:fldChar w:fldCharType="end"/>
          </w:r>
        </w:sdtContent>
      </w:sdt>
      <w:r w:rsidRPr="009F122A">
        <w:rPr>
          <w:rFonts w:ascii="Times New Roman" w:hAnsi="Times New Roman" w:cs="Times New Roman"/>
          <w:sz w:val="24"/>
          <w:szCs w:val="24"/>
        </w:rPr>
        <w:t xml:space="preserve">. Generally, it is a forum that fosters interaction with other cultures and the spirit of community and </w:t>
      </w:r>
      <w:proofErr w:type="gramStart"/>
      <w:r w:rsidRPr="009F122A">
        <w:rPr>
          <w:rFonts w:ascii="Times New Roman" w:hAnsi="Times New Roman" w:cs="Times New Roman"/>
          <w:sz w:val="24"/>
          <w:szCs w:val="24"/>
        </w:rPr>
        <w:t>a great</w:t>
      </w:r>
      <w:proofErr w:type="gramEnd"/>
      <w:r w:rsidRPr="009F122A">
        <w:rPr>
          <w:rFonts w:ascii="Times New Roman" w:hAnsi="Times New Roman" w:cs="Times New Roman"/>
          <w:sz w:val="24"/>
          <w:szCs w:val="24"/>
        </w:rPr>
        <w:t xml:space="preserve"> way to experience student life in Wales.</w:t>
      </w:r>
    </w:p>
    <w:p w14:paraId="0D3F592A" w14:textId="77777777" w:rsidR="00C62950" w:rsidRPr="009F122A" w:rsidRDefault="00C62950" w:rsidP="00C62950">
      <w:pPr>
        <w:spacing w:line="360" w:lineRule="auto"/>
        <w:jc w:val="both"/>
        <w:rPr>
          <w:rFonts w:ascii="Times New Roman" w:hAnsi="Times New Roman" w:cs="Times New Roman"/>
          <w:sz w:val="24"/>
          <w:szCs w:val="24"/>
        </w:rPr>
      </w:pPr>
    </w:p>
    <w:p w14:paraId="524C4CEA" w14:textId="77777777" w:rsidR="00C62950" w:rsidRDefault="00C62950" w:rsidP="00C62950">
      <w:r>
        <w:br w:type="page"/>
      </w:r>
    </w:p>
    <w:bookmarkStart w:id="29" w:name="_Toc200676326" w:displacedByCustomXml="next"/>
    <w:sdt>
      <w:sdtPr>
        <w:rPr>
          <w:rFonts w:asciiTheme="minorHAnsi" w:eastAsiaTheme="minorHAnsi" w:hAnsiTheme="minorHAnsi" w:cstheme="minorBidi"/>
          <w:b/>
          <w:color w:val="auto"/>
          <w:sz w:val="22"/>
          <w:szCs w:val="22"/>
        </w:rPr>
        <w:id w:val="-1421933422"/>
        <w:docPartObj>
          <w:docPartGallery w:val="Bibliographies"/>
          <w:docPartUnique/>
        </w:docPartObj>
      </w:sdtPr>
      <w:sdtEndPr>
        <w:rPr>
          <w:b w:val="0"/>
        </w:rPr>
      </w:sdtEndPr>
      <w:sdtContent>
        <w:p w14:paraId="542F90BD" w14:textId="77777777" w:rsidR="00C62950" w:rsidRDefault="00C62950" w:rsidP="00C62950">
          <w:pPr>
            <w:pStyle w:val="Heading1"/>
          </w:pPr>
          <w:r>
            <w:t>References</w:t>
          </w:r>
          <w:bookmarkEnd w:id="29"/>
        </w:p>
        <w:sdt>
          <w:sdtPr>
            <w:id w:val="-573587230"/>
            <w:bibliography/>
          </w:sdtPr>
          <w:sdtContent>
            <w:p w14:paraId="3FD0736F" w14:textId="77777777" w:rsidR="00C62950" w:rsidRDefault="00C62950" w:rsidP="00C62950">
              <w:pPr>
                <w:pStyle w:val="Bibliography"/>
                <w:rPr>
                  <w:noProof/>
                  <w:sz w:val="24"/>
                  <w:szCs w:val="24"/>
                </w:rPr>
              </w:pPr>
              <w:r>
                <w:fldChar w:fldCharType="begin"/>
              </w:r>
              <w:r>
                <w:instrText xml:space="preserve"> BIBLIOGRAPHY </w:instrText>
              </w:r>
              <w:r>
                <w:fldChar w:fldCharType="separate"/>
              </w:r>
              <w:r>
                <w:rPr>
                  <w:noProof/>
                </w:rPr>
                <w:t xml:space="preserve">A Greener Future (2024) </w:t>
              </w:r>
              <w:r>
                <w:rPr>
                  <w:i/>
                  <w:iCs/>
                  <w:noProof/>
                </w:rPr>
                <w:t>Sustainable Events Toolkit</w:t>
              </w:r>
              <w:r>
                <w:rPr>
                  <w:noProof/>
                </w:rPr>
                <w:t xml:space="preserve">  Available at: </w:t>
              </w:r>
              <w:hyperlink r:id="rId15" w:history="1">
                <w:r>
                  <w:rPr>
                    <w:rStyle w:val="Hyperlink"/>
                    <w:noProof/>
                  </w:rPr>
                  <w:t>https://www.agreenerfuture.com</w:t>
                </w:r>
              </w:hyperlink>
              <w:r>
                <w:rPr>
                  <w:noProof/>
                </w:rPr>
                <w:t xml:space="preserve"> (Accessed: 15 May 2025).</w:t>
              </w:r>
            </w:p>
            <w:p w14:paraId="3AE93BD2" w14:textId="77777777" w:rsidR="00C62950" w:rsidRDefault="00C62950" w:rsidP="00C62950">
              <w:pPr>
                <w:pStyle w:val="Bibliography"/>
                <w:rPr>
                  <w:noProof/>
                </w:rPr>
              </w:pPr>
              <w:r>
                <w:rPr>
                  <w:noProof/>
                </w:rPr>
                <w:t xml:space="preserve">Battisti, A. and Baiani, S. (2022) </w:t>
              </w:r>
              <w:r>
                <w:rPr>
                  <w:i/>
                  <w:iCs/>
                  <w:noProof/>
                </w:rPr>
                <w:t>Sustainable Development Dimensions and Urban Agglomeration</w:t>
              </w:r>
              <w:r>
                <w:rPr>
                  <w:noProof/>
                </w:rPr>
                <w:t>. Intechopen.</w:t>
              </w:r>
            </w:p>
            <w:p w14:paraId="20A8C09B" w14:textId="77777777" w:rsidR="00C62950" w:rsidRDefault="00C62950" w:rsidP="00C62950">
              <w:pPr>
                <w:pStyle w:val="Bibliography"/>
                <w:rPr>
                  <w:noProof/>
                </w:rPr>
              </w:pPr>
              <w:r>
                <w:rPr>
                  <w:noProof/>
                </w:rPr>
                <w:t xml:space="preserve">Baum, T. (2016) </w:t>
              </w:r>
              <w:r>
                <w:rPr>
                  <w:i/>
                  <w:iCs/>
                  <w:noProof/>
                </w:rPr>
                <w:t>Human Resource Management for Tourism, Hospitality and Leisure: An International Perspective</w:t>
              </w:r>
              <w:r>
                <w:rPr>
                  <w:noProof/>
                </w:rPr>
                <w:t>. London: Cengage Learning.</w:t>
              </w:r>
            </w:p>
            <w:p w14:paraId="04F1C192" w14:textId="77777777" w:rsidR="00C62950" w:rsidRDefault="00C62950" w:rsidP="00C62950">
              <w:pPr>
                <w:pStyle w:val="Bibliography"/>
                <w:rPr>
                  <w:noProof/>
                </w:rPr>
              </w:pPr>
              <w:r>
                <w:rPr>
                  <w:noProof/>
                </w:rPr>
                <w:t xml:space="preserve">Bexell, M. and Jönsson, K. (2017) 'Responsibility and the United Nations’ sustainable development goals. '. </w:t>
              </w:r>
              <w:r>
                <w:rPr>
                  <w:i/>
                  <w:iCs/>
                  <w:noProof/>
                </w:rPr>
                <w:t>In the Forum for Development Studies</w:t>
              </w:r>
              <w:r>
                <w:rPr>
                  <w:noProof/>
                </w:rPr>
                <w:t>. 44. pp. 13-29.</w:t>
              </w:r>
            </w:p>
            <w:p w14:paraId="499BA78D" w14:textId="77777777" w:rsidR="00C62950" w:rsidRDefault="00C62950" w:rsidP="00C62950">
              <w:pPr>
                <w:pStyle w:val="Bibliography"/>
                <w:rPr>
                  <w:noProof/>
                </w:rPr>
              </w:pPr>
              <w:r>
                <w:rPr>
                  <w:noProof/>
                </w:rPr>
                <w:t xml:space="preserve">Birdir, K., Birdir, S., Dalgic, A. and Toksoz, D. (2020) </w:t>
              </w:r>
              <w:r>
                <w:rPr>
                  <w:i/>
                  <w:iCs/>
                  <w:noProof/>
                </w:rPr>
                <w:t>Impact of ICTs on Event Management and Marketing</w:t>
              </w:r>
              <w:r>
                <w:rPr>
                  <w:noProof/>
                </w:rPr>
                <w:t>. IGI Global.</w:t>
              </w:r>
            </w:p>
            <w:p w14:paraId="737797D3" w14:textId="77777777" w:rsidR="00C62950" w:rsidRDefault="00C62950" w:rsidP="00C62950">
              <w:pPr>
                <w:pStyle w:val="Bibliography"/>
                <w:rPr>
                  <w:noProof/>
                </w:rPr>
              </w:pPr>
              <w:r>
                <w:rPr>
                  <w:noProof/>
                </w:rPr>
                <w:t xml:space="preserve">Bladen, C., Kennell, J., Abson, E. and Wilde, N. (2022) </w:t>
              </w:r>
              <w:r>
                <w:rPr>
                  <w:i/>
                  <w:iCs/>
                  <w:noProof/>
                </w:rPr>
                <w:t>Events Management: An Introduction</w:t>
              </w:r>
              <w:r>
                <w:rPr>
                  <w:noProof/>
                </w:rPr>
                <w:t>. Routledge.</w:t>
              </w:r>
            </w:p>
            <w:p w14:paraId="4E085E0E" w14:textId="77777777" w:rsidR="00C62950" w:rsidRDefault="00C62950" w:rsidP="00C62950">
              <w:pPr>
                <w:pStyle w:val="Bibliography"/>
                <w:rPr>
                  <w:noProof/>
                </w:rPr>
              </w:pPr>
              <w:r>
                <w:rPr>
                  <w:noProof/>
                </w:rPr>
                <w:t xml:space="preserve">Business Wales (2025) </w:t>
              </w:r>
              <w:r>
                <w:rPr>
                  <w:i/>
                  <w:iCs/>
                  <w:noProof/>
                </w:rPr>
                <w:t>Sustainable events and festivals</w:t>
              </w:r>
              <w:r>
                <w:rPr>
                  <w:noProof/>
                </w:rPr>
                <w:t xml:space="preserve">  Available at: </w:t>
              </w:r>
              <w:hyperlink r:id="rId16" w:history="1">
                <w:r>
                  <w:rPr>
                    <w:rStyle w:val="Hyperlink"/>
                    <w:noProof/>
                  </w:rPr>
                  <w:t>https://businesswales.gov.wales/tourism/sustainable-events-and-festivals</w:t>
                </w:r>
              </w:hyperlink>
              <w:r>
                <w:rPr>
                  <w:noProof/>
                </w:rPr>
                <w:t xml:space="preserve"> (Accessed: 7 June 2025).</w:t>
              </w:r>
            </w:p>
            <w:p w14:paraId="320D2836" w14:textId="77777777" w:rsidR="00C62950" w:rsidRDefault="00C62950" w:rsidP="00C62950">
              <w:pPr>
                <w:pStyle w:val="Bibliography"/>
                <w:rPr>
                  <w:noProof/>
                </w:rPr>
              </w:pPr>
              <w:r>
                <w:rPr>
                  <w:noProof/>
                </w:rPr>
                <w:t xml:space="preserve">Celuch, K. (2021) 'Event technology for potential sustainable practices: A bibliometric review and research agenda'. </w:t>
              </w:r>
              <w:r>
                <w:rPr>
                  <w:i/>
                  <w:iCs/>
                  <w:noProof/>
                </w:rPr>
                <w:t>International Journal of Event and Festival Management</w:t>
              </w:r>
              <w:r>
                <w:rPr>
                  <w:noProof/>
                </w:rPr>
                <w:t>. pp. 314-330.</w:t>
              </w:r>
            </w:p>
            <w:p w14:paraId="3DCC7363" w14:textId="77777777" w:rsidR="00C62950" w:rsidRDefault="00C62950" w:rsidP="00C62950">
              <w:pPr>
                <w:pStyle w:val="Bibliography"/>
                <w:rPr>
                  <w:noProof/>
                </w:rPr>
              </w:pPr>
              <w:r>
                <w:rPr>
                  <w:noProof/>
                </w:rPr>
                <w:t xml:space="preserve">Chodor, B. (2020) </w:t>
              </w:r>
              <w:r>
                <w:rPr>
                  <w:i/>
                  <w:iCs/>
                  <w:noProof/>
                </w:rPr>
                <w:t>Transitioning to Virtual and Hybrid Events: How to Create, Adapt, and Market an Engaging Online Experience</w:t>
              </w:r>
              <w:r>
                <w:rPr>
                  <w:noProof/>
                </w:rPr>
                <w:t>. John Wiley &amp; Sons.</w:t>
              </w:r>
            </w:p>
            <w:p w14:paraId="677379A6" w14:textId="77777777" w:rsidR="00C62950" w:rsidRDefault="00C62950" w:rsidP="00C62950">
              <w:pPr>
                <w:pStyle w:val="Bibliography"/>
                <w:rPr>
                  <w:noProof/>
                </w:rPr>
              </w:pPr>
              <w:r>
                <w:rPr>
                  <w:noProof/>
                </w:rPr>
                <w:t xml:space="preserve">Course and T.R.A.I.N.I.N.G (2010) 'Target audience'. </w:t>
              </w:r>
              <w:r>
                <w:rPr>
                  <w:i/>
                  <w:iCs/>
                  <w:noProof/>
                </w:rPr>
                <w:t>RNE/EBU Rencontre Global Impact of Public Radio, Palma de Mallorca</w:t>
              </w:r>
              <w:r>
                <w:rPr>
                  <w:noProof/>
                </w:rPr>
                <w:t>. p. 19.</w:t>
              </w:r>
            </w:p>
            <w:p w14:paraId="540EC998" w14:textId="77777777" w:rsidR="00C62950" w:rsidRDefault="00C62950" w:rsidP="00C62950">
              <w:pPr>
                <w:pStyle w:val="Bibliography"/>
                <w:rPr>
                  <w:noProof/>
                </w:rPr>
              </w:pPr>
              <w:r>
                <w:rPr>
                  <w:noProof/>
                </w:rPr>
                <w:t xml:space="preserve">Dame, S.M. (2024) </w:t>
              </w:r>
              <w:r>
                <w:rPr>
                  <w:i/>
                  <w:iCs/>
                  <w:noProof/>
                </w:rPr>
                <w:t>Opportunity, growth and partnership</w:t>
              </w:r>
              <w:r>
                <w:rPr>
                  <w:noProof/>
                </w:rPr>
                <w:t xml:space="preserve">  Available at: </w:t>
              </w:r>
              <w:hyperlink r:id="rId17" w:history="1">
                <w:r>
                  <w:rPr>
                    <w:rStyle w:val="Hyperlink"/>
                    <w:noProof/>
                  </w:rPr>
                  <w:t>https://www.universitiesuk.ac.uk/sites/default/files/field/downloads/2024-09/opportunity-growth-and-partnership-a-blueprint-for-change_1.pdf</w:t>
                </w:r>
              </w:hyperlink>
              <w:r>
                <w:rPr>
                  <w:noProof/>
                </w:rPr>
                <w:t xml:space="preserve"> (Accessed: 9 June 2025).</w:t>
              </w:r>
            </w:p>
            <w:p w14:paraId="5658A276" w14:textId="77777777" w:rsidR="00C62950" w:rsidRDefault="00C62950" w:rsidP="00C62950">
              <w:pPr>
                <w:pStyle w:val="Bibliography"/>
                <w:rPr>
                  <w:noProof/>
                </w:rPr>
              </w:pPr>
              <w:r>
                <w:rPr>
                  <w:noProof/>
                </w:rPr>
                <w:t xml:space="preserve">Eventbrite (2023) </w:t>
              </w:r>
              <w:r>
                <w:rPr>
                  <w:i/>
                  <w:iCs/>
                  <w:noProof/>
                </w:rPr>
                <w:t>Event Trends Report</w:t>
              </w:r>
              <w:r>
                <w:rPr>
                  <w:noProof/>
                </w:rPr>
                <w:t xml:space="preserve">  Available at: </w:t>
              </w:r>
              <w:hyperlink r:id="rId18" w:history="1">
                <w:r>
                  <w:rPr>
                    <w:rStyle w:val="Hyperlink"/>
                    <w:noProof/>
                  </w:rPr>
                  <w:t>https://www.eventbrite.com</w:t>
                </w:r>
              </w:hyperlink>
              <w:r>
                <w:rPr>
                  <w:noProof/>
                </w:rPr>
                <w:t xml:space="preserve"> (Accessed: 6 June 2025).</w:t>
              </w:r>
            </w:p>
            <w:p w14:paraId="215D6555" w14:textId="77777777" w:rsidR="00C62950" w:rsidRDefault="00C62950" w:rsidP="00C62950">
              <w:pPr>
                <w:pStyle w:val="Bibliography"/>
                <w:rPr>
                  <w:noProof/>
                </w:rPr>
              </w:pPr>
              <w:r>
                <w:rPr>
                  <w:noProof/>
                </w:rPr>
                <w:t xml:space="preserve">From, J. (2017) 'Pedagogical Digital Competence--Between Values, Knowledge and Skills'. </w:t>
              </w:r>
              <w:r>
                <w:rPr>
                  <w:i/>
                  <w:iCs/>
                  <w:noProof/>
                </w:rPr>
                <w:t>Higher Education Studies</w:t>
              </w:r>
              <w:r>
                <w:rPr>
                  <w:noProof/>
                </w:rPr>
                <w:t>. pp. 43-50.</w:t>
              </w:r>
            </w:p>
            <w:p w14:paraId="170526E7" w14:textId="77777777" w:rsidR="00C62950" w:rsidRDefault="00C62950" w:rsidP="00C62950">
              <w:pPr>
                <w:pStyle w:val="Bibliography"/>
                <w:rPr>
                  <w:noProof/>
                </w:rPr>
              </w:pPr>
              <w:r>
                <w:rPr>
                  <w:noProof/>
                </w:rPr>
                <w:t xml:space="preserve">Gereffi, G. and Joonkoo, L. (2016) 'Economic and Social Upgrading in Global Value Chains and Industrial Clusters: Why Governance Matters'. </w:t>
              </w:r>
              <w:r>
                <w:rPr>
                  <w:i/>
                  <w:iCs/>
                  <w:noProof/>
                </w:rPr>
                <w:t>Journal of Business Ethics</w:t>
              </w:r>
              <w:r>
                <w:rPr>
                  <w:noProof/>
                </w:rPr>
                <w:t>. pp. 25-38.</w:t>
              </w:r>
            </w:p>
            <w:p w14:paraId="3BB22829" w14:textId="77777777" w:rsidR="00C62950" w:rsidRDefault="00C62950" w:rsidP="00C62950">
              <w:pPr>
                <w:pStyle w:val="Bibliography"/>
                <w:rPr>
                  <w:noProof/>
                </w:rPr>
              </w:pPr>
              <w:r>
                <w:rPr>
                  <w:noProof/>
                </w:rPr>
                <w:t xml:space="preserve">Goldblatt, J. (2011) </w:t>
              </w:r>
              <w:r>
                <w:rPr>
                  <w:i/>
                  <w:iCs/>
                  <w:noProof/>
                </w:rPr>
                <w:t>Special Events: A New Generation and the Next Frontie</w:t>
              </w:r>
              <w:r>
                <w:rPr>
                  <w:noProof/>
                </w:rPr>
                <w:t>. Hoboken: Wiley.</w:t>
              </w:r>
            </w:p>
            <w:p w14:paraId="3CBB883C" w14:textId="77777777" w:rsidR="00C62950" w:rsidRDefault="00C62950" w:rsidP="00C62950">
              <w:pPr>
                <w:pStyle w:val="Bibliography"/>
                <w:rPr>
                  <w:noProof/>
                </w:rPr>
              </w:pPr>
              <w:r>
                <w:rPr>
                  <w:noProof/>
                </w:rPr>
                <w:t xml:space="preserve">Hagen, D. (2021) 'Innovations and traditions for sustainable development'. </w:t>
              </w:r>
              <w:r>
                <w:rPr>
                  <w:i/>
                  <w:iCs/>
                  <w:noProof/>
                </w:rPr>
                <w:t>Sustainable event management: new perspectives for the meeting industry through innovation and digitalisation?</w:t>
              </w:r>
              <w:r>
                <w:rPr>
                  <w:noProof/>
                </w:rPr>
                <w:t xml:space="preserve"> pp. 259-275.</w:t>
              </w:r>
            </w:p>
            <w:p w14:paraId="01662963" w14:textId="77777777" w:rsidR="00C62950" w:rsidRDefault="00C62950" w:rsidP="00C62950">
              <w:pPr>
                <w:pStyle w:val="Bibliography"/>
                <w:rPr>
                  <w:noProof/>
                </w:rPr>
              </w:pPr>
              <w:r>
                <w:rPr>
                  <w:noProof/>
                </w:rPr>
                <w:lastRenderedPageBreak/>
                <w:t xml:space="preserve">HEPI (2023) </w:t>
              </w:r>
              <w:r>
                <w:rPr>
                  <w:i/>
                  <w:iCs/>
                  <w:noProof/>
                </w:rPr>
                <w:t>Home and Away: International students’ contributions to the UK. Higher Education Policy Institute</w:t>
              </w:r>
              <w:r>
                <w:rPr>
                  <w:noProof/>
                </w:rPr>
                <w:t xml:space="preserve">  Available at: </w:t>
              </w:r>
              <w:hyperlink r:id="rId19" w:history="1">
                <w:r>
                  <w:rPr>
                    <w:rStyle w:val="Hyperlink"/>
                    <w:noProof/>
                  </w:rPr>
                  <w:t>https://www.hepi.ac.uk</w:t>
                </w:r>
              </w:hyperlink>
              <w:r>
                <w:rPr>
                  <w:noProof/>
                </w:rPr>
                <w:t xml:space="preserve"> (Accessed: 7 June 2025).</w:t>
              </w:r>
            </w:p>
            <w:p w14:paraId="474E684C" w14:textId="77777777" w:rsidR="00C62950" w:rsidRDefault="00C62950" w:rsidP="00C62950">
              <w:pPr>
                <w:pStyle w:val="Bibliography"/>
                <w:rPr>
                  <w:noProof/>
                </w:rPr>
              </w:pPr>
              <w:r>
                <w:rPr>
                  <w:noProof/>
                </w:rPr>
                <w:t xml:space="preserve">Kaurav, R.P.S., Baber, R. and Rajput, S. (2020) 'Technology-driven tourism and hospitality industry as a tool for economic development: A bibliometric analysis'. </w:t>
              </w:r>
              <w:r>
                <w:rPr>
                  <w:i/>
                  <w:iCs/>
                  <w:noProof/>
                </w:rPr>
                <w:t>In The Emerald Handbook of ICT in Tourism and Hospitality</w:t>
              </w:r>
              <w:r>
                <w:rPr>
                  <w:noProof/>
                </w:rPr>
                <w:t>. pp. 469-486.</w:t>
              </w:r>
            </w:p>
            <w:p w14:paraId="26040155" w14:textId="77777777" w:rsidR="00C62950" w:rsidRDefault="00C62950" w:rsidP="00C62950">
              <w:pPr>
                <w:pStyle w:val="Bibliography"/>
                <w:rPr>
                  <w:noProof/>
                </w:rPr>
              </w:pPr>
              <w:r>
                <w:rPr>
                  <w:noProof/>
                </w:rPr>
                <w:t xml:space="preserve">Lindström, J., Samuelsson, S. and Hägerfors, A. (2010) 'Business continuity planning methodology'. </w:t>
              </w:r>
              <w:r>
                <w:rPr>
                  <w:i/>
                  <w:iCs/>
                  <w:noProof/>
                </w:rPr>
                <w:t>Disast Prevent Manag Int J</w:t>
              </w:r>
              <w:r>
                <w:rPr>
                  <w:noProof/>
                </w:rPr>
                <w:t>. pp. 243–255.</w:t>
              </w:r>
            </w:p>
            <w:p w14:paraId="02B3D108" w14:textId="77777777" w:rsidR="00C62950" w:rsidRDefault="00C62950" w:rsidP="00C62950">
              <w:pPr>
                <w:pStyle w:val="Bibliography"/>
                <w:rPr>
                  <w:noProof/>
                </w:rPr>
              </w:pPr>
              <w:r>
                <w:rPr>
                  <w:noProof/>
                </w:rPr>
                <w:t xml:space="preserve">Megan Williams (2025) </w:t>
              </w:r>
              <w:r>
                <w:rPr>
                  <w:i/>
                  <w:iCs/>
                  <w:noProof/>
                </w:rPr>
                <w:t>The community celebrating Welsh creativity</w:t>
              </w:r>
              <w:r>
                <w:rPr>
                  <w:noProof/>
                </w:rPr>
                <w:t xml:space="preserve">  Available at: </w:t>
              </w:r>
              <w:hyperlink r:id="rId20" w:history="1">
                <w:r>
                  <w:rPr>
                    <w:rStyle w:val="Hyperlink"/>
                    <w:noProof/>
                  </w:rPr>
                  <w:t>https://www.creativereview.co.uk/clwb-creative-cymru-community-welsh-creativity/</w:t>
                </w:r>
              </w:hyperlink>
              <w:r>
                <w:rPr>
                  <w:noProof/>
                </w:rPr>
                <w:t xml:space="preserve"> (Accessed: 2 June 2025).</w:t>
              </w:r>
            </w:p>
            <w:p w14:paraId="4766C765" w14:textId="77777777" w:rsidR="00C62950" w:rsidRDefault="00C62950" w:rsidP="00C62950">
              <w:pPr>
                <w:pStyle w:val="Bibliography"/>
                <w:rPr>
                  <w:noProof/>
                </w:rPr>
              </w:pPr>
              <w:r>
                <w:rPr>
                  <w:noProof/>
                </w:rPr>
                <w:t xml:space="preserve">Nation Cymru (2024) </w:t>
              </w:r>
              <w:r>
                <w:rPr>
                  <w:i/>
                  <w:iCs/>
                  <w:noProof/>
                </w:rPr>
                <w:t>Cardiff to host student led Multimedia festival</w:t>
              </w:r>
              <w:r>
                <w:rPr>
                  <w:noProof/>
                </w:rPr>
                <w:t xml:space="preserve">  Available at: </w:t>
              </w:r>
              <w:hyperlink r:id="rId21" w:history="1">
                <w:r>
                  <w:rPr>
                    <w:rStyle w:val="Hyperlink"/>
                    <w:noProof/>
                  </w:rPr>
                  <w:t>https://nation.cymru/culture/cardiff-to-host-student-led-multimedia-festival/</w:t>
                </w:r>
              </w:hyperlink>
              <w:r>
                <w:rPr>
                  <w:noProof/>
                </w:rPr>
                <w:t xml:space="preserve"> (Accessed: 6 June 2025).</w:t>
              </w:r>
            </w:p>
            <w:p w14:paraId="4CFC3CF8" w14:textId="77777777" w:rsidR="00C62950" w:rsidRDefault="00C62950" w:rsidP="00C62950">
              <w:pPr>
                <w:pStyle w:val="Bibliography"/>
                <w:rPr>
                  <w:noProof/>
                </w:rPr>
              </w:pPr>
              <w:r>
                <w:rPr>
                  <w:noProof/>
                </w:rPr>
                <w:t xml:space="preserve">Parncutt, R., Lindborg, P., Meyer-Kahlen, N. and Timmers, R. (2021) 'The multi-hub academic conference: global, inclusive, culturally diverse, creative, and sustainable'. </w:t>
              </w:r>
              <w:r>
                <w:rPr>
                  <w:i/>
                  <w:iCs/>
                  <w:noProof/>
                </w:rPr>
                <w:t>Frontiers in Research Metrics and Analytics</w:t>
              </w:r>
              <w:r>
                <w:rPr>
                  <w:noProof/>
                </w:rPr>
                <w:t>. p. 699782.</w:t>
              </w:r>
            </w:p>
            <w:p w14:paraId="03BBC752" w14:textId="77777777" w:rsidR="00C62950" w:rsidRDefault="00C62950" w:rsidP="00C62950">
              <w:pPr>
                <w:pStyle w:val="Bibliography"/>
                <w:rPr>
                  <w:noProof/>
                </w:rPr>
              </w:pPr>
              <w:r>
                <w:rPr>
                  <w:noProof/>
                </w:rPr>
                <w:t xml:space="preserve">Richman, A., Civian, J., Shannon, L., Jeffrey, H. and Hill, E. (2008) 'The relationship of perceived flexibility, supportive work–life policies, and employee engagement to employee well-being and job satisfaction'. </w:t>
              </w:r>
              <w:r>
                <w:rPr>
                  <w:i/>
                  <w:iCs/>
                  <w:noProof/>
                </w:rPr>
                <w:t>Community, Work &amp; Family</w:t>
              </w:r>
              <w:r>
                <w:rPr>
                  <w:noProof/>
                </w:rPr>
                <w:t>. pp. 183–197.</w:t>
              </w:r>
            </w:p>
            <w:p w14:paraId="55DA445E" w14:textId="77777777" w:rsidR="00C62950" w:rsidRDefault="00C62950" w:rsidP="00C62950">
              <w:pPr>
                <w:pStyle w:val="Bibliography"/>
                <w:rPr>
                  <w:noProof/>
                </w:rPr>
              </w:pPr>
              <w:r>
                <w:rPr>
                  <w:noProof/>
                </w:rPr>
                <w:t xml:space="preserve">Rocha, C., Quandt, C., Deschamps, F., Philbin, S. and Cruzara, G. (2021) 'Collaborations for digital transformation: Case studies of industry 4.0 in Brazil'. </w:t>
              </w:r>
              <w:r>
                <w:rPr>
                  <w:i/>
                  <w:iCs/>
                  <w:noProof/>
                </w:rPr>
                <w:t>IEEE Transactions on Engineering Management</w:t>
              </w:r>
              <w:r>
                <w:rPr>
                  <w:noProof/>
                </w:rPr>
                <w:t>. pp. 2404-2418.</w:t>
              </w:r>
            </w:p>
            <w:p w14:paraId="317DB11A" w14:textId="77777777" w:rsidR="00C62950" w:rsidRDefault="00C62950" w:rsidP="00C62950">
              <w:pPr>
                <w:pStyle w:val="Bibliography"/>
                <w:rPr>
                  <w:noProof/>
                </w:rPr>
              </w:pPr>
              <w:r>
                <w:rPr>
                  <w:noProof/>
                </w:rPr>
                <w:t xml:space="preserve">Rochin, D.N.A. (2024) 'Bibliometrics Analysis of Event Management in the Digital Era: Challenges and Opportunities for Event Planners'. </w:t>
              </w:r>
              <w:r>
                <w:rPr>
                  <w:i/>
                  <w:iCs/>
                  <w:noProof/>
                </w:rPr>
                <w:t>Information Management and Business Review</w:t>
              </w:r>
              <w:r>
                <w:rPr>
                  <w:noProof/>
                </w:rPr>
                <w:t>. pp. 53–64.</w:t>
              </w:r>
            </w:p>
            <w:p w14:paraId="3DFFFBF3" w14:textId="77777777" w:rsidR="00C62950" w:rsidRDefault="00C62950" w:rsidP="00C62950">
              <w:pPr>
                <w:pStyle w:val="Bibliography"/>
                <w:rPr>
                  <w:noProof/>
                </w:rPr>
              </w:pPr>
              <w:r>
                <w:rPr>
                  <w:noProof/>
                </w:rPr>
                <w:t xml:space="preserve">Rogers, M.K. (2016) 'Psychological profiling as an investigative tool for digital forensics'. </w:t>
              </w:r>
              <w:r>
                <w:rPr>
                  <w:i/>
                  <w:iCs/>
                  <w:noProof/>
                </w:rPr>
                <w:t>In Digital Forensics</w:t>
              </w:r>
              <w:r>
                <w:rPr>
                  <w:noProof/>
                </w:rPr>
                <w:t>. pp. 45-58.</w:t>
              </w:r>
            </w:p>
            <w:p w14:paraId="20717A63" w14:textId="77777777" w:rsidR="00C62950" w:rsidRDefault="00C62950" w:rsidP="00C62950">
              <w:pPr>
                <w:pStyle w:val="Bibliography"/>
                <w:rPr>
                  <w:noProof/>
                </w:rPr>
              </w:pPr>
              <w:r>
                <w:rPr>
                  <w:noProof/>
                </w:rPr>
                <w:t xml:space="preserve">Sarker, I. and Datta, B. (2022) 'Re-designing the pension business processes for achieving technology-driven reforms through blockchain adoption: A proposed architecture'. </w:t>
              </w:r>
              <w:r>
                <w:rPr>
                  <w:i/>
                  <w:iCs/>
                  <w:noProof/>
                </w:rPr>
                <w:t>Technological Forecasting and Social Change</w:t>
              </w:r>
              <w:r>
                <w:rPr>
                  <w:noProof/>
                </w:rPr>
                <w:t>. p. 121059.</w:t>
              </w:r>
            </w:p>
            <w:p w14:paraId="3C70EB07" w14:textId="77777777" w:rsidR="00C62950" w:rsidRDefault="00C62950" w:rsidP="00C62950">
              <w:pPr>
                <w:pStyle w:val="Bibliography"/>
                <w:rPr>
                  <w:noProof/>
                </w:rPr>
              </w:pPr>
              <w:r>
                <w:rPr>
                  <w:noProof/>
                </w:rPr>
                <w:t xml:space="preserve">Sharifi, A. (2021) 'Urban sustainability assessment: An overview and bibliometric analysis'. </w:t>
              </w:r>
              <w:r>
                <w:rPr>
                  <w:i/>
                  <w:iCs/>
                  <w:noProof/>
                </w:rPr>
                <w:t>Ecological Indicators</w:t>
              </w:r>
              <w:r>
                <w:rPr>
                  <w:noProof/>
                </w:rPr>
                <w:t>. p. 107102.</w:t>
              </w:r>
            </w:p>
            <w:p w14:paraId="52F534D2" w14:textId="77777777" w:rsidR="00C62950" w:rsidRDefault="00C62950" w:rsidP="00C62950">
              <w:pPr>
                <w:pStyle w:val="Bibliography"/>
                <w:rPr>
                  <w:noProof/>
                </w:rPr>
              </w:pPr>
              <w:r>
                <w:rPr>
                  <w:noProof/>
                </w:rPr>
                <w:t xml:space="preserve">Simon, B. (2024) </w:t>
              </w:r>
              <w:r>
                <w:rPr>
                  <w:i/>
                  <w:iCs/>
                  <w:noProof/>
                </w:rPr>
                <w:t>Empowering communities, strengthening the Welsh language</w:t>
              </w:r>
              <w:r>
                <w:rPr>
                  <w:noProof/>
                </w:rPr>
                <w:t xml:space="preserve">  Available at: </w:t>
              </w:r>
              <w:hyperlink r:id="rId22" w:history="1">
                <w:r>
                  <w:rPr>
                    <w:rStyle w:val="Hyperlink"/>
                    <w:noProof/>
                  </w:rPr>
                  <w:t>https://www.gov.wales/sites/default/files/publications/2024-08/empowering-communities-strengthening-the-welsh-language.pdf</w:t>
                </w:r>
              </w:hyperlink>
              <w:r>
                <w:rPr>
                  <w:noProof/>
                </w:rPr>
                <w:t xml:space="preserve"> (Accessed: 8 June 2025).</w:t>
              </w:r>
            </w:p>
            <w:p w14:paraId="23F84EDB" w14:textId="77777777" w:rsidR="00C62950" w:rsidRDefault="00C62950" w:rsidP="00C62950">
              <w:pPr>
                <w:pStyle w:val="Bibliography"/>
                <w:rPr>
                  <w:noProof/>
                </w:rPr>
              </w:pPr>
              <w:r>
                <w:rPr>
                  <w:noProof/>
                </w:rPr>
                <w:t xml:space="preserve">Tucker, A.L., Edmondson, A.C. and Spear, S. (2002) 'When problem solving prevents organizational learning'. </w:t>
              </w:r>
              <w:r>
                <w:rPr>
                  <w:i/>
                  <w:iCs/>
                  <w:noProof/>
                </w:rPr>
                <w:t>Journal of Organizational Change Management</w:t>
              </w:r>
              <w:r>
                <w:rPr>
                  <w:noProof/>
                </w:rPr>
                <w:t>. pp. 122-137.</w:t>
              </w:r>
            </w:p>
            <w:p w14:paraId="07F5F6FD" w14:textId="77777777" w:rsidR="00C62950" w:rsidRDefault="00C62950" w:rsidP="00C62950">
              <w:pPr>
                <w:pStyle w:val="Bibliography"/>
                <w:rPr>
                  <w:noProof/>
                </w:rPr>
              </w:pPr>
              <w:r>
                <w:rPr>
                  <w:noProof/>
                </w:rPr>
                <w:lastRenderedPageBreak/>
                <w:t xml:space="preserve">Wales (2025) </w:t>
              </w:r>
              <w:r>
                <w:rPr>
                  <w:i/>
                  <w:iCs/>
                  <w:noProof/>
                </w:rPr>
                <w:t>Croeso i Gymru. Welcome to Wales.</w:t>
              </w:r>
              <w:r>
                <w:rPr>
                  <w:noProof/>
                </w:rPr>
                <w:t xml:space="preserve">  Available at: </w:t>
              </w:r>
              <w:hyperlink r:id="rId23" w:anchor=":~:text=You%20know%2C%20the%20one%20with%20the%20red,praised%20as%20much%20as%20our%20beautiful%20landscape.)" w:history="1">
                <w:r>
                  <w:rPr>
                    <w:rStyle w:val="Hyperlink"/>
                    <w:noProof/>
                  </w:rPr>
                  <w:t>https://www.wales.com/about/welcome-wales/welcome-wales#:~:text=You%20know%2C%20the%20one%20with%20the%20red,praised%20as%20much%20as%20our%20beautiful%20landscape.)</w:t>
                </w:r>
              </w:hyperlink>
              <w:r>
                <w:rPr>
                  <w:noProof/>
                </w:rPr>
                <w:t xml:space="preserve"> (Accessed: 9 June 2025).</w:t>
              </w:r>
            </w:p>
            <w:p w14:paraId="0210E9B5" w14:textId="77777777" w:rsidR="00C62950" w:rsidRDefault="00C62950" w:rsidP="00C62950">
              <w:pPr>
                <w:pStyle w:val="Bibliography"/>
                <w:rPr>
                  <w:noProof/>
                </w:rPr>
              </w:pPr>
              <w:r>
                <w:rPr>
                  <w:noProof/>
                </w:rPr>
                <w:t xml:space="preserve">Wales, G. (2025) </w:t>
              </w:r>
              <w:r>
                <w:rPr>
                  <w:i/>
                  <w:iCs/>
                  <w:noProof/>
                </w:rPr>
                <w:t>Visit Wales invites world to feel the 'hwyl' in 2025</w:t>
              </w:r>
              <w:r>
                <w:rPr>
                  <w:noProof/>
                </w:rPr>
                <w:t xml:space="preserve">  Available at: </w:t>
              </w:r>
              <w:hyperlink r:id="rId24" w:history="1">
                <w:r>
                  <w:rPr>
                    <w:rStyle w:val="Hyperlink"/>
                    <w:noProof/>
                  </w:rPr>
                  <w:t>https://www.gov.wales/visit-wales-invites-world-feel-hwyl-2025</w:t>
                </w:r>
              </w:hyperlink>
              <w:r>
                <w:rPr>
                  <w:noProof/>
                </w:rPr>
                <w:t xml:space="preserve"> (Accessed: 7 June 2025).</w:t>
              </w:r>
            </w:p>
            <w:p w14:paraId="5DE27528" w14:textId="77777777" w:rsidR="00C62950" w:rsidRDefault="00C62950" w:rsidP="00C62950">
              <w:pPr>
                <w:pStyle w:val="Bibliography"/>
                <w:rPr>
                  <w:noProof/>
                </w:rPr>
              </w:pPr>
              <w:r>
                <w:rPr>
                  <w:noProof/>
                </w:rPr>
                <w:t xml:space="preserve">Wales (2025) </w:t>
              </w:r>
              <w:r>
                <w:rPr>
                  <w:i/>
                  <w:iCs/>
                  <w:noProof/>
                </w:rPr>
                <w:t>Wales celebrates culture, creativity and global connections at Osaka Expo</w:t>
              </w:r>
              <w:r>
                <w:rPr>
                  <w:noProof/>
                </w:rPr>
                <w:t xml:space="preserve">  Available at: </w:t>
              </w:r>
              <w:hyperlink r:id="rId25" w:history="1">
                <w:r>
                  <w:rPr>
                    <w:rStyle w:val="Hyperlink"/>
                    <w:noProof/>
                  </w:rPr>
                  <w:t>https://www.wales.com/news/united-kingdom/celebrate-wales-creativity-culture-and-innovation-osaka-expo-29-april</w:t>
                </w:r>
              </w:hyperlink>
              <w:r>
                <w:rPr>
                  <w:noProof/>
                </w:rPr>
                <w:t xml:space="preserve"> (Accessed: 7 June 2025).</w:t>
              </w:r>
            </w:p>
            <w:p w14:paraId="53B56669" w14:textId="77777777" w:rsidR="00C62950" w:rsidRDefault="00C62950" w:rsidP="00C62950">
              <w:pPr>
                <w:pStyle w:val="Bibliography"/>
                <w:rPr>
                  <w:noProof/>
                </w:rPr>
              </w:pPr>
              <w:r>
                <w:rPr>
                  <w:noProof/>
                </w:rPr>
                <w:t xml:space="preserve">Wickham, M., Donnelly, T. and French, L. (2021) 'Strategic sustainability management in the event sector'. </w:t>
              </w:r>
              <w:r>
                <w:rPr>
                  <w:i/>
                  <w:iCs/>
                  <w:noProof/>
                </w:rPr>
                <w:t>Event Management</w:t>
              </w:r>
              <w:r>
                <w:rPr>
                  <w:noProof/>
                </w:rPr>
                <w:t>. pp. 279-296.</w:t>
              </w:r>
            </w:p>
            <w:p w14:paraId="7126A3AE" w14:textId="77777777" w:rsidR="00C62950" w:rsidRDefault="00C62950" w:rsidP="00C62950">
              <w:pPr>
                <w:pStyle w:val="Bibliography"/>
                <w:rPr>
                  <w:noProof/>
                </w:rPr>
              </w:pPr>
              <w:r>
                <w:rPr>
                  <w:noProof/>
                </w:rPr>
                <w:t xml:space="preserve">Yitmen, I., Alizadehsalehi, S., Akçiner, H. and Akçiner, M.E. (2021) 'An adapted model of cognitive digital twins for building lifecycle management'. </w:t>
              </w:r>
              <w:r>
                <w:rPr>
                  <w:i/>
                  <w:iCs/>
                  <w:noProof/>
                </w:rPr>
                <w:t>Applied Sciences</w:t>
              </w:r>
              <w:r>
                <w:rPr>
                  <w:noProof/>
                </w:rPr>
                <w:t>. p. 4276.</w:t>
              </w:r>
            </w:p>
            <w:p w14:paraId="72624CBC" w14:textId="77777777" w:rsidR="00C62950" w:rsidRDefault="00C62950" w:rsidP="00C62950">
              <w:r>
                <w:rPr>
                  <w:b/>
                  <w:bCs/>
                  <w:noProof/>
                </w:rPr>
                <w:fldChar w:fldCharType="end"/>
              </w:r>
            </w:p>
          </w:sdtContent>
        </w:sdt>
      </w:sdtContent>
    </w:sdt>
    <w:p w14:paraId="4026B252" w14:textId="77777777" w:rsidR="00C62950" w:rsidRPr="00704EF3" w:rsidRDefault="00C62950" w:rsidP="00C62950"/>
    <w:p w14:paraId="4466B8E1" w14:textId="77777777" w:rsidR="001702E3" w:rsidRDefault="001702E3"/>
    <w:sectPr w:rsidR="001702E3" w:rsidSect="00C629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C286" w14:textId="77777777" w:rsidR="00C62950" w:rsidRDefault="00C62950" w:rsidP="00C62950">
      <w:pPr>
        <w:spacing w:after="0" w:line="240" w:lineRule="auto"/>
      </w:pPr>
      <w:r>
        <w:separator/>
      </w:r>
    </w:p>
  </w:endnote>
  <w:endnote w:type="continuationSeparator" w:id="0">
    <w:p w14:paraId="78144FB5" w14:textId="77777777" w:rsidR="00C62950" w:rsidRDefault="00C62950" w:rsidP="00C62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A71DB" w14:textId="77777777" w:rsidR="00C62950" w:rsidRDefault="00C62950" w:rsidP="00C62950">
      <w:pPr>
        <w:spacing w:after="0" w:line="240" w:lineRule="auto"/>
      </w:pPr>
      <w:r>
        <w:separator/>
      </w:r>
    </w:p>
  </w:footnote>
  <w:footnote w:type="continuationSeparator" w:id="0">
    <w:p w14:paraId="21A64204" w14:textId="77777777" w:rsidR="00C62950" w:rsidRDefault="00C62950" w:rsidP="00C629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618B"/>
    <w:multiLevelType w:val="multilevel"/>
    <w:tmpl w:val="A0345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8583F"/>
    <w:multiLevelType w:val="multilevel"/>
    <w:tmpl w:val="5216A7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84B95"/>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D7126"/>
    <w:multiLevelType w:val="hybridMultilevel"/>
    <w:tmpl w:val="0336A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3D3DF5"/>
    <w:multiLevelType w:val="multilevel"/>
    <w:tmpl w:val="60202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83A30"/>
    <w:multiLevelType w:val="multilevel"/>
    <w:tmpl w:val="FF2C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4C598A"/>
    <w:multiLevelType w:val="hybridMultilevel"/>
    <w:tmpl w:val="7B028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EE4464"/>
    <w:multiLevelType w:val="hybridMultilevel"/>
    <w:tmpl w:val="C278F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7333CC"/>
    <w:multiLevelType w:val="multilevel"/>
    <w:tmpl w:val="9D682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0319DC"/>
    <w:multiLevelType w:val="hybridMultilevel"/>
    <w:tmpl w:val="91BC7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406A33"/>
    <w:multiLevelType w:val="hybridMultilevel"/>
    <w:tmpl w:val="E88A9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807A25"/>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22C43"/>
    <w:multiLevelType w:val="hybridMultilevel"/>
    <w:tmpl w:val="69881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D64368"/>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387AD5"/>
    <w:multiLevelType w:val="hybridMultilevel"/>
    <w:tmpl w:val="08B42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30195C"/>
    <w:multiLevelType w:val="hybridMultilevel"/>
    <w:tmpl w:val="066CA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875154"/>
    <w:multiLevelType w:val="hybridMultilevel"/>
    <w:tmpl w:val="8D56A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DC706A"/>
    <w:multiLevelType w:val="multilevel"/>
    <w:tmpl w:val="D4CAF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294970"/>
    <w:multiLevelType w:val="multilevel"/>
    <w:tmpl w:val="175C9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755C9F"/>
    <w:multiLevelType w:val="hybridMultilevel"/>
    <w:tmpl w:val="FDAAF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843500"/>
    <w:multiLevelType w:val="hybridMultilevel"/>
    <w:tmpl w:val="F4785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802A9B"/>
    <w:multiLevelType w:val="multilevel"/>
    <w:tmpl w:val="5216A7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C444A2"/>
    <w:multiLevelType w:val="hybridMultilevel"/>
    <w:tmpl w:val="99A84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D6F71AC"/>
    <w:multiLevelType w:val="hybridMultilevel"/>
    <w:tmpl w:val="6B12F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E7E7A3B"/>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5C31D0"/>
    <w:multiLevelType w:val="multilevel"/>
    <w:tmpl w:val="81668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0873E7"/>
    <w:multiLevelType w:val="multilevel"/>
    <w:tmpl w:val="5A840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27106"/>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D01489"/>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DD280D"/>
    <w:multiLevelType w:val="hybridMultilevel"/>
    <w:tmpl w:val="73DAF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CC81078"/>
    <w:multiLevelType w:val="multilevel"/>
    <w:tmpl w:val="0CE02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61610B"/>
    <w:multiLevelType w:val="hybridMultilevel"/>
    <w:tmpl w:val="6FDEF63C"/>
    <w:lvl w:ilvl="0" w:tplc="304645C8">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DD021BB"/>
    <w:multiLevelType w:val="multilevel"/>
    <w:tmpl w:val="8D1A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AE3CFD"/>
    <w:multiLevelType w:val="hybridMultilevel"/>
    <w:tmpl w:val="C846A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6C35E97"/>
    <w:multiLevelType w:val="hybridMultilevel"/>
    <w:tmpl w:val="0CEC3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6F01EDE"/>
    <w:multiLevelType w:val="multilevel"/>
    <w:tmpl w:val="AB44C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075EBC"/>
    <w:multiLevelType w:val="multilevel"/>
    <w:tmpl w:val="38544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A3876C8"/>
    <w:multiLevelType w:val="multilevel"/>
    <w:tmpl w:val="7862B6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Calibri" w:eastAsiaTheme="minorHAnsi" w:hAnsi="Calibri" w:cs="Calibr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C310C4"/>
    <w:multiLevelType w:val="hybridMultilevel"/>
    <w:tmpl w:val="D5944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6505612">
    <w:abstractNumId w:val="5"/>
  </w:num>
  <w:num w:numId="2" w16cid:durableId="1437212303">
    <w:abstractNumId w:val="35"/>
  </w:num>
  <w:num w:numId="3" w16cid:durableId="274948847">
    <w:abstractNumId w:val="18"/>
  </w:num>
  <w:num w:numId="4" w16cid:durableId="1207984671">
    <w:abstractNumId w:val="1"/>
  </w:num>
  <w:num w:numId="5" w16cid:durableId="1937444640">
    <w:abstractNumId w:val="8"/>
  </w:num>
  <w:num w:numId="6" w16cid:durableId="1618023936">
    <w:abstractNumId w:val="37"/>
  </w:num>
  <w:num w:numId="7" w16cid:durableId="1238437246">
    <w:abstractNumId w:val="30"/>
  </w:num>
  <w:num w:numId="8" w16cid:durableId="473067827">
    <w:abstractNumId w:val="26"/>
  </w:num>
  <w:num w:numId="9" w16cid:durableId="359553438">
    <w:abstractNumId w:val="36"/>
  </w:num>
  <w:num w:numId="10" w16cid:durableId="724721952">
    <w:abstractNumId w:val="25"/>
  </w:num>
  <w:num w:numId="11" w16cid:durableId="1311793005">
    <w:abstractNumId w:val="0"/>
  </w:num>
  <w:num w:numId="12" w16cid:durableId="1070814388">
    <w:abstractNumId w:val="4"/>
  </w:num>
  <w:num w:numId="13" w16cid:durableId="156654916">
    <w:abstractNumId w:val="32"/>
  </w:num>
  <w:num w:numId="14" w16cid:durableId="1219974732">
    <w:abstractNumId w:val="17"/>
  </w:num>
  <w:num w:numId="15" w16cid:durableId="1230535028">
    <w:abstractNumId w:val="20"/>
  </w:num>
  <w:num w:numId="16" w16cid:durableId="1580871076">
    <w:abstractNumId w:val="29"/>
  </w:num>
  <w:num w:numId="17" w16cid:durableId="723599971">
    <w:abstractNumId w:val="21"/>
  </w:num>
  <w:num w:numId="18" w16cid:durableId="1749037910">
    <w:abstractNumId w:val="11"/>
  </w:num>
  <w:num w:numId="19" w16cid:durableId="156501972">
    <w:abstractNumId w:val="2"/>
  </w:num>
  <w:num w:numId="20" w16cid:durableId="1978484858">
    <w:abstractNumId w:val="27"/>
  </w:num>
  <w:num w:numId="21" w16cid:durableId="1946840601">
    <w:abstractNumId w:val="13"/>
  </w:num>
  <w:num w:numId="22" w16cid:durableId="1147472478">
    <w:abstractNumId w:val="28"/>
  </w:num>
  <w:num w:numId="23" w16cid:durableId="1902520804">
    <w:abstractNumId w:val="24"/>
  </w:num>
  <w:num w:numId="24" w16cid:durableId="1199464255">
    <w:abstractNumId w:val="31"/>
  </w:num>
  <w:num w:numId="25" w16cid:durableId="873929684">
    <w:abstractNumId w:val="16"/>
  </w:num>
  <w:num w:numId="26" w16cid:durableId="553614407">
    <w:abstractNumId w:val="6"/>
  </w:num>
  <w:num w:numId="27" w16cid:durableId="1758751883">
    <w:abstractNumId w:val="15"/>
  </w:num>
  <w:num w:numId="28" w16cid:durableId="286401509">
    <w:abstractNumId w:val="33"/>
  </w:num>
  <w:num w:numId="29" w16cid:durableId="1748991311">
    <w:abstractNumId w:val="12"/>
  </w:num>
  <w:num w:numId="30" w16cid:durableId="820541055">
    <w:abstractNumId w:val="22"/>
  </w:num>
  <w:num w:numId="31" w16cid:durableId="1015497721">
    <w:abstractNumId w:val="19"/>
  </w:num>
  <w:num w:numId="32" w16cid:durableId="1625119854">
    <w:abstractNumId w:val="38"/>
  </w:num>
  <w:num w:numId="33" w16cid:durableId="1586837569">
    <w:abstractNumId w:val="34"/>
  </w:num>
  <w:num w:numId="34" w16cid:durableId="1952349586">
    <w:abstractNumId w:val="3"/>
  </w:num>
  <w:num w:numId="35" w16cid:durableId="2098096275">
    <w:abstractNumId w:val="23"/>
  </w:num>
  <w:num w:numId="36" w16cid:durableId="489443428">
    <w:abstractNumId w:val="10"/>
  </w:num>
  <w:num w:numId="37" w16cid:durableId="1058356284">
    <w:abstractNumId w:val="9"/>
  </w:num>
  <w:num w:numId="38" w16cid:durableId="1153722681">
    <w:abstractNumId w:val="7"/>
  </w:num>
  <w:num w:numId="39" w16cid:durableId="18721063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950"/>
    <w:rsid w:val="001702E3"/>
    <w:rsid w:val="00B2333A"/>
    <w:rsid w:val="00C62950"/>
    <w:rsid w:val="00F37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55A7"/>
  <w15:chartTrackingRefBased/>
  <w15:docId w15:val="{1D7498CF-8AE8-4FF7-9531-785BF8C0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950"/>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C629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29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629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629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9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9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9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9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9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9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29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29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629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9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9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9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9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950"/>
    <w:rPr>
      <w:rFonts w:eastAsiaTheme="majorEastAsia" w:cstheme="majorBidi"/>
      <w:color w:val="272727" w:themeColor="text1" w:themeTint="D8"/>
    </w:rPr>
  </w:style>
  <w:style w:type="paragraph" w:styleId="Title">
    <w:name w:val="Title"/>
    <w:basedOn w:val="Normal"/>
    <w:next w:val="Normal"/>
    <w:link w:val="TitleChar"/>
    <w:uiPriority w:val="10"/>
    <w:qFormat/>
    <w:rsid w:val="00C629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9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9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9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950"/>
    <w:pPr>
      <w:spacing w:before="160"/>
      <w:jc w:val="center"/>
    </w:pPr>
    <w:rPr>
      <w:i/>
      <w:iCs/>
      <w:color w:val="404040" w:themeColor="text1" w:themeTint="BF"/>
    </w:rPr>
  </w:style>
  <w:style w:type="character" w:customStyle="1" w:styleId="QuoteChar">
    <w:name w:val="Quote Char"/>
    <w:basedOn w:val="DefaultParagraphFont"/>
    <w:link w:val="Quote"/>
    <w:uiPriority w:val="29"/>
    <w:rsid w:val="00C62950"/>
    <w:rPr>
      <w:i/>
      <w:iCs/>
      <w:color w:val="404040" w:themeColor="text1" w:themeTint="BF"/>
    </w:rPr>
  </w:style>
  <w:style w:type="paragraph" w:styleId="ListParagraph">
    <w:name w:val="List Paragraph"/>
    <w:basedOn w:val="Normal"/>
    <w:uiPriority w:val="34"/>
    <w:qFormat/>
    <w:rsid w:val="00C62950"/>
    <w:pPr>
      <w:ind w:left="720"/>
      <w:contextualSpacing/>
    </w:pPr>
  </w:style>
  <w:style w:type="character" w:styleId="IntenseEmphasis">
    <w:name w:val="Intense Emphasis"/>
    <w:basedOn w:val="DefaultParagraphFont"/>
    <w:uiPriority w:val="21"/>
    <w:qFormat/>
    <w:rsid w:val="00C62950"/>
    <w:rPr>
      <w:i/>
      <w:iCs/>
      <w:color w:val="0F4761" w:themeColor="accent1" w:themeShade="BF"/>
    </w:rPr>
  </w:style>
  <w:style w:type="paragraph" w:styleId="IntenseQuote">
    <w:name w:val="Intense Quote"/>
    <w:basedOn w:val="Normal"/>
    <w:next w:val="Normal"/>
    <w:link w:val="IntenseQuoteChar"/>
    <w:uiPriority w:val="30"/>
    <w:qFormat/>
    <w:rsid w:val="00C629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950"/>
    <w:rPr>
      <w:i/>
      <w:iCs/>
      <w:color w:val="0F4761" w:themeColor="accent1" w:themeShade="BF"/>
    </w:rPr>
  </w:style>
  <w:style w:type="character" w:styleId="IntenseReference">
    <w:name w:val="Intense Reference"/>
    <w:basedOn w:val="DefaultParagraphFont"/>
    <w:uiPriority w:val="32"/>
    <w:qFormat/>
    <w:rsid w:val="00C62950"/>
    <w:rPr>
      <w:b/>
      <w:bCs/>
      <w:smallCaps/>
      <w:color w:val="0F4761" w:themeColor="accent1" w:themeShade="BF"/>
      <w:spacing w:val="5"/>
    </w:rPr>
  </w:style>
  <w:style w:type="character" w:styleId="Strong">
    <w:name w:val="Strong"/>
    <w:basedOn w:val="DefaultParagraphFont"/>
    <w:uiPriority w:val="22"/>
    <w:qFormat/>
    <w:rsid w:val="00C62950"/>
    <w:rPr>
      <w:b/>
      <w:bCs/>
    </w:rPr>
  </w:style>
  <w:style w:type="character" w:styleId="Emphasis">
    <w:name w:val="Emphasis"/>
    <w:basedOn w:val="DefaultParagraphFont"/>
    <w:uiPriority w:val="20"/>
    <w:qFormat/>
    <w:rsid w:val="00C62950"/>
    <w:rPr>
      <w:i/>
      <w:iCs/>
    </w:rPr>
  </w:style>
  <w:style w:type="paragraph" w:styleId="TOCHeading">
    <w:name w:val="TOC Heading"/>
    <w:basedOn w:val="Heading1"/>
    <w:next w:val="Normal"/>
    <w:uiPriority w:val="39"/>
    <w:unhideWhenUsed/>
    <w:qFormat/>
    <w:rsid w:val="00C62950"/>
    <w:pPr>
      <w:spacing w:before="240" w:after="0"/>
      <w:outlineLvl w:val="9"/>
    </w:pPr>
    <w:rPr>
      <w:sz w:val="32"/>
      <w:szCs w:val="32"/>
    </w:rPr>
  </w:style>
  <w:style w:type="paragraph" w:styleId="TOC1">
    <w:name w:val="toc 1"/>
    <w:basedOn w:val="Normal"/>
    <w:next w:val="Normal"/>
    <w:autoRedefine/>
    <w:uiPriority w:val="39"/>
    <w:unhideWhenUsed/>
    <w:rsid w:val="00C62950"/>
    <w:pPr>
      <w:spacing w:after="100"/>
    </w:pPr>
  </w:style>
  <w:style w:type="paragraph" w:styleId="TOC2">
    <w:name w:val="toc 2"/>
    <w:basedOn w:val="Normal"/>
    <w:next w:val="Normal"/>
    <w:autoRedefine/>
    <w:uiPriority w:val="39"/>
    <w:unhideWhenUsed/>
    <w:rsid w:val="00C62950"/>
    <w:pPr>
      <w:spacing w:after="100"/>
      <w:ind w:left="220"/>
    </w:pPr>
  </w:style>
  <w:style w:type="character" w:styleId="Hyperlink">
    <w:name w:val="Hyperlink"/>
    <w:basedOn w:val="DefaultParagraphFont"/>
    <w:uiPriority w:val="99"/>
    <w:unhideWhenUsed/>
    <w:rsid w:val="00C62950"/>
    <w:rPr>
      <w:color w:val="467886" w:themeColor="hyperlink"/>
      <w:u w:val="single"/>
    </w:rPr>
  </w:style>
  <w:style w:type="paragraph" w:styleId="Bibliography">
    <w:name w:val="Bibliography"/>
    <w:basedOn w:val="Normal"/>
    <w:next w:val="Normal"/>
    <w:uiPriority w:val="37"/>
    <w:unhideWhenUsed/>
    <w:rsid w:val="00C62950"/>
  </w:style>
  <w:style w:type="paragraph" w:styleId="Header">
    <w:name w:val="header"/>
    <w:basedOn w:val="Normal"/>
    <w:link w:val="HeaderChar"/>
    <w:uiPriority w:val="99"/>
    <w:unhideWhenUsed/>
    <w:rsid w:val="00C62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950"/>
    <w:rPr>
      <w:kern w:val="0"/>
      <w:sz w:val="22"/>
      <w:szCs w:val="22"/>
      <w:lang w:val="en-US"/>
      <w14:ligatures w14:val="none"/>
    </w:rPr>
  </w:style>
  <w:style w:type="paragraph" w:styleId="Footer">
    <w:name w:val="footer"/>
    <w:basedOn w:val="Normal"/>
    <w:link w:val="FooterChar"/>
    <w:uiPriority w:val="99"/>
    <w:unhideWhenUsed/>
    <w:rsid w:val="00C62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950"/>
    <w:rPr>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eventbrite.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nation.cymru/culture/cardiff-to-host-student-led-multimedia-festival/" TargetMode="Externa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universitiesuk.ac.uk/sites/default/files/field/downloads/2024-09/opportunity-growth-and-partnership-a-blueprint-for-change_1.pdf" TargetMode="External"/><Relationship Id="rId25" Type="http://schemas.openxmlformats.org/officeDocument/2006/relationships/hyperlink" Target="https://www.wales.com/news/united-kingdom/celebrate-wales-creativity-culture-and-innovation-osaka-expo-29-april" TargetMode="External"/><Relationship Id="rId2" Type="http://schemas.openxmlformats.org/officeDocument/2006/relationships/customXml" Target="../customXml/item2.xml"/><Relationship Id="rId16" Type="http://schemas.openxmlformats.org/officeDocument/2006/relationships/hyperlink" Target="https://businesswales.gov.wales/tourism/sustainable-events-and-festivals" TargetMode="External"/><Relationship Id="rId20" Type="http://schemas.openxmlformats.org/officeDocument/2006/relationships/hyperlink" Target="https://www.creativereview.co.uk/clwb-creative-cymru-community-welsh-creativ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visit-wales-invites-world-feel-hwyl-2025" TargetMode="External"/><Relationship Id="rId5" Type="http://schemas.openxmlformats.org/officeDocument/2006/relationships/numbering" Target="numbering.xml"/><Relationship Id="rId15" Type="http://schemas.openxmlformats.org/officeDocument/2006/relationships/hyperlink" Target="https://www.agreenerfuture.com" TargetMode="External"/><Relationship Id="rId23" Type="http://schemas.openxmlformats.org/officeDocument/2006/relationships/hyperlink" Target="https://www.wales.com/about/welcome-wales/welcome-wales" TargetMode="External"/><Relationship Id="rId10" Type="http://schemas.openxmlformats.org/officeDocument/2006/relationships/endnotes" Target="endnotes.xml"/><Relationship Id="rId19" Type="http://schemas.openxmlformats.org/officeDocument/2006/relationships/hyperlink" Target="https://www.hepi.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gov.wales/sites/default/files/publications/2024-08/empowering-communities-strengthening-the-welsh-language.pdf"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areaChart>
        <c:grouping val="standard"/>
        <c:varyColors val="0"/>
        <c:ser>
          <c:idx val="0"/>
          <c:order val="0"/>
          <c:tx>
            <c:strRef>
              <c:f>Sheet1!$B$1</c:f>
              <c:strCache>
                <c:ptCount val="1"/>
                <c:pt idx="0">
                  <c:v>Amount (£)</c:v>
                </c:pt>
              </c:strCache>
            </c:strRef>
          </c:tx>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cat>
            <c:strRef>
              <c:f>Sheet1!$A$2:$A$6</c:f>
              <c:strCache>
                <c:ptCount val="5"/>
                <c:pt idx="0">
                  <c:v>University Welcome Week Fund</c:v>
                </c:pt>
                <c:pt idx="1">
                  <c:v>Local Cultural Grant (Arts Council of Wales or local authority)</c:v>
                </c:pt>
                <c:pt idx="2">
                  <c:v>Sponsorship (Local businesses / cultural organisations)</c:v>
                </c:pt>
                <c:pt idx="3">
                  <c:v>In-kind contributions (venue, equipment, staff time)</c:v>
                </c:pt>
                <c:pt idx="4">
                  <c:v>Total Estimated Income</c:v>
                </c:pt>
              </c:strCache>
            </c:strRef>
          </c:cat>
          <c:val>
            <c:numRef>
              <c:f>Sheet1!$B$2:$B$6</c:f>
              <c:numCache>
                <c:formatCode>#,##0</c:formatCode>
                <c:ptCount val="5"/>
                <c:pt idx="0">
                  <c:v>2000</c:v>
                </c:pt>
                <c:pt idx="1">
                  <c:v>1500</c:v>
                </c:pt>
                <c:pt idx="2">
                  <c:v>1000</c:v>
                </c:pt>
                <c:pt idx="3">
                  <c:v>1500</c:v>
                </c:pt>
                <c:pt idx="4" formatCode="General">
                  <c:v>0</c:v>
                </c:pt>
              </c:numCache>
            </c:numRef>
          </c:val>
          <c:extLst>
            <c:ext xmlns:c16="http://schemas.microsoft.com/office/drawing/2014/chart" uri="{C3380CC4-5D6E-409C-BE32-E72D297353CC}">
              <c16:uniqueId val="{00000000-70C7-4049-A3AC-F6760E84C758}"/>
            </c:ext>
          </c:extLst>
        </c:ser>
        <c:ser>
          <c:idx val="1"/>
          <c:order val="1"/>
          <c:tx>
            <c:strRef>
              <c:f>Sheet1!$C$1</c:f>
              <c:strCache>
                <c:ptCount val="1"/>
                <c:pt idx="0">
                  <c:v>Column1</c:v>
                </c:pt>
              </c:strCache>
            </c:strRef>
          </c:tx>
          <c:spPr>
            <a:gradFill>
              <a:gsLst>
                <a:gs pos="100000">
                  <a:schemeClr val="accent2"/>
                </a:gs>
                <a:gs pos="0">
                  <a:schemeClr val="accent2">
                    <a:lumMod val="75000"/>
                  </a:schemeClr>
                </a:gs>
              </a:gsLst>
              <a:lin ang="0" scaled="1"/>
            </a:gradFill>
            <a:ln>
              <a:noFill/>
            </a:ln>
            <a:effectLst>
              <a:innerShdw dist="12700" dir="16200000">
                <a:schemeClr val="lt1">
                  <a:alpha val="75000"/>
                </a:schemeClr>
              </a:innerShdw>
            </a:effectLst>
          </c:spPr>
          <c:cat>
            <c:strRef>
              <c:f>Sheet1!$A$2:$A$6</c:f>
              <c:strCache>
                <c:ptCount val="5"/>
                <c:pt idx="0">
                  <c:v>University Welcome Week Fund</c:v>
                </c:pt>
                <c:pt idx="1">
                  <c:v>Local Cultural Grant (Arts Council of Wales or local authority)</c:v>
                </c:pt>
                <c:pt idx="2">
                  <c:v>Sponsorship (Local businesses / cultural organisations)</c:v>
                </c:pt>
                <c:pt idx="3">
                  <c:v>In-kind contributions (venue, equipment, staff time)</c:v>
                </c:pt>
                <c:pt idx="4">
                  <c:v>Total Estimated Income</c:v>
                </c:pt>
              </c:strCache>
            </c:strRef>
          </c:cat>
          <c:val>
            <c:numRef>
              <c:f>Sheet1!$C$2:$C$6</c:f>
              <c:numCache>
                <c:formatCode>General</c:formatCode>
                <c:ptCount val="5"/>
                <c:pt idx="4">
                  <c:v>28</c:v>
                </c:pt>
              </c:numCache>
            </c:numRef>
          </c:val>
          <c:extLst>
            <c:ext xmlns:c16="http://schemas.microsoft.com/office/drawing/2014/chart" uri="{C3380CC4-5D6E-409C-BE32-E72D297353CC}">
              <c16:uniqueId val="{00000001-70C7-4049-A3AC-F6760E84C758}"/>
            </c:ext>
          </c:extLst>
        </c:ser>
        <c:dLbls>
          <c:showLegendKey val="0"/>
          <c:showVal val="0"/>
          <c:showCatName val="0"/>
          <c:showSerName val="0"/>
          <c:showPercent val="0"/>
          <c:showBubbleSize val="0"/>
        </c:dLbls>
        <c:dropLines>
          <c:spPr>
            <a:ln w="9525" cap="flat" cmpd="sng" algn="ctr">
              <a:solidFill>
                <a:schemeClr val="lt1">
                  <a:alpha val="40000"/>
                </a:schemeClr>
              </a:solidFill>
              <a:round/>
            </a:ln>
            <a:effectLst/>
          </c:spPr>
        </c:dropLines>
        <c:axId val="1947470719"/>
        <c:axId val="1831977951"/>
      </c:areaChart>
      <c:catAx>
        <c:axId val="1947470719"/>
        <c:scaling>
          <c:orientation val="minMax"/>
        </c:scaling>
        <c:delete val="0"/>
        <c:axPos val="b"/>
        <c:numFmt formatCode="General" sourceLinked="1"/>
        <c:majorTickMark val="none"/>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1831977951"/>
        <c:crosses val="autoZero"/>
        <c:auto val="1"/>
        <c:lblAlgn val="ctr"/>
        <c:lblOffset val="100"/>
        <c:noMultiLvlLbl val="0"/>
      </c:catAx>
      <c:valAx>
        <c:axId val="1831977951"/>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47470719"/>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lt1">
          <a:lumMod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areaChart>
        <c:grouping val="standard"/>
        <c:varyColors val="0"/>
        <c:ser>
          <c:idx val="0"/>
          <c:order val="0"/>
          <c:tx>
            <c:strRef>
              <c:f>Sheet1!#REF!</c:f>
              <c:strCache>
                <c:ptCount val="1"/>
                <c:pt idx="0">
                  <c:v>#REF!</c:v>
                </c:pt>
              </c:strCache>
            </c:strRef>
          </c:tx>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cat>
            <c:strRef>
              <c:f>Sheet1!$A$2:$A$10</c:f>
              <c:strCache>
                <c:ptCount val="7"/>
                <c:pt idx="0">
                  <c:v>Venue (in-kind or hired)</c:v>
                </c:pt>
                <c:pt idx="1">
                  <c:v>Marketing materials</c:v>
                </c:pt>
                <c:pt idx="2">
                  <c:v>AV Equipment &amp; Screens</c:v>
                </c:pt>
                <c:pt idx="3">
                  <c:v>Catering &amp; Refreshments</c:v>
                </c:pt>
                <c:pt idx="4">
                  <c:v>Facilitators &amp; Performers</c:v>
                </c:pt>
                <c:pt idx="5">
                  <c:v>Décor &amp; Print Materials</c:v>
                </c:pt>
                <c:pt idx="6">
                  <c:v>Contingency Fund</c:v>
                </c:pt>
              </c:strCache>
            </c:strRef>
          </c:cat>
          <c:val>
            <c:numRef>
              <c:f>Sheet1!$B$2:$B$10</c:f>
              <c:numCache>
                <c:formatCode>General</c:formatCode>
                <c:ptCount val="9"/>
                <c:pt idx="0">
                  <c:v>0</c:v>
                </c:pt>
                <c:pt idx="1">
                  <c:v>500</c:v>
                </c:pt>
                <c:pt idx="2">
                  <c:v>500</c:v>
                </c:pt>
                <c:pt idx="3" formatCode="#,##0">
                  <c:v>1000</c:v>
                </c:pt>
                <c:pt idx="4" formatCode="#,##0">
                  <c:v>2000</c:v>
                </c:pt>
                <c:pt idx="5">
                  <c:v>500</c:v>
                </c:pt>
                <c:pt idx="6">
                  <c:v>500</c:v>
                </c:pt>
              </c:numCache>
            </c:numRef>
          </c:val>
          <c:extLst>
            <c:ext xmlns:c16="http://schemas.microsoft.com/office/drawing/2014/chart" uri="{C3380CC4-5D6E-409C-BE32-E72D297353CC}">
              <c16:uniqueId val="{00000000-A6C9-4835-9F8D-2964728FC97C}"/>
            </c:ext>
          </c:extLst>
        </c:ser>
        <c:ser>
          <c:idx val="1"/>
          <c:order val="1"/>
          <c:tx>
            <c:strRef>
              <c:f>Sheet1!$C$1</c:f>
              <c:strCache>
                <c:ptCount val="1"/>
                <c:pt idx="0">
                  <c:v>Column1</c:v>
                </c:pt>
              </c:strCache>
            </c:strRef>
          </c:tx>
          <c:spPr>
            <a:gradFill>
              <a:gsLst>
                <a:gs pos="100000">
                  <a:schemeClr val="accent2"/>
                </a:gs>
                <a:gs pos="0">
                  <a:schemeClr val="accent2">
                    <a:lumMod val="75000"/>
                  </a:schemeClr>
                </a:gs>
              </a:gsLst>
              <a:lin ang="0" scaled="1"/>
            </a:gradFill>
            <a:ln>
              <a:noFill/>
            </a:ln>
            <a:effectLst>
              <a:innerShdw dist="12700" dir="16200000">
                <a:schemeClr val="lt1">
                  <a:alpha val="75000"/>
                </a:schemeClr>
              </a:innerShdw>
            </a:effectLst>
          </c:spPr>
          <c:cat>
            <c:strRef>
              <c:f>Sheet1!$A$2:$A$10</c:f>
              <c:strCache>
                <c:ptCount val="7"/>
                <c:pt idx="0">
                  <c:v>Venue (in-kind or hired)</c:v>
                </c:pt>
                <c:pt idx="1">
                  <c:v>Marketing materials</c:v>
                </c:pt>
                <c:pt idx="2">
                  <c:v>AV Equipment &amp; Screens</c:v>
                </c:pt>
                <c:pt idx="3">
                  <c:v>Catering &amp; Refreshments</c:v>
                </c:pt>
                <c:pt idx="4">
                  <c:v>Facilitators &amp; Performers</c:v>
                </c:pt>
                <c:pt idx="5">
                  <c:v>Décor &amp; Print Materials</c:v>
                </c:pt>
                <c:pt idx="6">
                  <c:v>Contingency Fund</c:v>
                </c:pt>
              </c:strCache>
            </c:strRef>
          </c:cat>
          <c:val>
            <c:numRef>
              <c:f>Sheet1!$C$2:$C$12</c:f>
              <c:numCache>
                <c:formatCode>General</c:formatCode>
                <c:ptCount val="11"/>
              </c:numCache>
            </c:numRef>
          </c:val>
          <c:extLst>
            <c:ext xmlns:c16="http://schemas.microsoft.com/office/drawing/2014/chart" uri="{C3380CC4-5D6E-409C-BE32-E72D297353CC}">
              <c16:uniqueId val="{00000001-A6C9-4835-9F8D-2964728FC97C}"/>
            </c:ext>
          </c:extLst>
        </c:ser>
        <c:dLbls>
          <c:showLegendKey val="0"/>
          <c:showVal val="0"/>
          <c:showCatName val="0"/>
          <c:showSerName val="0"/>
          <c:showPercent val="0"/>
          <c:showBubbleSize val="0"/>
        </c:dLbls>
        <c:dropLines>
          <c:spPr>
            <a:ln w="9525" cap="flat" cmpd="sng" algn="ctr">
              <a:solidFill>
                <a:schemeClr val="lt1">
                  <a:alpha val="40000"/>
                </a:schemeClr>
              </a:solidFill>
              <a:round/>
            </a:ln>
            <a:effectLst/>
          </c:spPr>
        </c:dropLines>
        <c:axId val="1946400255"/>
        <c:axId val="1820575215"/>
      </c:areaChart>
      <c:catAx>
        <c:axId val="1946400255"/>
        <c:scaling>
          <c:orientation val="minMax"/>
        </c:scaling>
        <c:delete val="0"/>
        <c:axPos val="b"/>
        <c:numFmt formatCode="General" sourceLinked="1"/>
        <c:majorTickMark val="none"/>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1820575215"/>
        <c:crosses val="autoZero"/>
        <c:auto val="1"/>
        <c:lblAlgn val="ctr"/>
        <c:lblOffset val="100"/>
        <c:noMultiLvlLbl val="0"/>
      </c:catAx>
      <c:valAx>
        <c:axId val="182057521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46400255"/>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lt1">
          <a:lumMod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5" ma:contentTypeDescription="Create a new document." ma:contentTypeScope="" ma:versionID="3fbfb61efb71356bdb93b52bfac128a4">
  <xsd:schema xmlns:xsd="http://www.w3.org/2001/XMLSchema" xmlns:xs="http://www.w3.org/2001/XMLSchema" xmlns:p="http://schemas.microsoft.com/office/2006/metadata/properties" xmlns:ns3="e9586b6e-d655-4ea8-9b46-aa323587a11f" targetNamespace="http://schemas.microsoft.com/office/2006/metadata/properties" ma:root="true" ma:fieldsID="cbf3e80f100f104ada998cbea2a48c8f" ns3:_="">
    <xsd:import namespace="e9586b6e-d655-4ea8-9b46-aa323587a1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Hertfordshire.XSL" StyleName="Harvard - Hertfordshire" Version="1">
  <b:Source>
    <b:Tag>Sim24</b:Tag>
    <b:SourceType>InternetSite</b:SourceType>
    <b:Guid>{FC1F84F2-1E2D-449E-957D-DA33AC18226D}</b:Guid>
    <b:Author>
      <b:Author>
        <b:NameList>
          <b:Person>
            <b:Last>Simon</b:Last>
            <b:First>Brooks</b:First>
          </b:Person>
        </b:NameList>
      </b:Author>
    </b:Author>
    <b:Title>Empowering communities, strengthening the Welsh language</b:Title>
    <b:Year>2024</b:Year>
    <b:YearAccessed>2025</b:YearAccessed>
    <b:MonthAccessed>June</b:MonthAccessed>
    <b:DayAccessed>8</b:DayAccessed>
    <b:URL>https://www.gov.wales/sites/default/files/publications/2024-08/empowering-communities-strengthening-the-welsh-language.pdf</b:URL>
    <b:RefOrder>1</b:RefOrder>
  </b:Source>
  <b:Source>
    <b:Tag>Bla22</b:Tag>
    <b:SourceType>Book</b:SourceType>
    <b:Guid>{3B39D64C-5BA3-4765-B2BD-C9C0B85D11DA}</b:Guid>
    <b:Author>
      <b:Author>
        <b:NameList>
          <b:Person>
            <b:Last>Bladen</b:Last>
            <b:First>C</b:First>
          </b:Person>
          <b:Person>
            <b:Last>Kennell</b:Last>
            <b:First>J</b:First>
          </b:Person>
          <b:Person>
            <b:Last>Abson</b:Last>
            <b:First>E</b:First>
          </b:Person>
          <b:Person>
            <b:Last>Wilde</b:Last>
            <b:First>N</b:First>
          </b:Person>
        </b:NameList>
      </b:Author>
    </b:Author>
    <b:Title>Events Management: An Introduction</b:Title>
    <b:Year>2022</b:Year>
    <b:Publisher>Routledge</b:Publisher>
    <b:RefOrder>2</b:RefOrder>
  </b:Source>
  <b:Source>
    <b:Tag>Fro17</b:Tag>
    <b:SourceType>JournalArticle</b:SourceType>
    <b:Guid>{0A35FB15-CDAD-471C-A416-D9FDCCE2F0C5}</b:Guid>
    <b:Author>
      <b:Author>
        <b:NameList>
          <b:Person>
            <b:Last>From</b:Last>
            <b:First>J</b:First>
          </b:Person>
        </b:NameList>
      </b:Author>
    </b:Author>
    <b:Title>Pedagogical Digital Competence--Between Values, Knowledge and Skills</b:Title>
    <b:Year>2017</b:Year>
    <b:JournalName>Higher Education Studies</b:JournalName>
    <b:Pages>43-50.</b:Pages>
    <b:RefOrder>3</b:RefOrder>
  </b:Source>
  <b:Source>
    <b:Tag>Gol11</b:Tag>
    <b:SourceType>Book</b:SourceType>
    <b:Guid>{D124C29B-54FC-429F-B1D8-D65FA8469C6E}</b:Guid>
    <b:Title>Special Events: A New Generation and the Next Frontie</b:Title>
    <b:Year>2011</b:Year>
    <b:Author>
      <b:Author>
        <b:NameList>
          <b:Person>
            <b:Last>Goldblatt</b:Last>
            <b:First>J</b:First>
          </b:Person>
        </b:NameList>
      </b:Author>
    </b:Author>
    <b:City>Hoboken</b:City>
    <b:Publisher>Wiley</b:Publisher>
    <b:RefOrder>4</b:RefOrder>
  </b:Source>
  <b:Source>
    <b:Tag>Wal25</b:Tag>
    <b:SourceType>InternetSite</b:SourceType>
    <b:Guid>{39BB490B-8A6F-405C-B2EF-5D267893DE18}</b:Guid>
    <b:Author>
      <b:Author>
        <b:NameList>
          <b:Person>
            <b:Last>Wales</b:Last>
          </b:Person>
        </b:NameList>
      </b:Author>
    </b:Author>
    <b:Title>Wales celebrates culture, creativity and global connections at Osaka Expo</b:Title>
    <b:Year>2025</b:Year>
    <b:YearAccessed>2025</b:YearAccessed>
    <b:MonthAccessed>June</b:MonthAccessed>
    <b:DayAccessed>7</b:DayAccessed>
    <b:URL>https://www.wales.com/news/united-kingdom/celebrate-wales-creativity-culture-and-innovation-osaka-expo-29-april</b:URL>
    <b:RefOrder>5</b:RefOrder>
  </b:Source>
  <b:Source>
    <b:Tag>HEP23</b:Tag>
    <b:SourceType>InternetSite</b:SourceType>
    <b:Guid>{BF16BCBE-D828-402D-AB3E-44AFF822623B}</b:Guid>
    <b:Author>
      <b:Author>
        <b:NameList>
          <b:Person>
            <b:Last>HEPI</b:Last>
          </b:Person>
        </b:NameList>
      </b:Author>
    </b:Author>
    <b:Title>Home and Away: International students’ contributions to the UK. Higher Education Policy Institute</b:Title>
    <b:Year>2023</b:Year>
    <b:YearAccessed>2025</b:YearAccessed>
    <b:MonthAccessed>June</b:MonthAccessed>
    <b:DayAccessed>7</b:DayAccessed>
    <b:URL>https://www.hepi.ac.uk</b:URL>
    <b:RefOrder>6</b:RefOrder>
  </b:Source>
  <b:Source>
    <b:Tag>Roc24</b:Tag>
    <b:SourceType>JournalArticle</b:SourceType>
    <b:Guid>{BDD793C9-F9F1-4E3F-A9CE-1FB585C14060}</b:Guid>
    <b:Title>Bibliometrics Analysis of Event Management in the Digital Era: Challenges and Opportunities for Event Planners</b:Title>
    <b:Year>2024</b:Year>
    <b:Author>
      <b:Author>
        <b:NameList>
          <b:Person>
            <b:Last>Rochin</b:Last>
            <b:First>Demong,</b:First>
            <b:Middle>N. A</b:Middle>
          </b:Person>
        </b:NameList>
      </b:Author>
    </b:Author>
    <b:JournalName>Information Management and Business Review</b:JournalName>
    <b:Pages>53–64</b:Pages>
    <b:RefOrder>7</b:RefOrder>
  </b:Source>
  <b:Source>
    <b:Tag>Hag21</b:Tag>
    <b:SourceType>JournalArticle</b:SourceType>
    <b:Guid>{24500232-2E01-4E08-A265-50CDD6375C5A}</b:Guid>
    <b:Author>
      <b:Author>
        <b:NameList>
          <b:Person>
            <b:Last>Hagen</b:Last>
            <b:First>D</b:First>
          </b:Person>
        </b:NameList>
      </b:Author>
    </b:Author>
    <b:Title>Innovations and traditions for sustainable development</b:Title>
    <b:JournalName>Sustainable event management: new perspectives for the meeting industry through innovation and digitalisation?</b:JournalName>
    <b:Year>2021</b:Year>
    <b:Pages>259-275</b:Pages>
    <b:RefOrder>8</b:RefOrder>
  </b:Source>
  <b:Source>
    <b:Tag>Sha212</b:Tag>
    <b:SourceType>JournalArticle</b:SourceType>
    <b:Guid>{ED732F52-9988-417B-95F8-3EADD208EF8E}</b:Guid>
    <b:Author>
      <b:Author>
        <b:NameList>
          <b:Person>
            <b:Last>Sharifi</b:Last>
            <b:First>A</b:First>
          </b:Person>
        </b:NameList>
      </b:Author>
    </b:Author>
    <b:Title>Urban sustainability assessment: An overview and bibliometric analysis</b:Title>
    <b:JournalName>Ecological Indicators</b:JournalName>
    <b:Year>2021</b:Year>
    <b:Pages>107102</b:Pages>
    <b:RefOrder>9</b:RefOrder>
  </b:Source>
  <b:Source>
    <b:Tag>Wic21</b:Tag>
    <b:SourceType>JournalArticle</b:SourceType>
    <b:Guid>{B8348CBB-392D-4233-AAFC-A597E36D2751}</b:Guid>
    <b:Author>
      <b:Author>
        <b:NameList>
          <b:Person>
            <b:Last>Wickham</b:Last>
            <b:First>M</b:First>
          </b:Person>
          <b:Person>
            <b:Last>Donnelly</b:Last>
            <b:First>T</b:First>
          </b:Person>
          <b:Person>
            <b:Last>French</b:Last>
            <b:First>L</b:First>
          </b:Person>
        </b:NameList>
      </b:Author>
    </b:Author>
    <b:Title>Strategic sustainability management in the event sector</b:Title>
    <b:JournalName>Event Management</b:JournalName>
    <b:Year>2021</b:Year>
    <b:Pages>279-296</b:Pages>
    <b:RefOrder>10</b:RefOrder>
  </b:Source>
  <b:Source>
    <b:Tag>Tuc02</b:Tag>
    <b:SourceType>JournalArticle</b:SourceType>
    <b:Guid>{87EB14D1-03FC-414D-B255-4E975CCD7360}</b:Guid>
    <b:Author>
      <b:Author>
        <b:NameList>
          <b:Person>
            <b:Last>Tucker</b:Last>
            <b:First>A.L</b:First>
          </b:Person>
          <b:Person>
            <b:Last>Edmondson</b:Last>
            <b:First>A.C</b:First>
          </b:Person>
          <b:Person>
            <b:Last>Spear</b:Last>
            <b:First>S</b:First>
          </b:Person>
        </b:NameList>
      </b:Author>
    </b:Author>
    <b:Title>When problem solving prevents organizational learning</b:Title>
    <b:JournalName>Journal of Organizational Change Management</b:JournalName>
    <b:Year>2002</b:Year>
    <b:Pages>122-137</b:Pages>
    <b:RefOrder>11</b:RefOrder>
  </b:Source>
  <b:Source>
    <b:Tag>Rog16</b:Tag>
    <b:SourceType>JournalArticle</b:SourceType>
    <b:Guid>{93C38277-257E-47E0-9A63-A2F197F7987E}</b:Guid>
    <b:Author>
      <b:Author>
        <b:NameList>
          <b:Person>
            <b:Last>Rogers</b:Last>
            <b:First>M.K</b:First>
          </b:Person>
        </b:NameList>
      </b:Author>
    </b:Author>
    <b:Title>Psychological profiling as an investigative tool for digital forensics</b:Title>
    <b:JournalName>In Digital Forensics</b:JournalName>
    <b:Year>2016</b:Year>
    <b:Pages>45-58</b:Pages>
    <b:RefOrder>12</b:RefOrder>
  </b:Source>
  <b:Source>
    <b:Tag>Par21</b:Tag>
    <b:SourceType>JournalArticle</b:SourceType>
    <b:Guid>{6245500A-3AF9-477F-9E21-15294A3ED026}</b:Guid>
    <b:Author>
      <b:Author>
        <b:NameList>
          <b:Person>
            <b:Last>Parncutt</b:Last>
            <b:First>R</b:First>
          </b:Person>
          <b:Person>
            <b:Last>Lindborg</b:Last>
            <b:First>P</b:First>
          </b:Person>
          <b:Person>
            <b:Last>Meyer-Kahlen</b:Last>
            <b:First>N</b:First>
          </b:Person>
          <b:Person>
            <b:Last>Timmers</b:Last>
            <b:First>R</b:First>
          </b:Person>
        </b:NameList>
      </b:Author>
    </b:Author>
    <b:Title>The multi-hub academic conference: global, inclusive, culturally diverse, creative, and sustainable</b:Title>
    <b:JournalName>Frontiers in Research Metrics and Analytics</b:JournalName>
    <b:Year>2021</b:Year>
    <b:Pages>699782</b:Pages>
    <b:RefOrder>13</b:RefOrder>
  </b:Source>
  <b:Source>
    <b:Tag>Wal251</b:Tag>
    <b:SourceType>InternetSite</b:SourceType>
    <b:Guid>{A4E18B51-7D69-4000-9EB3-4A679B40F1F4}</b:Guid>
    <b:Author>
      <b:Author>
        <b:NameList>
          <b:Person>
            <b:Last>Wales</b:Last>
          </b:Person>
        </b:NameList>
      </b:Author>
    </b:Author>
    <b:Title>Croeso i Gymru. Welcome to Wales.</b:Title>
    <b:Year>2025</b:Year>
    <b:YearAccessed>2025</b:YearAccessed>
    <b:MonthAccessed>June</b:MonthAccessed>
    <b:DayAccessed>9</b:DayAccessed>
    <b:URL>https://www.wales.com/about/welcome-wales/welcome-wales#:~:text=You%20know%2C%20the%20one%20with%20the%20red,praised%20as%20much%20as%20our%20beautiful%20landscape.)</b:URL>
    <b:RefOrder>14</b:RefOrder>
  </b:Source>
  <b:Source>
    <b:Tag>Kau20</b:Tag>
    <b:SourceType>JournalArticle</b:SourceType>
    <b:Guid>{E7BD816F-45F3-49DB-9E2E-30657BECD7B5}</b:Guid>
    <b:Author>
      <b:Author>
        <b:NameList>
          <b:Person>
            <b:Last>Kaurav</b:Last>
            <b:First>R.</b:First>
            <b:Middle>P. S</b:Middle>
          </b:Person>
          <b:Person>
            <b:Last>Baber</b:Last>
            <b:First>R</b:First>
          </b:Person>
          <b:Person>
            <b:Last>Rajput</b:Last>
            <b:First>S</b:First>
          </b:Person>
        </b:NameList>
      </b:Author>
    </b:Author>
    <b:Title>Technology-driven tourism and hospitality industry as a tool for economic development: A bibliometric analysis</b:Title>
    <b:JournalName>In The Emerald Handbook of ICT in Tourism and Hospitality</b:JournalName>
    <b:Year>2020</b:Year>
    <b:Pages>469-486</b:Pages>
    <b:RefOrder>15</b:RefOrder>
  </b:Source>
  <b:Source>
    <b:Tag>Bir20</b:Tag>
    <b:SourceType>Book</b:SourceType>
    <b:Guid>{8BA0FA5A-F624-4757-83F1-8DC7F2377DBF}</b:Guid>
    <b:Author>
      <b:Author>
        <b:NameList>
          <b:Person>
            <b:Last>Birdir</b:Last>
            <b:First>K</b:First>
          </b:Person>
          <b:Person>
            <b:Last>Birdir</b:Last>
            <b:First>S</b:First>
          </b:Person>
          <b:Person>
            <b:Last>Dalgic</b:Last>
            <b:First>A</b:First>
          </b:Person>
          <b:Person>
            <b:Last>Toksoz</b:Last>
            <b:First>D</b:First>
          </b:Person>
        </b:NameList>
      </b:Author>
    </b:Author>
    <b:Title>Impact of ICTs on Event Management and Marketing</b:Title>
    <b:Year>2020</b:Year>
    <b:Publisher>IGI Global</b:Publisher>
    <b:RefOrder>16</b:RefOrder>
  </b:Source>
  <b:Source>
    <b:Tag>Ric081</b:Tag>
    <b:SourceType>JournalArticle</b:SourceType>
    <b:Guid>{4A0D16F7-F1F8-4CCB-8E29-8657F3D799F0}</b:Guid>
    <b:Author>
      <b:Author>
        <b:NameList>
          <b:Person>
            <b:Last>Richman</b:Last>
            <b:First>A</b:First>
          </b:Person>
          <b:Person>
            <b:Last>Civian</b:Last>
            <b:First>J</b:First>
          </b:Person>
          <b:Person>
            <b:Last>Shannon</b:Last>
            <b:First>L</b:First>
          </b:Person>
          <b:Person>
            <b:Last>Jeffrey</b:Last>
            <b:First>H</b:First>
          </b:Person>
          <b:Person>
            <b:Last>Hill</b:Last>
            <b:First>E</b:First>
          </b:Person>
        </b:NameList>
      </b:Author>
    </b:Author>
    <b:Title>The relationship of perceived flexibility, supportive work–life policies, and employee engagement to employee well-being and job satisfaction</b:Title>
    <b:JournalName>Community, Work &amp; Family</b:JournalName>
    <b:Year>2008</b:Year>
    <b:Pages>183–197</b:Pages>
    <b:RefOrder>17</b:RefOrder>
  </b:Source>
  <b:Source>
    <b:Tag>Dam24</b:Tag>
    <b:SourceType>InternetSite</b:SourceType>
    <b:Guid>{F19F6D0A-ED4E-4929-8235-DE7553847494}</b:Guid>
    <b:Author>
      <b:Author>
        <b:NameList>
          <b:Person>
            <b:Last>Dame</b:Last>
            <b:First>Sally</b:First>
            <b:Middle>Mapstone</b:Middle>
          </b:Person>
        </b:NameList>
      </b:Author>
    </b:Author>
    <b:Title>Opportunity, growth and partnership</b:Title>
    <b:Year>2024</b:Year>
    <b:YearAccessed>2025</b:YearAccessed>
    <b:MonthAccessed>June</b:MonthAccessed>
    <b:DayAccessed>9</b:DayAccessed>
    <b:URL>https://www.universitiesuk.ac.uk/sites/default/files/field/downloads/2024-09/opportunity-growth-and-partnership-a-blueprint-for-change_1.pdf</b:URL>
    <b:RefOrder>18</b:RefOrder>
  </b:Source>
  <b:Source>
    <b:Tag>Lew</b:Tag>
    <b:SourceType>JournalArticle</b:SourceType>
    <b:Guid>{02045E4D-58CB-4B4A-B2B9-5120D05B0A4C}</b:Guid>
    <b:Author>
      <b:Author>
        <b:NameList>
          <b:Person>
            <b:Last>Course</b:Last>
          </b:Person>
          <b:Person>
            <b:Last>T.R.A.I.N.I.N.G</b:Last>
          </b:Person>
        </b:NameList>
      </b:Author>
    </b:Author>
    <b:Title>Target audience</b:Title>
    <b:JournalName>RNE/EBU Rencontre Global Impact of Public Radio, Palma de Mallorca</b:JournalName>
    <b:Pages>19</b:Pages>
    <b:Year>2010</b:Year>
    <b:RefOrder>19</b:RefOrder>
  </b:Source>
  <b:Source>
    <b:Tag>Meg25</b:Tag>
    <b:SourceType>InternetSite</b:SourceType>
    <b:Guid>{FC714107-5580-47C5-BF2D-B3316EBFADAB}</b:Guid>
    <b:Author>
      <b:Author>
        <b:NameList>
          <b:Person>
            <b:Last>Megan Williams</b:Last>
          </b:Person>
        </b:NameList>
      </b:Author>
    </b:Author>
    <b:Title>The community celebrating Welsh creativity</b:Title>
    <b:Year>2025</b:Year>
    <b:YearAccessed>2025</b:YearAccessed>
    <b:MonthAccessed>June</b:MonthAccessed>
    <b:DayAccessed>7</b:DayAccessed>
    <b:URL>https://www.creativereview.co.uk/clwb-creative-cymru-community-welsh-creativity/</b:URL>
    <b:RefOrder>20</b:RefOrder>
  </b:Source>
  <b:Source>
    <b:Tag>Bau16</b:Tag>
    <b:SourceType>Book</b:SourceType>
    <b:Guid>{416C543F-8581-4BAE-AAE0-9AC449160FAD}</b:Guid>
    <b:Author>
      <b:Author>
        <b:NameList>
          <b:Person>
            <b:Last>Baum</b:Last>
            <b:First>T</b:First>
          </b:Person>
        </b:NameList>
      </b:Author>
    </b:Author>
    <b:Title>Human Resource Management for Tourism, Hospitality and Leisure: An International Perspective</b:Title>
    <b:Year>2016</b:Year>
    <b:City>London</b:City>
    <b:Publisher>Cengage Learning.</b:Publisher>
    <b:RefOrder>21</b:RefOrder>
  </b:Source>
  <b:Source>
    <b:Tag>AGr24</b:Tag>
    <b:SourceType>InternetSite</b:SourceType>
    <b:Guid>{51625EB5-6EA2-47C6-A218-7D00B2C68A33}</b:Guid>
    <b:Author>
      <b:Author>
        <b:NameList>
          <b:Person>
            <b:Last>A Greener Future</b:Last>
          </b:Person>
        </b:NameList>
      </b:Author>
    </b:Author>
    <b:Title>Sustainable Events Toolkit</b:Title>
    <b:Year>2024</b:Year>
    <b:YearAccessed>2025</b:YearAccessed>
    <b:MonthAccessed>June</b:MonthAccessed>
    <b:DayAccessed>9</b:DayAccessed>
    <b:URL>https://www.agreenerfuture.com</b:URL>
    <b:RefOrder>22</b:RefOrder>
  </b:Source>
  <b:Source>
    <b:Tag>Bus25</b:Tag>
    <b:SourceType>InternetSite</b:SourceType>
    <b:Guid>{E1E35C78-2EB7-4E62-BEEA-34B71EF353B4}</b:Guid>
    <b:Title>Sustainable events and festivals</b:Title>
    <b:Year>2025</b:Year>
    <b:Author>
      <b:Author>
        <b:NameList>
          <b:Person>
            <b:Last>Business Wales</b:Last>
          </b:Person>
        </b:NameList>
      </b:Author>
    </b:Author>
    <b:YearAccessed>2025</b:YearAccessed>
    <b:MonthAccessed>June </b:MonthAccessed>
    <b:DayAccessed>7</b:DayAccessed>
    <b:URL>https://businesswales.gov.wales/tourism/sustainable-events-and-festivals</b:URL>
    <b:RefOrder>23</b:RefOrder>
  </b:Source>
  <b:Source>
    <b:Tag>Yit21</b:Tag>
    <b:SourceType>JournalArticle</b:SourceType>
    <b:Guid>{94433436-B079-4976-91F8-27BE7661F43C}</b:Guid>
    <b:Author>
      <b:Author>
        <b:NameList>
          <b:Person>
            <b:Last>Yitmen</b:Last>
            <b:First>I</b:First>
          </b:Person>
          <b:Person>
            <b:Last>Alizadehsalehi</b:Last>
            <b:First>S</b:First>
          </b:Person>
          <b:Person>
            <b:Last>Akçiner</b:Last>
            <b:First>H</b:First>
          </b:Person>
          <b:Person>
            <b:Last>Akçiner</b:Last>
            <b:First>M.</b:First>
            <b:Middle>E</b:Middle>
          </b:Person>
        </b:NameList>
      </b:Author>
    </b:Author>
    <b:Title>An adapted model of cognitive digital twins for building lifecycle management</b:Title>
    <b:JournalName>Applied Sciences</b:JournalName>
    <b:Year>2021</b:Year>
    <b:Pages>4276</b:Pages>
    <b:RefOrder>24</b:RefOrder>
  </b:Source>
  <b:Source>
    <b:Tag>Bat22</b:Tag>
    <b:SourceType>Book</b:SourceType>
    <b:Guid>{31BC63AB-B893-4C31-965D-A7CD9ABED556}</b:Guid>
    <b:Title>Sustainable Development Dimensions and Urban Agglomeration</b:Title>
    <b:Year>2022</b:Year>
    <b:Author>
      <b:Author>
        <b:NameList>
          <b:Person>
            <b:Last>Battisti</b:Last>
            <b:First>A</b:First>
          </b:Person>
          <b:Person>
            <b:Last>Baiani</b:Last>
            <b:First>S.</b:First>
          </b:Person>
        </b:NameList>
      </b:Author>
    </b:Author>
    <b:Publisher>Intechopen</b:Publisher>
    <b:RefOrder>25</b:RefOrder>
  </b:Source>
  <b:Source>
    <b:Tag>Eve23</b:Tag>
    <b:SourceType>InternetSite</b:SourceType>
    <b:Guid>{523B67F7-D005-422E-9AD6-A12884772760}</b:Guid>
    <b:Author>
      <b:Author>
        <b:NameList>
          <b:Person>
            <b:Last>Eventbrite</b:Last>
          </b:Person>
        </b:NameList>
      </b:Author>
    </b:Author>
    <b:Title>Event Trends Report</b:Title>
    <b:Year>2023</b:Year>
    <b:YearAccessed>2025</b:YearAccessed>
    <b:MonthAccessed>June</b:MonthAccessed>
    <b:DayAccessed>6</b:DayAccessed>
    <b:URL>https://www.eventbrite.com</b:URL>
    <b:RefOrder>26</b:RefOrder>
  </b:Source>
  <b:Source>
    <b:Tag>Roc21</b:Tag>
    <b:SourceType>JournalArticle</b:SourceType>
    <b:Guid>{012C1609-31AC-460A-A289-221DA4885171}</b:Guid>
    <b:Author>
      <b:Author>
        <b:NameList>
          <b:Person>
            <b:Last>Rocha</b:Last>
            <b:First>C</b:First>
          </b:Person>
          <b:Person>
            <b:Last>Quandt</b:Last>
            <b:First>C</b:First>
          </b:Person>
          <b:Person>
            <b:Last>Deschamps</b:Last>
            <b:First>F</b:First>
          </b:Person>
          <b:Person>
            <b:Last>Philbin</b:Last>
            <b:First>S</b:First>
          </b:Person>
          <b:Person>
            <b:Last>Cruzara</b:Last>
            <b:First>G</b:First>
          </b:Person>
        </b:NameList>
      </b:Author>
    </b:Author>
    <b:Title>Collaborations for digital transformation: Case studies of industry 4.0 in Brazil</b:Title>
    <b:JournalName>IEEE Transactions on Engineering Management</b:JournalName>
    <b:Year>2021</b:Year>
    <b:Pages>2404-2418</b:Pages>
    <b:RefOrder>27</b:RefOrder>
  </b:Source>
  <b:Source>
    <b:Tag>Cel21</b:Tag>
    <b:SourceType>JournalArticle</b:SourceType>
    <b:Guid>{57FB9839-9EF2-46ED-A47C-CC126986D7F2}</b:Guid>
    <b:Author>
      <b:Author>
        <b:NameList>
          <b:Person>
            <b:Last>Celuch</b:Last>
            <b:First>K</b:First>
          </b:Person>
        </b:NameList>
      </b:Author>
    </b:Author>
    <b:Title>Event technology for potential sustainable practices: A bibliometric review and research agenda</b:Title>
    <b:Year>2021</b:Year>
    <b:JournalName>International Journal of Event and Festival Management</b:JournalName>
    <b:Pages>314-330</b:Pages>
    <b:RefOrder>28</b:RefOrder>
  </b:Source>
  <b:Source>
    <b:Tag>Nat24</b:Tag>
    <b:SourceType>InternetSite</b:SourceType>
    <b:Guid>{D86A0D14-E774-49C0-93A0-29EBF5184160}</b:Guid>
    <b:Author>
      <b:Author>
        <b:NameList>
          <b:Person>
            <b:Last>Nation Cymru</b:Last>
          </b:Person>
        </b:NameList>
      </b:Author>
    </b:Author>
    <b:Title>Cardiff to host student led Multimedia festival</b:Title>
    <b:Year>2024</b:Year>
    <b:YearAccessed>2025</b:YearAccessed>
    <b:MonthAccessed>June</b:MonthAccessed>
    <b:DayAccessed>8</b:DayAccessed>
    <b:URL>https://nation.cymru/culture/cardiff-to-host-student-led-multimedia-festival/</b:URL>
    <b:RefOrder>29</b:RefOrder>
  </b:Source>
  <b:Source>
    <b:Tag>Gov253</b:Tag>
    <b:SourceType>InternetSite</b:SourceType>
    <b:Guid>{FDA3E6B3-4910-44D2-96CE-676A378AE394}</b:Guid>
    <b:Author>
      <b:Author>
        <b:NameList>
          <b:Person>
            <b:Last>Wales</b:Last>
            <b:First>Gov</b:First>
          </b:Person>
        </b:NameList>
      </b:Author>
    </b:Author>
    <b:Title>Visit Wales invites world to feel the 'hwyl' in 2025</b:Title>
    <b:Year>2025</b:Year>
    <b:YearAccessed>2025</b:YearAccessed>
    <b:MonthAccessed>June</b:MonthAccessed>
    <b:DayAccessed>7</b:DayAccessed>
    <b:URL>https://www.gov.wales/visit-wales-invites-world-feel-hwyl-2025</b:URL>
    <b:RefOrder>30</b:RefOrder>
  </b:Source>
  <b:Source>
    <b:Tag>Ger16</b:Tag>
    <b:SourceType>JournalArticle</b:SourceType>
    <b:Guid>{F922A760-9C77-4473-8CF8-2EAE1D827FF3}</b:Guid>
    <b:Author>
      <b:Author>
        <b:NameList>
          <b:Person>
            <b:Last>Gereffi</b:Last>
            <b:First>G</b:First>
          </b:Person>
          <b:Person>
            <b:Last>Joonkoo</b:Last>
            <b:First>Lee</b:First>
          </b:Person>
        </b:NameList>
      </b:Author>
    </b:Author>
    <b:Title>Economic and Social Upgrading in Global Value Chains and Industrial Clusters: Why Governance Matters</b:Title>
    <b:JournalName>Journal of Business Ethics</b:JournalName>
    <b:Year>2016</b:Year>
    <b:Pages>25-38</b:Pages>
    <b:RefOrder>31</b:RefOrder>
  </b:Source>
  <b:Source>
    <b:Tag>Cho201</b:Tag>
    <b:SourceType>Book</b:SourceType>
    <b:Guid>{E3F42239-1077-4603-BB30-A519918B6E13}</b:Guid>
    <b:Author>
      <b:Author>
        <b:NameList>
          <b:Person>
            <b:Last>Chodor</b:Last>
            <b:First>B</b:First>
          </b:Person>
        </b:NameList>
      </b:Author>
    </b:Author>
    <b:Title>Transitioning to Virtual and Hybrid Events: How to Create, Adapt, and Market an Engaging Online Experience</b:Title>
    <b:Year>2020</b:Year>
    <b:Publisher>John Wiley &amp; Sons</b:Publisher>
    <b:RefOrder>32</b:RefOrder>
  </b:Source>
  <b:Source>
    <b:Tag>Sar22</b:Tag>
    <b:SourceType>JournalArticle</b:SourceType>
    <b:Guid>{98690512-5DB7-4637-A13C-1B43967CD141}</b:Guid>
    <b:Author>
      <b:Author>
        <b:NameList>
          <b:Person>
            <b:Last>Sarker</b:Last>
            <b:First>I</b:First>
          </b:Person>
          <b:Person>
            <b:Last>Datta</b:Last>
            <b:First>B</b:First>
          </b:Person>
        </b:NameList>
      </b:Author>
    </b:Author>
    <b:Title>Re-designing the pension business processes for achieving technology-driven reforms through blockchain adoption: A proposed architecture</b:Title>
    <b:JournalName>Technological Forecasting and Social Change</b:JournalName>
    <b:Year>2022</b:Year>
    <b:Pages>121059</b:Pages>
    <b:RefOrder>33</b:RefOrder>
  </b:Source>
  <b:Source>
    <b:Tag>Bex17</b:Tag>
    <b:SourceType>JournalArticle</b:SourceType>
    <b:Guid>{EB22795C-9C9B-4491-9922-6141A7695F10}</b:Guid>
    <b:Author>
      <b:Author>
        <b:NameList>
          <b:Person>
            <b:Last>Bexell</b:Last>
            <b:First>M</b:First>
          </b:Person>
          <b:Person>
            <b:Last>Jönsson</b:Last>
            <b:First>K.</b:First>
          </b:Person>
        </b:NameList>
      </b:Author>
    </b:Author>
    <b:Title>Responsibility and the United Nations’ sustainable development goals. </b:Title>
    <b:JournalName>In Forum for development studies</b:JournalName>
    <b:Year>2017</b:Year>
    <b:Pages>13-29</b:Pages>
    <b:Volume>44</b:Volume>
    <b:RefOrder>34</b:RefOrder>
  </b:Source>
  <b:Source>
    <b:Tag>Lin10</b:Tag>
    <b:SourceType>JournalArticle</b:SourceType>
    <b:Guid>{CDF9C141-BCFD-4FE2-802F-5C0C67F0C230}</b:Guid>
    <b:Author>
      <b:Author>
        <b:NameList>
          <b:Person>
            <b:Last>Lindström</b:Last>
            <b:First>J</b:First>
          </b:Person>
          <b:Person>
            <b:Last>Samuelsson</b:Last>
            <b:First>S</b:First>
          </b:Person>
          <b:Person>
            <b:Last>Hägerfors</b:Last>
            <b:First>A</b:First>
          </b:Person>
        </b:NameList>
      </b:Author>
    </b:Author>
    <b:Title>Business continuity planning methodology</b:Title>
    <b:JournalName>Disast Prevent Manag Int J</b:JournalName>
    <b:Year>2010</b:Year>
    <b:Pages>243–255</b:Pages>
    <b:RefOrder>35</b:RefOrder>
  </b:Source>
</b:Sources>
</file>

<file path=customXml/itemProps1.xml><?xml version="1.0" encoding="utf-8"?>
<ds:datastoreItem xmlns:ds="http://schemas.openxmlformats.org/officeDocument/2006/customXml" ds:itemID="{9E54EC93-37C5-46A4-94BD-B01BDE091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A7F039-BFC0-4D8E-9A18-943B919C820C}">
  <ds:schemaRefs>
    <ds:schemaRef ds:uri="http://schemas.microsoft.com/sharepoint/v3/contenttype/forms"/>
  </ds:schemaRefs>
</ds:datastoreItem>
</file>

<file path=customXml/itemProps3.xml><?xml version="1.0" encoding="utf-8"?>
<ds:datastoreItem xmlns:ds="http://schemas.openxmlformats.org/officeDocument/2006/customXml" ds:itemID="{62365FEA-EE7D-4E03-8FBD-C49F7448AFDF}">
  <ds:schemaRefs>
    <ds:schemaRef ds:uri="http://purl.org/dc/dcmitype/"/>
    <ds:schemaRef ds:uri="http://schemas.microsoft.com/office/2006/metadata/properties"/>
    <ds:schemaRef ds:uri="http://purl.org/dc/elements/1.1/"/>
    <ds:schemaRef ds:uri="e9586b6e-d655-4ea8-9b46-aa323587a11f"/>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4574FC5B-2C20-431B-983C-B6E6963F2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4461</Words>
  <Characters>25428</Characters>
  <Application>Microsoft Office Word</Application>
  <DocSecurity>0</DocSecurity>
  <Lines>211</Lines>
  <Paragraphs>59</Paragraphs>
  <ScaleCrop>false</ScaleCrop>
  <Company/>
  <LinksUpToDate>false</LinksUpToDate>
  <CharactersWithSpaces>29830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Codrianu (2210052)</dc:creator>
  <cp:keywords/>
  <dc:description/>
  <cp:lastModifiedBy>George Codrianu (2210052)</cp:lastModifiedBy>
  <cp:revision>1</cp:revision>
  <dcterms:created xsi:type="dcterms:W3CDTF">2025-06-13T17:09:00Z</dcterms:created>
  <dcterms:modified xsi:type="dcterms:W3CDTF">2025-06-13T17:12:00Z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