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650087"/>
        <w:docPartObj>
          <w:docPartGallery w:val="Cover Pages"/>
          <w:docPartUnique/>
        </w:docPartObj>
      </w:sdtPr>
      <w:sdtEndPr>
        <w:rPr>
          <w:rFonts w:ascii="Arial" w:hAnsi="Arial" w:cs="Arial"/>
          <w:b/>
          <w:bCs/>
        </w:rPr>
      </w:sdtEndPr>
      <w:sdtContent>
        <w:p w14:paraId="6F3119EF" w14:textId="63BD8BD6" w:rsidR="005B7C86" w:rsidRDefault="005B7C86">
          <w:r>
            <w:rPr>
              <w:noProof/>
            </w:rPr>
            <mc:AlternateContent>
              <mc:Choice Requires="wpg">
                <w:drawing>
                  <wp:anchor distT="0" distB="0" distL="114300" distR="114300" simplePos="0" relativeHeight="251659264" behindDoc="1" locked="0" layoutInCell="1" allowOverlap="1" wp14:anchorId="49BCDA7D" wp14:editId="6D16C034">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3806208" w14:textId="36ECDC01" w:rsidR="005B7C86" w:rsidRPr="00B11A82" w:rsidRDefault="005B7C86">
                                      <w:pPr>
                                        <w:pStyle w:val="NoSpacing"/>
                                        <w:rPr>
                                          <w:rFonts w:ascii="Arial Black" w:hAnsi="Arial Black"/>
                                          <w:color w:val="FFFFFF" w:themeColor="background1"/>
                                          <w:sz w:val="44"/>
                                          <w:szCs w:val="44"/>
                                        </w:rPr>
                                      </w:pPr>
                                      <w:r w:rsidRPr="00B11A82">
                                        <w:rPr>
                                          <w:rFonts w:ascii="Arial Black" w:hAnsi="Arial Black"/>
                                          <w:color w:val="FFFFFF" w:themeColor="background1"/>
                                          <w:sz w:val="44"/>
                                          <w:szCs w:val="44"/>
                                        </w:rPr>
                                        <w:t>M</w:t>
                                      </w:r>
                                      <w:r w:rsidR="00B11A82" w:rsidRPr="00B11A82">
                                        <w:rPr>
                                          <w:rFonts w:ascii="Arial Black" w:hAnsi="Arial Black"/>
                                          <w:color w:val="FFFFFF" w:themeColor="background1"/>
                                          <w:sz w:val="44"/>
                                          <w:szCs w:val="44"/>
                                        </w:rPr>
                                        <w:t xml:space="preserve">adalina Ionela </w:t>
                                      </w:r>
                                      <w:proofErr w:type="spellStart"/>
                                      <w:r w:rsidR="00B11A82" w:rsidRPr="00B11A82">
                                        <w:rPr>
                                          <w:rFonts w:ascii="Arial Black" w:hAnsi="Arial Black"/>
                                          <w:color w:val="FFFFFF" w:themeColor="background1"/>
                                          <w:sz w:val="44"/>
                                          <w:szCs w:val="44"/>
                                        </w:rPr>
                                        <w:t>Apetroaie</w:t>
                                      </w:r>
                                      <w:proofErr w:type="spellEnd"/>
                                      <w:r w:rsidR="00B11A82" w:rsidRPr="00B11A82">
                                        <w:rPr>
                                          <w:rFonts w:ascii="Arial Black" w:hAnsi="Arial Black"/>
                                          <w:color w:val="FFFFFF" w:themeColor="background1"/>
                                          <w:sz w:val="44"/>
                                          <w:szCs w:val="44"/>
                                        </w:rPr>
                                        <w:t xml:space="preserve"> </w:t>
                                      </w:r>
                                    </w:p>
                                  </w:sdtContent>
                                </w:sdt>
                                <w:p w14:paraId="1F3DBC7A" w14:textId="5558DC8E" w:rsidR="005B7C86" w:rsidRPr="00B11A82" w:rsidRDefault="00B11A82">
                                  <w:pPr>
                                    <w:pStyle w:val="NoSpacing"/>
                                    <w:rPr>
                                      <w:rFonts w:ascii="Arial Black" w:hAnsi="Arial Black"/>
                                      <w:caps/>
                                      <w:color w:val="FFFFFF" w:themeColor="background1"/>
                                      <w:sz w:val="36"/>
                                      <w:szCs w:val="36"/>
                                    </w:rPr>
                                  </w:pPr>
                                  <w:sdt>
                                    <w:sdtPr>
                                      <w:rPr>
                                        <w:rFonts w:ascii="Arial Black" w:hAnsi="Arial Black"/>
                                        <w:caps/>
                                        <w:color w:val="FFFFFF" w:themeColor="background1"/>
                                        <w:sz w:val="36"/>
                                        <w:szCs w:val="36"/>
                                      </w:rPr>
                                      <w:alias w:val="Company"/>
                                      <w:tag w:val=""/>
                                      <w:id w:val="922067218"/>
                                      <w:dataBinding w:prefixMappings="xmlns:ns0='http://schemas.openxmlformats.org/officeDocument/2006/extended-properties' " w:xpath="/ns0:Properties[1]/ns0:Company[1]" w:storeItemID="{6668398D-A668-4E3E-A5EB-62B293D839F1}"/>
                                      <w:text/>
                                    </w:sdtPr>
                                    <w:sdtContent>
                                      <w:r w:rsidRPr="00B11A82">
                                        <w:rPr>
                                          <w:rFonts w:ascii="Arial Black" w:hAnsi="Arial Black"/>
                                          <w:caps/>
                                          <w:color w:val="FFFFFF" w:themeColor="background1"/>
                                          <w:sz w:val="36"/>
                                          <w:szCs w:val="36"/>
                                        </w:rPr>
                                        <w:t>Sustainable Enterprise/ Social Enterprise Management</w:t>
                                      </w:r>
                                    </w:sdtContent>
                                  </w:sdt>
                                  <w:r w:rsidR="005B7C86" w:rsidRPr="00B11A82">
                                    <w:rPr>
                                      <w:rFonts w:ascii="Arial Black" w:hAnsi="Arial Black"/>
                                      <w:caps/>
                                      <w:color w:val="FFFFFF" w:themeColor="background1"/>
                                      <w:sz w:val="36"/>
                                      <w:szCs w:val="36"/>
                                    </w:rPr>
                                    <w:t xml:space="preserve"> | </w:t>
                                  </w:r>
                                  <w:sdt>
                                    <w:sdtPr>
                                      <w:rPr>
                                        <w:rFonts w:ascii="Arial Black" w:hAnsi="Arial Black"/>
                                        <w:caps/>
                                        <w:color w:val="FFFFFF" w:themeColor="background1"/>
                                        <w:sz w:val="36"/>
                                        <w:szCs w:val="36"/>
                                      </w:rPr>
                                      <w:alias w:val="Address"/>
                                      <w:tag w:val=""/>
                                      <w:id w:val="2113163453"/>
                                      <w:dataBinding w:prefixMappings="xmlns:ns0='http://schemas.microsoft.com/office/2006/coverPageProps' " w:xpath="/ns0:CoverPageProperties[1]/ns0:CompanyAddress[1]" w:storeItemID="{55AF091B-3C7A-41E3-B477-F2FDAA23CFDA}"/>
                                      <w:text/>
                                    </w:sdtPr>
                                    <w:sdtContent>
                                      <w:r w:rsidRPr="00B11A82">
                                        <w:rPr>
                                          <w:rFonts w:ascii="Arial Black" w:hAnsi="Arial Black"/>
                                          <w:caps/>
                                          <w:color w:val="FFFFFF" w:themeColor="background1"/>
                                          <w:sz w:val="36"/>
                                          <w:szCs w:val="36"/>
                                        </w:rPr>
                                        <w:t>BMSE4010D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BF4E14" w:themeColor="accent2" w:themeShade="BF"/>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09F5000" w14:textId="7142D9AC" w:rsidR="005B7C86" w:rsidRPr="00B11A82" w:rsidRDefault="00B11A82">
                                      <w:pPr>
                                        <w:pStyle w:val="NoSpacing"/>
                                        <w:pBdr>
                                          <w:bottom w:val="single" w:sz="6" w:space="4" w:color="7F7F7F" w:themeColor="text1" w:themeTint="80"/>
                                        </w:pBdr>
                                        <w:rPr>
                                          <w:rFonts w:ascii="Arial Black" w:eastAsiaTheme="majorEastAsia" w:hAnsi="Arial Black" w:cstheme="majorBidi"/>
                                          <w:color w:val="BF4E14" w:themeColor="accent2" w:themeShade="BF"/>
                                          <w:sz w:val="72"/>
                                          <w:szCs w:val="72"/>
                                        </w:rPr>
                                      </w:pPr>
                                      <w:r w:rsidRPr="00B11A82">
                                        <w:rPr>
                                          <w:rFonts w:ascii="Arial Black" w:eastAsiaTheme="majorEastAsia" w:hAnsi="Arial Black" w:cstheme="majorBidi"/>
                                          <w:color w:val="BF4E14" w:themeColor="accent2" w:themeShade="BF"/>
                                          <w:sz w:val="72"/>
                                          <w:szCs w:val="72"/>
                                        </w:rPr>
                                        <w:t xml:space="preserve">Sustainable Enterprise </w:t>
                                      </w:r>
                                    </w:p>
                                  </w:sdtContent>
                                </w:sdt>
                                <w:sdt>
                                  <w:sdtPr>
                                    <w:rPr>
                                      <w:rFonts w:ascii="Arial Black" w:hAnsi="Arial Black"/>
                                      <w:caps/>
                                      <w:color w:val="BF4E14" w:themeColor="accent2"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ACCFA06" w14:textId="57E0CEE1" w:rsidR="005B7C86" w:rsidRDefault="00B11A82" w:rsidP="00B11A82">
                                      <w:pPr>
                                        <w:pStyle w:val="NoSpacing"/>
                                        <w:spacing w:before="240"/>
                                        <w:jc w:val="center"/>
                                        <w:rPr>
                                          <w:caps/>
                                          <w:color w:val="0E2841" w:themeColor="text2"/>
                                          <w:sz w:val="36"/>
                                          <w:szCs w:val="36"/>
                                        </w:rPr>
                                      </w:pPr>
                                      <w:r w:rsidRPr="00B11A82">
                                        <w:rPr>
                                          <w:rFonts w:ascii="Arial Black" w:hAnsi="Arial Black"/>
                                          <w:caps/>
                                          <w:color w:val="BF4E14" w:themeColor="accent2" w:themeShade="BF"/>
                                          <w:sz w:val="36"/>
                                          <w:szCs w:val="36"/>
                                        </w:rPr>
                                        <w:t xml:space="preserve">Business Plan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BCDA7D"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rFonts w:ascii="Arial Black" w:hAnsi="Arial Black"/>
                                <w:color w:val="FFFFFF" w:themeColor="background1"/>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3806208" w14:textId="36ECDC01" w:rsidR="005B7C86" w:rsidRPr="00B11A82" w:rsidRDefault="005B7C86">
                                <w:pPr>
                                  <w:pStyle w:val="NoSpacing"/>
                                  <w:rPr>
                                    <w:rFonts w:ascii="Arial Black" w:hAnsi="Arial Black"/>
                                    <w:color w:val="FFFFFF" w:themeColor="background1"/>
                                    <w:sz w:val="44"/>
                                    <w:szCs w:val="44"/>
                                  </w:rPr>
                                </w:pPr>
                                <w:r w:rsidRPr="00B11A82">
                                  <w:rPr>
                                    <w:rFonts w:ascii="Arial Black" w:hAnsi="Arial Black"/>
                                    <w:color w:val="FFFFFF" w:themeColor="background1"/>
                                    <w:sz w:val="44"/>
                                    <w:szCs w:val="44"/>
                                  </w:rPr>
                                  <w:t>M</w:t>
                                </w:r>
                                <w:r w:rsidR="00B11A82" w:rsidRPr="00B11A82">
                                  <w:rPr>
                                    <w:rFonts w:ascii="Arial Black" w:hAnsi="Arial Black"/>
                                    <w:color w:val="FFFFFF" w:themeColor="background1"/>
                                    <w:sz w:val="44"/>
                                    <w:szCs w:val="44"/>
                                  </w:rPr>
                                  <w:t xml:space="preserve">adalina Ionela </w:t>
                                </w:r>
                                <w:proofErr w:type="spellStart"/>
                                <w:r w:rsidR="00B11A82" w:rsidRPr="00B11A82">
                                  <w:rPr>
                                    <w:rFonts w:ascii="Arial Black" w:hAnsi="Arial Black"/>
                                    <w:color w:val="FFFFFF" w:themeColor="background1"/>
                                    <w:sz w:val="44"/>
                                    <w:szCs w:val="44"/>
                                  </w:rPr>
                                  <w:t>Apetroaie</w:t>
                                </w:r>
                                <w:proofErr w:type="spellEnd"/>
                                <w:r w:rsidR="00B11A82" w:rsidRPr="00B11A82">
                                  <w:rPr>
                                    <w:rFonts w:ascii="Arial Black" w:hAnsi="Arial Black"/>
                                    <w:color w:val="FFFFFF" w:themeColor="background1"/>
                                    <w:sz w:val="44"/>
                                    <w:szCs w:val="44"/>
                                  </w:rPr>
                                  <w:t xml:space="preserve"> </w:t>
                                </w:r>
                              </w:p>
                            </w:sdtContent>
                          </w:sdt>
                          <w:p w14:paraId="1F3DBC7A" w14:textId="5558DC8E" w:rsidR="005B7C86" w:rsidRPr="00B11A82" w:rsidRDefault="00B11A82">
                            <w:pPr>
                              <w:pStyle w:val="NoSpacing"/>
                              <w:rPr>
                                <w:rFonts w:ascii="Arial Black" w:hAnsi="Arial Black"/>
                                <w:caps/>
                                <w:color w:val="FFFFFF" w:themeColor="background1"/>
                                <w:sz w:val="36"/>
                                <w:szCs w:val="36"/>
                              </w:rPr>
                            </w:pPr>
                            <w:sdt>
                              <w:sdtPr>
                                <w:rPr>
                                  <w:rFonts w:ascii="Arial Black" w:hAnsi="Arial Black"/>
                                  <w:caps/>
                                  <w:color w:val="FFFFFF" w:themeColor="background1"/>
                                  <w:sz w:val="36"/>
                                  <w:szCs w:val="36"/>
                                </w:rPr>
                                <w:alias w:val="Company"/>
                                <w:tag w:val=""/>
                                <w:id w:val="922067218"/>
                                <w:dataBinding w:prefixMappings="xmlns:ns0='http://schemas.openxmlformats.org/officeDocument/2006/extended-properties' " w:xpath="/ns0:Properties[1]/ns0:Company[1]" w:storeItemID="{6668398D-A668-4E3E-A5EB-62B293D839F1}"/>
                                <w:text/>
                              </w:sdtPr>
                              <w:sdtContent>
                                <w:r w:rsidRPr="00B11A82">
                                  <w:rPr>
                                    <w:rFonts w:ascii="Arial Black" w:hAnsi="Arial Black"/>
                                    <w:caps/>
                                    <w:color w:val="FFFFFF" w:themeColor="background1"/>
                                    <w:sz w:val="36"/>
                                    <w:szCs w:val="36"/>
                                  </w:rPr>
                                  <w:t>Sustainable Enterprise/ Social Enterprise Management</w:t>
                                </w:r>
                              </w:sdtContent>
                            </w:sdt>
                            <w:r w:rsidR="005B7C86" w:rsidRPr="00B11A82">
                              <w:rPr>
                                <w:rFonts w:ascii="Arial Black" w:hAnsi="Arial Black"/>
                                <w:caps/>
                                <w:color w:val="FFFFFF" w:themeColor="background1"/>
                                <w:sz w:val="36"/>
                                <w:szCs w:val="36"/>
                              </w:rPr>
                              <w:t xml:space="preserve"> | </w:t>
                            </w:r>
                            <w:sdt>
                              <w:sdtPr>
                                <w:rPr>
                                  <w:rFonts w:ascii="Arial Black" w:hAnsi="Arial Black"/>
                                  <w:caps/>
                                  <w:color w:val="FFFFFF" w:themeColor="background1"/>
                                  <w:sz w:val="36"/>
                                  <w:szCs w:val="36"/>
                                </w:rPr>
                                <w:alias w:val="Address"/>
                                <w:tag w:val=""/>
                                <w:id w:val="2113163453"/>
                                <w:dataBinding w:prefixMappings="xmlns:ns0='http://schemas.microsoft.com/office/2006/coverPageProps' " w:xpath="/ns0:CoverPageProperties[1]/ns0:CompanyAddress[1]" w:storeItemID="{55AF091B-3C7A-41E3-B477-F2FDAA23CFDA}"/>
                                <w:text/>
                              </w:sdtPr>
                              <w:sdtContent>
                                <w:r w:rsidRPr="00B11A82">
                                  <w:rPr>
                                    <w:rFonts w:ascii="Arial Black" w:hAnsi="Arial Black"/>
                                    <w:caps/>
                                    <w:color w:val="FFFFFF" w:themeColor="background1"/>
                                    <w:sz w:val="36"/>
                                    <w:szCs w:val="36"/>
                                  </w:rPr>
                                  <w:t>BMSE4010D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BF4E14" w:themeColor="accent2" w:themeShade="BF"/>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09F5000" w14:textId="7142D9AC" w:rsidR="005B7C86" w:rsidRPr="00B11A82" w:rsidRDefault="00B11A82">
                                <w:pPr>
                                  <w:pStyle w:val="NoSpacing"/>
                                  <w:pBdr>
                                    <w:bottom w:val="single" w:sz="6" w:space="4" w:color="7F7F7F" w:themeColor="text1" w:themeTint="80"/>
                                  </w:pBdr>
                                  <w:rPr>
                                    <w:rFonts w:ascii="Arial Black" w:eastAsiaTheme="majorEastAsia" w:hAnsi="Arial Black" w:cstheme="majorBidi"/>
                                    <w:color w:val="BF4E14" w:themeColor="accent2" w:themeShade="BF"/>
                                    <w:sz w:val="72"/>
                                    <w:szCs w:val="72"/>
                                  </w:rPr>
                                </w:pPr>
                                <w:r w:rsidRPr="00B11A82">
                                  <w:rPr>
                                    <w:rFonts w:ascii="Arial Black" w:eastAsiaTheme="majorEastAsia" w:hAnsi="Arial Black" w:cstheme="majorBidi"/>
                                    <w:color w:val="BF4E14" w:themeColor="accent2" w:themeShade="BF"/>
                                    <w:sz w:val="72"/>
                                    <w:szCs w:val="72"/>
                                  </w:rPr>
                                  <w:t xml:space="preserve">Sustainable Enterprise </w:t>
                                </w:r>
                              </w:p>
                            </w:sdtContent>
                          </w:sdt>
                          <w:sdt>
                            <w:sdtPr>
                              <w:rPr>
                                <w:rFonts w:ascii="Arial Black" w:hAnsi="Arial Black"/>
                                <w:caps/>
                                <w:color w:val="BF4E14" w:themeColor="accent2"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ACCFA06" w14:textId="57E0CEE1" w:rsidR="005B7C86" w:rsidRDefault="00B11A82" w:rsidP="00B11A82">
                                <w:pPr>
                                  <w:pStyle w:val="NoSpacing"/>
                                  <w:spacing w:before="240"/>
                                  <w:jc w:val="center"/>
                                  <w:rPr>
                                    <w:caps/>
                                    <w:color w:val="0E2841" w:themeColor="text2"/>
                                    <w:sz w:val="36"/>
                                    <w:szCs w:val="36"/>
                                  </w:rPr>
                                </w:pPr>
                                <w:r w:rsidRPr="00B11A82">
                                  <w:rPr>
                                    <w:rFonts w:ascii="Arial Black" w:hAnsi="Arial Black"/>
                                    <w:caps/>
                                    <w:color w:val="BF4E14" w:themeColor="accent2" w:themeShade="BF"/>
                                    <w:sz w:val="36"/>
                                    <w:szCs w:val="36"/>
                                  </w:rPr>
                                  <w:t xml:space="preserve">Business Plan </w:t>
                                </w:r>
                              </w:p>
                            </w:sdtContent>
                          </w:sdt>
                        </w:txbxContent>
                      </v:textbox>
                    </v:shape>
                    <w10:wrap anchorx="page" anchory="page"/>
                  </v:group>
                </w:pict>
              </mc:Fallback>
            </mc:AlternateContent>
          </w:r>
        </w:p>
        <w:p w14:paraId="11D58670" w14:textId="2791EEFA" w:rsidR="005B7C86" w:rsidRDefault="005B7C86">
          <w:pPr>
            <w:rPr>
              <w:rFonts w:ascii="Arial" w:hAnsi="Arial" w:cs="Arial"/>
              <w:b/>
              <w:bCs/>
            </w:rPr>
          </w:pPr>
          <w:r>
            <w:rPr>
              <w:rFonts w:ascii="Arial" w:hAnsi="Arial" w:cs="Arial"/>
              <w:b/>
              <w:bCs/>
            </w:rPr>
            <w:br w:type="page"/>
          </w:r>
        </w:p>
      </w:sdtContent>
    </w:sdt>
    <w:p w14:paraId="0A8A97F3" w14:textId="6E6773E2" w:rsidR="00A74F0E" w:rsidRPr="0089404D" w:rsidRDefault="00A74F0E" w:rsidP="00A74F0E">
      <w:pPr>
        <w:spacing w:line="480" w:lineRule="auto"/>
        <w:jc w:val="both"/>
        <w:rPr>
          <w:rFonts w:ascii="Arial" w:hAnsi="Arial" w:cs="Arial"/>
          <w:b/>
          <w:bCs/>
        </w:rPr>
      </w:pPr>
      <w:r w:rsidRPr="0089404D">
        <w:rPr>
          <w:rFonts w:ascii="Arial" w:hAnsi="Arial" w:cs="Arial"/>
          <w:b/>
          <w:bCs/>
        </w:rPr>
        <w:lastRenderedPageBreak/>
        <w:t>Executive Summary</w:t>
      </w:r>
    </w:p>
    <w:p w14:paraId="04A3B041" w14:textId="77777777" w:rsidR="0089404D" w:rsidRDefault="00A74F0E" w:rsidP="00A74F0E">
      <w:pPr>
        <w:spacing w:line="480" w:lineRule="auto"/>
        <w:jc w:val="both"/>
        <w:rPr>
          <w:rFonts w:ascii="Arial" w:hAnsi="Arial" w:cs="Arial"/>
        </w:rPr>
      </w:pPr>
      <w:r w:rsidRPr="00A74F0E">
        <w:rPr>
          <w:rFonts w:ascii="Arial" w:hAnsi="Arial" w:cs="Arial"/>
        </w:rPr>
        <w:t>Sustainable Future Solutions (SFS) is a new organisation dedicated to providing eco-friendly consultancy and product solutions to businesses looking to reduce their environmental effect and adhere to sustainable business principles. This business plan outlines SFS's goals, strategy, resources, marketing approach, and financial projections, demonstrating how the company aims to remain successful while conforming to high environmental and social standards.</w:t>
      </w:r>
    </w:p>
    <w:p w14:paraId="420C41B4" w14:textId="77777777" w:rsidR="0089404D" w:rsidRDefault="00A74F0E" w:rsidP="00A74F0E">
      <w:pPr>
        <w:spacing w:line="480" w:lineRule="auto"/>
        <w:jc w:val="both"/>
        <w:rPr>
          <w:rFonts w:ascii="Arial" w:hAnsi="Arial" w:cs="Arial"/>
        </w:rPr>
      </w:pPr>
      <w:r w:rsidRPr="00A74F0E">
        <w:rPr>
          <w:rFonts w:ascii="Arial" w:hAnsi="Arial" w:cs="Arial"/>
        </w:rPr>
        <w:t xml:space="preserve">SFS is reacting to an increasing global demand for sustainability as regulations tighten and stakeholder awareness rises (Brundtland Commission, 1987; Kotler &amp; Armstrong, 2018). SFS will combine environmental, social, and economic factors into a single, solid strategy by providing advisory services, training programs, and a variety of green goods that provide verifiable environmental benefits. This triple-bottom-line focus (Elkington, 1997) aims to create meaningful value for both clients and </w:t>
      </w:r>
      <w:r w:rsidR="0089404D" w:rsidRPr="00A74F0E">
        <w:rPr>
          <w:rFonts w:ascii="Arial" w:hAnsi="Arial" w:cs="Arial"/>
        </w:rPr>
        <w:t>society</w:t>
      </w:r>
      <w:r w:rsidRPr="00A74F0E">
        <w:rPr>
          <w:rFonts w:ascii="Arial" w:hAnsi="Arial" w:cs="Arial"/>
        </w:rPr>
        <w:t>.</w:t>
      </w:r>
    </w:p>
    <w:p w14:paraId="4891C3C1" w14:textId="71A0057D" w:rsidR="0089404D" w:rsidRPr="0089404D" w:rsidRDefault="00A74F0E" w:rsidP="0089404D">
      <w:pPr>
        <w:pStyle w:val="ListParagraph"/>
        <w:numPr>
          <w:ilvl w:val="0"/>
          <w:numId w:val="1"/>
        </w:numPr>
        <w:spacing w:line="480" w:lineRule="auto"/>
        <w:jc w:val="both"/>
        <w:rPr>
          <w:rFonts w:ascii="Arial" w:hAnsi="Arial" w:cs="Arial"/>
          <w:b/>
          <w:bCs/>
        </w:rPr>
      </w:pPr>
      <w:r w:rsidRPr="0089404D">
        <w:rPr>
          <w:rFonts w:ascii="Arial" w:hAnsi="Arial" w:cs="Arial"/>
          <w:b/>
          <w:bCs/>
        </w:rPr>
        <w:t xml:space="preserve"> Introduction</w:t>
      </w:r>
    </w:p>
    <w:p w14:paraId="0BD986A9" w14:textId="77777777" w:rsidR="0089404D" w:rsidRDefault="00A74F0E" w:rsidP="00A74F0E">
      <w:pPr>
        <w:spacing w:line="480" w:lineRule="auto"/>
        <w:jc w:val="both"/>
        <w:rPr>
          <w:rFonts w:ascii="Arial" w:hAnsi="Arial" w:cs="Arial"/>
        </w:rPr>
      </w:pPr>
      <w:r w:rsidRPr="00A74F0E">
        <w:rPr>
          <w:rFonts w:ascii="Arial" w:hAnsi="Arial" w:cs="Arial"/>
        </w:rPr>
        <w:t>Concerns about climate change, resource depletion, and social equality have all made a substantial impact on global business. Many industries are currently under more strict rules and market constraints, forcing them to practice responsible resource management (Porter &amp; Kramer, 2011). Sustainable Future Solutions aims to capitalise on these increasing needs by assisting businesses in implementing eco-friendly practices and reducing waste.</w:t>
      </w:r>
    </w:p>
    <w:p w14:paraId="18AE500F" w14:textId="77777777" w:rsidR="0089404D" w:rsidRDefault="00A74F0E" w:rsidP="00A74F0E">
      <w:pPr>
        <w:spacing w:line="480" w:lineRule="auto"/>
        <w:jc w:val="both"/>
        <w:rPr>
          <w:rFonts w:ascii="Arial" w:hAnsi="Arial" w:cs="Arial"/>
        </w:rPr>
      </w:pPr>
      <w:r w:rsidRPr="00A74F0E">
        <w:rPr>
          <w:rFonts w:ascii="Arial" w:hAnsi="Arial" w:cs="Arial"/>
        </w:rPr>
        <w:t xml:space="preserve">According to research, businesses that prioritise sustainability can gain a competitive advantage. The possible benefits include improved brand perception, additional revenue streams, and long-term operational savings (Kotler &amp; Keller, 2016). SFS's </w:t>
      </w:r>
      <w:r w:rsidRPr="00A74F0E">
        <w:rPr>
          <w:rFonts w:ascii="Arial" w:hAnsi="Arial" w:cs="Arial"/>
        </w:rPr>
        <w:lastRenderedPageBreak/>
        <w:t>services, which are based on an understanding of environmental science and strategic management, are designed to help clients attain these benefits.</w:t>
      </w:r>
    </w:p>
    <w:p w14:paraId="6DE16815" w14:textId="1ABDB48D" w:rsidR="0089404D" w:rsidRPr="0089404D" w:rsidRDefault="00A74F0E" w:rsidP="0089404D">
      <w:pPr>
        <w:pStyle w:val="ListParagraph"/>
        <w:numPr>
          <w:ilvl w:val="0"/>
          <w:numId w:val="1"/>
        </w:numPr>
        <w:spacing w:line="480" w:lineRule="auto"/>
        <w:jc w:val="both"/>
        <w:rPr>
          <w:rFonts w:ascii="Arial" w:hAnsi="Arial" w:cs="Arial"/>
          <w:b/>
          <w:bCs/>
        </w:rPr>
      </w:pPr>
      <w:r w:rsidRPr="0089404D">
        <w:rPr>
          <w:rFonts w:ascii="Arial" w:hAnsi="Arial" w:cs="Arial"/>
          <w:b/>
          <w:bCs/>
        </w:rPr>
        <w:t>Goals &amp; Objectives</w:t>
      </w:r>
    </w:p>
    <w:p w14:paraId="13DDDA0F" w14:textId="77777777" w:rsidR="0089404D" w:rsidRDefault="00A74F0E" w:rsidP="00A74F0E">
      <w:pPr>
        <w:spacing w:line="480" w:lineRule="auto"/>
        <w:jc w:val="both"/>
        <w:rPr>
          <w:rFonts w:ascii="Arial" w:hAnsi="Arial" w:cs="Arial"/>
        </w:rPr>
      </w:pPr>
      <w:r w:rsidRPr="00A74F0E">
        <w:rPr>
          <w:rFonts w:ascii="Arial" w:hAnsi="Arial" w:cs="Arial"/>
        </w:rPr>
        <w:t>SFS seeks to establish a legitimate market position, encourage environmental responsibility among its clients, and achieve a steady revenue foundation to support growth. The company's initial goal is to build brand recognition within the first year, focussing on a comprehensive approach to sustainability consulting and product solutions.</w:t>
      </w:r>
    </w:p>
    <w:p w14:paraId="454CADC7" w14:textId="77777777" w:rsidR="0089404D" w:rsidRDefault="00A74F0E" w:rsidP="00A74F0E">
      <w:pPr>
        <w:spacing w:line="480" w:lineRule="auto"/>
        <w:jc w:val="both"/>
        <w:rPr>
          <w:rFonts w:ascii="Arial" w:hAnsi="Arial" w:cs="Arial"/>
        </w:rPr>
      </w:pPr>
      <w:r w:rsidRPr="00A74F0E">
        <w:rPr>
          <w:rFonts w:ascii="Arial" w:hAnsi="Arial" w:cs="Arial"/>
        </w:rPr>
        <w:t>One critical goal is to quickly build a core set of consulting clients while also forming vital alliances. This includes focussing on small and medium-sized businesses who need practical, cheap ways to compliance and brand enhancement, as well as supporting larger firms that must adjust to changing rules. SFS intends to create and market a first product line comprising recycled packaging and energy-saving gadgets within six months. In addition, the organisation intends to hold many sustainability-related training sessions each year (Kotler &amp; Keller, 2016).</w:t>
      </w:r>
    </w:p>
    <w:p w14:paraId="70A86D89" w14:textId="77777777" w:rsidR="0089404D" w:rsidRDefault="00A74F0E" w:rsidP="00A74F0E">
      <w:pPr>
        <w:spacing w:line="480" w:lineRule="auto"/>
        <w:jc w:val="both"/>
        <w:rPr>
          <w:rFonts w:ascii="Arial" w:hAnsi="Arial" w:cs="Arial"/>
        </w:rPr>
      </w:pPr>
      <w:r w:rsidRPr="00A74F0E">
        <w:rPr>
          <w:rFonts w:ascii="Arial" w:hAnsi="Arial" w:cs="Arial"/>
        </w:rPr>
        <w:t>Another aim is to build a strong team of environmental analysts, engineers, and business specialists capable of delivering effective client solutions (Johnson, Scholes, &amp; Whittington, 2020). The goal is to keep overall operating expenditures at 70% of sales in the first year, dropping to 60% at the end of the second year. This economically responsible approach echoes SFS's commitment to long-term prosperity.</w:t>
      </w:r>
    </w:p>
    <w:p w14:paraId="0ED8AF5E" w14:textId="60199614" w:rsidR="0089404D" w:rsidRPr="0089404D" w:rsidRDefault="00A74F0E" w:rsidP="0089404D">
      <w:pPr>
        <w:pStyle w:val="ListParagraph"/>
        <w:numPr>
          <w:ilvl w:val="0"/>
          <w:numId w:val="1"/>
        </w:numPr>
        <w:spacing w:line="480" w:lineRule="auto"/>
        <w:jc w:val="both"/>
        <w:rPr>
          <w:rFonts w:ascii="Arial" w:hAnsi="Arial" w:cs="Arial"/>
          <w:b/>
          <w:bCs/>
        </w:rPr>
      </w:pPr>
      <w:r w:rsidRPr="0089404D">
        <w:rPr>
          <w:rFonts w:ascii="Arial" w:hAnsi="Arial" w:cs="Arial"/>
          <w:b/>
          <w:bCs/>
        </w:rPr>
        <w:t>Sustainability Approach</w:t>
      </w:r>
    </w:p>
    <w:p w14:paraId="1C948976" w14:textId="77777777" w:rsidR="0089404D" w:rsidRDefault="00A74F0E" w:rsidP="00A74F0E">
      <w:pPr>
        <w:spacing w:line="480" w:lineRule="auto"/>
        <w:jc w:val="both"/>
        <w:rPr>
          <w:rFonts w:ascii="Arial" w:hAnsi="Arial" w:cs="Arial"/>
        </w:rPr>
      </w:pPr>
      <w:r w:rsidRPr="00A74F0E">
        <w:rPr>
          <w:rFonts w:ascii="Arial" w:hAnsi="Arial" w:cs="Arial"/>
        </w:rPr>
        <w:t xml:space="preserve">SFS's sustainability concept is based on the triple bottom line model (Elkington, 1997). Environmentally, the corporation will reduce its own carbon footprint through energy-efficient office operations, remote work rules, and responsible supply sourcing </w:t>
      </w:r>
      <w:r w:rsidRPr="00A74F0E">
        <w:rPr>
          <w:rFonts w:ascii="Arial" w:hAnsi="Arial" w:cs="Arial"/>
        </w:rPr>
        <w:lastRenderedPageBreak/>
        <w:t>(Environmental Protection Agency, 2020). Externally, SFS will help clients explore ways to decrease waste, pollution, and switch to renewable energy sources.</w:t>
      </w:r>
    </w:p>
    <w:p w14:paraId="4168C734" w14:textId="77777777" w:rsidR="0089404D" w:rsidRDefault="00A74F0E" w:rsidP="00A74F0E">
      <w:pPr>
        <w:spacing w:line="480" w:lineRule="auto"/>
        <w:jc w:val="both"/>
        <w:rPr>
          <w:rFonts w:ascii="Arial" w:hAnsi="Arial" w:cs="Arial"/>
        </w:rPr>
      </w:pPr>
      <w:r w:rsidRPr="00A74F0E">
        <w:rPr>
          <w:rFonts w:ascii="Arial" w:hAnsi="Arial" w:cs="Arial"/>
        </w:rPr>
        <w:t>Advocating for ethical labour standards throughout supplier chains, as well as community education and staff development programs, all contribute to social sustainability. The corporation will require its suppliers and partners to be transparent about working conditions and material sourcing, ensuring that all stakeholders benefit from long-term improvements in quality of life.</w:t>
      </w:r>
    </w:p>
    <w:p w14:paraId="08F41ED3" w14:textId="77777777" w:rsidR="0089404D" w:rsidRDefault="00A74F0E" w:rsidP="00A74F0E">
      <w:pPr>
        <w:spacing w:line="480" w:lineRule="auto"/>
        <w:jc w:val="both"/>
        <w:rPr>
          <w:rFonts w:ascii="Arial" w:hAnsi="Arial" w:cs="Arial"/>
        </w:rPr>
      </w:pPr>
      <w:r w:rsidRPr="00A74F0E">
        <w:rPr>
          <w:rFonts w:ascii="Arial" w:hAnsi="Arial" w:cs="Arial"/>
        </w:rPr>
        <w:t>Economic sustainability will be maintained by emphasising profit models that provide significant savings for customers. This includes energy-saving methods, compliance with rules that might otherwise result in penalties, and a better brand reputation among increasingly environmentally sensitive clients (Kotler &amp; Armstrong, 2018). By comparing its own financial health to client success rates, SFS will demonstrate that maintaining the environment and serving communities has no impact on profitability.</w:t>
      </w:r>
    </w:p>
    <w:p w14:paraId="3D1558E8" w14:textId="2C9820CE" w:rsidR="0089404D" w:rsidRPr="0089404D" w:rsidRDefault="00A74F0E" w:rsidP="0089404D">
      <w:pPr>
        <w:pStyle w:val="ListParagraph"/>
        <w:numPr>
          <w:ilvl w:val="0"/>
          <w:numId w:val="1"/>
        </w:numPr>
        <w:spacing w:line="480" w:lineRule="auto"/>
        <w:jc w:val="both"/>
        <w:rPr>
          <w:rFonts w:ascii="Arial" w:hAnsi="Arial" w:cs="Arial"/>
          <w:b/>
          <w:bCs/>
        </w:rPr>
      </w:pPr>
      <w:r w:rsidRPr="0089404D">
        <w:rPr>
          <w:rFonts w:ascii="Arial" w:hAnsi="Arial" w:cs="Arial"/>
          <w:b/>
          <w:bCs/>
        </w:rPr>
        <w:t>Resource requirements</w:t>
      </w:r>
    </w:p>
    <w:p w14:paraId="48021DA4" w14:textId="77777777" w:rsidR="0089404D" w:rsidRDefault="00A74F0E" w:rsidP="00A74F0E">
      <w:pPr>
        <w:spacing w:line="480" w:lineRule="auto"/>
        <w:jc w:val="both"/>
        <w:rPr>
          <w:rFonts w:ascii="Arial" w:hAnsi="Arial" w:cs="Arial"/>
        </w:rPr>
      </w:pPr>
      <w:r w:rsidRPr="00A74F0E">
        <w:rPr>
          <w:rFonts w:ascii="Arial" w:hAnsi="Arial" w:cs="Arial"/>
        </w:rPr>
        <w:t>Physical infrastructure will comprise an office in a business location that is easily accessible by public transport, allowing employees to commute without significantly contributing to carbon emissions. This site will have energy-efficient lighting and climate management. In addition, an initial stock of environmentally responsible products</w:t>
      </w:r>
      <w:r w:rsidR="0089404D">
        <w:rPr>
          <w:rFonts w:ascii="Arial" w:hAnsi="Arial" w:cs="Arial"/>
        </w:rPr>
        <w:t>-</w:t>
      </w:r>
      <w:r w:rsidRPr="00A74F0E">
        <w:rPr>
          <w:rFonts w:ascii="Arial" w:hAnsi="Arial" w:cs="Arial"/>
        </w:rPr>
        <w:t>such as recycled office supplies and energy-efficient equipment</w:t>
      </w:r>
      <w:r w:rsidR="0089404D">
        <w:rPr>
          <w:rFonts w:ascii="Arial" w:hAnsi="Arial" w:cs="Arial"/>
        </w:rPr>
        <w:t>-</w:t>
      </w:r>
      <w:r w:rsidRPr="00A74F0E">
        <w:rPr>
          <w:rFonts w:ascii="Arial" w:hAnsi="Arial" w:cs="Arial"/>
        </w:rPr>
        <w:t>will be kept on hand for delivery to early clients.</w:t>
      </w:r>
    </w:p>
    <w:p w14:paraId="3FCBE91B" w14:textId="357E43F7" w:rsidR="00A74F0E" w:rsidRPr="00A74F0E" w:rsidRDefault="00A74F0E" w:rsidP="00A74F0E">
      <w:pPr>
        <w:spacing w:line="480" w:lineRule="auto"/>
        <w:jc w:val="both"/>
        <w:rPr>
          <w:rFonts w:ascii="Arial" w:hAnsi="Arial" w:cs="Arial"/>
        </w:rPr>
      </w:pPr>
      <w:r w:rsidRPr="00A74F0E">
        <w:rPr>
          <w:rFonts w:ascii="Arial" w:hAnsi="Arial" w:cs="Arial"/>
        </w:rPr>
        <w:t>SFS will also invest in a robust IT framework to provide seamless virtual collaboration and data sharing. This involves using cloud-based software, energy-efficient servers, and video conferencing capabilities to minimise the need for travel.</w:t>
      </w:r>
    </w:p>
    <w:p w14:paraId="0CBA9045" w14:textId="77777777" w:rsidR="00A74F0E" w:rsidRPr="00A74F0E" w:rsidRDefault="00A74F0E" w:rsidP="00A74F0E">
      <w:pPr>
        <w:spacing w:line="480" w:lineRule="auto"/>
        <w:jc w:val="both"/>
        <w:rPr>
          <w:rFonts w:ascii="Arial" w:hAnsi="Arial" w:cs="Arial"/>
        </w:rPr>
      </w:pPr>
    </w:p>
    <w:p w14:paraId="32687468" w14:textId="77777777" w:rsidR="0089404D" w:rsidRDefault="00A74F0E" w:rsidP="00A74F0E">
      <w:pPr>
        <w:spacing w:line="480" w:lineRule="auto"/>
        <w:jc w:val="both"/>
        <w:rPr>
          <w:rFonts w:ascii="Arial" w:hAnsi="Arial" w:cs="Arial"/>
        </w:rPr>
      </w:pPr>
      <w:r w:rsidRPr="00A74F0E">
        <w:rPr>
          <w:rFonts w:ascii="Arial" w:hAnsi="Arial" w:cs="Arial"/>
        </w:rPr>
        <w:lastRenderedPageBreak/>
        <w:t>Human resources will have a management team with backgrounds in environmental science, marketing, finance, and project management (Johnson et al., 2020). Consultants and engineers will be recruited on a full-time or contract basis, depending on project requirements. A smaller sales and marketing team will focus on lead generation, client relationship management, and strategic alliances.</w:t>
      </w:r>
    </w:p>
    <w:p w14:paraId="7B74467C" w14:textId="77777777" w:rsidR="0089404D" w:rsidRDefault="00A74F0E" w:rsidP="00A74F0E">
      <w:pPr>
        <w:spacing w:line="480" w:lineRule="auto"/>
        <w:jc w:val="both"/>
        <w:rPr>
          <w:rFonts w:ascii="Arial" w:hAnsi="Arial" w:cs="Arial"/>
        </w:rPr>
      </w:pPr>
      <w:r w:rsidRPr="00A74F0E">
        <w:rPr>
          <w:rFonts w:ascii="Arial" w:hAnsi="Arial" w:cs="Arial"/>
        </w:rPr>
        <w:t>Financially, the company intends to raise approximately £300,000 in seed funding to cover start-up expenditures for the first six months, which include office rent, staffing, first product inventory, and marketing. If necessary, short-term loans or government grants for green enterprise might be pursued (</w:t>
      </w:r>
      <w:proofErr w:type="spellStart"/>
      <w:r w:rsidRPr="00A74F0E">
        <w:rPr>
          <w:rFonts w:ascii="Arial" w:hAnsi="Arial" w:cs="Arial"/>
        </w:rPr>
        <w:t>Bocken</w:t>
      </w:r>
      <w:proofErr w:type="spellEnd"/>
      <w:r w:rsidRPr="00A74F0E">
        <w:rPr>
          <w:rFonts w:ascii="Arial" w:hAnsi="Arial" w:cs="Arial"/>
        </w:rPr>
        <w:t xml:space="preserve"> et al., 2014). Working capital buffers will be maintained to cover expenses until revenue stabilises.</w:t>
      </w:r>
    </w:p>
    <w:p w14:paraId="22BE2C00" w14:textId="5A56B02C" w:rsidR="0089404D" w:rsidRPr="0089404D" w:rsidRDefault="00A74F0E" w:rsidP="0089404D">
      <w:pPr>
        <w:pStyle w:val="ListParagraph"/>
        <w:numPr>
          <w:ilvl w:val="0"/>
          <w:numId w:val="1"/>
        </w:numPr>
        <w:spacing w:line="480" w:lineRule="auto"/>
        <w:jc w:val="both"/>
        <w:rPr>
          <w:rFonts w:ascii="Arial" w:hAnsi="Arial" w:cs="Arial"/>
          <w:b/>
          <w:bCs/>
        </w:rPr>
      </w:pPr>
      <w:r w:rsidRPr="0089404D">
        <w:rPr>
          <w:rFonts w:ascii="Arial" w:hAnsi="Arial" w:cs="Arial"/>
          <w:b/>
          <w:bCs/>
        </w:rPr>
        <w:t>Marketing Strategy</w:t>
      </w:r>
    </w:p>
    <w:p w14:paraId="7A9199CC" w14:textId="77777777" w:rsidR="007E5CA8" w:rsidRDefault="00A74F0E" w:rsidP="00A74F0E">
      <w:pPr>
        <w:spacing w:line="480" w:lineRule="auto"/>
        <w:jc w:val="both"/>
        <w:rPr>
          <w:rFonts w:ascii="Arial" w:hAnsi="Arial" w:cs="Arial"/>
        </w:rPr>
      </w:pPr>
      <w:r w:rsidRPr="00A74F0E">
        <w:rPr>
          <w:rFonts w:ascii="Arial" w:hAnsi="Arial" w:cs="Arial"/>
        </w:rPr>
        <w:t>SFS differentiates its products by demonstrating outcomes in waste and expense reduction, sharing success stories, and displaying verified data. The target market consists of small and medium-sized businesses that want cost-effective techniques, as well as larger organisations that want to achieve internal or external sustainability benchmarks (European Commission, 2020). Given the public sector's desire to match policies with environmental goals, government agencies constitute an additional market niche.</w:t>
      </w:r>
    </w:p>
    <w:p w14:paraId="454559A9" w14:textId="6630D614" w:rsidR="00A74F0E" w:rsidRPr="00A74F0E" w:rsidRDefault="00A74F0E" w:rsidP="00A74F0E">
      <w:pPr>
        <w:spacing w:line="480" w:lineRule="auto"/>
        <w:jc w:val="both"/>
        <w:rPr>
          <w:rFonts w:ascii="Arial" w:hAnsi="Arial" w:cs="Arial"/>
        </w:rPr>
      </w:pPr>
      <w:r w:rsidRPr="00A74F0E">
        <w:rPr>
          <w:rFonts w:ascii="Arial" w:hAnsi="Arial" w:cs="Arial"/>
        </w:rPr>
        <w:t>The company's value proposition focusses on cost reductions, legislative compliance, and client reputation improvement. This messaging is intended to resonate with top decision-makers who must balance finances against the costs of noncompliance and negative public perception (Kotler &amp; Armstrong, 2018).</w:t>
      </w:r>
    </w:p>
    <w:p w14:paraId="108D7F64" w14:textId="77777777" w:rsidR="00A74F0E" w:rsidRPr="00A74F0E" w:rsidRDefault="00A74F0E" w:rsidP="00A74F0E">
      <w:pPr>
        <w:spacing w:line="480" w:lineRule="auto"/>
        <w:jc w:val="both"/>
        <w:rPr>
          <w:rFonts w:ascii="Arial" w:hAnsi="Arial" w:cs="Arial"/>
        </w:rPr>
      </w:pPr>
    </w:p>
    <w:p w14:paraId="3F144E2B" w14:textId="77777777" w:rsidR="007E5CA8" w:rsidRDefault="00A74F0E" w:rsidP="00A74F0E">
      <w:pPr>
        <w:spacing w:line="480" w:lineRule="auto"/>
        <w:jc w:val="both"/>
        <w:rPr>
          <w:rFonts w:ascii="Arial" w:hAnsi="Arial" w:cs="Arial"/>
        </w:rPr>
      </w:pPr>
      <w:r w:rsidRPr="00A74F0E">
        <w:rPr>
          <w:rFonts w:ascii="Arial" w:hAnsi="Arial" w:cs="Arial"/>
        </w:rPr>
        <w:lastRenderedPageBreak/>
        <w:t>SFS's outreach strategy relies heavily on digital marketing. Social media platforms, a well-optimized company website, and webinars will be used to provide best practices, industry updates, and practical advice. SFS also intends to engage in thought leadership projects by publishing articles and white papers that demonstrate its knowledge, as well as forming connections with green technology companies and industry associations.</w:t>
      </w:r>
    </w:p>
    <w:p w14:paraId="6F5E3FD1" w14:textId="77777777" w:rsidR="007E5CA8" w:rsidRDefault="00A74F0E" w:rsidP="00A74F0E">
      <w:pPr>
        <w:spacing w:line="480" w:lineRule="auto"/>
        <w:jc w:val="both"/>
        <w:rPr>
          <w:rFonts w:ascii="Arial" w:hAnsi="Arial" w:cs="Arial"/>
        </w:rPr>
      </w:pPr>
      <w:r w:rsidRPr="00A74F0E">
        <w:rPr>
          <w:rFonts w:ascii="Arial" w:hAnsi="Arial" w:cs="Arial"/>
        </w:rPr>
        <w:t>A tiered pricing approach can accommodate different customer sizes and budgets. This flexibility allows SMEs to connect with SFS through a low-cost entry-level package, while corporate clients can obtain more extensive solutions that include carbon footprint analysis, employee training, and the construction of renewable energy systems.</w:t>
      </w:r>
    </w:p>
    <w:p w14:paraId="7D27CFC7" w14:textId="7C19742F" w:rsidR="007E5CA8" w:rsidRPr="007E5CA8" w:rsidRDefault="00A74F0E" w:rsidP="007E5CA8">
      <w:pPr>
        <w:pStyle w:val="ListParagraph"/>
        <w:numPr>
          <w:ilvl w:val="0"/>
          <w:numId w:val="1"/>
        </w:numPr>
        <w:spacing w:line="480" w:lineRule="auto"/>
        <w:jc w:val="both"/>
        <w:rPr>
          <w:rFonts w:ascii="Arial" w:hAnsi="Arial" w:cs="Arial"/>
          <w:b/>
          <w:bCs/>
        </w:rPr>
      </w:pPr>
      <w:r w:rsidRPr="007E5CA8">
        <w:rPr>
          <w:rFonts w:ascii="Arial" w:hAnsi="Arial" w:cs="Arial"/>
          <w:b/>
          <w:bCs/>
        </w:rPr>
        <w:t>PESTLE Analysis</w:t>
      </w:r>
    </w:p>
    <w:p w14:paraId="79FFE93D" w14:textId="77777777" w:rsidR="007E5CA8" w:rsidRDefault="00A74F0E" w:rsidP="00A74F0E">
      <w:pPr>
        <w:spacing w:line="480" w:lineRule="auto"/>
        <w:jc w:val="both"/>
        <w:rPr>
          <w:rFonts w:ascii="Arial" w:hAnsi="Arial" w:cs="Arial"/>
        </w:rPr>
      </w:pPr>
      <w:r w:rsidRPr="00A74F0E">
        <w:rPr>
          <w:rFonts w:ascii="Arial" w:hAnsi="Arial" w:cs="Arial"/>
        </w:rPr>
        <w:t>SFS understands that its market setting is shaped by political, economic, social, technological, legal, and environmental issues (Johnson et al., 2020). The political climate is more supportive of sustainable activities via legislative frameworks and grants (European Commission, 2020), while changes in political leadership may alter objectives. Businesses face economic pressure to cut costs while still meeting investor expectations for environmental, social, and governance performance. A recession may cause some businesses to postpone sustainability projects, but many others see sustainability as a risk management strategy.</w:t>
      </w:r>
    </w:p>
    <w:p w14:paraId="1275090D" w14:textId="77777777" w:rsidR="007E5CA8" w:rsidRDefault="00A74F0E" w:rsidP="00A74F0E">
      <w:pPr>
        <w:spacing w:line="480" w:lineRule="auto"/>
        <w:jc w:val="both"/>
        <w:rPr>
          <w:rFonts w:ascii="Arial" w:hAnsi="Arial" w:cs="Arial"/>
        </w:rPr>
      </w:pPr>
      <w:r w:rsidRPr="00A74F0E">
        <w:rPr>
          <w:rFonts w:ascii="Arial" w:hAnsi="Arial" w:cs="Arial"/>
        </w:rPr>
        <w:t>Consumers are increasingly concerned about climate change and ethical sourcing, which is driving them to choose sustainable businesses. Rapid technological advancement is generating new goods and software that simplify sustainable activities (Baldassarre &amp; Campo, 2016). Nonetheless, SFS must consistently spend in up-to-</w:t>
      </w:r>
      <w:r w:rsidRPr="00A74F0E">
        <w:rPr>
          <w:rFonts w:ascii="Arial" w:hAnsi="Arial" w:cs="Arial"/>
        </w:rPr>
        <w:lastRenderedPageBreak/>
        <w:t xml:space="preserve">date training to guarantee that its team is familiar with </w:t>
      </w:r>
      <w:r w:rsidR="007E5CA8" w:rsidRPr="00A74F0E">
        <w:rPr>
          <w:rFonts w:ascii="Arial" w:hAnsi="Arial" w:cs="Arial"/>
        </w:rPr>
        <w:t>this technology</w:t>
      </w:r>
      <w:r w:rsidRPr="00A74F0E">
        <w:rPr>
          <w:rFonts w:ascii="Arial" w:hAnsi="Arial" w:cs="Arial"/>
        </w:rPr>
        <w:t xml:space="preserve">. The legal environment has become </w:t>
      </w:r>
      <w:r w:rsidR="007E5CA8" w:rsidRPr="00A74F0E">
        <w:rPr>
          <w:rFonts w:ascii="Arial" w:hAnsi="Arial" w:cs="Arial"/>
        </w:rPr>
        <w:t>stricter</w:t>
      </w:r>
      <w:r w:rsidRPr="00A74F0E">
        <w:rPr>
          <w:rFonts w:ascii="Arial" w:hAnsi="Arial" w:cs="Arial"/>
        </w:rPr>
        <w:t xml:space="preserve"> in terms of emissions and waste rules, emphasising the importance of SFS services. Finally, environmental changes like harsh weather and resource constraint highlight the importance of effective sustainability measures in both the business and public sectors.</w:t>
      </w:r>
    </w:p>
    <w:p w14:paraId="29FB56C0" w14:textId="0BB43E98" w:rsidR="007E5CA8" w:rsidRPr="007E5CA8" w:rsidRDefault="00A74F0E" w:rsidP="007E5CA8">
      <w:pPr>
        <w:pStyle w:val="ListParagraph"/>
        <w:numPr>
          <w:ilvl w:val="0"/>
          <w:numId w:val="1"/>
        </w:numPr>
        <w:spacing w:line="480" w:lineRule="auto"/>
        <w:jc w:val="both"/>
        <w:rPr>
          <w:rFonts w:ascii="Arial" w:hAnsi="Arial" w:cs="Arial"/>
          <w:b/>
          <w:bCs/>
        </w:rPr>
      </w:pPr>
      <w:r w:rsidRPr="007E5CA8">
        <w:rPr>
          <w:rFonts w:ascii="Arial" w:hAnsi="Arial" w:cs="Arial"/>
          <w:b/>
          <w:bCs/>
        </w:rPr>
        <w:t>SWOT Analysis</w:t>
      </w:r>
    </w:p>
    <w:p w14:paraId="4BFAD9A4" w14:textId="77777777" w:rsidR="007E5CA8" w:rsidRDefault="00A74F0E" w:rsidP="00A74F0E">
      <w:pPr>
        <w:spacing w:line="480" w:lineRule="auto"/>
        <w:jc w:val="both"/>
        <w:rPr>
          <w:rFonts w:ascii="Arial" w:hAnsi="Arial" w:cs="Arial"/>
        </w:rPr>
      </w:pPr>
      <w:r w:rsidRPr="00A74F0E">
        <w:rPr>
          <w:rFonts w:ascii="Arial" w:hAnsi="Arial" w:cs="Arial"/>
        </w:rPr>
        <w:t>An internal review identifies crucial strengths and shortcomings, while external factors inform prospective opportunities and dangers. SFS boasts a skilled staff of environmental scientists, engineers, and business professionals (Johnson et al., 2020). This interdisciplinary skill set provides comprehensive solutions that address several aspects of sustainability in one offering (Elkington, 1997). Another advantage is the company's agile start-up atmosphere, which enables swift adaption to emerging markets or technology improvements.</w:t>
      </w:r>
    </w:p>
    <w:p w14:paraId="6DDC13C8" w14:textId="77777777" w:rsidR="007E5CA8" w:rsidRDefault="00A74F0E" w:rsidP="00A74F0E">
      <w:pPr>
        <w:spacing w:line="480" w:lineRule="auto"/>
        <w:jc w:val="both"/>
        <w:rPr>
          <w:rFonts w:ascii="Arial" w:hAnsi="Arial" w:cs="Arial"/>
        </w:rPr>
      </w:pPr>
      <w:r w:rsidRPr="00A74F0E">
        <w:rPr>
          <w:rFonts w:ascii="Arial" w:hAnsi="Arial" w:cs="Arial"/>
        </w:rPr>
        <w:t>Weaknesses include low brand recognition and inadequate funding for large-scale marketing campaigns. As a new entry, SFS must work hard to establish reputation and may rely on a smaller set of early users.</w:t>
      </w:r>
    </w:p>
    <w:p w14:paraId="7E2037B4" w14:textId="77777777" w:rsidR="007E5CA8" w:rsidRDefault="00A74F0E" w:rsidP="00A74F0E">
      <w:pPr>
        <w:spacing w:line="480" w:lineRule="auto"/>
        <w:jc w:val="both"/>
        <w:rPr>
          <w:rFonts w:ascii="Arial" w:hAnsi="Arial" w:cs="Arial"/>
        </w:rPr>
      </w:pPr>
      <w:r w:rsidRPr="00A74F0E">
        <w:rPr>
          <w:rFonts w:ascii="Arial" w:hAnsi="Arial" w:cs="Arial"/>
        </w:rPr>
        <w:t>Opportunities occur when a growing market of firms and public-sector bodies seek help on satisfying environmental requirements and implementing effective, cost-saving programs (European Commission, 2020). Collaborations with non-governmental organisations can boost SFS's reputation and visibility. Training services are also in demand, particularly as corporate sustainability officers seek to educate employees on compliance and ethical business practices.</w:t>
      </w:r>
    </w:p>
    <w:p w14:paraId="423C62E8" w14:textId="77777777" w:rsidR="007E5CA8" w:rsidRDefault="00A74F0E" w:rsidP="00A74F0E">
      <w:pPr>
        <w:spacing w:line="480" w:lineRule="auto"/>
        <w:jc w:val="both"/>
        <w:rPr>
          <w:rFonts w:ascii="Arial" w:hAnsi="Arial" w:cs="Arial"/>
        </w:rPr>
      </w:pPr>
      <w:r w:rsidRPr="00A74F0E">
        <w:rPr>
          <w:rFonts w:ascii="Arial" w:hAnsi="Arial" w:cs="Arial"/>
        </w:rPr>
        <w:t xml:space="preserve">Threats include fierce competition from established sustainability firms with higher budgets, proven track records, and worldwide reach. Economic downturns can lower </w:t>
      </w:r>
      <w:r w:rsidRPr="00A74F0E">
        <w:rPr>
          <w:rFonts w:ascii="Arial" w:hAnsi="Arial" w:cs="Arial"/>
        </w:rPr>
        <w:lastRenderedPageBreak/>
        <w:t>client spending, and unexpected changes in regulatory frameworks might diminish the perceived necessity of implementing advanced sustainability measures.</w:t>
      </w:r>
    </w:p>
    <w:p w14:paraId="2811BA6E" w14:textId="6EB61F31" w:rsidR="007E5CA8" w:rsidRPr="007E5CA8" w:rsidRDefault="00A74F0E" w:rsidP="007E5CA8">
      <w:pPr>
        <w:pStyle w:val="ListParagraph"/>
        <w:numPr>
          <w:ilvl w:val="0"/>
          <w:numId w:val="1"/>
        </w:numPr>
        <w:spacing w:line="480" w:lineRule="auto"/>
        <w:jc w:val="both"/>
        <w:rPr>
          <w:rFonts w:ascii="Arial" w:hAnsi="Arial" w:cs="Arial"/>
          <w:b/>
          <w:bCs/>
        </w:rPr>
      </w:pPr>
      <w:r w:rsidRPr="007E5CA8">
        <w:rPr>
          <w:rFonts w:ascii="Arial" w:hAnsi="Arial" w:cs="Arial"/>
          <w:b/>
          <w:bCs/>
        </w:rPr>
        <w:t>Financial Cash Flow Projection</w:t>
      </w:r>
    </w:p>
    <w:p w14:paraId="6277E635" w14:textId="3F1F1FBF" w:rsidR="00A74F0E" w:rsidRDefault="00A74F0E" w:rsidP="00A74F0E">
      <w:pPr>
        <w:spacing w:line="480" w:lineRule="auto"/>
        <w:jc w:val="both"/>
        <w:rPr>
          <w:rFonts w:ascii="Arial" w:hAnsi="Arial" w:cs="Arial"/>
        </w:rPr>
      </w:pPr>
      <w:r w:rsidRPr="00A74F0E">
        <w:rPr>
          <w:rFonts w:ascii="Arial" w:hAnsi="Arial" w:cs="Arial"/>
        </w:rPr>
        <w:t>SFS expects to incur start-up costs such as office rent, initial product inventory, and marketing expenses within its first year. Consulting income, product sales, and training fees are expected to rise gradually over the next 12 months. This shift from negative to positive cashflow is critical to the company's goal of reaching breakeven and producing profits by the end of the first year. The table below shows a simplified prediction of monthly cashflow in British pounds.</w:t>
      </w:r>
    </w:p>
    <w:tbl>
      <w:tblPr>
        <w:tblW w:w="11039" w:type="dxa"/>
        <w:tblCellSpacing w:w="15" w:type="dxa"/>
        <w:tblInd w:w="-1021"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225"/>
        <w:gridCol w:w="847"/>
        <w:gridCol w:w="848"/>
        <w:gridCol w:w="848"/>
        <w:gridCol w:w="800"/>
        <w:gridCol w:w="800"/>
        <w:gridCol w:w="791"/>
        <w:gridCol w:w="791"/>
        <w:gridCol w:w="791"/>
        <w:gridCol w:w="791"/>
        <w:gridCol w:w="854"/>
        <w:gridCol w:w="854"/>
        <w:gridCol w:w="799"/>
      </w:tblGrid>
      <w:tr w:rsidR="00E35265" w:rsidRPr="00E35265" w14:paraId="02C4B8A7" w14:textId="77777777" w:rsidTr="00E35265">
        <w:trPr>
          <w:trHeight w:val="751"/>
          <w:tblHeader/>
          <w:tblCellSpacing w:w="15" w:type="dxa"/>
        </w:trPr>
        <w:tc>
          <w:tcPr>
            <w:tcW w:w="1181" w:type="dxa"/>
            <w:shd w:val="clear" w:color="auto" w:fill="F6C5AC" w:themeFill="accent2" w:themeFillTint="66"/>
            <w:vAlign w:val="center"/>
            <w:hideMark/>
          </w:tcPr>
          <w:p w14:paraId="310A0D54"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Category</w:t>
            </w:r>
          </w:p>
        </w:tc>
        <w:tc>
          <w:tcPr>
            <w:tcW w:w="0" w:type="auto"/>
            <w:shd w:val="clear" w:color="auto" w:fill="F6C5AC" w:themeFill="accent2" w:themeFillTint="66"/>
            <w:vAlign w:val="center"/>
            <w:hideMark/>
          </w:tcPr>
          <w:p w14:paraId="69AE2FAF"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1</w:t>
            </w:r>
          </w:p>
        </w:tc>
        <w:tc>
          <w:tcPr>
            <w:tcW w:w="0" w:type="auto"/>
            <w:shd w:val="clear" w:color="auto" w:fill="F6C5AC" w:themeFill="accent2" w:themeFillTint="66"/>
            <w:vAlign w:val="center"/>
            <w:hideMark/>
          </w:tcPr>
          <w:p w14:paraId="5A683ECD"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2</w:t>
            </w:r>
          </w:p>
        </w:tc>
        <w:tc>
          <w:tcPr>
            <w:tcW w:w="0" w:type="auto"/>
            <w:shd w:val="clear" w:color="auto" w:fill="F6C5AC" w:themeFill="accent2" w:themeFillTint="66"/>
            <w:vAlign w:val="center"/>
            <w:hideMark/>
          </w:tcPr>
          <w:p w14:paraId="6C3E281F"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3</w:t>
            </w:r>
          </w:p>
        </w:tc>
        <w:tc>
          <w:tcPr>
            <w:tcW w:w="0" w:type="auto"/>
            <w:shd w:val="clear" w:color="auto" w:fill="F6C5AC" w:themeFill="accent2" w:themeFillTint="66"/>
            <w:vAlign w:val="center"/>
            <w:hideMark/>
          </w:tcPr>
          <w:p w14:paraId="27960B73"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4</w:t>
            </w:r>
          </w:p>
        </w:tc>
        <w:tc>
          <w:tcPr>
            <w:tcW w:w="0" w:type="auto"/>
            <w:shd w:val="clear" w:color="auto" w:fill="F6C5AC" w:themeFill="accent2" w:themeFillTint="66"/>
            <w:vAlign w:val="center"/>
            <w:hideMark/>
          </w:tcPr>
          <w:p w14:paraId="4241FAB1"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5</w:t>
            </w:r>
          </w:p>
        </w:tc>
        <w:tc>
          <w:tcPr>
            <w:tcW w:w="0" w:type="auto"/>
            <w:shd w:val="clear" w:color="auto" w:fill="F6C5AC" w:themeFill="accent2" w:themeFillTint="66"/>
            <w:vAlign w:val="center"/>
            <w:hideMark/>
          </w:tcPr>
          <w:p w14:paraId="783B2FD0"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6</w:t>
            </w:r>
          </w:p>
        </w:tc>
        <w:tc>
          <w:tcPr>
            <w:tcW w:w="0" w:type="auto"/>
            <w:shd w:val="clear" w:color="auto" w:fill="F6C5AC" w:themeFill="accent2" w:themeFillTint="66"/>
            <w:vAlign w:val="center"/>
            <w:hideMark/>
          </w:tcPr>
          <w:p w14:paraId="11A644C3"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7</w:t>
            </w:r>
          </w:p>
        </w:tc>
        <w:tc>
          <w:tcPr>
            <w:tcW w:w="0" w:type="auto"/>
            <w:shd w:val="clear" w:color="auto" w:fill="F6C5AC" w:themeFill="accent2" w:themeFillTint="66"/>
            <w:vAlign w:val="center"/>
            <w:hideMark/>
          </w:tcPr>
          <w:p w14:paraId="32A8AC9B"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8</w:t>
            </w:r>
          </w:p>
        </w:tc>
        <w:tc>
          <w:tcPr>
            <w:tcW w:w="0" w:type="auto"/>
            <w:shd w:val="clear" w:color="auto" w:fill="F6C5AC" w:themeFill="accent2" w:themeFillTint="66"/>
            <w:vAlign w:val="center"/>
            <w:hideMark/>
          </w:tcPr>
          <w:p w14:paraId="0BF27FE4"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9</w:t>
            </w:r>
          </w:p>
        </w:tc>
        <w:tc>
          <w:tcPr>
            <w:tcW w:w="0" w:type="auto"/>
            <w:shd w:val="clear" w:color="auto" w:fill="F6C5AC" w:themeFill="accent2" w:themeFillTint="66"/>
            <w:vAlign w:val="center"/>
            <w:hideMark/>
          </w:tcPr>
          <w:p w14:paraId="71210F8A"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10</w:t>
            </w:r>
          </w:p>
        </w:tc>
        <w:tc>
          <w:tcPr>
            <w:tcW w:w="0" w:type="auto"/>
            <w:shd w:val="clear" w:color="auto" w:fill="F6C5AC" w:themeFill="accent2" w:themeFillTint="66"/>
            <w:vAlign w:val="center"/>
            <w:hideMark/>
          </w:tcPr>
          <w:p w14:paraId="1C5E0670"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11</w:t>
            </w:r>
          </w:p>
        </w:tc>
        <w:tc>
          <w:tcPr>
            <w:tcW w:w="754" w:type="dxa"/>
            <w:shd w:val="clear" w:color="auto" w:fill="F6C5AC" w:themeFill="accent2" w:themeFillTint="66"/>
            <w:vAlign w:val="center"/>
            <w:hideMark/>
          </w:tcPr>
          <w:p w14:paraId="5E29C057" w14:textId="77777777" w:rsidR="00E35265" w:rsidRPr="00E35265" w:rsidRDefault="00E35265" w:rsidP="00E35265">
            <w:pPr>
              <w:spacing w:after="0" w:line="240" w:lineRule="auto"/>
              <w:jc w:val="center"/>
              <w:rPr>
                <w:rFonts w:ascii="Arial" w:eastAsia="Times New Roman" w:hAnsi="Arial" w:cs="Arial"/>
                <w:b/>
                <w:bCs/>
                <w:kern w:val="0"/>
                <w:sz w:val="20"/>
                <w:szCs w:val="20"/>
                <w:lang w:eastAsia="en-GB"/>
                <w14:ligatures w14:val="none"/>
              </w:rPr>
            </w:pPr>
            <w:r w:rsidRPr="00E35265">
              <w:rPr>
                <w:rFonts w:ascii="Arial" w:eastAsia="Times New Roman" w:hAnsi="Arial" w:cs="Arial"/>
                <w:b/>
                <w:bCs/>
                <w:kern w:val="0"/>
                <w:sz w:val="20"/>
                <w:szCs w:val="20"/>
                <w:lang w:eastAsia="en-GB"/>
                <w14:ligatures w14:val="none"/>
              </w:rPr>
              <w:t>Month 12</w:t>
            </w:r>
          </w:p>
        </w:tc>
      </w:tr>
      <w:tr w:rsidR="00E35265" w:rsidRPr="00E35265" w14:paraId="3E23CA30" w14:textId="77777777" w:rsidTr="00E35265">
        <w:trPr>
          <w:trHeight w:val="765"/>
          <w:tblCellSpacing w:w="15" w:type="dxa"/>
        </w:trPr>
        <w:tc>
          <w:tcPr>
            <w:tcW w:w="1181" w:type="dxa"/>
            <w:shd w:val="clear" w:color="auto" w:fill="F6C5AC" w:themeFill="accent2" w:themeFillTint="66"/>
            <w:vAlign w:val="center"/>
            <w:hideMark/>
          </w:tcPr>
          <w:p w14:paraId="4FEC997C"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b/>
                <w:bCs/>
                <w:kern w:val="0"/>
                <w:sz w:val="20"/>
                <w:szCs w:val="20"/>
                <w:lang w:eastAsia="en-GB"/>
                <w14:ligatures w14:val="none"/>
              </w:rPr>
              <w:t>Consulting Income (£)</w:t>
            </w:r>
          </w:p>
        </w:tc>
        <w:tc>
          <w:tcPr>
            <w:tcW w:w="0" w:type="auto"/>
            <w:shd w:val="clear" w:color="auto" w:fill="F6C5AC" w:themeFill="accent2" w:themeFillTint="66"/>
            <w:vAlign w:val="center"/>
            <w:hideMark/>
          </w:tcPr>
          <w:p w14:paraId="42C91A71"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6,000</w:t>
            </w:r>
          </w:p>
        </w:tc>
        <w:tc>
          <w:tcPr>
            <w:tcW w:w="0" w:type="auto"/>
            <w:shd w:val="clear" w:color="auto" w:fill="F6C5AC" w:themeFill="accent2" w:themeFillTint="66"/>
            <w:vAlign w:val="center"/>
            <w:hideMark/>
          </w:tcPr>
          <w:p w14:paraId="38083D37"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7,000</w:t>
            </w:r>
          </w:p>
        </w:tc>
        <w:tc>
          <w:tcPr>
            <w:tcW w:w="0" w:type="auto"/>
            <w:shd w:val="clear" w:color="auto" w:fill="F6C5AC" w:themeFill="accent2" w:themeFillTint="66"/>
            <w:vAlign w:val="center"/>
            <w:hideMark/>
          </w:tcPr>
          <w:p w14:paraId="2F212A7E"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9,000</w:t>
            </w:r>
          </w:p>
        </w:tc>
        <w:tc>
          <w:tcPr>
            <w:tcW w:w="0" w:type="auto"/>
            <w:shd w:val="clear" w:color="auto" w:fill="F6C5AC" w:themeFill="accent2" w:themeFillTint="66"/>
            <w:vAlign w:val="center"/>
            <w:hideMark/>
          </w:tcPr>
          <w:p w14:paraId="2667F08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0" w:type="auto"/>
            <w:shd w:val="clear" w:color="auto" w:fill="F6C5AC" w:themeFill="accent2" w:themeFillTint="66"/>
            <w:vAlign w:val="center"/>
            <w:hideMark/>
          </w:tcPr>
          <w:p w14:paraId="7C823856"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11,000</w:t>
            </w:r>
          </w:p>
        </w:tc>
        <w:tc>
          <w:tcPr>
            <w:tcW w:w="0" w:type="auto"/>
            <w:shd w:val="clear" w:color="auto" w:fill="F6C5AC" w:themeFill="accent2" w:themeFillTint="66"/>
            <w:vAlign w:val="center"/>
            <w:hideMark/>
          </w:tcPr>
          <w:p w14:paraId="2AB83347"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15,000</w:t>
            </w:r>
          </w:p>
        </w:tc>
        <w:tc>
          <w:tcPr>
            <w:tcW w:w="0" w:type="auto"/>
            <w:shd w:val="clear" w:color="auto" w:fill="F6C5AC" w:themeFill="accent2" w:themeFillTint="66"/>
            <w:vAlign w:val="center"/>
            <w:hideMark/>
          </w:tcPr>
          <w:p w14:paraId="77940454"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20,000</w:t>
            </w:r>
          </w:p>
        </w:tc>
        <w:tc>
          <w:tcPr>
            <w:tcW w:w="0" w:type="auto"/>
            <w:shd w:val="clear" w:color="auto" w:fill="F6C5AC" w:themeFill="accent2" w:themeFillTint="66"/>
            <w:vAlign w:val="center"/>
            <w:hideMark/>
          </w:tcPr>
          <w:p w14:paraId="04770D0B"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22,000</w:t>
            </w:r>
          </w:p>
        </w:tc>
        <w:tc>
          <w:tcPr>
            <w:tcW w:w="0" w:type="auto"/>
            <w:shd w:val="clear" w:color="auto" w:fill="F6C5AC" w:themeFill="accent2" w:themeFillTint="66"/>
            <w:vAlign w:val="center"/>
            <w:hideMark/>
          </w:tcPr>
          <w:p w14:paraId="663C22A8"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25,000</w:t>
            </w:r>
          </w:p>
        </w:tc>
        <w:tc>
          <w:tcPr>
            <w:tcW w:w="0" w:type="auto"/>
            <w:shd w:val="clear" w:color="auto" w:fill="F6C5AC" w:themeFill="accent2" w:themeFillTint="66"/>
            <w:vAlign w:val="center"/>
            <w:hideMark/>
          </w:tcPr>
          <w:p w14:paraId="2C0A61B2"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25,000</w:t>
            </w:r>
          </w:p>
        </w:tc>
        <w:tc>
          <w:tcPr>
            <w:tcW w:w="0" w:type="auto"/>
            <w:shd w:val="clear" w:color="auto" w:fill="F6C5AC" w:themeFill="accent2" w:themeFillTint="66"/>
            <w:vAlign w:val="center"/>
            <w:hideMark/>
          </w:tcPr>
          <w:p w14:paraId="2552BB4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30,000</w:t>
            </w:r>
          </w:p>
        </w:tc>
        <w:tc>
          <w:tcPr>
            <w:tcW w:w="754" w:type="dxa"/>
            <w:shd w:val="clear" w:color="auto" w:fill="F6C5AC" w:themeFill="accent2" w:themeFillTint="66"/>
            <w:vAlign w:val="center"/>
            <w:hideMark/>
          </w:tcPr>
          <w:p w14:paraId="71E6CBC2"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30,000</w:t>
            </w:r>
          </w:p>
        </w:tc>
      </w:tr>
      <w:tr w:rsidR="00E35265" w:rsidRPr="00E35265" w14:paraId="4BC1A505" w14:textId="77777777" w:rsidTr="00E35265">
        <w:trPr>
          <w:trHeight w:val="751"/>
          <w:tblCellSpacing w:w="15" w:type="dxa"/>
        </w:trPr>
        <w:tc>
          <w:tcPr>
            <w:tcW w:w="1181" w:type="dxa"/>
            <w:shd w:val="clear" w:color="auto" w:fill="F6C5AC" w:themeFill="accent2" w:themeFillTint="66"/>
            <w:vAlign w:val="center"/>
            <w:hideMark/>
          </w:tcPr>
          <w:p w14:paraId="7E105EE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b/>
                <w:bCs/>
                <w:kern w:val="0"/>
                <w:sz w:val="20"/>
                <w:szCs w:val="20"/>
                <w:lang w:eastAsia="en-GB"/>
                <w14:ligatures w14:val="none"/>
              </w:rPr>
              <w:t>Product Sales (£)</w:t>
            </w:r>
          </w:p>
        </w:tc>
        <w:tc>
          <w:tcPr>
            <w:tcW w:w="0" w:type="auto"/>
            <w:shd w:val="clear" w:color="auto" w:fill="F6C5AC" w:themeFill="accent2" w:themeFillTint="66"/>
            <w:vAlign w:val="center"/>
            <w:hideMark/>
          </w:tcPr>
          <w:p w14:paraId="5515274B"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w:t>
            </w:r>
          </w:p>
        </w:tc>
        <w:tc>
          <w:tcPr>
            <w:tcW w:w="0" w:type="auto"/>
            <w:shd w:val="clear" w:color="auto" w:fill="F6C5AC" w:themeFill="accent2" w:themeFillTint="66"/>
            <w:vAlign w:val="center"/>
            <w:hideMark/>
          </w:tcPr>
          <w:p w14:paraId="279159C4"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w:t>
            </w:r>
          </w:p>
        </w:tc>
        <w:tc>
          <w:tcPr>
            <w:tcW w:w="0" w:type="auto"/>
            <w:shd w:val="clear" w:color="auto" w:fill="F6C5AC" w:themeFill="accent2" w:themeFillTint="66"/>
            <w:vAlign w:val="center"/>
            <w:hideMark/>
          </w:tcPr>
          <w:p w14:paraId="0E2D6ECD"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4,000</w:t>
            </w:r>
          </w:p>
        </w:tc>
        <w:tc>
          <w:tcPr>
            <w:tcW w:w="0" w:type="auto"/>
            <w:shd w:val="clear" w:color="auto" w:fill="F6C5AC" w:themeFill="accent2" w:themeFillTint="66"/>
            <w:vAlign w:val="center"/>
            <w:hideMark/>
          </w:tcPr>
          <w:p w14:paraId="0000639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5,000</w:t>
            </w:r>
          </w:p>
        </w:tc>
        <w:tc>
          <w:tcPr>
            <w:tcW w:w="0" w:type="auto"/>
            <w:shd w:val="clear" w:color="auto" w:fill="F6C5AC" w:themeFill="accent2" w:themeFillTint="66"/>
            <w:vAlign w:val="center"/>
            <w:hideMark/>
          </w:tcPr>
          <w:p w14:paraId="29F9B61B"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7,000</w:t>
            </w:r>
          </w:p>
        </w:tc>
        <w:tc>
          <w:tcPr>
            <w:tcW w:w="0" w:type="auto"/>
            <w:shd w:val="clear" w:color="auto" w:fill="F6C5AC" w:themeFill="accent2" w:themeFillTint="66"/>
            <w:vAlign w:val="center"/>
            <w:hideMark/>
          </w:tcPr>
          <w:p w14:paraId="6BCBF54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0" w:type="auto"/>
            <w:shd w:val="clear" w:color="auto" w:fill="F6C5AC" w:themeFill="accent2" w:themeFillTint="66"/>
            <w:vAlign w:val="center"/>
            <w:hideMark/>
          </w:tcPr>
          <w:p w14:paraId="0A8CEF99"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0" w:type="auto"/>
            <w:shd w:val="clear" w:color="auto" w:fill="F6C5AC" w:themeFill="accent2" w:themeFillTint="66"/>
            <w:vAlign w:val="center"/>
            <w:hideMark/>
          </w:tcPr>
          <w:p w14:paraId="5BD0758E"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12,000</w:t>
            </w:r>
          </w:p>
        </w:tc>
        <w:tc>
          <w:tcPr>
            <w:tcW w:w="0" w:type="auto"/>
            <w:shd w:val="clear" w:color="auto" w:fill="F6C5AC" w:themeFill="accent2" w:themeFillTint="66"/>
            <w:vAlign w:val="center"/>
            <w:hideMark/>
          </w:tcPr>
          <w:p w14:paraId="673AB288"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15,000</w:t>
            </w:r>
          </w:p>
        </w:tc>
        <w:tc>
          <w:tcPr>
            <w:tcW w:w="0" w:type="auto"/>
            <w:shd w:val="clear" w:color="auto" w:fill="F6C5AC" w:themeFill="accent2" w:themeFillTint="66"/>
            <w:vAlign w:val="center"/>
            <w:hideMark/>
          </w:tcPr>
          <w:p w14:paraId="51E00577"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15,000</w:t>
            </w:r>
          </w:p>
        </w:tc>
        <w:tc>
          <w:tcPr>
            <w:tcW w:w="0" w:type="auto"/>
            <w:shd w:val="clear" w:color="auto" w:fill="F6C5AC" w:themeFill="accent2" w:themeFillTint="66"/>
            <w:vAlign w:val="center"/>
            <w:hideMark/>
          </w:tcPr>
          <w:p w14:paraId="1A3E7BF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15,000</w:t>
            </w:r>
          </w:p>
        </w:tc>
        <w:tc>
          <w:tcPr>
            <w:tcW w:w="754" w:type="dxa"/>
            <w:shd w:val="clear" w:color="auto" w:fill="F6C5AC" w:themeFill="accent2" w:themeFillTint="66"/>
            <w:vAlign w:val="center"/>
            <w:hideMark/>
          </w:tcPr>
          <w:p w14:paraId="6A25EB52"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20,000</w:t>
            </w:r>
          </w:p>
        </w:tc>
      </w:tr>
      <w:tr w:rsidR="00E35265" w:rsidRPr="00E35265" w14:paraId="68A56059" w14:textId="77777777" w:rsidTr="00E35265">
        <w:trPr>
          <w:trHeight w:val="765"/>
          <w:tblCellSpacing w:w="15" w:type="dxa"/>
        </w:trPr>
        <w:tc>
          <w:tcPr>
            <w:tcW w:w="1181" w:type="dxa"/>
            <w:shd w:val="clear" w:color="auto" w:fill="F6C5AC" w:themeFill="accent2" w:themeFillTint="66"/>
            <w:vAlign w:val="center"/>
            <w:hideMark/>
          </w:tcPr>
          <w:p w14:paraId="5EE490CC"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b/>
                <w:bCs/>
                <w:kern w:val="0"/>
                <w:sz w:val="20"/>
                <w:szCs w:val="20"/>
                <w:lang w:eastAsia="en-GB"/>
                <w14:ligatures w14:val="none"/>
              </w:rPr>
              <w:t>Training Fees (£)</w:t>
            </w:r>
          </w:p>
        </w:tc>
        <w:tc>
          <w:tcPr>
            <w:tcW w:w="0" w:type="auto"/>
            <w:shd w:val="clear" w:color="auto" w:fill="F6C5AC" w:themeFill="accent2" w:themeFillTint="66"/>
            <w:vAlign w:val="center"/>
            <w:hideMark/>
          </w:tcPr>
          <w:p w14:paraId="0193D61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w:t>
            </w:r>
          </w:p>
        </w:tc>
        <w:tc>
          <w:tcPr>
            <w:tcW w:w="0" w:type="auto"/>
            <w:shd w:val="clear" w:color="auto" w:fill="F6C5AC" w:themeFill="accent2" w:themeFillTint="66"/>
            <w:vAlign w:val="center"/>
            <w:hideMark/>
          </w:tcPr>
          <w:p w14:paraId="1F895DD1"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2,000</w:t>
            </w:r>
          </w:p>
        </w:tc>
        <w:tc>
          <w:tcPr>
            <w:tcW w:w="0" w:type="auto"/>
            <w:shd w:val="clear" w:color="auto" w:fill="F6C5AC" w:themeFill="accent2" w:themeFillTint="66"/>
            <w:vAlign w:val="center"/>
            <w:hideMark/>
          </w:tcPr>
          <w:p w14:paraId="73E0E182"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2,000</w:t>
            </w:r>
          </w:p>
        </w:tc>
        <w:tc>
          <w:tcPr>
            <w:tcW w:w="0" w:type="auto"/>
            <w:shd w:val="clear" w:color="auto" w:fill="F6C5AC" w:themeFill="accent2" w:themeFillTint="66"/>
            <w:vAlign w:val="center"/>
            <w:hideMark/>
          </w:tcPr>
          <w:p w14:paraId="1538219E"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w:t>
            </w:r>
          </w:p>
        </w:tc>
        <w:tc>
          <w:tcPr>
            <w:tcW w:w="0" w:type="auto"/>
            <w:shd w:val="clear" w:color="auto" w:fill="F6C5AC" w:themeFill="accent2" w:themeFillTint="66"/>
            <w:vAlign w:val="center"/>
            <w:hideMark/>
          </w:tcPr>
          <w:p w14:paraId="256E5D2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4,000</w:t>
            </w:r>
          </w:p>
        </w:tc>
        <w:tc>
          <w:tcPr>
            <w:tcW w:w="0" w:type="auto"/>
            <w:shd w:val="clear" w:color="auto" w:fill="F6C5AC" w:themeFill="accent2" w:themeFillTint="66"/>
            <w:vAlign w:val="center"/>
            <w:hideMark/>
          </w:tcPr>
          <w:p w14:paraId="15F76D58"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5,000</w:t>
            </w:r>
          </w:p>
        </w:tc>
        <w:tc>
          <w:tcPr>
            <w:tcW w:w="0" w:type="auto"/>
            <w:shd w:val="clear" w:color="auto" w:fill="F6C5AC" w:themeFill="accent2" w:themeFillTint="66"/>
            <w:vAlign w:val="center"/>
            <w:hideMark/>
          </w:tcPr>
          <w:p w14:paraId="502A7ED7"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5,000</w:t>
            </w:r>
          </w:p>
        </w:tc>
        <w:tc>
          <w:tcPr>
            <w:tcW w:w="0" w:type="auto"/>
            <w:shd w:val="clear" w:color="auto" w:fill="F6C5AC" w:themeFill="accent2" w:themeFillTint="66"/>
            <w:vAlign w:val="center"/>
            <w:hideMark/>
          </w:tcPr>
          <w:p w14:paraId="0950EEF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6,000</w:t>
            </w:r>
          </w:p>
        </w:tc>
        <w:tc>
          <w:tcPr>
            <w:tcW w:w="0" w:type="auto"/>
            <w:shd w:val="clear" w:color="auto" w:fill="F6C5AC" w:themeFill="accent2" w:themeFillTint="66"/>
            <w:vAlign w:val="center"/>
            <w:hideMark/>
          </w:tcPr>
          <w:p w14:paraId="00EBA8E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5,000</w:t>
            </w:r>
          </w:p>
        </w:tc>
        <w:tc>
          <w:tcPr>
            <w:tcW w:w="0" w:type="auto"/>
            <w:shd w:val="clear" w:color="auto" w:fill="F6C5AC" w:themeFill="accent2" w:themeFillTint="66"/>
            <w:vAlign w:val="center"/>
            <w:hideMark/>
          </w:tcPr>
          <w:p w14:paraId="6BBAC05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0" w:type="auto"/>
            <w:shd w:val="clear" w:color="auto" w:fill="F6C5AC" w:themeFill="accent2" w:themeFillTint="66"/>
            <w:vAlign w:val="center"/>
            <w:hideMark/>
          </w:tcPr>
          <w:p w14:paraId="7670B19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754" w:type="dxa"/>
            <w:shd w:val="clear" w:color="auto" w:fill="F6C5AC" w:themeFill="accent2" w:themeFillTint="66"/>
            <w:vAlign w:val="center"/>
            <w:hideMark/>
          </w:tcPr>
          <w:p w14:paraId="5C594B2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r>
      <w:tr w:rsidR="00E35265" w:rsidRPr="00E35265" w14:paraId="571866A8" w14:textId="77777777" w:rsidTr="00E35265">
        <w:trPr>
          <w:trHeight w:val="751"/>
          <w:tblCellSpacing w:w="15" w:type="dxa"/>
        </w:trPr>
        <w:tc>
          <w:tcPr>
            <w:tcW w:w="1181" w:type="dxa"/>
            <w:shd w:val="clear" w:color="auto" w:fill="F6C5AC" w:themeFill="accent2" w:themeFillTint="66"/>
            <w:vAlign w:val="center"/>
            <w:hideMark/>
          </w:tcPr>
          <w:p w14:paraId="2B6E2B39"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b/>
                <w:bCs/>
                <w:kern w:val="0"/>
                <w:sz w:val="20"/>
                <w:szCs w:val="20"/>
                <w:lang w:eastAsia="en-GB"/>
                <w14:ligatures w14:val="none"/>
              </w:rPr>
              <w:t>Total Income (£)</w:t>
            </w:r>
          </w:p>
        </w:tc>
        <w:tc>
          <w:tcPr>
            <w:tcW w:w="0" w:type="auto"/>
            <w:shd w:val="clear" w:color="auto" w:fill="F6C5AC" w:themeFill="accent2" w:themeFillTint="66"/>
            <w:vAlign w:val="center"/>
            <w:hideMark/>
          </w:tcPr>
          <w:p w14:paraId="3C7CEAF8"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0" w:type="auto"/>
            <w:shd w:val="clear" w:color="auto" w:fill="F6C5AC" w:themeFill="accent2" w:themeFillTint="66"/>
            <w:vAlign w:val="center"/>
            <w:hideMark/>
          </w:tcPr>
          <w:p w14:paraId="1F4F0DF4"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12,000</w:t>
            </w:r>
          </w:p>
        </w:tc>
        <w:tc>
          <w:tcPr>
            <w:tcW w:w="0" w:type="auto"/>
            <w:shd w:val="clear" w:color="auto" w:fill="F6C5AC" w:themeFill="accent2" w:themeFillTint="66"/>
            <w:vAlign w:val="center"/>
            <w:hideMark/>
          </w:tcPr>
          <w:p w14:paraId="36D705A9"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15,000</w:t>
            </w:r>
          </w:p>
        </w:tc>
        <w:tc>
          <w:tcPr>
            <w:tcW w:w="0" w:type="auto"/>
            <w:shd w:val="clear" w:color="auto" w:fill="F6C5AC" w:themeFill="accent2" w:themeFillTint="66"/>
            <w:vAlign w:val="center"/>
            <w:hideMark/>
          </w:tcPr>
          <w:p w14:paraId="7200EAD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18,000</w:t>
            </w:r>
          </w:p>
        </w:tc>
        <w:tc>
          <w:tcPr>
            <w:tcW w:w="0" w:type="auto"/>
            <w:shd w:val="clear" w:color="auto" w:fill="F6C5AC" w:themeFill="accent2" w:themeFillTint="66"/>
            <w:vAlign w:val="center"/>
            <w:hideMark/>
          </w:tcPr>
          <w:p w14:paraId="283D96F7"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22,000</w:t>
            </w:r>
          </w:p>
        </w:tc>
        <w:tc>
          <w:tcPr>
            <w:tcW w:w="0" w:type="auto"/>
            <w:shd w:val="clear" w:color="auto" w:fill="F6C5AC" w:themeFill="accent2" w:themeFillTint="66"/>
            <w:vAlign w:val="center"/>
            <w:hideMark/>
          </w:tcPr>
          <w:p w14:paraId="5DD5546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30,000</w:t>
            </w:r>
          </w:p>
        </w:tc>
        <w:tc>
          <w:tcPr>
            <w:tcW w:w="0" w:type="auto"/>
            <w:shd w:val="clear" w:color="auto" w:fill="F6C5AC" w:themeFill="accent2" w:themeFillTint="66"/>
            <w:vAlign w:val="center"/>
            <w:hideMark/>
          </w:tcPr>
          <w:p w14:paraId="5C12CE2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35,000</w:t>
            </w:r>
          </w:p>
        </w:tc>
        <w:tc>
          <w:tcPr>
            <w:tcW w:w="0" w:type="auto"/>
            <w:shd w:val="clear" w:color="auto" w:fill="F6C5AC" w:themeFill="accent2" w:themeFillTint="66"/>
            <w:vAlign w:val="center"/>
            <w:hideMark/>
          </w:tcPr>
          <w:p w14:paraId="587A870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40,000</w:t>
            </w:r>
          </w:p>
        </w:tc>
        <w:tc>
          <w:tcPr>
            <w:tcW w:w="0" w:type="auto"/>
            <w:shd w:val="clear" w:color="auto" w:fill="F6C5AC" w:themeFill="accent2" w:themeFillTint="66"/>
            <w:vAlign w:val="center"/>
            <w:hideMark/>
          </w:tcPr>
          <w:p w14:paraId="6F9A01FC"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45,000</w:t>
            </w:r>
          </w:p>
        </w:tc>
        <w:tc>
          <w:tcPr>
            <w:tcW w:w="0" w:type="auto"/>
            <w:shd w:val="clear" w:color="auto" w:fill="F6C5AC" w:themeFill="accent2" w:themeFillTint="66"/>
            <w:vAlign w:val="center"/>
            <w:hideMark/>
          </w:tcPr>
          <w:p w14:paraId="024B0B79"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50,000</w:t>
            </w:r>
          </w:p>
        </w:tc>
        <w:tc>
          <w:tcPr>
            <w:tcW w:w="0" w:type="auto"/>
            <w:shd w:val="clear" w:color="auto" w:fill="F6C5AC" w:themeFill="accent2" w:themeFillTint="66"/>
            <w:vAlign w:val="center"/>
            <w:hideMark/>
          </w:tcPr>
          <w:p w14:paraId="1403DC3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55,000</w:t>
            </w:r>
          </w:p>
        </w:tc>
        <w:tc>
          <w:tcPr>
            <w:tcW w:w="754" w:type="dxa"/>
            <w:shd w:val="clear" w:color="auto" w:fill="F6C5AC" w:themeFill="accent2" w:themeFillTint="66"/>
            <w:vAlign w:val="center"/>
            <w:hideMark/>
          </w:tcPr>
          <w:p w14:paraId="73246A8C"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60,000</w:t>
            </w:r>
          </w:p>
        </w:tc>
      </w:tr>
      <w:tr w:rsidR="00E35265" w:rsidRPr="00E35265" w14:paraId="37146C24" w14:textId="77777777" w:rsidTr="00E35265">
        <w:trPr>
          <w:trHeight w:val="765"/>
          <w:tblCellSpacing w:w="15" w:type="dxa"/>
        </w:trPr>
        <w:tc>
          <w:tcPr>
            <w:tcW w:w="1181" w:type="dxa"/>
            <w:shd w:val="clear" w:color="auto" w:fill="F6C5AC" w:themeFill="accent2" w:themeFillTint="66"/>
            <w:vAlign w:val="center"/>
            <w:hideMark/>
          </w:tcPr>
          <w:p w14:paraId="5E272727"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b/>
                <w:bCs/>
                <w:kern w:val="0"/>
                <w:sz w:val="20"/>
                <w:szCs w:val="20"/>
                <w:lang w:eastAsia="en-GB"/>
                <w14:ligatures w14:val="none"/>
              </w:rPr>
              <w:t>Operating Costs (£)</w:t>
            </w:r>
          </w:p>
        </w:tc>
        <w:tc>
          <w:tcPr>
            <w:tcW w:w="0" w:type="auto"/>
            <w:shd w:val="clear" w:color="auto" w:fill="F6C5AC" w:themeFill="accent2" w:themeFillTint="66"/>
            <w:vAlign w:val="center"/>
            <w:hideMark/>
          </w:tcPr>
          <w:p w14:paraId="1F15E121"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25,000</w:t>
            </w:r>
          </w:p>
        </w:tc>
        <w:tc>
          <w:tcPr>
            <w:tcW w:w="0" w:type="auto"/>
            <w:shd w:val="clear" w:color="auto" w:fill="F6C5AC" w:themeFill="accent2" w:themeFillTint="66"/>
            <w:vAlign w:val="center"/>
            <w:hideMark/>
          </w:tcPr>
          <w:p w14:paraId="256A804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25,000</w:t>
            </w:r>
          </w:p>
        </w:tc>
        <w:tc>
          <w:tcPr>
            <w:tcW w:w="0" w:type="auto"/>
            <w:shd w:val="clear" w:color="auto" w:fill="F6C5AC" w:themeFill="accent2" w:themeFillTint="66"/>
            <w:vAlign w:val="center"/>
            <w:hideMark/>
          </w:tcPr>
          <w:p w14:paraId="01C84D6F"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25,000</w:t>
            </w:r>
          </w:p>
        </w:tc>
        <w:tc>
          <w:tcPr>
            <w:tcW w:w="0" w:type="auto"/>
            <w:shd w:val="clear" w:color="auto" w:fill="F6C5AC" w:themeFill="accent2" w:themeFillTint="66"/>
            <w:vAlign w:val="center"/>
            <w:hideMark/>
          </w:tcPr>
          <w:p w14:paraId="7C4F57C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27,000</w:t>
            </w:r>
          </w:p>
        </w:tc>
        <w:tc>
          <w:tcPr>
            <w:tcW w:w="0" w:type="auto"/>
            <w:shd w:val="clear" w:color="auto" w:fill="F6C5AC" w:themeFill="accent2" w:themeFillTint="66"/>
            <w:vAlign w:val="center"/>
            <w:hideMark/>
          </w:tcPr>
          <w:p w14:paraId="0AE7D0A2"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27,000</w:t>
            </w:r>
          </w:p>
        </w:tc>
        <w:tc>
          <w:tcPr>
            <w:tcW w:w="0" w:type="auto"/>
            <w:shd w:val="clear" w:color="auto" w:fill="F6C5AC" w:themeFill="accent2" w:themeFillTint="66"/>
            <w:vAlign w:val="center"/>
            <w:hideMark/>
          </w:tcPr>
          <w:p w14:paraId="7A3B7EC9"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27,000</w:t>
            </w:r>
          </w:p>
        </w:tc>
        <w:tc>
          <w:tcPr>
            <w:tcW w:w="0" w:type="auto"/>
            <w:shd w:val="clear" w:color="auto" w:fill="F6C5AC" w:themeFill="accent2" w:themeFillTint="66"/>
            <w:vAlign w:val="center"/>
            <w:hideMark/>
          </w:tcPr>
          <w:p w14:paraId="577BDE1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28,000</w:t>
            </w:r>
          </w:p>
        </w:tc>
        <w:tc>
          <w:tcPr>
            <w:tcW w:w="0" w:type="auto"/>
            <w:shd w:val="clear" w:color="auto" w:fill="F6C5AC" w:themeFill="accent2" w:themeFillTint="66"/>
            <w:vAlign w:val="center"/>
            <w:hideMark/>
          </w:tcPr>
          <w:p w14:paraId="460479A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30,000</w:t>
            </w:r>
          </w:p>
        </w:tc>
        <w:tc>
          <w:tcPr>
            <w:tcW w:w="0" w:type="auto"/>
            <w:shd w:val="clear" w:color="auto" w:fill="F6C5AC" w:themeFill="accent2" w:themeFillTint="66"/>
            <w:vAlign w:val="center"/>
            <w:hideMark/>
          </w:tcPr>
          <w:p w14:paraId="34BC5004"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30,000</w:t>
            </w:r>
          </w:p>
        </w:tc>
        <w:tc>
          <w:tcPr>
            <w:tcW w:w="0" w:type="auto"/>
            <w:shd w:val="clear" w:color="auto" w:fill="F6C5AC" w:themeFill="accent2" w:themeFillTint="66"/>
            <w:vAlign w:val="center"/>
            <w:hideMark/>
          </w:tcPr>
          <w:p w14:paraId="37567A74"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32,000</w:t>
            </w:r>
          </w:p>
        </w:tc>
        <w:tc>
          <w:tcPr>
            <w:tcW w:w="0" w:type="auto"/>
            <w:shd w:val="clear" w:color="auto" w:fill="F6C5AC" w:themeFill="accent2" w:themeFillTint="66"/>
            <w:vAlign w:val="center"/>
            <w:hideMark/>
          </w:tcPr>
          <w:p w14:paraId="0BA4752F"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32,000</w:t>
            </w:r>
          </w:p>
        </w:tc>
        <w:tc>
          <w:tcPr>
            <w:tcW w:w="754" w:type="dxa"/>
            <w:shd w:val="clear" w:color="auto" w:fill="F6C5AC" w:themeFill="accent2" w:themeFillTint="66"/>
            <w:vAlign w:val="center"/>
            <w:hideMark/>
          </w:tcPr>
          <w:p w14:paraId="3F3032A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35,000</w:t>
            </w:r>
          </w:p>
        </w:tc>
      </w:tr>
      <w:tr w:rsidR="00E35265" w:rsidRPr="00E35265" w14:paraId="4150788C" w14:textId="77777777" w:rsidTr="00E35265">
        <w:trPr>
          <w:trHeight w:val="751"/>
          <w:tblCellSpacing w:w="15" w:type="dxa"/>
        </w:trPr>
        <w:tc>
          <w:tcPr>
            <w:tcW w:w="1181" w:type="dxa"/>
            <w:shd w:val="clear" w:color="auto" w:fill="F6C5AC" w:themeFill="accent2" w:themeFillTint="66"/>
            <w:vAlign w:val="center"/>
            <w:hideMark/>
          </w:tcPr>
          <w:p w14:paraId="25856664"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b/>
                <w:bCs/>
                <w:kern w:val="0"/>
                <w:sz w:val="20"/>
                <w:szCs w:val="20"/>
                <w:lang w:eastAsia="en-GB"/>
                <w14:ligatures w14:val="none"/>
              </w:rPr>
              <w:t>Net Cash Flow (£)</w:t>
            </w:r>
          </w:p>
        </w:tc>
        <w:tc>
          <w:tcPr>
            <w:tcW w:w="0" w:type="auto"/>
            <w:shd w:val="clear" w:color="auto" w:fill="F6C5AC" w:themeFill="accent2" w:themeFillTint="66"/>
            <w:vAlign w:val="center"/>
            <w:hideMark/>
          </w:tcPr>
          <w:p w14:paraId="09B5BE7B"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(15,000)</w:t>
            </w:r>
          </w:p>
        </w:tc>
        <w:tc>
          <w:tcPr>
            <w:tcW w:w="0" w:type="auto"/>
            <w:shd w:val="clear" w:color="auto" w:fill="F6C5AC" w:themeFill="accent2" w:themeFillTint="66"/>
            <w:vAlign w:val="center"/>
            <w:hideMark/>
          </w:tcPr>
          <w:p w14:paraId="1C593859"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(13,000)</w:t>
            </w:r>
          </w:p>
        </w:tc>
        <w:tc>
          <w:tcPr>
            <w:tcW w:w="0" w:type="auto"/>
            <w:shd w:val="clear" w:color="auto" w:fill="F6C5AC" w:themeFill="accent2" w:themeFillTint="66"/>
            <w:vAlign w:val="center"/>
            <w:hideMark/>
          </w:tcPr>
          <w:p w14:paraId="25D362A2"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0" w:type="auto"/>
            <w:shd w:val="clear" w:color="auto" w:fill="F6C5AC" w:themeFill="accent2" w:themeFillTint="66"/>
            <w:vAlign w:val="center"/>
            <w:hideMark/>
          </w:tcPr>
          <w:p w14:paraId="397BB27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(9,000)</w:t>
            </w:r>
          </w:p>
        </w:tc>
        <w:tc>
          <w:tcPr>
            <w:tcW w:w="0" w:type="auto"/>
            <w:shd w:val="clear" w:color="auto" w:fill="F6C5AC" w:themeFill="accent2" w:themeFillTint="66"/>
            <w:vAlign w:val="center"/>
            <w:hideMark/>
          </w:tcPr>
          <w:p w14:paraId="5979B832"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(5,000)</w:t>
            </w:r>
          </w:p>
        </w:tc>
        <w:tc>
          <w:tcPr>
            <w:tcW w:w="0" w:type="auto"/>
            <w:shd w:val="clear" w:color="auto" w:fill="F6C5AC" w:themeFill="accent2" w:themeFillTint="66"/>
            <w:vAlign w:val="center"/>
            <w:hideMark/>
          </w:tcPr>
          <w:p w14:paraId="2D9C4EE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3,000</w:t>
            </w:r>
          </w:p>
        </w:tc>
        <w:tc>
          <w:tcPr>
            <w:tcW w:w="0" w:type="auto"/>
            <w:shd w:val="clear" w:color="auto" w:fill="F6C5AC" w:themeFill="accent2" w:themeFillTint="66"/>
            <w:vAlign w:val="center"/>
            <w:hideMark/>
          </w:tcPr>
          <w:p w14:paraId="608AB2C0"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7,000</w:t>
            </w:r>
          </w:p>
        </w:tc>
        <w:tc>
          <w:tcPr>
            <w:tcW w:w="0" w:type="auto"/>
            <w:shd w:val="clear" w:color="auto" w:fill="F6C5AC" w:themeFill="accent2" w:themeFillTint="66"/>
            <w:vAlign w:val="center"/>
            <w:hideMark/>
          </w:tcPr>
          <w:p w14:paraId="43F8659D"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10,000</w:t>
            </w:r>
          </w:p>
        </w:tc>
        <w:tc>
          <w:tcPr>
            <w:tcW w:w="0" w:type="auto"/>
            <w:shd w:val="clear" w:color="auto" w:fill="F6C5AC" w:themeFill="accent2" w:themeFillTint="66"/>
            <w:vAlign w:val="center"/>
            <w:hideMark/>
          </w:tcPr>
          <w:p w14:paraId="2B5F0729"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15,000</w:t>
            </w:r>
          </w:p>
        </w:tc>
        <w:tc>
          <w:tcPr>
            <w:tcW w:w="0" w:type="auto"/>
            <w:shd w:val="clear" w:color="auto" w:fill="F6C5AC" w:themeFill="accent2" w:themeFillTint="66"/>
            <w:vAlign w:val="center"/>
            <w:hideMark/>
          </w:tcPr>
          <w:p w14:paraId="77A2828A"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18,000</w:t>
            </w:r>
          </w:p>
        </w:tc>
        <w:tc>
          <w:tcPr>
            <w:tcW w:w="0" w:type="auto"/>
            <w:shd w:val="clear" w:color="auto" w:fill="F6C5AC" w:themeFill="accent2" w:themeFillTint="66"/>
            <w:vAlign w:val="center"/>
            <w:hideMark/>
          </w:tcPr>
          <w:p w14:paraId="3076CF63"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23,000</w:t>
            </w:r>
          </w:p>
        </w:tc>
        <w:tc>
          <w:tcPr>
            <w:tcW w:w="754" w:type="dxa"/>
            <w:shd w:val="clear" w:color="auto" w:fill="F6C5AC" w:themeFill="accent2" w:themeFillTint="66"/>
            <w:vAlign w:val="center"/>
            <w:hideMark/>
          </w:tcPr>
          <w:p w14:paraId="58FEC821" w14:textId="77777777" w:rsidR="00E35265" w:rsidRPr="00E35265" w:rsidRDefault="00E35265" w:rsidP="00E35265">
            <w:pPr>
              <w:spacing w:after="0" w:line="240" w:lineRule="auto"/>
              <w:rPr>
                <w:rFonts w:ascii="Arial" w:eastAsia="Times New Roman" w:hAnsi="Arial" w:cs="Arial"/>
                <w:kern w:val="0"/>
                <w:sz w:val="20"/>
                <w:szCs w:val="20"/>
                <w:lang w:eastAsia="en-GB"/>
                <w14:ligatures w14:val="none"/>
              </w:rPr>
            </w:pPr>
            <w:r w:rsidRPr="00E35265">
              <w:rPr>
                <w:rFonts w:ascii="Arial" w:eastAsia="Times New Roman" w:hAnsi="Arial" w:cs="Arial"/>
                <w:kern w:val="0"/>
                <w:sz w:val="20"/>
                <w:szCs w:val="20"/>
                <w:lang w:eastAsia="en-GB"/>
                <w14:ligatures w14:val="none"/>
              </w:rPr>
              <w:t>25,000</w:t>
            </w:r>
          </w:p>
        </w:tc>
      </w:tr>
    </w:tbl>
    <w:p w14:paraId="466A75AD" w14:textId="77777777" w:rsidR="00E35265" w:rsidRPr="00A74F0E" w:rsidRDefault="00E35265" w:rsidP="00A74F0E">
      <w:pPr>
        <w:spacing w:line="480" w:lineRule="auto"/>
        <w:jc w:val="both"/>
        <w:rPr>
          <w:rFonts w:ascii="Arial" w:hAnsi="Arial" w:cs="Arial"/>
        </w:rPr>
      </w:pPr>
    </w:p>
    <w:p w14:paraId="53F04999" w14:textId="77777777" w:rsidR="00E35265" w:rsidRDefault="00A74F0E" w:rsidP="00A74F0E">
      <w:pPr>
        <w:spacing w:line="480" w:lineRule="auto"/>
        <w:jc w:val="both"/>
        <w:rPr>
          <w:rFonts w:ascii="Arial" w:hAnsi="Arial" w:cs="Arial"/>
        </w:rPr>
      </w:pPr>
      <w:r w:rsidRPr="00A74F0E">
        <w:rPr>
          <w:rFonts w:ascii="Arial" w:hAnsi="Arial" w:cs="Arial"/>
        </w:rPr>
        <w:t xml:space="preserve">The first three months show negative cash flow, which is offset by seed funding and the progressive increase in client engagements. In the next months, SFS expects revenues to rise as marketing efforts and referrals build a greater pipeline of consulting </w:t>
      </w:r>
      <w:r w:rsidRPr="00A74F0E">
        <w:rPr>
          <w:rFonts w:ascii="Arial" w:hAnsi="Arial" w:cs="Arial"/>
        </w:rPr>
        <w:lastRenderedPageBreak/>
        <w:t>work, product sales, and training requests. By the end of the year, the company anticipates steady profitability, which will serve as a foundation for future growth and reinvestment in research, training, and product development.</w:t>
      </w:r>
    </w:p>
    <w:p w14:paraId="4F0234B4" w14:textId="11214EF3" w:rsidR="00E35265" w:rsidRPr="00E35265" w:rsidRDefault="00A74F0E" w:rsidP="00E35265">
      <w:pPr>
        <w:pStyle w:val="ListParagraph"/>
        <w:numPr>
          <w:ilvl w:val="0"/>
          <w:numId w:val="1"/>
        </w:numPr>
        <w:spacing w:line="480" w:lineRule="auto"/>
        <w:jc w:val="both"/>
        <w:rPr>
          <w:rFonts w:ascii="Arial" w:hAnsi="Arial" w:cs="Arial"/>
          <w:b/>
          <w:bCs/>
        </w:rPr>
      </w:pPr>
      <w:r w:rsidRPr="00E35265">
        <w:rPr>
          <w:rFonts w:ascii="Arial" w:hAnsi="Arial" w:cs="Arial"/>
          <w:b/>
          <w:bCs/>
        </w:rPr>
        <w:t>Contingency Plan</w:t>
      </w:r>
    </w:p>
    <w:p w14:paraId="5780EEB2" w14:textId="77777777" w:rsidR="00E35265" w:rsidRDefault="00A74F0E" w:rsidP="00A74F0E">
      <w:pPr>
        <w:spacing w:line="480" w:lineRule="auto"/>
        <w:jc w:val="both"/>
        <w:rPr>
          <w:rFonts w:ascii="Arial" w:hAnsi="Arial" w:cs="Arial"/>
        </w:rPr>
      </w:pPr>
      <w:r w:rsidRPr="00A74F0E">
        <w:rPr>
          <w:rFonts w:ascii="Arial" w:hAnsi="Arial" w:cs="Arial"/>
        </w:rPr>
        <w:t>SFS understands that unexpected challenges and market volatility can derail even the most meticulous planning. A contingency plan has been put in place to deal with potential financing constraints, decreased customer demand, or economic instability (Johnson et al., 2020). If early revenue falls short of estimates, the company will seek extra funding through grants, green start-up loans, or expanded relationships with larger entities (</w:t>
      </w:r>
      <w:proofErr w:type="spellStart"/>
      <w:r w:rsidRPr="00A74F0E">
        <w:rPr>
          <w:rFonts w:ascii="Arial" w:hAnsi="Arial" w:cs="Arial"/>
        </w:rPr>
        <w:t>Bocken</w:t>
      </w:r>
      <w:proofErr w:type="spellEnd"/>
      <w:r w:rsidRPr="00A74F0E">
        <w:rPr>
          <w:rFonts w:ascii="Arial" w:hAnsi="Arial" w:cs="Arial"/>
        </w:rPr>
        <w:t xml:space="preserve"> et al., 2014).</w:t>
      </w:r>
    </w:p>
    <w:p w14:paraId="68333186" w14:textId="77777777" w:rsidR="00E35265" w:rsidRDefault="00A74F0E" w:rsidP="00A74F0E">
      <w:pPr>
        <w:spacing w:line="480" w:lineRule="auto"/>
        <w:jc w:val="both"/>
        <w:rPr>
          <w:rFonts w:ascii="Arial" w:hAnsi="Arial" w:cs="Arial"/>
        </w:rPr>
      </w:pPr>
      <w:r w:rsidRPr="00A74F0E">
        <w:rPr>
          <w:rFonts w:ascii="Arial" w:hAnsi="Arial" w:cs="Arial"/>
        </w:rPr>
        <w:t>In terms of cost control, SFS plans to scale operational resources flexibly by hiring freelancers or using remote work models. If revenue growth is slower than planned, marketing expenditures might be allocated to focus on lower-cost digital techniques rather than pricey print or broadcast efforts. If demand for consulting services falls temporarily, SFS will shift to promoting standalone products or providing short, targeted training sessions.</w:t>
      </w:r>
    </w:p>
    <w:p w14:paraId="67256FA5" w14:textId="77777777" w:rsidR="00E35265" w:rsidRDefault="00A74F0E" w:rsidP="00A74F0E">
      <w:pPr>
        <w:spacing w:line="480" w:lineRule="auto"/>
        <w:jc w:val="both"/>
        <w:rPr>
          <w:rFonts w:ascii="Arial" w:hAnsi="Arial" w:cs="Arial"/>
        </w:rPr>
      </w:pPr>
      <w:r w:rsidRPr="00A74F0E">
        <w:rPr>
          <w:rFonts w:ascii="Arial" w:hAnsi="Arial" w:cs="Arial"/>
        </w:rPr>
        <w:t>The company will also set aside enough funds to cover three months of operations, guaranteeing that it can handle unexpected shifts without jeopardising employee retention or customer obligations. This form of strategic resilience is consistent with SFS's broader sustainability principles, which include anticipating and mitigating risks to maintain long-term viability.</w:t>
      </w:r>
    </w:p>
    <w:p w14:paraId="00C0015E" w14:textId="77777777" w:rsidR="00E35265" w:rsidRDefault="00E35265" w:rsidP="00A74F0E">
      <w:pPr>
        <w:spacing w:line="480" w:lineRule="auto"/>
        <w:jc w:val="both"/>
        <w:rPr>
          <w:rFonts w:ascii="Arial" w:hAnsi="Arial" w:cs="Arial"/>
        </w:rPr>
      </w:pPr>
    </w:p>
    <w:p w14:paraId="061F23B0" w14:textId="77777777" w:rsidR="00E35265" w:rsidRDefault="00E35265" w:rsidP="00A74F0E">
      <w:pPr>
        <w:spacing w:line="480" w:lineRule="auto"/>
        <w:jc w:val="both"/>
        <w:rPr>
          <w:rFonts w:ascii="Arial" w:hAnsi="Arial" w:cs="Arial"/>
        </w:rPr>
      </w:pPr>
    </w:p>
    <w:p w14:paraId="42545CB1" w14:textId="4BAD1F55" w:rsidR="00E35265" w:rsidRPr="00E35265" w:rsidRDefault="00A74F0E" w:rsidP="00E35265">
      <w:pPr>
        <w:pStyle w:val="ListParagraph"/>
        <w:numPr>
          <w:ilvl w:val="0"/>
          <w:numId w:val="1"/>
        </w:numPr>
        <w:spacing w:line="480" w:lineRule="auto"/>
        <w:jc w:val="both"/>
        <w:rPr>
          <w:rFonts w:ascii="Arial" w:hAnsi="Arial" w:cs="Arial"/>
          <w:b/>
          <w:bCs/>
        </w:rPr>
      </w:pPr>
      <w:r w:rsidRPr="00E35265">
        <w:rPr>
          <w:rFonts w:ascii="Arial" w:hAnsi="Arial" w:cs="Arial"/>
          <w:b/>
          <w:bCs/>
        </w:rPr>
        <w:lastRenderedPageBreak/>
        <w:t>Conclusion</w:t>
      </w:r>
    </w:p>
    <w:p w14:paraId="4EA29C42" w14:textId="77777777" w:rsidR="00E35265" w:rsidRDefault="00A74F0E" w:rsidP="00A74F0E">
      <w:pPr>
        <w:spacing w:line="480" w:lineRule="auto"/>
        <w:jc w:val="both"/>
        <w:rPr>
          <w:rFonts w:ascii="Arial" w:hAnsi="Arial" w:cs="Arial"/>
        </w:rPr>
      </w:pPr>
      <w:r w:rsidRPr="00A74F0E">
        <w:rPr>
          <w:rFonts w:ascii="Arial" w:hAnsi="Arial" w:cs="Arial"/>
        </w:rPr>
        <w:t>Sustainable Future Solutions aspires to be a trusted partner for public and private sector organisations looking for effective strategies to minimise their environmental footprint and strengthen their social obligations. This business plan demonstrates how SFS's strategy blends commercial considerations with a genuine commitment to the triple-bottom-line model (Elkington 1997). The organisation will serve a market that is becoming more aware of environmental issues by combining expert consulting, green product offerings, and practical training sessions.</w:t>
      </w:r>
    </w:p>
    <w:p w14:paraId="3B2DD651" w14:textId="77777777" w:rsidR="00E35265" w:rsidRDefault="00A74F0E" w:rsidP="00A74F0E">
      <w:pPr>
        <w:spacing w:line="480" w:lineRule="auto"/>
        <w:jc w:val="both"/>
        <w:rPr>
          <w:rFonts w:ascii="Arial" w:hAnsi="Arial" w:cs="Arial"/>
        </w:rPr>
      </w:pPr>
      <w:r w:rsidRPr="00A74F0E">
        <w:rPr>
          <w:rFonts w:ascii="Arial" w:hAnsi="Arial" w:cs="Arial"/>
        </w:rPr>
        <w:t>The plan emphasises producing measurable benefits</w:t>
      </w:r>
      <w:r w:rsidR="00E35265">
        <w:rPr>
          <w:rFonts w:ascii="Arial" w:hAnsi="Arial" w:cs="Arial"/>
        </w:rPr>
        <w:t xml:space="preserve"> </w:t>
      </w:r>
      <w:r w:rsidRPr="00A74F0E">
        <w:rPr>
          <w:rFonts w:ascii="Arial" w:hAnsi="Arial" w:cs="Arial"/>
        </w:rPr>
        <w:t>such as cost savings, increased regulatory compliance, and improved reputation</w:t>
      </w:r>
      <w:r w:rsidR="00E35265">
        <w:rPr>
          <w:rFonts w:ascii="Arial" w:hAnsi="Arial" w:cs="Arial"/>
        </w:rPr>
        <w:t xml:space="preserve"> </w:t>
      </w:r>
      <w:r w:rsidRPr="00A74F0E">
        <w:rPr>
          <w:rFonts w:ascii="Arial" w:hAnsi="Arial" w:cs="Arial"/>
        </w:rPr>
        <w:t>because of</w:t>
      </w:r>
      <w:r w:rsidRPr="00A74F0E">
        <w:rPr>
          <w:rFonts w:ascii="Arial" w:hAnsi="Arial" w:cs="Arial"/>
        </w:rPr>
        <w:t xml:space="preserve"> well-executed sustainability policies (Kotler and Keller, 2016). The feasibility of this method is supported by rigorous resource planning, a diverse income model, and a strong marketing strategy. The first-year cashflow prediction suggests that SFS can become profitable once it has overcome the initial phase of negative returns.</w:t>
      </w:r>
    </w:p>
    <w:p w14:paraId="186315D9" w14:textId="590F4DF0" w:rsidR="00A74F0E" w:rsidRDefault="00A74F0E" w:rsidP="00A74F0E">
      <w:pPr>
        <w:spacing w:line="480" w:lineRule="auto"/>
        <w:jc w:val="both"/>
        <w:rPr>
          <w:rFonts w:ascii="Arial" w:hAnsi="Arial" w:cs="Arial"/>
        </w:rPr>
      </w:pPr>
      <w:r w:rsidRPr="00A74F0E">
        <w:rPr>
          <w:rFonts w:ascii="Arial" w:hAnsi="Arial" w:cs="Arial"/>
        </w:rPr>
        <w:t>A contingency plan is in place to protect operations if economic or regulatory conditions change suddenly. Overall, SFS is committed to demonstrating how lucrative, ethical enterprise can thrive in an age of increased environmental consciousness. SFS believes that by encouraging customers to adopt responsible practices, it can contribute to meaningful environmental outcomes while still achieving financial success in a competitive marketplace.</w:t>
      </w:r>
    </w:p>
    <w:p w14:paraId="1E442D71" w14:textId="77777777" w:rsidR="00E35265" w:rsidRDefault="00E35265" w:rsidP="00A74F0E">
      <w:pPr>
        <w:spacing w:line="480" w:lineRule="auto"/>
        <w:jc w:val="both"/>
        <w:rPr>
          <w:rFonts w:ascii="Arial" w:hAnsi="Arial" w:cs="Arial"/>
        </w:rPr>
      </w:pPr>
    </w:p>
    <w:p w14:paraId="086907EF" w14:textId="77777777" w:rsidR="00E35265" w:rsidRDefault="00E35265" w:rsidP="00A74F0E">
      <w:pPr>
        <w:spacing w:line="480" w:lineRule="auto"/>
        <w:jc w:val="both"/>
        <w:rPr>
          <w:rFonts w:ascii="Arial" w:hAnsi="Arial" w:cs="Arial"/>
        </w:rPr>
      </w:pPr>
    </w:p>
    <w:p w14:paraId="0A5F8C44" w14:textId="77777777" w:rsidR="00E35265" w:rsidRDefault="00E35265" w:rsidP="00A74F0E">
      <w:pPr>
        <w:spacing w:line="480" w:lineRule="auto"/>
        <w:jc w:val="both"/>
        <w:rPr>
          <w:rFonts w:ascii="Arial" w:hAnsi="Arial" w:cs="Arial"/>
        </w:rPr>
      </w:pPr>
    </w:p>
    <w:p w14:paraId="793EF1AB" w14:textId="7EE435D8" w:rsidR="00E35265" w:rsidRPr="005B7C86" w:rsidRDefault="00E35265" w:rsidP="00A74F0E">
      <w:pPr>
        <w:spacing w:line="480" w:lineRule="auto"/>
        <w:jc w:val="both"/>
        <w:rPr>
          <w:rFonts w:ascii="Arial" w:hAnsi="Arial" w:cs="Arial"/>
          <w:b/>
          <w:bCs/>
        </w:rPr>
      </w:pPr>
      <w:r w:rsidRPr="005B7C86">
        <w:rPr>
          <w:rFonts w:ascii="Arial" w:hAnsi="Arial" w:cs="Arial"/>
          <w:b/>
          <w:bCs/>
        </w:rPr>
        <w:lastRenderedPageBreak/>
        <w:t xml:space="preserve">References list </w:t>
      </w:r>
    </w:p>
    <w:p w14:paraId="353210AD" w14:textId="77777777" w:rsidR="005B7C86" w:rsidRDefault="005B7C86" w:rsidP="005B7C86">
      <w:pPr>
        <w:spacing w:line="480" w:lineRule="auto"/>
        <w:jc w:val="both"/>
        <w:rPr>
          <w:rFonts w:ascii="Arial" w:hAnsi="Arial" w:cs="Arial"/>
        </w:rPr>
      </w:pPr>
      <w:r w:rsidRPr="005B7C86">
        <w:rPr>
          <w:rFonts w:ascii="Arial" w:hAnsi="Arial" w:cs="Arial"/>
        </w:rPr>
        <w:t xml:space="preserve">Baldassarre, B., &amp; Campo, G. (2016). Sustainable business models and entrepreneurial innovation. </w:t>
      </w:r>
      <w:r w:rsidRPr="005B7C86">
        <w:rPr>
          <w:rFonts w:ascii="Arial" w:hAnsi="Arial" w:cs="Arial"/>
          <w:i/>
          <w:iCs/>
        </w:rPr>
        <w:t>Journal of Sustainable Business, 8</w:t>
      </w:r>
      <w:r w:rsidRPr="005B7C86">
        <w:rPr>
          <w:rFonts w:ascii="Arial" w:hAnsi="Arial" w:cs="Arial"/>
        </w:rPr>
        <w:t>(2), 12–24.</w:t>
      </w:r>
    </w:p>
    <w:p w14:paraId="282E83BD" w14:textId="77777777" w:rsidR="005B7C86" w:rsidRDefault="005B7C86" w:rsidP="005B7C86">
      <w:pPr>
        <w:spacing w:line="480" w:lineRule="auto"/>
        <w:jc w:val="both"/>
        <w:rPr>
          <w:rFonts w:ascii="Arial" w:hAnsi="Arial" w:cs="Arial"/>
        </w:rPr>
      </w:pPr>
      <w:proofErr w:type="spellStart"/>
      <w:r w:rsidRPr="005B7C86">
        <w:rPr>
          <w:rFonts w:ascii="Arial" w:hAnsi="Arial" w:cs="Arial"/>
        </w:rPr>
        <w:t>Bocken</w:t>
      </w:r>
      <w:proofErr w:type="spellEnd"/>
      <w:r w:rsidRPr="005B7C86">
        <w:rPr>
          <w:rFonts w:ascii="Arial" w:hAnsi="Arial" w:cs="Arial"/>
        </w:rPr>
        <w:t xml:space="preserve">, N. M. P., Short, S. W., Rana, P., &amp; Evans, S. (2014). A literature and practice review to develop sustainable business model archetypes. </w:t>
      </w:r>
      <w:r w:rsidRPr="005B7C86">
        <w:rPr>
          <w:rFonts w:ascii="Arial" w:hAnsi="Arial" w:cs="Arial"/>
          <w:i/>
          <w:iCs/>
        </w:rPr>
        <w:t>Journal of Cleaner Production, 65,</w:t>
      </w:r>
      <w:r w:rsidRPr="005B7C86">
        <w:rPr>
          <w:rFonts w:ascii="Arial" w:hAnsi="Arial" w:cs="Arial"/>
        </w:rPr>
        <w:t xml:space="preserve"> 42–56.</w:t>
      </w:r>
    </w:p>
    <w:p w14:paraId="2C6F969F" w14:textId="648046F1" w:rsidR="005B7C86" w:rsidRPr="005B7C86" w:rsidRDefault="005B7C86" w:rsidP="005B7C86">
      <w:pPr>
        <w:spacing w:line="480" w:lineRule="auto"/>
        <w:jc w:val="both"/>
        <w:rPr>
          <w:rFonts w:ascii="Arial" w:hAnsi="Arial" w:cs="Arial"/>
        </w:rPr>
      </w:pPr>
      <w:r w:rsidRPr="005B7C86">
        <w:rPr>
          <w:rFonts w:ascii="Arial" w:hAnsi="Arial" w:cs="Arial"/>
        </w:rPr>
        <w:t xml:space="preserve">Brundtland Commission. (1987). </w:t>
      </w:r>
      <w:r w:rsidRPr="005B7C86">
        <w:rPr>
          <w:rFonts w:ascii="Arial" w:hAnsi="Arial" w:cs="Arial"/>
          <w:i/>
          <w:iCs/>
        </w:rPr>
        <w:t>Our common future.</w:t>
      </w:r>
      <w:r w:rsidRPr="005B7C86">
        <w:rPr>
          <w:rFonts w:ascii="Arial" w:hAnsi="Arial" w:cs="Arial"/>
        </w:rPr>
        <w:t xml:space="preserve"> Oxford University Press.</w:t>
      </w:r>
    </w:p>
    <w:p w14:paraId="15F5E1D9" w14:textId="77777777" w:rsidR="005B7C86" w:rsidRPr="005B7C86" w:rsidRDefault="005B7C86" w:rsidP="005B7C86">
      <w:pPr>
        <w:spacing w:line="480" w:lineRule="auto"/>
        <w:jc w:val="both"/>
        <w:rPr>
          <w:rFonts w:ascii="Arial" w:hAnsi="Arial" w:cs="Arial"/>
        </w:rPr>
      </w:pPr>
      <w:r w:rsidRPr="005B7C86">
        <w:rPr>
          <w:rFonts w:ascii="Arial" w:hAnsi="Arial" w:cs="Arial"/>
        </w:rPr>
        <w:t xml:space="preserve">Elkington, J. (1997). </w:t>
      </w:r>
      <w:r w:rsidRPr="005B7C86">
        <w:rPr>
          <w:rFonts w:ascii="Arial" w:hAnsi="Arial" w:cs="Arial"/>
          <w:i/>
          <w:iCs/>
        </w:rPr>
        <w:t>Cannibals with forks: The triple bottom line of 21st century business.</w:t>
      </w:r>
      <w:r w:rsidRPr="005B7C86">
        <w:rPr>
          <w:rFonts w:ascii="Arial" w:hAnsi="Arial" w:cs="Arial"/>
        </w:rPr>
        <w:t xml:space="preserve"> Capstone.</w:t>
      </w:r>
    </w:p>
    <w:p w14:paraId="568797C8" w14:textId="1AE2F21C" w:rsidR="005B7C86" w:rsidRPr="005B7C86" w:rsidRDefault="005B7C86" w:rsidP="005B7C86">
      <w:pPr>
        <w:spacing w:line="480" w:lineRule="auto"/>
        <w:jc w:val="both"/>
        <w:rPr>
          <w:rFonts w:ascii="Arial" w:hAnsi="Arial" w:cs="Arial"/>
        </w:rPr>
      </w:pPr>
      <w:r w:rsidRPr="005B7C86">
        <w:rPr>
          <w:rFonts w:ascii="Arial" w:hAnsi="Arial" w:cs="Arial"/>
        </w:rPr>
        <w:t xml:space="preserve">Environmental Protection Agency. (2020). </w:t>
      </w:r>
      <w:r w:rsidRPr="005B7C86">
        <w:rPr>
          <w:rFonts w:ascii="Arial" w:hAnsi="Arial" w:cs="Arial"/>
          <w:i/>
          <w:iCs/>
        </w:rPr>
        <w:t>Energy efficiency strategies for office buildings</w:t>
      </w:r>
      <w:r w:rsidRPr="005B7C86">
        <w:rPr>
          <w:rFonts w:ascii="Arial" w:hAnsi="Arial" w:cs="Arial"/>
        </w:rPr>
        <w:t xml:space="preserve">. </w:t>
      </w:r>
      <w:r>
        <w:rPr>
          <w:rFonts w:ascii="Arial" w:hAnsi="Arial" w:cs="Arial"/>
        </w:rPr>
        <w:t xml:space="preserve">Retrieved from: </w:t>
      </w:r>
      <w:hyperlink r:id="rId8" w:history="1">
        <w:r w:rsidRPr="00F648E9">
          <w:rPr>
            <w:rStyle w:val="Hyperlink"/>
            <w:rFonts w:ascii="Arial" w:hAnsi="Arial" w:cs="Arial"/>
          </w:rPr>
          <w:t>https://www.epa.gov/system/files/documents/2022-08/Energy%20Efficiency%20Programs%20and%20Resource%20Standards_508.pdf</w:t>
        </w:r>
      </w:hyperlink>
      <w:r>
        <w:rPr>
          <w:rFonts w:ascii="Arial" w:hAnsi="Arial" w:cs="Arial"/>
        </w:rPr>
        <w:t xml:space="preserve"> </w:t>
      </w:r>
    </w:p>
    <w:p w14:paraId="0AF859B9" w14:textId="70B27130" w:rsidR="005B7C86" w:rsidRDefault="005B7C86" w:rsidP="005B7C86">
      <w:pPr>
        <w:spacing w:line="480" w:lineRule="auto"/>
        <w:jc w:val="both"/>
        <w:rPr>
          <w:rFonts w:ascii="Arial" w:hAnsi="Arial" w:cs="Arial"/>
        </w:rPr>
      </w:pPr>
      <w:r w:rsidRPr="005B7C86">
        <w:rPr>
          <w:rFonts w:ascii="Arial" w:hAnsi="Arial" w:cs="Arial"/>
        </w:rPr>
        <w:t xml:space="preserve">European Commission. (2020). </w:t>
      </w:r>
      <w:r w:rsidRPr="005B7C86">
        <w:rPr>
          <w:rFonts w:ascii="Arial" w:hAnsi="Arial" w:cs="Arial"/>
          <w:i/>
          <w:iCs/>
        </w:rPr>
        <w:t>Sustainability and corporate social responsibility: Policy framewor</w:t>
      </w:r>
      <w:r w:rsidRPr="005B7C86">
        <w:rPr>
          <w:rFonts w:ascii="Arial" w:hAnsi="Arial" w:cs="Arial"/>
        </w:rPr>
        <w:t xml:space="preserve">k. </w:t>
      </w:r>
      <w:r>
        <w:rPr>
          <w:rFonts w:ascii="Arial" w:hAnsi="Arial" w:cs="Arial"/>
        </w:rPr>
        <w:t xml:space="preserve">Retrieved from: </w:t>
      </w:r>
      <w:hyperlink r:id="rId9" w:history="1">
        <w:r w:rsidRPr="00F648E9">
          <w:rPr>
            <w:rStyle w:val="Hyperlink"/>
            <w:rFonts w:ascii="Arial" w:hAnsi="Arial" w:cs="Arial"/>
          </w:rPr>
          <w:t>https://commission.europa.eu/business-economy-euro/doing-business-eu/sustainability-due-diligence-responsible-business/corporate-social-responsibility-csr_en</w:t>
        </w:r>
      </w:hyperlink>
      <w:r>
        <w:rPr>
          <w:rFonts w:ascii="Arial" w:hAnsi="Arial" w:cs="Arial"/>
        </w:rPr>
        <w:t xml:space="preserve"> </w:t>
      </w:r>
    </w:p>
    <w:p w14:paraId="03AF4302" w14:textId="124AAD6B" w:rsidR="005B7C86" w:rsidRPr="005B7C86" w:rsidRDefault="005B7C86" w:rsidP="005B7C86">
      <w:pPr>
        <w:spacing w:line="480" w:lineRule="auto"/>
        <w:jc w:val="both"/>
        <w:rPr>
          <w:rFonts w:ascii="Arial" w:hAnsi="Arial" w:cs="Arial"/>
        </w:rPr>
      </w:pPr>
      <w:r w:rsidRPr="005B7C86">
        <w:rPr>
          <w:rFonts w:ascii="Arial" w:hAnsi="Arial" w:cs="Arial"/>
        </w:rPr>
        <w:t xml:space="preserve">Franceschelli, M.V., Santoro, G. and Candelo, E. (2018), "Business model innovation for sustainability: a food start-up case study", </w:t>
      </w:r>
      <w:r w:rsidRPr="005B7C86">
        <w:rPr>
          <w:rFonts w:ascii="Arial" w:hAnsi="Arial" w:cs="Arial"/>
          <w:i/>
          <w:iCs/>
        </w:rPr>
        <w:t>British Food Journal,</w:t>
      </w:r>
      <w:r w:rsidRPr="005B7C86">
        <w:rPr>
          <w:rFonts w:ascii="Arial" w:hAnsi="Arial" w:cs="Arial"/>
        </w:rPr>
        <w:t xml:space="preserve"> Vol. 120 No. 10, pp. 2483-2494. </w:t>
      </w:r>
      <w:hyperlink r:id="rId10" w:history="1">
        <w:r w:rsidRPr="00F648E9">
          <w:rPr>
            <w:rStyle w:val="Hyperlink"/>
            <w:rFonts w:ascii="Arial" w:hAnsi="Arial" w:cs="Arial"/>
          </w:rPr>
          <w:t>https://doi.org/10.1108/BFJ-01-2018-0049</w:t>
        </w:r>
      </w:hyperlink>
      <w:r>
        <w:rPr>
          <w:rFonts w:ascii="Arial" w:hAnsi="Arial" w:cs="Arial"/>
        </w:rPr>
        <w:t xml:space="preserve"> </w:t>
      </w:r>
    </w:p>
    <w:p w14:paraId="3CA17AB7" w14:textId="77777777" w:rsidR="005B7C86" w:rsidRDefault="005B7C86" w:rsidP="005B7C86">
      <w:pPr>
        <w:spacing w:line="480" w:lineRule="auto"/>
        <w:jc w:val="both"/>
        <w:rPr>
          <w:rFonts w:ascii="Arial" w:hAnsi="Arial" w:cs="Arial"/>
        </w:rPr>
      </w:pPr>
      <w:r w:rsidRPr="005B7C86">
        <w:rPr>
          <w:rFonts w:ascii="Arial" w:hAnsi="Arial" w:cs="Arial"/>
        </w:rPr>
        <w:t>Johnson, G., Scholes, K., &amp; Whittington, R. (2020</w:t>
      </w:r>
      <w:r w:rsidRPr="005B7C86">
        <w:rPr>
          <w:rFonts w:ascii="Arial" w:hAnsi="Arial" w:cs="Arial"/>
          <w:i/>
          <w:iCs/>
        </w:rPr>
        <w:t>). Exploring corporate strategy</w:t>
      </w:r>
      <w:r w:rsidRPr="005B7C86">
        <w:rPr>
          <w:rFonts w:ascii="Arial" w:hAnsi="Arial" w:cs="Arial"/>
        </w:rPr>
        <w:t xml:space="preserve"> (12th ed.). Pearson.</w:t>
      </w:r>
    </w:p>
    <w:p w14:paraId="365A4B2C" w14:textId="785A55FB" w:rsidR="005B7C86" w:rsidRPr="005B7C86" w:rsidRDefault="005B7C86" w:rsidP="005B7C86">
      <w:pPr>
        <w:spacing w:line="480" w:lineRule="auto"/>
        <w:jc w:val="both"/>
        <w:rPr>
          <w:rFonts w:ascii="Arial" w:hAnsi="Arial" w:cs="Arial"/>
        </w:rPr>
      </w:pPr>
      <w:r w:rsidRPr="005B7C86">
        <w:rPr>
          <w:rFonts w:ascii="Arial" w:hAnsi="Arial" w:cs="Arial"/>
        </w:rPr>
        <w:t xml:space="preserve">Kotler, P., &amp; Armstrong, G. (2018). </w:t>
      </w:r>
      <w:r w:rsidRPr="005B7C86">
        <w:rPr>
          <w:rFonts w:ascii="Arial" w:hAnsi="Arial" w:cs="Arial"/>
          <w:i/>
          <w:iCs/>
        </w:rPr>
        <w:t>Principles of marketing</w:t>
      </w:r>
      <w:r w:rsidRPr="005B7C86">
        <w:rPr>
          <w:rFonts w:ascii="Arial" w:hAnsi="Arial" w:cs="Arial"/>
        </w:rPr>
        <w:t xml:space="preserve"> (17th ed.). Pearson.</w:t>
      </w:r>
    </w:p>
    <w:p w14:paraId="1C104550" w14:textId="77777777" w:rsidR="005B7C86" w:rsidRPr="005B7C86" w:rsidRDefault="005B7C86" w:rsidP="005B7C86">
      <w:pPr>
        <w:spacing w:line="480" w:lineRule="auto"/>
        <w:jc w:val="both"/>
        <w:rPr>
          <w:rFonts w:ascii="Arial" w:hAnsi="Arial" w:cs="Arial"/>
        </w:rPr>
      </w:pPr>
      <w:r w:rsidRPr="005B7C86">
        <w:rPr>
          <w:rFonts w:ascii="Arial" w:hAnsi="Arial" w:cs="Arial"/>
        </w:rPr>
        <w:lastRenderedPageBreak/>
        <w:t xml:space="preserve">Kotler, P., &amp; Keller, K. L. (2016). </w:t>
      </w:r>
      <w:r w:rsidRPr="005B7C86">
        <w:rPr>
          <w:rFonts w:ascii="Arial" w:hAnsi="Arial" w:cs="Arial"/>
          <w:i/>
          <w:iCs/>
        </w:rPr>
        <w:t>Marketing management</w:t>
      </w:r>
      <w:r w:rsidRPr="005B7C86">
        <w:rPr>
          <w:rFonts w:ascii="Arial" w:hAnsi="Arial" w:cs="Arial"/>
        </w:rPr>
        <w:t xml:space="preserve"> (15th ed.). Pearson.</w:t>
      </w:r>
    </w:p>
    <w:p w14:paraId="5DD5FBF4" w14:textId="2806EDBB" w:rsidR="00E35265" w:rsidRDefault="005B7C86" w:rsidP="005B7C86">
      <w:pPr>
        <w:spacing w:line="480" w:lineRule="auto"/>
        <w:jc w:val="both"/>
        <w:rPr>
          <w:rFonts w:ascii="Arial" w:hAnsi="Arial" w:cs="Arial"/>
        </w:rPr>
      </w:pPr>
      <w:r w:rsidRPr="005B7C86">
        <w:rPr>
          <w:rFonts w:ascii="Arial" w:hAnsi="Arial" w:cs="Arial"/>
        </w:rPr>
        <w:t xml:space="preserve">Porter, M. E., &amp; Kramer, M. R. (2011). Creating shared value. </w:t>
      </w:r>
      <w:r w:rsidRPr="005B7C86">
        <w:rPr>
          <w:rFonts w:ascii="Arial" w:hAnsi="Arial" w:cs="Arial"/>
          <w:i/>
          <w:iCs/>
        </w:rPr>
        <w:t>Harvard Business Review, 89</w:t>
      </w:r>
      <w:r w:rsidRPr="005B7C86">
        <w:rPr>
          <w:rFonts w:ascii="Arial" w:hAnsi="Arial" w:cs="Arial"/>
        </w:rPr>
        <w:t>(1/2), 62–77.</w:t>
      </w:r>
    </w:p>
    <w:p w14:paraId="4A585AB4" w14:textId="1F73C760" w:rsidR="005B7C86" w:rsidRDefault="005B7C86" w:rsidP="005B7C86">
      <w:pPr>
        <w:spacing w:line="480" w:lineRule="auto"/>
        <w:jc w:val="both"/>
        <w:rPr>
          <w:rFonts w:ascii="Arial" w:hAnsi="Arial" w:cs="Arial"/>
        </w:rPr>
      </w:pPr>
      <w:hyperlink r:id="rId11" w:history="1">
        <w:r w:rsidRPr="00F648E9">
          <w:rPr>
            <w:rStyle w:val="Hyperlink"/>
            <w:rFonts w:ascii="Arial" w:hAnsi="Arial" w:cs="Arial"/>
          </w:rPr>
          <w:t>https://www.sciencedirect.com/science/article/pii/S2211467X22002073</w:t>
        </w:r>
      </w:hyperlink>
    </w:p>
    <w:p w14:paraId="46D006F6" w14:textId="2213CCF5" w:rsidR="005B7C86" w:rsidRDefault="005B7C86" w:rsidP="005B7C86">
      <w:pPr>
        <w:spacing w:line="480" w:lineRule="auto"/>
        <w:jc w:val="both"/>
        <w:rPr>
          <w:rFonts w:ascii="Arial" w:hAnsi="Arial" w:cs="Arial"/>
        </w:rPr>
      </w:pPr>
      <w:hyperlink r:id="rId12" w:history="1">
        <w:r w:rsidRPr="00F648E9">
          <w:rPr>
            <w:rStyle w:val="Hyperlink"/>
            <w:rFonts w:ascii="Arial" w:hAnsi="Arial" w:cs="Arial"/>
          </w:rPr>
          <w:t>https://ukgbc.org/</w:t>
        </w:r>
      </w:hyperlink>
    </w:p>
    <w:p w14:paraId="44388C6D" w14:textId="7DB7F063" w:rsidR="005B7C86" w:rsidRDefault="005B7C86" w:rsidP="005B7C86">
      <w:pPr>
        <w:spacing w:line="480" w:lineRule="auto"/>
        <w:jc w:val="both"/>
        <w:rPr>
          <w:rFonts w:ascii="Arial" w:hAnsi="Arial" w:cs="Arial"/>
        </w:rPr>
      </w:pPr>
      <w:hyperlink r:id="rId13" w:history="1">
        <w:r w:rsidRPr="00F648E9">
          <w:rPr>
            <w:rStyle w:val="Hyperlink"/>
            <w:rFonts w:ascii="Arial" w:hAnsi="Arial" w:cs="Arial"/>
          </w:rPr>
          <w:t>https://www.researchgate.net/publication/373205730_Green_Building_Best_Practices_in_Achieving_Energy_and_Environmental_Sustainability</w:t>
        </w:r>
      </w:hyperlink>
    </w:p>
    <w:p w14:paraId="1903BA40" w14:textId="0AC23FD2" w:rsidR="005B7C86" w:rsidRDefault="005B7C86" w:rsidP="005B7C86">
      <w:pPr>
        <w:spacing w:line="480" w:lineRule="auto"/>
        <w:jc w:val="both"/>
        <w:rPr>
          <w:rFonts w:ascii="Arial" w:hAnsi="Arial" w:cs="Arial"/>
        </w:rPr>
      </w:pPr>
      <w:hyperlink r:id="rId14" w:history="1">
        <w:r w:rsidRPr="00F648E9">
          <w:rPr>
            <w:rStyle w:val="Hyperlink"/>
            <w:rFonts w:ascii="Arial" w:hAnsi="Arial" w:cs="Arial"/>
          </w:rPr>
          <w:t>https://www.thebioasis.com/business-regeneration-retreat?utm_medium=cpc&amp;utm_source=search&amp;gad_source=1&amp;gclid=Cj0KCQiAz6q-BhCfARIsAOezPxkvLNuFiutVtU3JxAITLrrGNDpdNZztG777u0i0SbCdqO2lGXRX9kEaAtvLEALw_wcB</w:t>
        </w:r>
      </w:hyperlink>
      <w:r>
        <w:rPr>
          <w:rFonts w:ascii="Arial" w:hAnsi="Arial" w:cs="Arial"/>
        </w:rPr>
        <w:t xml:space="preserve"> </w:t>
      </w:r>
    </w:p>
    <w:p w14:paraId="59829A4C" w14:textId="77777777" w:rsidR="005B7C86" w:rsidRPr="00A74F0E" w:rsidRDefault="005B7C86" w:rsidP="005B7C86">
      <w:pPr>
        <w:spacing w:line="480" w:lineRule="auto"/>
        <w:jc w:val="both"/>
        <w:rPr>
          <w:rFonts w:ascii="Arial" w:hAnsi="Arial" w:cs="Arial"/>
        </w:rPr>
      </w:pPr>
    </w:p>
    <w:sectPr w:rsidR="005B7C86" w:rsidRPr="00A74F0E" w:rsidSect="005B7C86">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9D07D" w14:textId="77777777" w:rsidR="00061E9A" w:rsidRDefault="00061E9A" w:rsidP="0089404D">
      <w:pPr>
        <w:spacing w:after="0" w:line="240" w:lineRule="auto"/>
      </w:pPr>
      <w:r>
        <w:separator/>
      </w:r>
    </w:p>
  </w:endnote>
  <w:endnote w:type="continuationSeparator" w:id="0">
    <w:p w14:paraId="0BC22ACB" w14:textId="77777777" w:rsidR="00061E9A" w:rsidRDefault="00061E9A" w:rsidP="00894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5B68E" w14:textId="77777777" w:rsidR="00061E9A" w:rsidRDefault="00061E9A" w:rsidP="0089404D">
      <w:pPr>
        <w:spacing w:after="0" w:line="240" w:lineRule="auto"/>
      </w:pPr>
      <w:r>
        <w:separator/>
      </w:r>
    </w:p>
  </w:footnote>
  <w:footnote w:type="continuationSeparator" w:id="0">
    <w:p w14:paraId="06B9FED6" w14:textId="77777777" w:rsidR="00061E9A" w:rsidRDefault="00061E9A" w:rsidP="008940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7463596"/>
      <w:docPartObj>
        <w:docPartGallery w:val="Page Numbers (Top of Page)"/>
        <w:docPartUnique/>
      </w:docPartObj>
    </w:sdtPr>
    <w:sdtEndPr>
      <w:rPr>
        <w:noProof/>
      </w:rPr>
    </w:sdtEndPr>
    <w:sdtContent>
      <w:p w14:paraId="4B79E529" w14:textId="14D26EC6" w:rsidR="0089404D" w:rsidRDefault="0089404D">
        <w:pPr>
          <w:pStyle w:val="Header"/>
        </w:pPr>
        <w:r>
          <w:fldChar w:fldCharType="begin"/>
        </w:r>
        <w:r>
          <w:instrText xml:space="preserve"> PAGE   \* MERGEFORMAT </w:instrText>
        </w:r>
        <w:r>
          <w:fldChar w:fldCharType="separate"/>
        </w:r>
        <w:r>
          <w:rPr>
            <w:noProof/>
          </w:rPr>
          <w:t>2</w:t>
        </w:r>
        <w:r>
          <w:rPr>
            <w:noProof/>
          </w:rPr>
          <w:fldChar w:fldCharType="end"/>
        </w:r>
      </w:p>
    </w:sdtContent>
  </w:sdt>
  <w:p w14:paraId="60305DE6" w14:textId="70FDDE34" w:rsidR="0089404D" w:rsidRDefault="008940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F3DE4"/>
    <w:multiLevelType w:val="hybridMultilevel"/>
    <w:tmpl w:val="91D88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596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F0E"/>
    <w:rsid w:val="00042A9C"/>
    <w:rsid w:val="00061E9A"/>
    <w:rsid w:val="002A5EF0"/>
    <w:rsid w:val="005B7C86"/>
    <w:rsid w:val="007E5CA8"/>
    <w:rsid w:val="008357AF"/>
    <w:rsid w:val="0089404D"/>
    <w:rsid w:val="00A74F0E"/>
    <w:rsid w:val="00B11A82"/>
    <w:rsid w:val="00E35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7BA3C"/>
  <w15:chartTrackingRefBased/>
  <w15:docId w15:val="{EFA1B57E-901B-4786-9A57-98726A71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F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F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F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F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F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F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F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F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F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F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F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F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F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F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F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F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F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F0E"/>
    <w:rPr>
      <w:rFonts w:eastAsiaTheme="majorEastAsia" w:cstheme="majorBidi"/>
      <w:color w:val="272727" w:themeColor="text1" w:themeTint="D8"/>
    </w:rPr>
  </w:style>
  <w:style w:type="paragraph" w:styleId="Title">
    <w:name w:val="Title"/>
    <w:basedOn w:val="Normal"/>
    <w:next w:val="Normal"/>
    <w:link w:val="TitleChar"/>
    <w:uiPriority w:val="10"/>
    <w:qFormat/>
    <w:rsid w:val="00A74F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F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F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F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F0E"/>
    <w:pPr>
      <w:spacing w:before="160"/>
      <w:jc w:val="center"/>
    </w:pPr>
    <w:rPr>
      <w:i/>
      <w:iCs/>
      <w:color w:val="404040" w:themeColor="text1" w:themeTint="BF"/>
    </w:rPr>
  </w:style>
  <w:style w:type="character" w:customStyle="1" w:styleId="QuoteChar">
    <w:name w:val="Quote Char"/>
    <w:basedOn w:val="DefaultParagraphFont"/>
    <w:link w:val="Quote"/>
    <w:uiPriority w:val="29"/>
    <w:rsid w:val="00A74F0E"/>
    <w:rPr>
      <w:i/>
      <w:iCs/>
      <w:color w:val="404040" w:themeColor="text1" w:themeTint="BF"/>
    </w:rPr>
  </w:style>
  <w:style w:type="paragraph" w:styleId="ListParagraph">
    <w:name w:val="List Paragraph"/>
    <w:basedOn w:val="Normal"/>
    <w:uiPriority w:val="34"/>
    <w:qFormat/>
    <w:rsid w:val="00A74F0E"/>
    <w:pPr>
      <w:ind w:left="720"/>
      <w:contextualSpacing/>
    </w:pPr>
  </w:style>
  <w:style w:type="character" w:styleId="IntenseEmphasis">
    <w:name w:val="Intense Emphasis"/>
    <w:basedOn w:val="DefaultParagraphFont"/>
    <w:uiPriority w:val="21"/>
    <w:qFormat/>
    <w:rsid w:val="00A74F0E"/>
    <w:rPr>
      <w:i/>
      <w:iCs/>
      <w:color w:val="0F4761" w:themeColor="accent1" w:themeShade="BF"/>
    </w:rPr>
  </w:style>
  <w:style w:type="paragraph" w:styleId="IntenseQuote">
    <w:name w:val="Intense Quote"/>
    <w:basedOn w:val="Normal"/>
    <w:next w:val="Normal"/>
    <w:link w:val="IntenseQuoteChar"/>
    <w:uiPriority w:val="30"/>
    <w:qFormat/>
    <w:rsid w:val="00A74F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F0E"/>
    <w:rPr>
      <w:i/>
      <w:iCs/>
      <w:color w:val="0F4761" w:themeColor="accent1" w:themeShade="BF"/>
    </w:rPr>
  </w:style>
  <w:style w:type="character" w:styleId="IntenseReference">
    <w:name w:val="Intense Reference"/>
    <w:basedOn w:val="DefaultParagraphFont"/>
    <w:uiPriority w:val="32"/>
    <w:qFormat/>
    <w:rsid w:val="00A74F0E"/>
    <w:rPr>
      <w:b/>
      <w:bCs/>
      <w:smallCaps/>
      <w:color w:val="0F4761" w:themeColor="accent1" w:themeShade="BF"/>
      <w:spacing w:val="5"/>
    </w:rPr>
  </w:style>
  <w:style w:type="paragraph" w:styleId="Header">
    <w:name w:val="header"/>
    <w:basedOn w:val="Normal"/>
    <w:link w:val="HeaderChar"/>
    <w:uiPriority w:val="99"/>
    <w:unhideWhenUsed/>
    <w:rsid w:val="00894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04D"/>
  </w:style>
  <w:style w:type="paragraph" w:styleId="Footer">
    <w:name w:val="footer"/>
    <w:basedOn w:val="Normal"/>
    <w:link w:val="FooterChar"/>
    <w:uiPriority w:val="99"/>
    <w:unhideWhenUsed/>
    <w:rsid w:val="00894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04D"/>
  </w:style>
  <w:style w:type="character" w:styleId="Hyperlink">
    <w:name w:val="Hyperlink"/>
    <w:basedOn w:val="DefaultParagraphFont"/>
    <w:uiPriority w:val="99"/>
    <w:unhideWhenUsed/>
    <w:rsid w:val="005B7C86"/>
    <w:rPr>
      <w:color w:val="467886" w:themeColor="hyperlink"/>
      <w:u w:val="single"/>
    </w:rPr>
  </w:style>
  <w:style w:type="character" w:styleId="UnresolvedMention">
    <w:name w:val="Unresolved Mention"/>
    <w:basedOn w:val="DefaultParagraphFont"/>
    <w:uiPriority w:val="99"/>
    <w:semiHidden/>
    <w:unhideWhenUsed/>
    <w:rsid w:val="005B7C86"/>
    <w:rPr>
      <w:color w:val="605E5C"/>
      <w:shd w:val="clear" w:color="auto" w:fill="E1DFDD"/>
    </w:rPr>
  </w:style>
  <w:style w:type="paragraph" w:styleId="NoSpacing">
    <w:name w:val="No Spacing"/>
    <w:link w:val="NoSpacingChar"/>
    <w:uiPriority w:val="1"/>
    <w:qFormat/>
    <w:rsid w:val="005B7C8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7C8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035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pa.gov/system/files/documents/2022-08/Energy%20Efficiency%20Programs%20and%20Resource%20Standards_508.pdf" TargetMode="External"/><Relationship Id="rId13" Type="http://schemas.openxmlformats.org/officeDocument/2006/relationships/hyperlink" Target="https://www.researchgate.net/publication/373205730_Green_Building_Best_Practices_in_Achieving_Energy_and_Environmental_Sustainabi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gbc.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211467X2200207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08/BFJ-01-2018-0049" TargetMode="External"/><Relationship Id="rId4" Type="http://schemas.openxmlformats.org/officeDocument/2006/relationships/settings" Target="settings.xml"/><Relationship Id="rId9" Type="http://schemas.openxmlformats.org/officeDocument/2006/relationships/hyperlink" Target="https://commission.europa.eu/business-economy-euro/doing-business-eu/sustainability-due-diligence-responsible-business/corporate-social-responsibility-csr_en" TargetMode="External"/><Relationship Id="rId14" Type="http://schemas.openxmlformats.org/officeDocument/2006/relationships/hyperlink" Target="https://www.thebioasis.com/business-regeneration-retreat?utm_medium=cpc&amp;utm_source=search&amp;gad_source=1&amp;gclid=Cj0KCQiAz6q-BhCfARIsAOezPxkvLNuFiutVtU3JxAITLrrGNDpdNZztG777u0i0SbCdqO2lGXRX9kEaAtvL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BMSE4010D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12</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Sustainable Enterprise</vt:lpstr>
    </vt:vector>
  </TitlesOfParts>
  <Company>Sustainable Enterprise/ Social Enterprise Management</Company>
  <LinksUpToDate>false</LinksUpToDate>
  <CharactersWithSpaces>17879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Business Plan</dc:subject>
  <dc:creator>Madalina Ionela Apetroaie</dc:creator>
  <cp:keywords/>
  <dc:description/>
  <cp:lastModifiedBy>Mirabela Voican (1907947)</cp:lastModifiedBy>
  <cp:revision>2</cp:revision>
  <dcterms:created xsi:type="dcterms:W3CDTF">2025-03-13T13:52:00Z</dcterms:created>
  <dcterms:modified xsi:type="dcterms:W3CDTF">2025-03-13T16:19:00Z</dcterms:modified>
</cp:coreProperties>
</file>