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4A30FC" w14:textId="77777777" w:rsidR="008C53FF" w:rsidRPr="003D2F0B" w:rsidRDefault="008C53FF" w:rsidP="008C53FF">
      <w:pPr>
        <w:jc w:val="center"/>
        <w:rPr>
          <w:b/>
          <w:lang w:val="en-GB"/>
        </w:rPr>
      </w:pPr>
    </w:p>
    <w:p w14:paraId="7B45FEFF" w14:textId="77777777" w:rsidR="008C53FF" w:rsidRPr="003D2F0B" w:rsidRDefault="008C53FF" w:rsidP="008C53FF">
      <w:pPr>
        <w:jc w:val="center"/>
        <w:rPr>
          <w:b/>
          <w:lang w:val="en-GB"/>
        </w:rPr>
      </w:pPr>
    </w:p>
    <w:p w14:paraId="47547978" w14:textId="77777777" w:rsidR="008C53FF" w:rsidRPr="003D2F0B" w:rsidRDefault="008C53FF" w:rsidP="008C53FF">
      <w:pPr>
        <w:jc w:val="center"/>
        <w:rPr>
          <w:b/>
          <w:lang w:val="en-GB"/>
        </w:rPr>
      </w:pPr>
    </w:p>
    <w:p w14:paraId="0EC4BBC0" w14:textId="77777777" w:rsidR="008C53FF" w:rsidRPr="003D2F0B" w:rsidRDefault="008C53FF" w:rsidP="008C53FF">
      <w:pPr>
        <w:jc w:val="center"/>
        <w:rPr>
          <w:b/>
          <w:lang w:val="en-GB"/>
        </w:rPr>
      </w:pPr>
    </w:p>
    <w:p w14:paraId="2C636F58" w14:textId="77777777" w:rsidR="008C53FF" w:rsidRPr="003D2F0B" w:rsidRDefault="008C53FF" w:rsidP="008C53FF">
      <w:pPr>
        <w:jc w:val="center"/>
        <w:rPr>
          <w:b/>
          <w:sz w:val="32"/>
          <w:szCs w:val="28"/>
          <w:lang w:val="en-GB"/>
        </w:rPr>
      </w:pPr>
    </w:p>
    <w:p w14:paraId="7DB35E74" w14:textId="77777777" w:rsidR="008C53FF" w:rsidRPr="003D2F0B" w:rsidRDefault="008C53FF" w:rsidP="008C53FF">
      <w:pPr>
        <w:jc w:val="center"/>
        <w:rPr>
          <w:b/>
          <w:sz w:val="32"/>
          <w:szCs w:val="28"/>
          <w:lang w:val="en-GB"/>
        </w:rPr>
      </w:pPr>
    </w:p>
    <w:p w14:paraId="653B8006" w14:textId="566C6286" w:rsidR="008C53FF" w:rsidRPr="003D2F0B" w:rsidRDefault="008C53FF" w:rsidP="008C53FF">
      <w:pPr>
        <w:jc w:val="center"/>
        <w:rPr>
          <w:b/>
          <w:sz w:val="32"/>
          <w:szCs w:val="28"/>
          <w:lang w:val="en-GB"/>
        </w:rPr>
      </w:pPr>
      <w:r w:rsidRPr="003D2F0B">
        <w:rPr>
          <w:b/>
          <w:sz w:val="32"/>
          <w:szCs w:val="28"/>
          <w:lang w:val="en-GB"/>
        </w:rPr>
        <w:t>TITLE OF THE ASSIGNMENT- GLOBAL BUSINESS ENVIRONMENT</w:t>
      </w:r>
      <w:r>
        <w:rPr>
          <w:b/>
          <w:sz w:val="32"/>
          <w:szCs w:val="28"/>
          <w:lang w:val="en-GB"/>
        </w:rPr>
        <w:t xml:space="preserve">- NISSAN </w:t>
      </w:r>
    </w:p>
    <w:p w14:paraId="36AB57FF" w14:textId="77777777" w:rsidR="008C53FF" w:rsidRPr="003D2F0B" w:rsidRDefault="008C53FF" w:rsidP="008C53FF">
      <w:pPr>
        <w:jc w:val="center"/>
        <w:rPr>
          <w:b/>
          <w:sz w:val="32"/>
          <w:szCs w:val="28"/>
          <w:lang w:val="en-GB"/>
        </w:rPr>
      </w:pPr>
      <w:r w:rsidRPr="003D2F0B">
        <w:rPr>
          <w:b/>
          <w:sz w:val="32"/>
          <w:szCs w:val="28"/>
          <w:lang w:val="en-GB"/>
        </w:rPr>
        <w:t>ASSESSMENT 2</w:t>
      </w:r>
    </w:p>
    <w:p w14:paraId="665BA81A" w14:textId="77777777" w:rsidR="008C53FF" w:rsidRPr="003D2F0B" w:rsidRDefault="008C53FF" w:rsidP="008C53FF">
      <w:pPr>
        <w:jc w:val="center"/>
        <w:rPr>
          <w:b/>
          <w:sz w:val="32"/>
          <w:szCs w:val="28"/>
          <w:lang w:val="en-GB"/>
        </w:rPr>
      </w:pPr>
      <w:r w:rsidRPr="003D2F0B">
        <w:rPr>
          <w:b/>
          <w:sz w:val="32"/>
          <w:szCs w:val="28"/>
          <w:lang w:val="en-GB"/>
        </w:rPr>
        <w:t>TITLE OF THE MODULE- THE GLOBAL BUSINESS ENVIRONMENT</w:t>
      </w:r>
    </w:p>
    <w:p w14:paraId="654CDECF" w14:textId="047030DE" w:rsidR="008C53FF" w:rsidRPr="003D2F0B" w:rsidRDefault="008C53FF" w:rsidP="008C53FF">
      <w:pPr>
        <w:jc w:val="center"/>
        <w:rPr>
          <w:b/>
          <w:sz w:val="32"/>
          <w:szCs w:val="28"/>
          <w:lang w:val="en-GB"/>
        </w:rPr>
      </w:pPr>
      <w:r w:rsidRPr="003D2F0B">
        <w:rPr>
          <w:b/>
          <w:sz w:val="32"/>
          <w:szCs w:val="28"/>
          <w:lang w:val="en-GB"/>
        </w:rPr>
        <w:t>STUDENT NAME-</w:t>
      </w:r>
      <w:r>
        <w:rPr>
          <w:b/>
          <w:sz w:val="32"/>
          <w:szCs w:val="28"/>
          <w:lang w:val="en-GB"/>
        </w:rPr>
        <w:t xml:space="preserve"> BOBOS IULIA</w:t>
      </w:r>
    </w:p>
    <w:p w14:paraId="510CA495" w14:textId="65648463" w:rsidR="008C53FF" w:rsidRPr="003D2F0B" w:rsidRDefault="008C53FF" w:rsidP="008C53FF">
      <w:pPr>
        <w:jc w:val="center"/>
        <w:rPr>
          <w:b/>
          <w:sz w:val="32"/>
          <w:szCs w:val="28"/>
          <w:lang w:val="en-GB"/>
        </w:rPr>
      </w:pPr>
      <w:r w:rsidRPr="003D2F0B">
        <w:rPr>
          <w:b/>
          <w:sz w:val="32"/>
          <w:szCs w:val="28"/>
          <w:lang w:val="en-GB"/>
        </w:rPr>
        <w:t>STUDENT ID-</w:t>
      </w:r>
      <w:r>
        <w:rPr>
          <w:b/>
          <w:sz w:val="32"/>
          <w:szCs w:val="28"/>
          <w:lang w:val="en-GB"/>
        </w:rPr>
        <w:t>1921543</w:t>
      </w:r>
    </w:p>
    <w:p w14:paraId="6D12CBDB" w14:textId="7A09ECF3" w:rsidR="008C53FF" w:rsidRPr="003D2F0B" w:rsidRDefault="008C53FF" w:rsidP="008C53FF">
      <w:pPr>
        <w:jc w:val="center"/>
        <w:rPr>
          <w:b/>
          <w:sz w:val="32"/>
          <w:szCs w:val="28"/>
          <w:lang w:val="en-GB"/>
        </w:rPr>
      </w:pPr>
      <w:r w:rsidRPr="003D2F0B">
        <w:rPr>
          <w:b/>
          <w:sz w:val="32"/>
          <w:szCs w:val="28"/>
          <w:lang w:val="en-GB"/>
        </w:rPr>
        <w:t>MODULE LECTURER’S NAME-</w:t>
      </w:r>
      <w:r>
        <w:rPr>
          <w:b/>
          <w:sz w:val="32"/>
          <w:szCs w:val="28"/>
          <w:lang w:val="en-GB"/>
        </w:rPr>
        <w:t xml:space="preserve"> REXON NTING</w:t>
      </w:r>
    </w:p>
    <w:p w14:paraId="052387B3" w14:textId="77777777" w:rsidR="008C53FF" w:rsidRPr="003D2F0B" w:rsidRDefault="008C53FF" w:rsidP="008C53FF">
      <w:pPr>
        <w:spacing w:line="276" w:lineRule="auto"/>
        <w:jc w:val="left"/>
        <w:rPr>
          <w:b/>
          <w:lang w:val="en-GB"/>
        </w:rPr>
      </w:pPr>
      <w:r w:rsidRPr="003D2F0B">
        <w:rPr>
          <w:b/>
          <w:lang w:val="en-GB"/>
        </w:rPr>
        <w:br w:type="page"/>
      </w:r>
    </w:p>
    <w:p w14:paraId="3F198A4F" w14:textId="77777777" w:rsidR="008C53FF" w:rsidRPr="003D2F0B" w:rsidRDefault="008C53FF" w:rsidP="008C53FF">
      <w:pPr>
        <w:pStyle w:val="Heading1"/>
        <w:rPr>
          <w:lang w:val="en-GB"/>
        </w:rPr>
      </w:pPr>
      <w:r w:rsidRPr="003D2F0B">
        <w:rPr>
          <w:lang w:val="en-GB"/>
        </w:rPr>
        <w:lastRenderedPageBreak/>
        <w:t>Introduction</w:t>
      </w:r>
    </w:p>
    <w:p w14:paraId="51DBDFF3" w14:textId="77777777" w:rsidR="008C53FF" w:rsidRPr="003D2F0B" w:rsidRDefault="008C53FF" w:rsidP="008C53FF">
      <w:pPr>
        <w:rPr>
          <w:lang w:val="en-GB"/>
        </w:rPr>
      </w:pPr>
      <w:r w:rsidRPr="003D2F0B">
        <w:rPr>
          <w:lang w:val="en-GB"/>
        </w:rPr>
        <w:t xml:space="preserve">The global business environment highlights the presence of micro and macro elements that determines the growth of the car manufacturing industry. Electric cars are the latest innovation by the automobile industries that supports reduced consumption of fuels and focus on less carbon emission. The innovation of electric-powered cars is designed by the companies with optional gasoline engines while the main limelight is pollutants from the gas released in the air and reducing air toxicity. The selected company Nissan Motors has launched electric motors cars with the model Leaf. </w:t>
      </w:r>
    </w:p>
    <w:p w14:paraId="7B2B52A7" w14:textId="77777777" w:rsidR="008C53FF" w:rsidRPr="003D2F0B" w:rsidRDefault="008C53FF" w:rsidP="008C53FF">
      <w:pPr>
        <w:rPr>
          <w:lang w:val="en-GB"/>
        </w:rPr>
      </w:pPr>
      <w:r w:rsidRPr="003D2F0B">
        <w:rPr>
          <w:lang w:val="en-GB"/>
        </w:rPr>
        <w:t>The essay highlights the Porter's Value Chain analysis is presenting the competitive advantages by identifying the profit-making and value-creating activities of the company. This supports in identifying the areas with lower cost while accessing the raw materials for production, distributing channels and innovative process technology. The value chain analysis helps in comparing the activities with those of the rival companies.  The differentiation strategy, pricing and promotion and product features are highlighted which enhance customer value. The value-generating actions and the cost drivers are comprehended through the application of this model.</w:t>
      </w:r>
    </w:p>
    <w:p w14:paraId="480EC7A7" w14:textId="77777777" w:rsidR="008C53FF" w:rsidRPr="003D2F0B" w:rsidRDefault="008C53FF" w:rsidP="008C53FF">
      <w:pPr>
        <w:pStyle w:val="Heading1"/>
        <w:rPr>
          <w:lang w:val="en-GB"/>
        </w:rPr>
      </w:pPr>
      <w:r w:rsidRPr="003D2F0B">
        <w:rPr>
          <w:lang w:val="en-GB"/>
        </w:rPr>
        <w:t xml:space="preserve">Synopsis of the organization- Nissan Motors Manufacturing (U.K.) (NMUK) </w:t>
      </w:r>
    </w:p>
    <w:p w14:paraId="7A0E3C96" w14:textId="77777777" w:rsidR="008C53FF" w:rsidRPr="003D2F0B" w:rsidRDefault="008C53FF" w:rsidP="008C53FF">
      <w:pPr>
        <w:rPr>
          <w:lang w:val="en-GB"/>
        </w:rPr>
      </w:pPr>
      <w:r w:rsidRPr="003D2F0B">
        <w:rPr>
          <w:lang w:val="en-GB"/>
        </w:rPr>
        <w:t xml:space="preserve">The car manufacturing company has ventured in plug-in options with new models like Leaf and </w:t>
      </w:r>
      <w:proofErr w:type="spellStart"/>
      <w:r w:rsidRPr="003D2F0B">
        <w:rPr>
          <w:lang w:val="en-GB"/>
        </w:rPr>
        <w:t>Ariya</w:t>
      </w:r>
      <w:proofErr w:type="spellEnd"/>
      <w:r w:rsidRPr="003D2F0B">
        <w:rPr>
          <w:lang w:val="en-GB"/>
        </w:rPr>
        <w:t>. The Leaf all-electric vehicle has been the best seller with 200,000 units being sold since its inception. The manufacturing plant of the company is the headquarters located at Sunderland, England, with 7,000 employees employed with the organization. Nissan Leaf has been assembled in the United Kingdom and Japan where the car has five-door hatchbacks and v-shaped design for better car aerodynamics. The model has been listed as one of the best-selling cars with 470,000 Leaf models sold across the globe, as reported in December 2019.</w:t>
      </w:r>
    </w:p>
    <w:p w14:paraId="0F374E6A" w14:textId="77777777" w:rsidR="008C53FF" w:rsidRPr="003D2F0B" w:rsidRDefault="008C53FF" w:rsidP="008C53FF">
      <w:pPr>
        <w:jc w:val="center"/>
        <w:rPr>
          <w:noProof/>
          <w:lang w:val="en-GB"/>
        </w:rPr>
      </w:pPr>
      <w:r w:rsidRPr="003D2F0B">
        <w:rPr>
          <w:noProof/>
          <w:lang w:val="en-GB"/>
        </w:rPr>
        <w:drawing>
          <wp:inline distT="0" distB="0" distL="0" distR="0" wp14:anchorId="7467F563" wp14:editId="533DD452">
            <wp:extent cx="2714625" cy="1628775"/>
            <wp:effectExtent l="19050" t="19050" r="28575" b="2857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a:picLocks noChangeAspect="1" noChangeArrowheads="1"/>
                    </pic:cNvPicPr>
                  </pic:nvPicPr>
                  <pic:blipFill>
                    <a:blip r:embed="rId4"/>
                    <a:stretch>
                      <a:fillRect/>
                    </a:stretch>
                  </pic:blipFill>
                  <pic:spPr bwMode="auto">
                    <a:xfrm>
                      <a:off x="0" y="0"/>
                      <a:ext cx="2714625" cy="1628775"/>
                    </a:xfrm>
                    <a:prstGeom prst="rect">
                      <a:avLst/>
                    </a:prstGeom>
                    <a:noFill/>
                    <a:ln w="12700">
                      <a:solidFill>
                        <a:schemeClr val="tx1"/>
                      </a:solidFill>
                      <a:miter lim="800000"/>
                      <a:headEnd/>
                      <a:tailEnd/>
                    </a:ln>
                  </pic:spPr>
                </pic:pic>
              </a:graphicData>
            </a:graphic>
          </wp:inline>
        </w:drawing>
      </w:r>
    </w:p>
    <w:p w14:paraId="57C7FF2A" w14:textId="77777777" w:rsidR="008C53FF" w:rsidRPr="003D2F0B" w:rsidRDefault="008C53FF" w:rsidP="008C53FF">
      <w:pPr>
        <w:spacing w:line="240" w:lineRule="auto"/>
        <w:jc w:val="center"/>
        <w:rPr>
          <w:b/>
          <w:i/>
          <w:noProof/>
          <w:lang w:val="en-GB"/>
        </w:rPr>
      </w:pPr>
      <w:r w:rsidRPr="003D2F0B">
        <w:rPr>
          <w:b/>
          <w:i/>
          <w:noProof/>
          <w:lang w:val="en-GB"/>
        </w:rPr>
        <w:t>Figure 1: The statistics of the electric car  model Nissan Leaf</w:t>
      </w:r>
    </w:p>
    <w:p w14:paraId="2E94D31D" w14:textId="77777777" w:rsidR="008C53FF" w:rsidRPr="003D2F0B" w:rsidRDefault="008C53FF" w:rsidP="008C53FF">
      <w:pPr>
        <w:spacing w:line="240" w:lineRule="auto"/>
        <w:jc w:val="center"/>
        <w:rPr>
          <w:b/>
          <w:i/>
          <w:noProof/>
          <w:lang w:val="en-GB"/>
        </w:rPr>
      </w:pPr>
      <w:r w:rsidRPr="003D2F0B">
        <w:rPr>
          <w:b/>
          <w:i/>
          <w:noProof/>
          <w:lang w:val="en-GB"/>
        </w:rPr>
        <w:lastRenderedPageBreak/>
        <w:t>(Source: Abdullah and Senan, 2019)</w:t>
      </w:r>
    </w:p>
    <w:p w14:paraId="1E73C5BF" w14:textId="77777777" w:rsidR="008C53FF" w:rsidRPr="003D2F0B" w:rsidRDefault="008C53FF" w:rsidP="008C53FF">
      <w:pPr>
        <w:pStyle w:val="Heading1"/>
        <w:rPr>
          <w:lang w:val="en-GB"/>
        </w:rPr>
      </w:pPr>
      <w:r w:rsidRPr="003D2F0B">
        <w:rPr>
          <w:lang w:val="en-GB"/>
        </w:rPr>
        <w:t>Literature Review</w:t>
      </w:r>
    </w:p>
    <w:p w14:paraId="5A75EB6E" w14:textId="77777777" w:rsidR="008C53FF" w:rsidRPr="003D2F0B" w:rsidRDefault="008C53FF" w:rsidP="008C53FF">
      <w:pPr>
        <w:rPr>
          <w:lang w:val="en-GB"/>
        </w:rPr>
      </w:pPr>
      <w:r w:rsidRPr="003D2F0B">
        <w:rPr>
          <w:lang w:val="en-GB"/>
        </w:rPr>
        <w:t xml:space="preserve">Michael Porter devised the value chain analysis model, which helps in scrutinizing the manufacturing steps necessary to create commodities with the purpose of delivering maximum value added to the products or commodities with the least possible manufacturing cost. The embedded activities hence lead to gain competitive advantage and optimize maximum profit margins through sales of the commodities. The model displays primary and secondary events of logistics, human resource management, and technological enhancement. As argued by </w:t>
      </w:r>
      <w:proofErr w:type="spellStart"/>
      <w:r w:rsidRPr="003D2F0B">
        <w:rPr>
          <w:lang w:val="en-GB"/>
        </w:rPr>
        <w:t>Simatupang</w:t>
      </w:r>
      <w:proofErr w:type="spellEnd"/>
      <w:r w:rsidRPr="003D2F0B">
        <w:rPr>
          <w:lang w:val="en-GB"/>
        </w:rPr>
        <w:t xml:space="preserve"> et al. (2017), the value chain analysis fails to interlink the activities undertaken while applying the model. The efficient managers using this model have the possibility of losing the focus on how the operations performed are broadly related to each other.</w:t>
      </w:r>
    </w:p>
    <w:p w14:paraId="78D5B9E4" w14:textId="77777777" w:rsidR="008C53FF" w:rsidRPr="003D2F0B" w:rsidRDefault="008C53FF" w:rsidP="008C53FF">
      <w:pPr>
        <w:rPr>
          <w:lang w:val="en-GB"/>
        </w:rPr>
      </w:pPr>
      <w:r w:rsidRPr="003D2F0B">
        <w:rPr>
          <w:lang w:val="en-GB"/>
        </w:rPr>
        <w:t xml:space="preserve">The other factors that are identified by through this model to gain the advantage over the competitors are achieving economy of scale, utilization of the maximum capacity of the company resources, appropriate time entering market, linking the business activities and the policies devised by the company while differentiating the commodities from the competitors. The companies apply the value chain analysis as they can plan the operations in a better way with minim wastage and space for research and development of the commodities (Abdullah and </w:t>
      </w:r>
      <w:proofErr w:type="spellStart"/>
      <w:r w:rsidRPr="003D2F0B">
        <w:rPr>
          <w:lang w:val="en-GB"/>
        </w:rPr>
        <w:t>Senan</w:t>
      </w:r>
      <w:proofErr w:type="spellEnd"/>
      <w:r w:rsidRPr="003D2F0B">
        <w:rPr>
          <w:lang w:val="en-GB"/>
        </w:rPr>
        <w:t xml:space="preserve">, 2019). The cost of production also reduces considerably while the chain components are optimized. The flow of materials in the production is improved as the sales forecast provide better insight into the quality of products available in the market. The global information technology is continually upgrading, where it is essential that the managers also change their outlook and activities while making short-term commitments for the company. </w:t>
      </w:r>
    </w:p>
    <w:p w14:paraId="3A49655A" w14:textId="77777777" w:rsidR="008C53FF" w:rsidRPr="003D2F0B" w:rsidRDefault="008C53FF" w:rsidP="008C53FF">
      <w:pPr>
        <w:pStyle w:val="Heading1"/>
        <w:rPr>
          <w:lang w:val="en-GB"/>
        </w:rPr>
      </w:pPr>
      <w:r w:rsidRPr="003D2F0B">
        <w:rPr>
          <w:lang w:val="en-GB"/>
        </w:rPr>
        <w:t>Porter’s Value Chain Analysis</w:t>
      </w:r>
    </w:p>
    <w:p w14:paraId="2CC1FB8C" w14:textId="77777777" w:rsidR="008C53FF" w:rsidRPr="003D2F0B" w:rsidRDefault="008C53FF" w:rsidP="008C53FF">
      <w:pPr>
        <w:rPr>
          <w:lang w:val="en-GB"/>
        </w:rPr>
      </w:pPr>
      <w:r w:rsidRPr="003D2F0B">
        <w:rPr>
          <w:lang w:val="en-GB"/>
        </w:rPr>
        <w:t xml:space="preserve">The model proposed by Porter is highly significant in the world of business. Nissan introduced the model Leaf followed by the models' Leaf e+, </w:t>
      </w:r>
      <w:proofErr w:type="spellStart"/>
      <w:r w:rsidRPr="003D2F0B">
        <w:rPr>
          <w:lang w:val="en-GB"/>
        </w:rPr>
        <w:t>Acenta</w:t>
      </w:r>
      <w:proofErr w:type="spellEnd"/>
      <w:r w:rsidRPr="003D2F0B">
        <w:rPr>
          <w:lang w:val="en-GB"/>
        </w:rPr>
        <w:t>, N-</w:t>
      </w:r>
      <w:proofErr w:type="spellStart"/>
      <w:r w:rsidRPr="003D2F0B">
        <w:rPr>
          <w:lang w:val="en-GB"/>
        </w:rPr>
        <w:t>Connecta</w:t>
      </w:r>
      <w:proofErr w:type="spellEnd"/>
      <w:r w:rsidRPr="003D2F0B">
        <w:rPr>
          <w:lang w:val="en-GB"/>
        </w:rPr>
        <w:t xml:space="preserve"> and Tekna (</w:t>
      </w:r>
      <w:proofErr w:type="spellStart"/>
      <w:r w:rsidRPr="003D2F0B">
        <w:rPr>
          <w:rFonts w:cs="Times New Roman"/>
          <w:color w:val="222222"/>
          <w:szCs w:val="24"/>
          <w:shd w:val="clear" w:color="auto" w:fill="FFFFFF"/>
          <w:lang w:val="en-GB"/>
        </w:rPr>
        <w:t>Anđelković</w:t>
      </w:r>
      <w:proofErr w:type="spellEnd"/>
      <w:r w:rsidRPr="003D2F0B">
        <w:rPr>
          <w:lang w:val="en-GB"/>
        </w:rPr>
        <w:t xml:space="preserve">, 2017). The significant value chain analysis needs Nissan to realize that every activity conducted in the organization does not require the same level of attention hence this model will be adequate to understand the gap in the delivery of performance as well as managing the chain of activities properly. </w:t>
      </w:r>
    </w:p>
    <w:p w14:paraId="28DBF923" w14:textId="77777777" w:rsidR="008C53FF" w:rsidRPr="003D2F0B" w:rsidRDefault="008C53FF" w:rsidP="008C53FF">
      <w:pPr>
        <w:pStyle w:val="Heading2"/>
        <w:rPr>
          <w:lang w:val="en-GB"/>
        </w:rPr>
      </w:pPr>
      <w:r w:rsidRPr="003D2F0B">
        <w:rPr>
          <w:lang w:val="en-GB"/>
        </w:rPr>
        <w:lastRenderedPageBreak/>
        <w:t xml:space="preserve">Primary activities </w:t>
      </w:r>
    </w:p>
    <w:p w14:paraId="19F16DF0" w14:textId="77777777" w:rsidR="008C53FF" w:rsidRPr="003D2F0B" w:rsidRDefault="008C53FF" w:rsidP="008C53FF">
      <w:pPr>
        <w:rPr>
          <w:lang w:val="en-GB"/>
        </w:rPr>
      </w:pPr>
      <w:r w:rsidRPr="003D2F0B">
        <w:rPr>
          <w:lang w:val="en-GB"/>
        </w:rPr>
        <w:t>The primary activities, according to the model, presents the inbound logistics, outbound logistics, operations, marketing and sales and the services provided by the company. The events are mentioned in the following points:</w:t>
      </w:r>
    </w:p>
    <w:p w14:paraId="5E1348D5" w14:textId="77777777" w:rsidR="008C53FF" w:rsidRPr="003D2F0B" w:rsidRDefault="008C53FF" w:rsidP="008C53FF">
      <w:pPr>
        <w:rPr>
          <w:b/>
          <w:i/>
          <w:lang w:val="en-GB"/>
        </w:rPr>
      </w:pPr>
      <w:r w:rsidRPr="003D2F0B">
        <w:rPr>
          <w:b/>
          <w:i/>
          <w:lang w:val="en-GB"/>
        </w:rPr>
        <w:t>Inbound logistics</w:t>
      </w:r>
    </w:p>
    <w:p w14:paraId="24DDF982" w14:textId="77777777" w:rsidR="008C53FF" w:rsidRPr="003D2F0B" w:rsidRDefault="008C53FF" w:rsidP="008C53FF">
      <w:pPr>
        <w:rPr>
          <w:lang w:val="en-GB"/>
        </w:rPr>
      </w:pPr>
      <w:r w:rsidRPr="003D2F0B">
        <w:rPr>
          <w:lang w:val="en-GB"/>
        </w:rPr>
        <w:t>The company in order to achieve the cost-leadership position in the market has to utilize the economies of scale and lead wastage free operations which may reduce the production cost for the company. Inbound logistics here refers to the flow of commodities like transportation, storing of the raw materials, delivery and after-sale services offered by the company. Nissan has a big manufacturing plant in Sunderland, which has the capacity of storing a large number of raw materials required for the production of electric cars (Riley, 2020). The warehousing capacity at this location is recently thought to be unsustainable for the operations of producing electric cars as BREXIT negotiations failed to strike any deal with the European Union.</w:t>
      </w:r>
    </w:p>
    <w:p w14:paraId="72B9B9CE" w14:textId="77777777" w:rsidR="008C53FF" w:rsidRPr="003D2F0B" w:rsidRDefault="008C53FF" w:rsidP="008C53FF">
      <w:pPr>
        <w:rPr>
          <w:lang w:val="en-GB"/>
        </w:rPr>
      </w:pPr>
      <w:r w:rsidRPr="003D2F0B">
        <w:rPr>
          <w:lang w:val="en-GB"/>
        </w:rPr>
        <w:t xml:space="preserve">The storage and warehousing at this location are both serving the manufacturing of the electric cars and delivering them at the demanded site across European countries. Nissan, in order to achieve the economies of scale in producing the best electric cars, must purchase the raw materials from overseas which can provide cheap deals without compromising the quality of the products (He et al. 2020). The raw materials are mostly imported from Japan, 22% of materials from Eastern Europe and other parts from Western Europe. </w:t>
      </w:r>
    </w:p>
    <w:p w14:paraId="5A19FBE9" w14:textId="77777777" w:rsidR="008C53FF" w:rsidRPr="003D2F0B" w:rsidRDefault="008C53FF" w:rsidP="008C53FF">
      <w:pPr>
        <w:rPr>
          <w:b/>
          <w:i/>
          <w:lang w:val="en-GB"/>
        </w:rPr>
      </w:pPr>
      <w:r w:rsidRPr="003D2F0B">
        <w:rPr>
          <w:b/>
          <w:i/>
          <w:lang w:val="en-GB"/>
        </w:rPr>
        <w:t>Operations</w:t>
      </w:r>
    </w:p>
    <w:p w14:paraId="31E1FF06" w14:textId="77777777" w:rsidR="008C53FF" w:rsidRPr="003D2F0B" w:rsidRDefault="008C53FF" w:rsidP="008C53FF">
      <w:pPr>
        <w:rPr>
          <w:lang w:val="en-GB"/>
        </w:rPr>
      </w:pPr>
      <w:r w:rsidRPr="003D2F0B">
        <w:rPr>
          <w:lang w:val="en-GB"/>
        </w:rPr>
        <w:t>The second stage in the value chain is offered as the operational activities which comprise of the raw materials imported from various suppliers and assembled at the manufacturing plant. Nissan Motors in the United Kingdom has selected Sunderland to be competent to produce electric car models where operations management controllers schedule the in-house productions (</w:t>
      </w:r>
      <w:proofErr w:type="spellStart"/>
      <w:r w:rsidRPr="003D2F0B">
        <w:rPr>
          <w:lang w:val="en-GB"/>
        </w:rPr>
        <w:t>Klumpp</w:t>
      </w:r>
      <w:proofErr w:type="spellEnd"/>
      <w:r w:rsidRPr="003D2F0B">
        <w:rPr>
          <w:lang w:val="en-GB"/>
        </w:rPr>
        <w:t xml:space="preserve">, 2016). There is a dedicated team of material handling engineers who provide outstanding support through the mechanical assembly of the parts in a full-sized car. The team of supply chain management handles the packaging; designing and procurement of automobile parts from various sources of suppliers while ensuring the models are assembled at the right time and delivered at the right location on time. </w:t>
      </w:r>
    </w:p>
    <w:p w14:paraId="460159CD" w14:textId="77777777" w:rsidR="008C53FF" w:rsidRPr="003D2F0B" w:rsidRDefault="008C53FF" w:rsidP="008C53FF">
      <w:pPr>
        <w:rPr>
          <w:b/>
          <w:i/>
          <w:lang w:val="en-GB"/>
        </w:rPr>
      </w:pPr>
      <w:r w:rsidRPr="003D2F0B">
        <w:rPr>
          <w:b/>
          <w:i/>
          <w:lang w:val="en-GB"/>
        </w:rPr>
        <w:t>Outbound logistics</w:t>
      </w:r>
    </w:p>
    <w:p w14:paraId="3CDEF865" w14:textId="77777777" w:rsidR="008C53FF" w:rsidRPr="003D2F0B" w:rsidRDefault="008C53FF" w:rsidP="008C53FF">
      <w:pPr>
        <w:rPr>
          <w:lang w:val="en-GB"/>
        </w:rPr>
      </w:pPr>
      <w:r w:rsidRPr="003D2F0B">
        <w:rPr>
          <w:lang w:val="en-GB"/>
        </w:rPr>
        <w:lastRenderedPageBreak/>
        <w:t>Outbound logistics refers to the flow of commodities and associated services from the company towards the customers. Nissan has established exclusive network comprising of the dealers and retailers Scandinavian Auto Logistics (SAL) is one of the significant logistics partners of the company dealing with the supply chain in whole of Europe (</w:t>
      </w:r>
      <w:proofErr w:type="spellStart"/>
      <w:r w:rsidRPr="003D2F0B">
        <w:rPr>
          <w:lang w:val="en-GB"/>
        </w:rPr>
        <w:t>Helmold</w:t>
      </w:r>
      <w:proofErr w:type="spellEnd"/>
      <w:r w:rsidRPr="003D2F0B">
        <w:rPr>
          <w:lang w:val="en-GB"/>
        </w:rPr>
        <w:t xml:space="preserve"> and Terry, 2016). The major shipping of the cars is done through waterway transport using the sea route to export the models. </w:t>
      </w:r>
      <w:proofErr w:type="spellStart"/>
      <w:r w:rsidRPr="003D2F0B">
        <w:rPr>
          <w:lang w:val="en-GB"/>
        </w:rPr>
        <w:t>Wallenius</w:t>
      </w:r>
      <w:proofErr w:type="spellEnd"/>
      <w:r w:rsidRPr="003D2F0B">
        <w:rPr>
          <w:lang w:val="en-GB"/>
        </w:rPr>
        <w:t xml:space="preserve"> Wilhelmsen Logistics (WWL) is also considered as one of the significant logistic partners of the company. The methods of transportation used in the European countries are mostly through roadways and railways. </w:t>
      </w:r>
    </w:p>
    <w:p w14:paraId="50EC1C3F" w14:textId="77777777" w:rsidR="008C53FF" w:rsidRPr="003D2F0B" w:rsidRDefault="008C53FF" w:rsidP="008C53FF">
      <w:pPr>
        <w:rPr>
          <w:b/>
          <w:i/>
          <w:lang w:val="en-GB"/>
        </w:rPr>
      </w:pPr>
      <w:r w:rsidRPr="003D2F0B">
        <w:rPr>
          <w:b/>
          <w:i/>
          <w:lang w:val="en-GB"/>
        </w:rPr>
        <w:t>Marketing and Sales</w:t>
      </w:r>
    </w:p>
    <w:p w14:paraId="0D0489C3" w14:textId="77777777" w:rsidR="008C53FF" w:rsidRPr="003D2F0B" w:rsidRDefault="008C53FF" w:rsidP="008C53FF">
      <w:pPr>
        <w:rPr>
          <w:lang w:val="en-GB"/>
        </w:rPr>
      </w:pPr>
      <w:r w:rsidRPr="003D2F0B">
        <w:rPr>
          <w:lang w:val="en-GB"/>
        </w:rPr>
        <w:t xml:space="preserve">Nissan Motors has a strong brand image in the global market. The company consistently engages research and development team in innovating products like the models of </w:t>
      </w:r>
      <w:proofErr w:type="spellStart"/>
      <w:r w:rsidRPr="003D2F0B">
        <w:rPr>
          <w:lang w:val="en-GB"/>
        </w:rPr>
        <w:t>Acenta</w:t>
      </w:r>
      <w:proofErr w:type="spellEnd"/>
      <w:r w:rsidRPr="003D2F0B">
        <w:rPr>
          <w:lang w:val="en-GB"/>
        </w:rPr>
        <w:t>, Tekna and Leaf e+. The company fiercely uses the digital platform available to market its products extensively at all the corners of the world (Liu, 2018). The content created for advertising the models is of premium quality which helps in attracting the attention of the potential customers. Apart from the social media or digital platform, the sales network of the company is robust. They have uniquely created taxi rank in the city of London where people can enjoy electric car rides. This also helps in creating mass awareness among potential customers. This promotion events and unique ways have created a 7% increase in the annual sales of electric cars in European countries.</w:t>
      </w:r>
    </w:p>
    <w:p w14:paraId="0225AE66" w14:textId="77777777" w:rsidR="008C53FF" w:rsidRPr="003D2F0B" w:rsidRDefault="008C53FF" w:rsidP="008C53FF">
      <w:pPr>
        <w:rPr>
          <w:b/>
          <w:i/>
          <w:lang w:val="en-GB"/>
        </w:rPr>
      </w:pPr>
      <w:r w:rsidRPr="003D2F0B">
        <w:rPr>
          <w:b/>
          <w:i/>
          <w:lang w:val="en-GB"/>
        </w:rPr>
        <w:t xml:space="preserve">Product and services </w:t>
      </w:r>
    </w:p>
    <w:p w14:paraId="7AA02723" w14:textId="77777777" w:rsidR="008C53FF" w:rsidRPr="003D2F0B" w:rsidRDefault="008C53FF" w:rsidP="008C53FF">
      <w:pPr>
        <w:rPr>
          <w:lang w:val="en-GB"/>
        </w:rPr>
      </w:pPr>
      <w:r w:rsidRPr="003D2F0B">
        <w:rPr>
          <w:lang w:val="en-GB"/>
        </w:rPr>
        <w:t>The product range of the company is hugely diversified with several varieties of electric cars. The latest technology is used by the company keeping in view the efficacy required for the consumers who will be using the products for official transportation (</w:t>
      </w:r>
      <w:proofErr w:type="spellStart"/>
      <w:r w:rsidRPr="003D2F0B">
        <w:rPr>
          <w:lang w:val="en-GB"/>
        </w:rPr>
        <w:t>Sunar</w:t>
      </w:r>
      <w:proofErr w:type="spellEnd"/>
      <w:r w:rsidRPr="003D2F0B">
        <w:rPr>
          <w:lang w:val="en-GB"/>
        </w:rPr>
        <w:t xml:space="preserve">, 2020). The state-of-the-art technology is incorporated in the models with the ease of accessibility to remote-controlled services, live traffic detection, battery manager and maps for finding the locations. The battery services to be used in the electric cars have been devised with the potential of charging within 90 minutes, providing 50KW charge for the functioning of the car.  </w:t>
      </w:r>
    </w:p>
    <w:p w14:paraId="6D0A70BC" w14:textId="77777777" w:rsidR="008C53FF" w:rsidRPr="003D2F0B" w:rsidRDefault="008C53FF" w:rsidP="008C53FF">
      <w:pPr>
        <w:rPr>
          <w:lang w:val="en-GB"/>
        </w:rPr>
      </w:pPr>
      <w:r w:rsidRPr="003D2F0B">
        <w:rPr>
          <w:noProof/>
          <w:lang w:val="en-GB"/>
        </w:rPr>
        <w:lastRenderedPageBreak/>
        <w:drawing>
          <wp:inline distT="0" distB="0" distL="0" distR="0" wp14:anchorId="06072349" wp14:editId="5AE164A9">
            <wp:extent cx="5943600" cy="3662593"/>
            <wp:effectExtent l="19050" t="19050" r="19050" b="14057"/>
            <wp:docPr id="7" name="Picture 7"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 screen with text&#10;&#10;Description automatically generated"/>
                    <pic:cNvPicPr>
                      <a:picLocks noChangeAspect="1" noChangeArrowheads="1"/>
                    </pic:cNvPicPr>
                  </pic:nvPicPr>
                  <pic:blipFill>
                    <a:blip r:embed="rId5"/>
                    <a:stretch>
                      <a:fillRect/>
                    </a:stretch>
                  </pic:blipFill>
                  <pic:spPr bwMode="auto">
                    <a:xfrm>
                      <a:off x="0" y="0"/>
                      <a:ext cx="5943600" cy="3662593"/>
                    </a:xfrm>
                    <a:prstGeom prst="rect">
                      <a:avLst/>
                    </a:prstGeom>
                    <a:noFill/>
                    <a:ln w="15875">
                      <a:solidFill>
                        <a:schemeClr val="tx1"/>
                      </a:solidFill>
                      <a:miter lim="800000"/>
                      <a:headEnd/>
                      <a:tailEnd/>
                    </a:ln>
                  </pic:spPr>
                </pic:pic>
              </a:graphicData>
            </a:graphic>
          </wp:inline>
        </w:drawing>
      </w:r>
    </w:p>
    <w:p w14:paraId="4493D95A" w14:textId="77777777" w:rsidR="008C53FF" w:rsidRPr="003D2F0B" w:rsidRDefault="008C53FF" w:rsidP="008C53FF">
      <w:pPr>
        <w:spacing w:line="240" w:lineRule="auto"/>
        <w:jc w:val="center"/>
        <w:rPr>
          <w:b/>
          <w:i/>
          <w:lang w:val="en-GB"/>
        </w:rPr>
      </w:pPr>
      <w:r w:rsidRPr="003D2F0B">
        <w:rPr>
          <w:b/>
          <w:i/>
          <w:lang w:val="en-GB"/>
        </w:rPr>
        <w:t>Figure 2: The model of Porter’s Value chain analysis</w:t>
      </w:r>
    </w:p>
    <w:p w14:paraId="770631AD" w14:textId="77777777" w:rsidR="008C53FF" w:rsidRPr="003D2F0B" w:rsidRDefault="008C53FF" w:rsidP="008C53FF">
      <w:pPr>
        <w:spacing w:line="240" w:lineRule="auto"/>
        <w:jc w:val="center"/>
        <w:rPr>
          <w:b/>
          <w:i/>
          <w:lang w:val="en-GB"/>
        </w:rPr>
      </w:pPr>
      <w:r w:rsidRPr="003D2F0B">
        <w:rPr>
          <w:b/>
          <w:i/>
          <w:lang w:val="en-GB"/>
        </w:rPr>
        <w:t>(Source: Naser et al. 2019)</w:t>
      </w:r>
    </w:p>
    <w:p w14:paraId="43ACADD6" w14:textId="77777777" w:rsidR="008C53FF" w:rsidRPr="003D2F0B" w:rsidRDefault="008C53FF" w:rsidP="008C53FF">
      <w:pPr>
        <w:pStyle w:val="Heading2"/>
        <w:rPr>
          <w:lang w:val="en-GB"/>
        </w:rPr>
      </w:pPr>
      <w:r w:rsidRPr="003D2F0B">
        <w:rPr>
          <w:lang w:val="en-GB"/>
        </w:rPr>
        <w:t>Secondary activities</w:t>
      </w:r>
    </w:p>
    <w:p w14:paraId="5295CB79" w14:textId="77777777" w:rsidR="008C53FF" w:rsidRPr="003D2F0B" w:rsidRDefault="008C53FF" w:rsidP="008C53FF">
      <w:pPr>
        <w:rPr>
          <w:lang w:val="en-GB"/>
        </w:rPr>
      </w:pPr>
      <w:r w:rsidRPr="003D2F0B">
        <w:rPr>
          <w:lang w:val="en-GB"/>
        </w:rPr>
        <w:t>The secondary or support activities of the company are evaluated in this model. Support or secondary activities are related to the primary activities (Thai, 2017). These activities are conducted by the managers, including human resources, to improve the effectiveness and efficacy of the primary activities of the organization.</w:t>
      </w:r>
    </w:p>
    <w:p w14:paraId="57ABCDE7" w14:textId="77777777" w:rsidR="008C53FF" w:rsidRPr="003D2F0B" w:rsidRDefault="008C53FF" w:rsidP="008C53FF">
      <w:pPr>
        <w:rPr>
          <w:b/>
          <w:i/>
          <w:lang w:val="en-GB"/>
        </w:rPr>
      </w:pPr>
      <w:r w:rsidRPr="003D2F0B">
        <w:rPr>
          <w:b/>
          <w:i/>
          <w:lang w:val="en-GB"/>
        </w:rPr>
        <w:t>Procurement</w:t>
      </w:r>
    </w:p>
    <w:p w14:paraId="7506F4CD" w14:textId="77777777" w:rsidR="008C53FF" w:rsidRPr="003D2F0B" w:rsidRDefault="008C53FF" w:rsidP="008C53FF">
      <w:pPr>
        <w:rPr>
          <w:lang w:val="en-GB"/>
        </w:rPr>
      </w:pPr>
      <w:r w:rsidRPr="003D2F0B">
        <w:rPr>
          <w:lang w:val="en-GB"/>
        </w:rPr>
        <w:t xml:space="preserve">Nissan is effective in selecting the best suppliers for the best quality of raw materials required for the production of electric cars. </w:t>
      </w:r>
      <w:proofErr w:type="spellStart"/>
      <w:r w:rsidRPr="003D2F0B">
        <w:rPr>
          <w:lang w:val="en-GB"/>
        </w:rPr>
        <w:t>Te</w:t>
      </w:r>
      <w:proofErr w:type="spellEnd"/>
      <w:r w:rsidRPr="003D2F0B">
        <w:rPr>
          <w:lang w:val="en-GB"/>
        </w:rPr>
        <w:t xml:space="preserve"> suppliers, in general, provide 70-80% of the raw materials as are necessary for electric cars. The suppliers are active from the European countries, which help in achieving the economies of scale for mass production of the electric models. Nissan has developed a strong network of quality control and supply chain with Renault as an alliance with the company (Naser et al. 2019). The company has formed The Supplier Quality Assurance Group promoting the best of the designs and materials by maintaining strict standards of the quality </w:t>
      </w:r>
      <w:proofErr w:type="spellStart"/>
      <w:r w:rsidRPr="003D2F0B">
        <w:rPr>
          <w:lang w:val="en-GB"/>
        </w:rPr>
        <w:t>o</w:t>
      </w:r>
      <w:proofErr w:type="spellEnd"/>
      <w:r w:rsidRPr="003D2F0B">
        <w:rPr>
          <w:lang w:val="en-GB"/>
        </w:rPr>
        <w:t xml:space="preserve"> products.</w:t>
      </w:r>
    </w:p>
    <w:p w14:paraId="26EA4D2B" w14:textId="77777777" w:rsidR="008C53FF" w:rsidRPr="003D2F0B" w:rsidRDefault="008C53FF" w:rsidP="008C53FF">
      <w:pPr>
        <w:rPr>
          <w:b/>
          <w:i/>
          <w:lang w:val="en-GB"/>
        </w:rPr>
      </w:pPr>
      <w:r w:rsidRPr="003D2F0B">
        <w:rPr>
          <w:b/>
          <w:i/>
          <w:lang w:val="en-GB"/>
        </w:rPr>
        <w:t>Human Resource Management</w:t>
      </w:r>
    </w:p>
    <w:p w14:paraId="059F254B" w14:textId="77777777" w:rsidR="008C53FF" w:rsidRPr="003D2F0B" w:rsidRDefault="008C53FF" w:rsidP="008C53FF">
      <w:pPr>
        <w:rPr>
          <w:lang w:val="en-GB"/>
        </w:rPr>
      </w:pPr>
      <w:r w:rsidRPr="003D2F0B">
        <w:rPr>
          <w:lang w:val="en-GB"/>
        </w:rPr>
        <w:lastRenderedPageBreak/>
        <w:t xml:space="preserve">The automobile business seeks the best of the employees to maintain the competitive strength of the company. In the case of electric cars, the company has </w:t>
      </w:r>
      <w:proofErr w:type="spellStart"/>
      <w:r w:rsidRPr="003D2F0B">
        <w:rPr>
          <w:lang w:val="en-GB"/>
        </w:rPr>
        <w:t>yo</w:t>
      </w:r>
      <w:proofErr w:type="spellEnd"/>
      <w:r w:rsidRPr="003D2F0B">
        <w:rPr>
          <w:lang w:val="en-GB"/>
        </w:rPr>
        <w:t xml:space="preserve"> be very selective as the talents required to develop the technology continuously, which gives the maximum output in case of battery functions (Hassan, 2017).  Customers will switch to this brand if they recognize that the battery functioning of electric cars is far more efficient than other companies in the market. The company has developed the Global Training Program for talented engineers where 19,000 of the employees are provided with the options of getting educated with the technologies required for the production of electric cars. In 2018, the company presented 45 of its employees as expert leaders and two management employees as Nissan fellow who share their knowledge with their successors in the company.  </w:t>
      </w:r>
    </w:p>
    <w:p w14:paraId="45666A57" w14:textId="77777777" w:rsidR="008C53FF" w:rsidRPr="003D2F0B" w:rsidRDefault="008C53FF" w:rsidP="008C53FF">
      <w:pPr>
        <w:jc w:val="center"/>
        <w:rPr>
          <w:lang w:val="en-GB"/>
        </w:rPr>
      </w:pPr>
      <w:r w:rsidRPr="003D2F0B">
        <w:rPr>
          <w:noProof/>
          <w:lang w:val="en-GB"/>
        </w:rPr>
        <w:drawing>
          <wp:inline distT="0" distB="0" distL="0" distR="0" wp14:anchorId="13DF89A1" wp14:editId="01AF9DFD">
            <wp:extent cx="4648200" cy="2126472"/>
            <wp:effectExtent l="19050" t="19050" r="19050" b="26178"/>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10;&#10;Description automatically generated"/>
                    <pic:cNvPicPr>
                      <a:picLocks noChangeAspect="1" noChangeArrowheads="1"/>
                    </pic:cNvPicPr>
                  </pic:nvPicPr>
                  <pic:blipFill>
                    <a:blip r:embed="rId6"/>
                    <a:stretch>
                      <a:fillRect/>
                    </a:stretch>
                  </pic:blipFill>
                  <pic:spPr bwMode="auto">
                    <a:xfrm>
                      <a:off x="0" y="0"/>
                      <a:ext cx="4648200" cy="2126472"/>
                    </a:xfrm>
                    <a:prstGeom prst="rect">
                      <a:avLst/>
                    </a:prstGeom>
                    <a:noFill/>
                    <a:ln w="15875">
                      <a:solidFill>
                        <a:schemeClr val="tx1"/>
                      </a:solidFill>
                      <a:miter lim="800000"/>
                      <a:headEnd/>
                      <a:tailEnd/>
                    </a:ln>
                  </pic:spPr>
                </pic:pic>
              </a:graphicData>
            </a:graphic>
          </wp:inline>
        </w:drawing>
      </w:r>
    </w:p>
    <w:p w14:paraId="050A5903" w14:textId="77777777" w:rsidR="008C53FF" w:rsidRPr="003D2F0B" w:rsidRDefault="008C53FF" w:rsidP="008C53FF">
      <w:pPr>
        <w:spacing w:line="240" w:lineRule="auto"/>
        <w:jc w:val="center"/>
        <w:rPr>
          <w:b/>
          <w:i/>
          <w:lang w:val="en-GB"/>
        </w:rPr>
      </w:pPr>
      <w:r w:rsidRPr="003D2F0B">
        <w:rPr>
          <w:b/>
          <w:i/>
          <w:lang w:val="en-GB"/>
        </w:rPr>
        <w:t>Figure 3: The human resource management development of the company</w:t>
      </w:r>
    </w:p>
    <w:p w14:paraId="79056D8D" w14:textId="77777777" w:rsidR="008C53FF" w:rsidRPr="003D2F0B" w:rsidRDefault="008C53FF" w:rsidP="008C53FF">
      <w:pPr>
        <w:spacing w:line="240" w:lineRule="auto"/>
        <w:jc w:val="center"/>
        <w:rPr>
          <w:b/>
          <w:i/>
          <w:lang w:val="en-GB"/>
        </w:rPr>
      </w:pPr>
      <w:r w:rsidRPr="003D2F0B">
        <w:rPr>
          <w:b/>
          <w:i/>
          <w:lang w:val="en-GB"/>
        </w:rPr>
        <w:t>(Source: Hassan, 2017)</w:t>
      </w:r>
    </w:p>
    <w:p w14:paraId="6048B388" w14:textId="77777777" w:rsidR="008C53FF" w:rsidRPr="003D2F0B" w:rsidRDefault="008C53FF" w:rsidP="008C53FF">
      <w:pPr>
        <w:rPr>
          <w:b/>
          <w:i/>
          <w:lang w:val="en-GB"/>
        </w:rPr>
      </w:pPr>
      <w:r w:rsidRPr="003D2F0B">
        <w:rPr>
          <w:b/>
          <w:i/>
          <w:lang w:val="en-GB"/>
        </w:rPr>
        <w:t>Technological development</w:t>
      </w:r>
    </w:p>
    <w:p w14:paraId="601C453E" w14:textId="77777777" w:rsidR="008C53FF" w:rsidRPr="003D2F0B" w:rsidRDefault="008C53FF" w:rsidP="008C53FF">
      <w:pPr>
        <w:rPr>
          <w:lang w:val="en-GB"/>
        </w:rPr>
      </w:pPr>
      <w:r w:rsidRPr="003D2F0B">
        <w:rPr>
          <w:lang w:val="en-GB"/>
        </w:rPr>
        <w:t xml:space="preserve">The prime requirement of any automobile company is its technological development. Nissan has been very instrumental in addressing the concern of technical issues and focused on developing with the implementation of the latest technology. </w:t>
      </w:r>
      <w:proofErr w:type="spellStart"/>
      <w:r w:rsidRPr="003D2F0B">
        <w:rPr>
          <w:lang w:val="en-GB"/>
        </w:rPr>
        <w:t>Ariya</w:t>
      </w:r>
      <w:proofErr w:type="spellEnd"/>
      <w:r w:rsidRPr="003D2F0B">
        <w:rPr>
          <w:lang w:val="en-GB"/>
        </w:rPr>
        <w:t xml:space="preserve"> is the latest model introduced by the company, which is a 100% electric vehicle with SUV features and comforts (</w:t>
      </w:r>
      <w:proofErr w:type="spellStart"/>
      <w:r w:rsidRPr="003D2F0B">
        <w:rPr>
          <w:lang w:val="en-GB"/>
        </w:rPr>
        <w:t>Baranaik</w:t>
      </w:r>
      <w:proofErr w:type="spellEnd"/>
      <w:r w:rsidRPr="003D2F0B">
        <w:rPr>
          <w:lang w:val="en-GB"/>
        </w:rPr>
        <w:t xml:space="preserve"> and </w:t>
      </w:r>
      <w:proofErr w:type="spellStart"/>
      <w:r w:rsidRPr="003D2F0B">
        <w:rPr>
          <w:lang w:val="en-GB"/>
        </w:rPr>
        <w:t>Starzynski</w:t>
      </w:r>
      <w:proofErr w:type="spellEnd"/>
      <w:r w:rsidRPr="003D2F0B">
        <w:rPr>
          <w:lang w:val="en-GB"/>
        </w:rPr>
        <w:t xml:space="preserve">, 2019). The latest technology also promotes the model to deliver the distance covered by more than 600 kilometres which could make the daily commute easy for the </w:t>
      </w:r>
      <w:proofErr w:type="gramStart"/>
      <w:r w:rsidRPr="003D2F0B">
        <w:rPr>
          <w:lang w:val="en-GB"/>
        </w:rPr>
        <w:t>office-goers</w:t>
      </w:r>
      <w:proofErr w:type="gramEnd"/>
      <w:r w:rsidRPr="003D2F0B">
        <w:rPr>
          <w:lang w:val="en-GB"/>
        </w:rPr>
        <w:t xml:space="preserve">. The company has spent more than </w:t>
      </w:r>
      <w:r w:rsidRPr="003D2F0B">
        <w:rPr>
          <w:rFonts w:cs="Times New Roman"/>
          <w:lang w:val="en-GB"/>
        </w:rPr>
        <w:t>€</w:t>
      </w:r>
      <w:r w:rsidRPr="003D2F0B">
        <w:rPr>
          <w:lang w:val="en-GB"/>
        </w:rPr>
        <w:t xml:space="preserve">6,000 million on the innovation of the models through research and development. </w:t>
      </w:r>
    </w:p>
    <w:p w14:paraId="37993763" w14:textId="77777777" w:rsidR="008C53FF" w:rsidRPr="003D2F0B" w:rsidRDefault="008C53FF" w:rsidP="008C53FF">
      <w:pPr>
        <w:rPr>
          <w:b/>
          <w:i/>
          <w:lang w:val="en-GB"/>
        </w:rPr>
      </w:pPr>
      <w:r w:rsidRPr="003D2F0B">
        <w:rPr>
          <w:b/>
          <w:i/>
          <w:lang w:val="en-GB"/>
        </w:rPr>
        <w:t>Infrastructure</w:t>
      </w:r>
    </w:p>
    <w:p w14:paraId="0BEE9EF8" w14:textId="77777777" w:rsidR="008C53FF" w:rsidRPr="003D2F0B" w:rsidRDefault="008C53FF" w:rsidP="008C53FF">
      <w:pPr>
        <w:rPr>
          <w:lang w:val="en-GB"/>
        </w:rPr>
      </w:pPr>
      <w:r w:rsidRPr="003D2F0B">
        <w:rPr>
          <w:lang w:val="en-GB"/>
        </w:rPr>
        <w:lastRenderedPageBreak/>
        <w:t>The infrastructure as required for the sustenance of the company in the competitive world where most cars are still using diesel and petrol, electric cars with charging points are highly obliged with the innovation of the models (Sims, 2019). Nissan is planning to plot an effective grid system in the European countries facilitating the charging points for the mass number of cars. At present, Nissan has more than 2,000 Quick charging points which are easily accessible through the online map support to be located by the customers. The new technology will help in saving future fossil fuels as indicated by the company. Hence, with new partners all across Europe, it has started establishing charging points more than at 5,000 locations.</w:t>
      </w:r>
    </w:p>
    <w:p w14:paraId="5C5546F1" w14:textId="77777777" w:rsidR="008C53FF" w:rsidRPr="003D2F0B" w:rsidRDefault="008C53FF" w:rsidP="008C53FF">
      <w:pPr>
        <w:pStyle w:val="Heading1"/>
        <w:rPr>
          <w:lang w:val="en-GB"/>
        </w:rPr>
      </w:pPr>
      <w:r w:rsidRPr="003D2F0B">
        <w:rPr>
          <w:lang w:val="en-GB"/>
        </w:rPr>
        <w:t xml:space="preserve">Conclusion </w:t>
      </w:r>
    </w:p>
    <w:p w14:paraId="4E8F63E4" w14:textId="77777777" w:rsidR="008C53FF" w:rsidRPr="003D2F0B" w:rsidRDefault="008C53FF" w:rsidP="008C53FF">
      <w:pPr>
        <w:rPr>
          <w:rFonts w:eastAsiaTheme="majorEastAsia" w:cstheme="majorBidi"/>
          <w:b/>
          <w:bCs/>
          <w:szCs w:val="28"/>
          <w:lang w:val="en-GB"/>
        </w:rPr>
      </w:pPr>
      <w:r w:rsidRPr="003D2F0B">
        <w:rPr>
          <w:lang w:val="en-GB"/>
        </w:rPr>
        <w:t xml:space="preserve">In conclusion, it may be summarized that the model of Porter's Value Chain Analysis, has supported the growth of the electric cars in anticipation of the condition prevailing at the manufacturing location while the business of electric cars is gaining experience in how to improve the models. This brings the perspective of analysing the gaps in the demand and supply of cars. The competitive advantage is also comprehended through the primary and secondary activities followed in the model. The growth of electric cars will gain momentum once the company presents the best technology of mileage attained by the models and less consumption of electricity or charging in the middle of the journey. </w:t>
      </w:r>
      <w:r w:rsidRPr="003D2F0B">
        <w:rPr>
          <w:lang w:val="en-GB"/>
        </w:rPr>
        <w:br w:type="page"/>
      </w:r>
    </w:p>
    <w:p w14:paraId="6DF80196" w14:textId="77777777" w:rsidR="008C53FF" w:rsidRPr="003D2F0B" w:rsidRDefault="008C53FF" w:rsidP="008C53FF">
      <w:pPr>
        <w:pStyle w:val="Heading1"/>
        <w:rPr>
          <w:lang w:val="en-GB"/>
        </w:rPr>
      </w:pPr>
      <w:r w:rsidRPr="003D2F0B">
        <w:rPr>
          <w:lang w:val="en-GB"/>
        </w:rPr>
        <w:lastRenderedPageBreak/>
        <w:t xml:space="preserve">References </w:t>
      </w:r>
    </w:p>
    <w:p w14:paraId="5E61B693" w14:textId="77777777" w:rsidR="008C53FF" w:rsidRPr="003D2F0B" w:rsidRDefault="008C53FF" w:rsidP="008C53FF">
      <w:pPr>
        <w:rPr>
          <w:rFonts w:cs="Times New Roman"/>
          <w:color w:val="222222"/>
          <w:szCs w:val="24"/>
          <w:shd w:val="clear" w:color="auto" w:fill="FFFFFF"/>
          <w:lang w:val="en-GB"/>
        </w:rPr>
      </w:pPr>
      <w:r w:rsidRPr="003D2F0B">
        <w:rPr>
          <w:rFonts w:cs="Times New Roman"/>
          <w:color w:val="222222"/>
          <w:szCs w:val="24"/>
          <w:shd w:val="clear" w:color="auto" w:fill="FFFFFF"/>
          <w:lang w:val="en-GB"/>
        </w:rPr>
        <w:t xml:space="preserve">Abdullah, A. and </w:t>
      </w:r>
      <w:proofErr w:type="spellStart"/>
      <w:r w:rsidRPr="003D2F0B">
        <w:rPr>
          <w:rFonts w:cs="Times New Roman"/>
          <w:color w:val="222222"/>
          <w:szCs w:val="24"/>
          <w:shd w:val="clear" w:color="auto" w:fill="FFFFFF"/>
          <w:lang w:val="en-GB"/>
        </w:rPr>
        <w:t>Senan</w:t>
      </w:r>
      <w:proofErr w:type="spellEnd"/>
      <w:r w:rsidRPr="003D2F0B">
        <w:rPr>
          <w:rFonts w:cs="Times New Roman"/>
          <w:color w:val="222222"/>
          <w:szCs w:val="24"/>
          <w:shd w:val="clear" w:color="auto" w:fill="FFFFFF"/>
          <w:lang w:val="en-GB"/>
        </w:rPr>
        <w:t>, N., (2019). The complementary association between value chain analysis and target costing system to strengthen the competitiveness: An applied study on Saudi manufacturing companies in Al-Kharj. </w:t>
      </w:r>
      <w:r w:rsidRPr="003D2F0B">
        <w:rPr>
          <w:rFonts w:cs="Times New Roman"/>
          <w:i/>
          <w:iCs/>
          <w:color w:val="222222"/>
          <w:szCs w:val="24"/>
          <w:shd w:val="clear" w:color="auto" w:fill="FFFFFF"/>
          <w:lang w:val="en-GB"/>
        </w:rPr>
        <w:t>Management Science Letters</w:t>
      </w:r>
      <w:r w:rsidRPr="003D2F0B">
        <w:rPr>
          <w:rFonts w:cs="Times New Roman"/>
          <w:color w:val="222222"/>
          <w:szCs w:val="24"/>
          <w:shd w:val="clear" w:color="auto" w:fill="FFFFFF"/>
          <w:lang w:val="en-GB"/>
        </w:rPr>
        <w:t>, </w:t>
      </w:r>
      <w:r w:rsidRPr="003D2F0B">
        <w:rPr>
          <w:rFonts w:cs="Times New Roman"/>
          <w:i/>
          <w:iCs/>
          <w:color w:val="222222"/>
          <w:szCs w:val="24"/>
          <w:shd w:val="clear" w:color="auto" w:fill="FFFFFF"/>
          <w:lang w:val="en-GB"/>
        </w:rPr>
        <w:t>9</w:t>
      </w:r>
      <w:r w:rsidRPr="003D2F0B">
        <w:rPr>
          <w:rFonts w:cs="Times New Roman"/>
          <w:color w:val="222222"/>
          <w:szCs w:val="24"/>
          <w:shd w:val="clear" w:color="auto" w:fill="FFFFFF"/>
          <w:lang w:val="en-GB"/>
        </w:rPr>
        <w:t>(10), pp.1543-1552.</w:t>
      </w:r>
    </w:p>
    <w:p w14:paraId="65A61292" w14:textId="77777777" w:rsidR="008C53FF" w:rsidRPr="003D2F0B" w:rsidRDefault="008C53FF" w:rsidP="008C53FF">
      <w:pPr>
        <w:rPr>
          <w:rFonts w:cs="Times New Roman"/>
          <w:color w:val="222222"/>
          <w:szCs w:val="24"/>
          <w:shd w:val="clear" w:color="auto" w:fill="FFFFFF"/>
          <w:lang w:val="en-GB"/>
        </w:rPr>
      </w:pPr>
      <w:proofErr w:type="spellStart"/>
      <w:r w:rsidRPr="003D2F0B">
        <w:rPr>
          <w:rFonts w:cs="Times New Roman"/>
          <w:color w:val="222222"/>
          <w:szCs w:val="24"/>
          <w:shd w:val="clear" w:color="auto" w:fill="FFFFFF"/>
          <w:lang w:val="en-GB"/>
        </w:rPr>
        <w:t>Anđelković</w:t>
      </w:r>
      <w:proofErr w:type="spellEnd"/>
      <w:r w:rsidRPr="003D2F0B">
        <w:rPr>
          <w:rFonts w:cs="Times New Roman"/>
          <w:color w:val="222222"/>
          <w:szCs w:val="24"/>
          <w:shd w:val="clear" w:color="auto" w:fill="FFFFFF"/>
          <w:lang w:val="en-GB"/>
        </w:rPr>
        <w:t>, A., (2017). Implementation of Just-in-sequence concept in automotive industry: Comparation of Austrian and Serbian model. </w:t>
      </w:r>
      <w:proofErr w:type="spellStart"/>
      <w:r w:rsidRPr="003D2F0B">
        <w:rPr>
          <w:rFonts w:cs="Times New Roman"/>
          <w:i/>
          <w:iCs/>
          <w:color w:val="222222"/>
          <w:szCs w:val="24"/>
          <w:shd w:val="clear" w:color="auto" w:fill="FFFFFF"/>
          <w:lang w:val="en-GB"/>
        </w:rPr>
        <w:t>Industrija</w:t>
      </w:r>
      <w:proofErr w:type="spellEnd"/>
      <w:r w:rsidRPr="003D2F0B">
        <w:rPr>
          <w:rFonts w:cs="Times New Roman"/>
          <w:color w:val="222222"/>
          <w:szCs w:val="24"/>
          <w:shd w:val="clear" w:color="auto" w:fill="FFFFFF"/>
          <w:lang w:val="en-GB"/>
        </w:rPr>
        <w:t>, </w:t>
      </w:r>
      <w:r w:rsidRPr="003D2F0B">
        <w:rPr>
          <w:rFonts w:cs="Times New Roman"/>
          <w:i/>
          <w:iCs/>
          <w:color w:val="222222"/>
          <w:szCs w:val="24"/>
          <w:shd w:val="clear" w:color="auto" w:fill="FFFFFF"/>
          <w:lang w:val="en-GB"/>
        </w:rPr>
        <w:t>45</w:t>
      </w:r>
      <w:r w:rsidRPr="003D2F0B">
        <w:rPr>
          <w:rFonts w:cs="Times New Roman"/>
          <w:color w:val="222222"/>
          <w:szCs w:val="24"/>
          <w:shd w:val="clear" w:color="auto" w:fill="FFFFFF"/>
          <w:lang w:val="en-GB"/>
        </w:rPr>
        <w:t>(3), pp.83-99.</w:t>
      </w:r>
    </w:p>
    <w:p w14:paraId="2F235DD5" w14:textId="77777777" w:rsidR="008C53FF" w:rsidRPr="003D2F0B" w:rsidRDefault="008C53FF" w:rsidP="008C53FF">
      <w:pPr>
        <w:rPr>
          <w:rFonts w:cs="Times New Roman"/>
          <w:color w:val="222222"/>
          <w:szCs w:val="24"/>
          <w:shd w:val="clear" w:color="auto" w:fill="FFFFFF"/>
          <w:lang w:val="en-GB"/>
        </w:rPr>
      </w:pPr>
      <w:r w:rsidRPr="003D2F0B">
        <w:rPr>
          <w:rFonts w:cs="Times New Roman"/>
          <w:color w:val="222222"/>
          <w:szCs w:val="24"/>
          <w:shd w:val="clear" w:color="auto" w:fill="FFFFFF"/>
          <w:lang w:val="en-GB"/>
        </w:rPr>
        <w:t xml:space="preserve">Baraniak, J. and </w:t>
      </w:r>
      <w:proofErr w:type="spellStart"/>
      <w:r w:rsidRPr="003D2F0B">
        <w:rPr>
          <w:rFonts w:cs="Times New Roman"/>
          <w:color w:val="222222"/>
          <w:szCs w:val="24"/>
          <w:shd w:val="clear" w:color="auto" w:fill="FFFFFF"/>
          <w:lang w:val="en-GB"/>
        </w:rPr>
        <w:t>Starzyński</w:t>
      </w:r>
      <w:proofErr w:type="spellEnd"/>
      <w:r w:rsidRPr="003D2F0B">
        <w:rPr>
          <w:rFonts w:cs="Times New Roman"/>
          <w:color w:val="222222"/>
          <w:szCs w:val="24"/>
          <w:shd w:val="clear" w:color="auto" w:fill="FFFFFF"/>
          <w:lang w:val="en-GB"/>
        </w:rPr>
        <w:t>, J., (2019). Chargers for electric cars with V2G (vehicle to grid) technology-connection principles for the distribution network. </w:t>
      </w:r>
      <w:proofErr w:type="spellStart"/>
      <w:r w:rsidRPr="003D2F0B">
        <w:rPr>
          <w:rFonts w:cs="Times New Roman"/>
          <w:i/>
          <w:iCs/>
          <w:color w:val="222222"/>
          <w:szCs w:val="24"/>
          <w:shd w:val="clear" w:color="auto" w:fill="FFFFFF"/>
          <w:lang w:val="en-GB"/>
        </w:rPr>
        <w:t>Przegląd</w:t>
      </w:r>
      <w:proofErr w:type="spellEnd"/>
      <w:r w:rsidRPr="003D2F0B">
        <w:rPr>
          <w:rFonts w:cs="Times New Roman"/>
          <w:i/>
          <w:iCs/>
          <w:color w:val="222222"/>
          <w:szCs w:val="24"/>
          <w:shd w:val="clear" w:color="auto" w:fill="FFFFFF"/>
          <w:lang w:val="en-GB"/>
        </w:rPr>
        <w:t xml:space="preserve"> </w:t>
      </w:r>
      <w:proofErr w:type="spellStart"/>
      <w:r w:rsidRPr="003D2F0B">
        <w:rPr>
          <w:rFonts w:cs="Times New Roman"/>
          <w:i/>
          <w:iCs/>
          <w:color w:val="222222"/>
          <w:szCs w:val="24"/>
          <w:shd w:val="clear" w:color="auto" w:fill="FFFFFF"/>
          <w:lang w:val="en-GB"/>
        </w:rPr>
        <w:t>Elektrotechniczny</w:t>
      </w:r>
      <w:proofErr w:type="spellEnd"/>
      <w:r w:rsidRPr="003D2F0B">
        <w:rPr>
          <w:rFonts w:cs="Times New Roman"/>
          <w:color w:val="222222"/>
          <w:szCs w:val="24"/>
          <w:shd w:val="clear" w:color="auto" w:fill="FFFFFF"/>
          <w:lang w:val="en-GB"/>
        </w:rPr>
        <w:t>, </w:t>
      </w:r>
      <w:r w:rsidRPr="003D2F0B">
        <w:rPr>
          <w:rFonts w:cs="Times New Roman"/>
          <w:i/>
          <w:iCs/>
          <w:color w:val="222222"/>
          <w:szCs w:val="24"/>
          <w:shd w:val="clear" w:color="auto" w:fill="FFFFFF"/>
          <w:lang w:val="en-GB"/>
        </w:rPr>
        <w:t>95</w:t>
      </w:r>
      <w:r w:rsidRPr="003D2F0B">
        <w:rPr>
          <w:rFonts w:cs="Times New Roman"/>
          <w:color w:val="222222"/>
          <w:szCs w:val="24"/>
          <w:shd w:val="clear" w:color="auto" w:fill="FFFFFF"/>
          <w:lang w:val="en-GB"/>
        </w:rPr>
        <w:t>.</w:t>
      </w:r>
    </w:p>
    <w:p w14:paraId="7AD37257" w14:textId="77777777" w:rsidR="008C53FF" w:rsidRPr="003D2F0B" w:rsidRDefault="008C53FF" w:rsidP="008C53FF">
      <w:pPr>
        <w:rPr>
          <w:rFonts w:cs="Times New Roman"/>
          <w:color w:val="222222"/>
          <w:szCs w:val="24"/>
          <w:shd w:val="clear" w:color="auto" w:fill="FFFFFF"/>
          <w:lang w:val="en-GB"/>
        </w:rPr>
      </w:pPr>
      <w:r w:rsidRPr="003D2F0B">
        <w:rPr>
          <w:rFonts w:cs="Times New Roman"/>
          <w:color w:val="222222"/>
          <w:szCs w:val="24"/>
          <w:shd w:val="clear" w:color="auto" w:fill="FFFFFF"/>
          <w:lang w:val="en-GB"/>
        </w:rPr>
        <w:t>Hassan, Q.J., (2017). </w:t>
      </w:r>
      <w:r w:rsidRPr="003D2F0B">
        <w:rPr>
          <w:rFonts w:cs="Times New Roman"/>
          <w:i/>
          <w:iCs/>
          <w:color w:val="222222"/>
          <w:szCs w:val="24"/>
          <w:shd w:val="clear" w:color="auto" w:fill="FFFFFF"/>
          <w:lang w:val="en-GB"/>
        </w:rPr>
        <w:t xml:space="preserve">The Innovation of </w:t>
      </w:r>
      <w:proofErr w:type="spellStart"/>
      <w:r w:rsidRPr="003D2F0B">
        <w:rPr>
          <w:rFonts w:cs="Times New Roman"/>
          <w:i/>
          <w:iCs/>
          <w:color w:val="222222"/>
          <w:szCs w:val="24"/>
          <w:shd w:val="clear" w:color="auto" w:fill="FFFFFF"/>
          <w:lang w:val="en-GB"/>
        </w:rPr>
        <w:t>Hrm</w:t>
      </w:r>
      <w:proofErr w:type="spellEnd"/>
      <w:r w:rsidRPr="003D2F0B">
        <w:rPr>
          <w:rFonts w:cs="Times New Roman"/>
          <w:color w:val="222222"/>
          <w:szCs w:val="24"/>
          <w:shd w:val="clear" w:color="auto" w:fill="FFFFFF"/>
          <w:lang w:val="en-GB"/>
        </w:rPr>
        <w:t>. Partridge Publishing Singapore.</w:t>
      </w:r>
    </w:p>
    <w:p w14:paraId="1CD67C21" w14:textId="77777777" w:rsidR="008C53FF" w:rsidRPr="003D2F0B" w:rsidRDefault="008C53FF" w:rsidP="008C53FF">
      <w:pPr>
        <w:rPr>
          <w:rFonts w:cs="Times New Roman"/>
          <w:color w:val="222222"/>
          <w:szCs w:val="24"/>
          <w:shd w:val="clear" w:color="auto" w:fill="FFFFFF"/>
          <w:lang w:val="en-GB"/>
        </w:rPr>
      </w:pPr>
      <w:r w:rsidRPr="003D2F0B">
        <w:rPr>
          <w:rFonts w:cs="Times New Roman"/>
          <w:color w:val="222222"/>
          <w:szCs w:val="24"/>
          <w:shd w:val="clear" w:color="auto" w:fill="FFFFFF"/>
          <w:lang w:val="en-GB"/>
        </w:rPr>
        <w:t>He, L., Rong, Y. and Shen, Z.J.M., (2020). Product sourcing and distribution strategies under supply disruption and recall risks. </w:t>
      </w:r>
      <w:r w:rsidRPr="003D2F0B">
        <w:rPr>
          <w:rFonts w:cs="Times New Roman"/>
          <w:i/>
          <w:iCs/>
          <w:color w:val="222222"/>
          <w:szCs w:val="24"/>
          <w:shd w:val="clear" w:color="auto" w:fill="FFFFFF"/>
          <w:lang w:val="en-GB"/>
        </w:rPr>
        <w:t>Production and Operations Management</w:t>
      </w:r>
      <w:r w:rsidRPr="003D2F0B">
        <w:rPr>
          <w:rFonts w:cs="Times New Roman"/>
          <w:color w:val="222222"/>
          <w:szCs w:val="24"/>
          <w:shd w:val="clear" w:color="auto" w:fill="FFFFFF"/>
          <w:lang w:val="en-GB"/>
        </w:rPr>
        <w:t>, </w:t>
      </w:r>
      <w:r w:rsidRPr="003D2F0B">
        <w:rPr>
          <w:rFonts w:cs="Times New Roman"/>
          <w:i/>
          <w:iCs/>
          <w:color w:val="222222"/>
          <w:szCs w:val="24"/>
          <w:shd w:val="clear" w:color="auto" w:fill="FFFFFF"/>
          <w:lang w:val="en-GB"/>
        </w:rPr>
        <w:t>29</w:t>
      </w:r>
      <w:r w:rsidRPr="003D2F0B">
        <w:rPr>
          <w:rFonts w:cs="Times New Roman"/>
          <w:color w:val="222222"/>
          <w:szCs w:val="24"/>
          <w:shd w:val="clear" w:color="auto" w:fill="FFFFFF"/>
          <w:lang w:val="en-GB"/>
        </w:rPr>
        <w:t>(1), pp.9-23.</w:t>
      </w:r>
    </w:p>
    <w:p w14:paraId="6B64AFAA" w14:textId="77777777" w:rsidR="008C53FF" w:rsidRPr="003D2F0B" w:rsidRDefault="008C53FF" w:rsidP="008C53FF">
      <w:pPr>
        <w:rPr>
          <w:rFonts w:cs="Times New Roman"/>
          <w:color w:val="222222"/>
          <w:szCs w:val="24"/>
          <w:shd w:val="clear" w:color="auto" w:fill="FFFFFF"/>
          <w:lang w:val="en-GB"/>
        </w:rPr>
      </w:pPr>
      <w:proofErr w:type="spellStart"/>
      <w:r w:rsidRPr="003D2F0B">
        <w:rPr>
          <w:rFonts w:cs="Times New Roman"/>
          <w:color w:val="222222"/>
          <w:szCs w:val="24"/>
          <w:shd w:val="clear" w:color="auto" w:fill="FFFFFF"/>
          <w:lang w:val="en-GB"/>
        </w:rPr>
        <w:t>Helmold</w:t>
      </w:r>
      <w:proofErr w:type="spellEnd"/>
      <w:r w:rsidRPr="003D2F0B">
        <w:rPr>
          <w:rFonts w:cs="Times New Roman"/>
          <w:color w:val="222222"/>
          <w:szCs w:val="24"/>
          <w:shd w:val="clear" w:color="auto" w:fill="FFFFFF"/>
          <w:lang w:val="en-GB"/>
        </w:rPr>
        <w:t>, M. and Terry, B., (2016). Global sourcing and supply management excellence in China. </w:t>
      </w:r>
      <w:proofErr w:type="spellStart"/>
      <w:r w:rsidRPr="003D2F0B">
        <w:rPr>
          <w:rFonts w:cs="Times New Roman"/>
          <w:i/>
          <w:iCs/>
          <w:color w:val="222222"/>
          <w:szCs w:val="24"/>
          <w:shd w:val="clear" w:color="auto" w:fill="FFFFFF"/>
          <w:lang w:val="en-GB"/>
        </w:rPr>
        <w:t>Singapur</w:t>
      </w:r>
      <w:proofErr w:type="spellEnd"/>
      <w:r w:rsidRPr="003D2F0B">
        <w:rPr>
          <w:rFonts w:cs="Times New Roman"/>
          <w:i/>
          <w:iCs/>
          <w:color w:val="222222"/>
          <w:szCs w:val="24"/>
          <w:shd w:val="clear" w:color="auto" w:fill="FFFFFF"/>
          <w:lang w:val="en-GB"/>
        </w:rPr>
        <w:t>: Springer Verlag</w:t>
      </w:r>
      <w:r w:rsidRPr="003D2F0B">
        <w:rPr>
          <w:rFonts w:cs="Times New Roman"/>
          <w:color w:val="222222"/>
          <w:szCs w:val="24"/>
          <w:shd w:val="clear" w:color="auto" w:fill="FFFFFF"/>
          <w:lang w:val="en-GB"/>
        </w:rPr>
        <w:t>.</w:t>
      </w:r>
    </w:p>
    <w:p w14:paraId="10B3F702" w14:textId="77777777" w:rsidR="008C53FF" w:rsidRPr="003D2F0B" w:rsidRDefault="008C53FF" w:rsidP="008C53FF">
      <w:pPr>
        <w:rPr>
          <w:rFonts w:cs="Times New Roman"/>
          <w:color w:val="222222"/>
          <w:szCs w:val="24"/>
          <w:shd w:val="clear" w:color="auto" w:fill="FFFFFF"/>
          <w:lang w:val="en-GB"/>
        </w:rPr>
      </w:pPr>
      <w:proofErr w:type="spellStart"/>
      <w:r w:rsidRPr="003D2F0B">
        <w:rPr>
          <w:rFonts w:cs="Times New Roman"/>
          <w:color w:val="222222"/>
          <w:szCs w:val="24"/>
          <w:shd w:val="clear" w:color="auto" w:fill="FFFFFF"/>
          <w:lang w:val="en-GB"/>
        </w:rPr>
        <w:t>Klumpp</w:t>
      </w:r>
      <w:proofErr w:type="spellEnd"/>
      <w:r w:rsidRPr="003D2F0B">
        <w:rPr>
          <w:rFonts w:cs="Times New Roman"/>
          <w:color w:val="222222"/>
          <w:szCs w:val="24"/>
          <w:shd w:val="clear" w:color="auto" w:fill="FFFFFF"/>
          <w:lang w:val="en-GB"/>
        </w:rPr>
        <w:t>, M., (2016). To green or not to green: A political, economic and social analysis for the past failure of green logistics. </w:t>
      </w:r>
      <w:r w:rsidRPr="003D2F0B">
        <w:rPr>
          <w:rFonts w:cs="Times New Roman"/>
          <w:i/>
          <w:iCs/>
          <w:color w:val="222222"/>
          <w:szCs w:val="24"/>
          <w:shd w:val="clear" w:color="auto" w:fill="FFFFFF"/>
          <w:lang w:val="en-GB"/>
        </w:rPr>
        <w:t>Sustainability</w:t>
      </w:r>
      <w:r w:rsidRPr="003D2F0B">
        <w:rPr>
          <w:rFonts w:cs="Times New Roman"/>
          <w:color w:val="222222"/>
          <w:szCs w:val="24"/>
          <w:shd w:val="clear" w:color="auto" w:fill="FFFFFF"/>
          <w:lang w:val="en-GB"/>
        </w:rPr>
        <w:t>, </w:t>
      </w:r>
      <w:r w:rsidRPr="003D2F0B">
        <w:rPr>
          <w:rFonts w:cs="Times New Roman"/>
          <w:i/>
          <w:iCs/>
          <w:color w:val="222222"/>
          <w:szCs w:val="24"/>
          <w:shd w:val="clear" w:color="auto" w:fill="FFFFFF"/>
          <w:lang w:val="en-GB"/>
        </w:rPr>
        <w:t>8</w:t>
      </w:r>
      <w:r w:rsidRPr="003D2F0B">
        <w:rPr>
          <w:rFonts w:cs="Times New Roman"/>
          <w:color w:val="222222"/>
          <w:szCs w:val="24"/>
          <w:shd w:val="clear" w:color="auto" w:fill="FFFFFF"/>
          <w:lang w:val="en-GB"/>
        </w:rPr>
        <w:t>(5), p.441.</w:t>
      </w:r>
    </w:p>
    <w:p w14:paraId="6317D114" w14:textId="77777777" w:rsidR="008C53FF" w:rsidRPr="003D2F0B" w:rsidRDefault="008C53FF" w:rsidP="008C53FF">
      <w:pPr>
        <w:rPr>
          <w:rFonts w:cs="Times New Roman"/>
          <w:color w:val="222222"/>
          <w:szCs w:val="24"/>
          <w:shd w:val="clear" w:color="auto" w:fill="FFFFFF"/>
          <w:lang w:val="en-GB"/>
        </w:rPr>
      </w:pPr>
      <w:r w:rsidRPr="003D2F0B">
        <w:rPr>
          <w:rFonts w:cs="Times New Roman"/>
          <w:color w:val="222222"/>
          <w:szCs w:val="24"/>
          <w:shd w:val="clear" w:color="auto" w:fill="FFFFFF"/>
          <w:lang w:val="en-GB"/>
        </w:rPr>
        <w:t>Liu, K., (2018), March. Analysis of Cost Structure of China’s Passenger Cars Manufacturing Industries. In </w:t>
      </w:r>
      <w:r w:rsidRPr="003D2F0B">
        <w:rPr>
          <w:rFonts w:cs="Times New Roman"/>
          <w:i/>
          <w:iCs/>
          <w:color w:val="222222"/>
          <w:szCs w:val="24"/>
          <w:shd w:val="clear" w:color="auto" w:fill="FFFFFF"/>
          <w:lang w:val="en-GB"/>
        </w:rPr>
        <w:t>2nd International Conference on Culture, Education and Economic Development of Modern Society (ICCESE 2018)</w:t>
      </w:r>
      <w:r w:rsidRPr="003D2F0B">
        <w:rPr>
          <w:rFonts w:cs="Times New Roman"/>
          <w:color w:val="222222"/>
          <w:szCs w:val="24"/>
          <w:shd w:val="clear" w:color="auto" w:fill="FFFFFF"/>
          <w:lang w:val="en-GB"/>
        </w:rPr>
        <w:t>. Atlantis Press.</w:t>
      </w:r>
    </w:p>
    <w:p w14:paraId="23BCE5CD" w14:textId="77777777" w:rsidR="008C53FF" w:rsidRPr="003D2F0B" w:rsidRDefault="008C53FF" w:rsidP="008C53FF">
      <w:pPr>
        <w:rPr>
          <w:rFonts w:cs="Times New Roman"/>
          <w:color w:val="222222"/>
          <w:szCs w:val="24"/>
          <w:shd w:val="clear" w:color="auto" w:fill="FFFFFF"/>
          <w:lang w:val="en-GB"/>
        </w:rPr>
      </w:pPr>
      <w:r w:rsidRPr="003D2F0B">
        <w:rPr>
          <w:rFonts w:cs="Times New Roman"/>
          <w:color w:val="222222"/>
          <w:szCs w:val="24"/>
          <w:shd w:val="clear" w:color="auto" w:fill="FFFFFF"/>
          <w:lang w:val="en-GB"/>
        </w:rPr>
        <w:t xml:space="preserve">Naser, F., </w:t>
      </w:r>
      <w:proofErr w:type="spellStart"/>
      <w:r w:rsidRPr="003D2F0B">
        <w:rPr>
          <w:rFonts w:cs="Times New Roman"/>
          <w:color w:val="222222"/>
          <w:szCs w:val="24"/>
          <w:shd w:val="clear" w:color="auto" w:fill="FFFFFF"/>
          <w:lang w:val="en-GB"/>
        </w:rPr>
        <w:t>Gilitschenski</w:t>
      </w:r>
      <w:proofErr w:type="spellEnd"/>
      <w:r w:rsidRPr="003D2F0B">
        <w:rPr>
          <w:rFonts w:cs="Times New Roman"/>
          <w:color w:val="222222"/>
          <w:szCs w:val="24"/>
          <w:shd w:val="clear" w:color="auto" w:fill="FFFFFF"/>
          <w:lang w:val="en-GB"/>
        </w:rPr>
        <w:t xml:space="preserve">, I., </w:t>
      </w:r>
      <w:proofErr w:type="spellStart"/>
      <w:r w:rsidRPr="003D2F0B">
        <w:rPr>
          <w:rFonts w:cs="Times New Roman"/>
          <w:color w:val="222222"/>
          <w:szCs w:val="24"/>
          <w:shd w:val="clear" w:color="auto" w:fill="FFFFFF"/>
          <w:lang w:val="en-GB"/>
        </w:rPr>
        <w:t>Amini</w:t>
      </w:r>
      <w:proofErr w:type="spellEnd"/>
      <w:r w:rsidRPr="003D2F0B">
        <w:rPr>
          <w:rFonts w:cs="Times New Roman"/>
          <w:color w:val="222222"/>
          <w:szCs w:val="24"/>
          <w:shd w:val="clear" w:color="auto" w:fill="FFFFFF"/>
          <w:lang w:val="en-GB"/>
        </w:rPr>
        <w:t xml:space="preserve">, A., Liao, C., Rosman, G., </w:t>
      </w:r>
      <w:proofErr w:type="spellStart"/>
      <w:r w:rsidRPr="003D2F0B">
        <w:rPr>
          <w:rFonts w:cs="Times New Roman"/>
          <w:color w:val="222222"/>
          <w:szCs w:val="24"/>
          <w:shd w:val="clear" w:color="auto" w:fill="FFFFFF"/>
          <w:lang w:val="en-GB"/>
        </w:rPr>
        <w:t>Karaman</w:t>
      </w:r>
      <w:proofErr w:type="spellEnd"/>
      <w:r w:rsidRPr="003D2F0B">
        <w:rPr>
          <w:rFonts w:cs="Times New Roman"/>
          <w:color w:val="222222"/>
          <w:szCs w:val="24"/>
          <w:shd w:val="clear" w:color="auto" w:fill="FFFFFF"/>
          <w:lang w:val="en-GB"/>
        </w:rPr>
        <w:t xml:space="preserve">, S. and Rus, D., (2019), November. Infrastructure-free </w:t>
      </w:r>
      <w:proofErr w:type="spellStart"/>
      <w:r w:rsidRPr="003D2F0B">
        <w:rPr>
          <w:rFonts w:cs="Times New Roman"/>
          <w:color w:val="222222"/>
          <w:szCs w:val="24"/>
          <w:shd w:val="clear" w:color="auto" w:fill="FFFFFF"/>
          <w:lang w:val="en-GB"/>
        </w:rPr>
        <w:t>NLoS</w:t>
      </w:r>
      <w:proofErr w:type="spellEnd"/>
      <w:r w:rsidRPr="003D2F0B">
        <w:rPr>
          <w:rFonts w:cs="Times New Roman"/>
          <w:color w:val="222222"/>
          <w:szCs w:val="24"/>
          <w:shd w:val="clear" w:color="auto" w:fill="FFFFFF"/>
          <w:lang w:val="en-GB"/>
        </w:rPr>
        <w:t xml:space="preserve"> Obstacle Detection for Autonomous Cars. In </w:t>
      </w:r>
      <w:r w:rsidRPr="003D2F0B">
        <w:rPr>
          <w:rFonts w:cs="Times New Roman"/>
          <w:i/>
          <w:iCs/>
          <w:color w:val="222222"/>
          <w:szCs w:val="24"/>
          <w:shd w:val="clear" w:color="auto" w:fill="FFFFFF"/>
          <w:lang w:val="en-GB"/>
        </w:rPr>
        <w:t>2019 IEEE/RSJ International Conference on Intelligent Robots and Systems (IROS)</w:t>
      </w:r>
      <w:r w:rsidRPr="003D2F0B">
        <w:rPr>
          <w:rFonts w:cs="Times New Roman"/>
          <w:color w:val="222222"/>
          <w:szCs w:val="24"/>
          <w:shd w:val="clear" w:color="auto" w:fill="FFFFFF"/>
          <w:lang w:val="en-GB"/>
        </w:rPr>
        <w:t> (pp. 250-257). IEEE.</w:t>
      </w:r>
    </w:p>
    <w:p w14:paraId="20C8B4C7" w14:textId="77777777" w:rsidR="008C53FF" w:rsidRPr="003D2F0B" w:rsidRDefault="008C53FF" w:rsidP="008C53FF">
      <w:pPr>
        <w:rPr>
          <w:rFonts w:cs="Times New Roman"/>
          <w:color w:val="000000"/>
          <w:szCs w:val="24"/>
          <w:shd w:val="clear" w:color="auto" w:fill="FFFFFF"/>
          <w:lang w:val="en-GB"/>
        </w:rPr>
      </w:pPr>
      <w:r w:rsidRPr="003D2F0B">
        <w:rPr>
          <w:rFonts w:cs="Times New Roman"/>
          <w:color w:val="000000"/>
          <w:szCs w:val="24"/>
          <w:shd w:val="clear" w:color="auto" w:fill="FFFFFF"/>
          <w:lang w:val="en-GB"/>
        </w:rPr>
        <w:t>Riley, C., (2020). </w:t>
      </w:r>
      <w:r w:rsidRPr="003D2F0B">
        <w:rPr>
          <w:rFonts w:cs="Times New Roman"/>
          <w:i/>
          <w:iCs/>
          <w:color w:val="000000"/>
          <w:szCs w:val="24"/>
          <w:shd w:val="clear" w:color="auto" w:fill="FFFFFF"/>
          <w:lang w:val="en-GB"/>
        </w:rPr>
        <w:t>Britain's Biggest Car Plant May Not Survive Brexit</w:t>
      </w:r>
      <w:r w:rsidRPr="003D2F0B">
        <w:rPr>
          <w:rFonts w:cs="Times New Roman"/>
          <w:color w:val="000000"/>
          <w:szCs w:val="24"/>
          <w:shd w:val="clear" w:color="auto" w:fill="FFFFFF"/>
          <w:lang w:val="en-GB"/>
        </w:rPr>
        <w:t>. [online] CNN. Available at: https://www.cnn.com/2020/06/03/business/nissan-brexit-sunderland/index.html [Accessed 13 August 2020].</w:t>
      </w:r>
    </w:p>
    <w:p w14:paraId="4ECBFED3" w14:textId="77777777" w:rsidR="008C53FF" w:rsidRPr="003D2F0B" w:rsidRDefault="008C53FF" w:rsidP="008C53FF">
      <w:pPr>
        <w:rPr>
          <w:rFonts w:cs="Times New Roman"/>
          <w:color w:val="222222"/>
          <w:szCs w:val="24"/>
          <w:shd w:val="clear" w:color="auto" w:fill="FFFFFF"/>
          <w:lang w:val="en-GB"/>
        </w:rPr>
      </w:pPr>
      <w:proofErr w:type="spellStart"/>
      <w:r w:rsidRPr="003D2F0B">
        <w:rPr>
          <w:rFonts w:cs="Times New Roman"/>
          <w:color w:val="222222"/>
          <w:szCs w:val="24"/>
          <w:shd w:val="clear" w:color="auto" w:fill="FFFFFF"/>
          <w:lang w:val="en-GB"/>
        </w:rPr>
        <w:t>Simatupang</w:t>
      </w:r>
      <w:proofErr w:type="spellEnd"/>
      <w:r w:rsidRPr="003D2F0B">
        <w:rPr>
          <w:rFonts w:cs="Times New Roman"/>
          <w:color w:val="222222"/>
          <w:szCs w:val="24"/>
          <w:shd w:val="clear" w:color="auto" w:fill="FFFFFF"/>
          <w:lang w:val="en-GB"/>
        </w:rPr>
        <w:t xml:space="preserve">, T.M., </w:t>
      </w:r>
      <w:proofErr w:type="spellStart"/>
      <w:r w:rsidRPr="003D2F0B">
        <w:rPr>
          <w:rFonts w:cs="Times New Roman"/>
          <w:color w:val="222222"/>
          <w:szCs w:val="24"/>
          <w:shd w:val="clear" w:color="auto" w:fill="FFFFFF"/>
          <w:lang w:val="en-GB"/>
        </w:rPr>
        <w:t>Piboonrungroj</w:t>
      </w:r>
      <w:proofErr w:type="spellEnd"/>
      <w:r w:rsidRPr="003D2F0B">
        <w:rPr>
          <w:rFonts w:cs="Times New Roman"/>
          <w:color w:val="222222"/>
          <w:szCs w:val="24"/>
          <w:shd w:val="clear" w:color="auto" w:fill="FFFFFF"/>
          <w:lang w:val="en-GB"/>
        </w:rPr>
        <w:t>, P. and Williams, S.J., (2017). The emergence of value chain thinking. </w:t>
      </w:r>
      <w:r w:rsidRPr="003D2F0B">
        <w:rPr>
          <w:rFonts w:cs="Times New Roman"/>
          <w:i/>
          <w:iCs/>
          <w:color w:val="222222"/>
          <w:szCs w:val="24"/>
          <w:shd w:val="clear" w:color="auto" w:fill="FFFFFF"/>
          <w:lang w:val="en-GB"/>
        </w:rPr>
        <w:t>International Journal of value chain management</w:t>
      </w:r>
      <w:r w:rsidRPr="003D2F0B">
        <w:rPr>
          <w:rFonts w:cs="Times New Roman"/>
          <w:color w:val="222222"/>
          <w:szCs w:val="24"/>
          <w:shd w:val="clear" w:color="auto" w:fill="FFFFFF"/>
          <w:lang w:val="en-GB"/>
        </w:rPr>
        <w:t>, </w:t>
      </w:r>
      <w:r w:rsidRPr="003D2F0B">
        <w:rPr>
          <w:rFonts w:cs="Times New Roman"/>
          <w:i/>
          <w:iCs/>
          <w:color w:val="222222"/>
          <w:szCs w:val="24"/>
          <w:shd w:val="clear" w:color="auto" w:fill="FFFFFF"/>
          <w:lang w:val="en-GB"/>
        </w:rPr>
        <w:t>8</w:t>
      </w:r>
      <w:r w:rsidRPr="003D2F0B">
        <w:rPr>
          <w:rFonts w:cs="Times New Roman"/>
          <w:color w:val="222222"/>
          <w:szCs w:val="24"/>
          <w:shd w:val="clear" w:color="auto" w:fill="FFFFFF"/>
          <w:lang w:val="en-GB"/>
        </w:rPr>
        <w:t>(1), pp.40-57.</w:t>
      </w:r>
    </w:p>
    <w:p w14:paraId="02FBB7E7" w14:textId="77777777" w:rsidR="008C53FF" w:rsidRPr="003D2F0B" w:rsidRDefault="008C53FF" w:rsidP="008C53FF">
      <w:pPr>
        <w:rPr>
          <w:rFonts w:cs="Times New Roman"/>
          <w:color w:val="222222"/>
          <w:szCs w:val="24"/>
          <w:shd w:val="clear" w:color="auto" w:fill="FFFFFF"/>
          <w:lang w:val="en-GB"/>
        </w:rPr>
      </w:pPr>
      <w:r w:rsidRPr="003D2F0B">
        <w:rPr>
          <w:rFonts w:cs="Times New Roman"/>
          <w:color w:val="222222"/>
          <w:szCs w:val="24"/>
          <w:shd w:val="clear" w:color="auto" w:fill="FFFFFF"/>
          <w:lang w:val="en-GB"/>
        </w:rPr>
        <w:lastRenderedPageBreak/>
        <w:t>Sims, R.R., (2019). Globalization and Human resource management. </w:t>
      </w:r>
      <w:r w:rsidRPr="003D2F0B">
        <w:rPr>
          <w:rFonts w:cs="Times New Roman"/>
          <w:i/>
          <w:iCs/>
          <w:color w:val="222222"/>
          <w:szCs w:val="24"/>
          <w:shd w:val="clear" w:color="auto" w:fill="FFFFFF"/>
          <w:lang w:val="en-GB"/>
        </w:rPr>
        <w:t>Human Resources Management Issues, Challenges and Trends:" Now and Around the Corner"</w:t>
      </w:r>
      <w:r w:rsidRPr="003D2F0B">
        <w:rPr>
          <w:rFonts w:cs="Times New Roman"/>
          <w:color w:val="222222"/>
          <w:szCs w:val="24"/>
          <w:shd w:val="clear" w:color="auto" w:fill="FFFFFF"/>
          <w:lang w:val="en-GB"/>
        </w:rPr>
        <w:t>, p.31.</w:t>
      </w:r>
    </w:p>
    <w:p w14:paraId="0DCAC4D4" w14:textId="77777777" w:rsidR="008C53FF" w:rsidRPr="003D2F0B" w:rsidRDefault="008C53FF" w:rsidP="008C53FF">
      <w:pPr>
        <w:rPr>
          <w:rFonts w:cs="Times New Roman"/>
          <w:color w:val="222222"/>
          <w:szCs w:val="24"/>
          <w:shd w:val="clear" w:color="auto" w:fill="FFFFFF"/>
          <w:lang w:val="en-GB"/>
        </w:rPr>
      </w:pPr>
      <w:proofErr w:type="spellStart"/>
      <w:r w:rsidRPr="003D2F0B">
        <w:rPr>
          <w:rFonts w:cs="Times New Roman"/>
          <w:color w:val="222222"/>
          <w:szCs w:val="24"/>
          <w:shd w:val="clear" w:color="auto" w:fill="FFFFFF"/>
          <w:lang w:val="en-GB"/>
        </w:rPr>
        <w:t>Sunar</w:t>
      </w:r>
      <w:proofErr w:type="spellEnd"/>
      <w:r w:rsidRPr="003D2F0B">
        <w:rPr>
          <w:rFonts w:cs="Times New Roman"/>
          <w:color w:val="222222"/>
          <w:szCs w:val="24"/>
          <w:shd w:val="clear" w:color="auto" w:fill="FFFFFF"/>
          <w:lang w:val="en-GB"/>
        </w:rPr>
        <w:t xml:space="preserve"> Jr, B., (2020). Transportation of Laxmi Hyundai Cars.</w:t>
      </w:r>
    </w:p>
    <w:p w14:paraId="36EDBD6E" w14:textId="77777777" w:rsidR="008C53FF" w:rsidRPr="003D2F0B" w:rsidRDefault="008C53FF" w:rsidP="008C53FF">
      <w:pPr>
        <w:rPr>
          <w:rFonts w:cs="Times New Roman"/>
          <w:color w:val="222222"/>
          <w:szCs w:val="24"/>
          <w:shd w:val="clear" w:color="auto" w:fill="FFFFFF"/>
          <w:lang w:val="en-GB"/>
        </w:rPr>
      </w:pPr>
      <w:r w:rsidRPr="003D2F0B">
        <w:rPr>
          <w:rFonts w:cs="Times New Roman"/>
          <w:color w:val="222222"/>
          <w:szCs w:val="24"/>
          <w:shd w:val="clear" w:color="auto" w:fill="FFFFFF"/>
          <w:lang w:val="en-GB"/>
        </w:rPr>
        <w:t>Thai, K.V., (2017). International public procurement: Concepts and practices. In </w:t>
      </w:r>
      <w:r w:rsidRPr="003D2F0B">
        <w:rPr>
          <w:rFonts w:cs="Times New Roman"/>
          <w:i/>
          <w:iCs/>
          <w:color w:val="222222"/>
          <w:szCs w:val="24"/>
          <w:shd w:val="clear" w:color="auto" w:fill="FFFFFF"/>
          <w:lang w:val="en-GB"/>
        </w:rPr>
        <w:t>International handbook of public procurement</w:t>
      </w:r>
      <w:r w:rsidRPr="003D2F0B">
        <w:rPr>
          <w:rFonts w:cs="Times New Roman"/>
          <w:color w:val="222222"/>
          <w:szCs w:val="24"/>
          <w:shd w:val="clear" w:color="auto" w:fill="FFFFFF"/>
          <w:lang w:val="en-GB"/>
        </w:rPr>
        <w:t> (pp. 33-56). Routledge.</w:t>
      </w:r>
    </w:p>
    <w:p w14:paraId="5988E938" w14:textId="77777777" w:rsidR="008C53FF" w:rsidRPr="003D2F0B" w:rsidRDefault="008C53FF" w:rsidP="008C53FF">
      <w:pPr>
        <w:rPr>
          <w:lang w:val="en-GB"/>
        </w:rPr>
      </w:pPr>
    </w:p>
    <w:p w14:paraId="195CC22C" w14:textId="77777777" w:rsidR="00822807" w:rsidRDefault="008C53FF"/>
    <w:sectPr w:rsidR="008228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3FF"/>
    <w:rsid w:val="008C53FF"/>
    <w:rsid w:val="00B37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87580F"/>
  <w15:chartTrackingRefBased/>
  <w15:docId w15:val="{393CE1AC-B7C4-F94A-A1C7-505AC4DA7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3FF"/>
    <w:pPr>
      <w:spacing w:after="200" w:line="360" w:lineRule="auto"/>
      <w:jc w:val="both"/>
    </w:pPr>
    <w:rPr>
      <w:rFonts w:ascii="Times New Roman" w:eastAsiaTheme="minorEastAsia" w:hAnsi="Times New Roman"/>
      <w:szCs w:val="22"/>
      <w:lang w:val="en-US"/>
    </w:rPr>
  </w:style>
  <w:style w:type="paragraph" w:styleId="Heading1">
    <w:name w:val="heading 1"/>
    <w:basedOn w:val="Normal"/>
    <w:next w:val="Normal"/>
    <w:link w:val="Heading1Char"/>
    <w:uiPriority w:val="9"/>
    <w:qFormat/>
    <w:rsid w:val="008C53F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C53FF"/>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3FF"/>
    <w:rPr>
      <w:rFonts w:ascii="Times New Roman" w:eastAsiaTheme="majorEastAsia" w:hAnsi="Times New Roman" w:cstheme="majorBidi"/>
      <w:b/>
      <w:bCs/>
      <w:szCs w:val="28"/>
      <w:lang w:val="en-US"/>
    </w:rPr>
  </w:style>
  <w:style w:type="character" w:customStyle="1" w:styleId="Heading2Char">
    <w:name w:val="Heading 2 Char"/>
    <w:basedOn w:val="DefaultParagraphFont"/>
    <w:link w:val="Heading2"/>
    <w:uiPriority w:val="9"/>
    <w:rsid w:val="008C53FF"/>
    <w:rPr>
      <w:rFonts w:ascii="Times New Roman" w:eastAsiaTheme="majorEastAsia" w:hAnsi="Times New Roman" w:cstheme="majorBidi"/>
      <w:b/>
      <w:bCs/>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2375</Words>
  <Characters>13542</Characters>
  <Application>Microsoft Office Word</Application>
  <DocSecurity>0</DocSecurity>
  <Lines>112</Lines>
  <Paragraphs>31</Paragraphs>
  <ScaleCrop>false</ScaleCrop>
  <Company/>
  <LinksUpToDate>false</LinksUpToDate>
  <CharactersWithSpaces>15886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Bobos (1921543)</dc:creator>
  <cp:keywords/>
  <dc:description/>
  <cp:lastModifiedBy>Iulia Bobos (1921543)</cp:lastModifiedBy>
  <cp:revision>1</cp:revision>
  <dcterms:created xsi:type="dcterms:W3CDTF">2020-08-19T15:27:00Z</dcterms:created>
  <dcterms:modified xsi:type="dcterms:W3CDTF">2020-08-19T15:29:00Z</dcterms:modified>
</cp:coreProperties>
</file>