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BE094" w14:textId="732D21B4" w:rsidR="00FB246C" w:rsidRPr="00CD58CE" w:rsidRDefault="00FB246C" w:rsidP="003B06AE">
      <w:pPr>
        <w:jc w:val="center"/>
        <w:rPr>
          <w:rFonts w:ascii="Arial" w:hAnsi="Arial" w:cs="Arial"/>
          <w:b/>
          <w:bCs/>
          <w:i/>
          <w:iCs/>
          <w:sz w:val="52"/>
          <w:szCs w:val="52"/>
          <w:lang w:val="en-GB"/>
        </w:rPr>
      </w:pPr>
      <w:r w:rsidRPr="00CD58CE">
        <w:rPr>
          <w:rFonts w:ascii="Arial" w:hAnsi="Arial" w:cs="Arial"/>
          <w:b/>
          <w:bCs/>
          <w:i/>
          <w:iCs/>
          <w:sz w:val="52"/>
          <w:szCs w:val="52"/>
          <w:lang w:val="en-GB"/>
        </w:rPr>
        <w:t xml:space="preserve">How to retain and engage </w:t>
      </w:r>
      <w:r w:rsidR="00833B82" w:rsidRPr="00CD58CE">
        <w:rPr>
          <w:rFonts w:ascii="Arial" w:hAnsi="Arial" w:cs="Arial"/>
          <w:b/>
          <w:bCs/>
          <w:i/>
          <w:iCs/>
          <w:sz w:val="52"/>
          <w:szCs w:val="52"/>
          <w:lang w:val="en-GB"/>
        </w:rPr>
        <w:t xml:space="preserve">Generation Y </w:t>
      </w:r>
      <w:r w:rsidRPr="00CD58CE">
        <w:rPr>
          <w:rFonts w:ascii="Arial" w:hAnsi="Arial" w:cs="Arial"/>
          <w:b/>
          <w:bCs/>
          <w:i/>
          <w:iCs/>
          <w:sz w:val="52"/>
          <w:szCs w:val="52"/>
          <w:lang w:val="en-GB"/>
        </w:rPr>
        <w:t>employees throughout the employee lifecycle</w:t>
      </w:r>
    </w:p>
    <w:p w14:paraId="47168568" w14:textId="77777777" w:rsidR="00A933AF" w:rsidRPr="00CD58CE" w:rsidRDefault="00A933AF" w:rsidP="009A58F0">
      <w:pPr>
        <w:jc w:val="both"/>
        <w:rPr>
          <w:rFonts w:ascii="Arial" w:hAnsi="Arial" w:cs="Arial"/>
          <w:b/>
          <w:bCs/>
          <w:i/>
          <w:iCs/>
          <w:sz w:val="28"/>
          <w:szCs w:val="28"/>
          <w:lang w:val="en-GB"/>
        </w:rPr>
      </w:pPr>
    </w:p>
    <w:p w14:paraId="58624A7A" w14:textId="77777777" w:rsidR="00A933AF" w:rsidRPr="00CD58CE" w:rsidRDefault="00A933AF" w:rsidP="009A58F0">
      <w:pPr>
        <w:jc w:val="both"/>
        <w:rPr>
          <w:rFonts w:ascii="Arial" w:hAnsi="Arial" w:cs="Arial"/>
          <w:b/>
          <w:bCs/>
          <w:i/>
          <w:iCs/>
          <w:sz w:val="28"/>
          <w:szCs w:val="28"/>
          <w:lang w:val="en-GB"/>
        </w:rPr>
      </w:pPr>
    </w:p>
    <w:p w14:paraId="4141FECC" w14:textId="77777777" w:rsidR="00A933AF" w:rsidRPr="00CD58CE" w:rsidRDefault="00A933AF" w:rsidP="003B06AE">
      <w:pPr>
        <w:jc w:val="center"/>
        <w:rPr>
          <w:rFonts w:ascii="Arial" w:hAnsi="Arial" w:cs="Arial"/>
          <w:b/>
          <w:bCs/>
          <w:i/>
          <w:iCs/>
          <w:sz w:val="36"/>
          <w:szCs w:val="36"/>
          <w:lang w:val="en-GB"/>
        </w:rPr>
      </w:pPr>
    </w:p>
    <w:p w14:paraId="2D0542F6" w14:textId="77777777" w:rsidR="00E527B9" w:rsidRPr="00CD58CE" w:rsidRDefault="00E527B9" w:rsidP="003B06AE">
      <w:pPr>
        <w:jc w:val="center"/>
        <w:rPr>
          <w:rFonts w:ascii="Arial" w:hAnsi="Arial" w:cs="Arial"/>
          <w:b/>
          <w:bCs/>
          <w:i/>
          <w:iCs/>
          <w:sz w:val="36"/>
          <w:szCs w:val="36"/>
          <w:lang w:val="en-GB"/>
        </w:rPr>
      </w:pPr>
    </w:p>
    <w:p w14:paraId="3DE6A059" w14:textId="2A7EC6DE" w:rsidR="00E527B9" w:rsidRPr="00CD58CE" w:rsidRDefault="00E527B9" w:rsidP="003B06AE">
      <w:pPr>
        <w:jc w:val="center"/>
        <w:rPr>
          <w:rFonts w:ascii="Arial" w:hAnsi="Arial" w:cs="Arial"/>
          <w:b/>
          <w:bCs/>
          <w:i/>
          <w:iCs/>
          <w:sz w:val="32"/>
          <w:szCs w:val="32"/>
          <w:lang w:val="en-GB"/>
        </w:rPr>
      </w:pPr>
      <w:r w:rsidRPr="00CD58CE">
        <w:rPr>
          <w:rFonts w:ascii="Arial" w:hAnsi="Arial" w:cs="Arial"/>
          <w:b/>
          <w:bCs/>
          <w:i/>
          <w:iCs/>
          <w:sz w:val="32"/>
          <w:szCs w:val="32"/>
          <w:lang w:val="en-GB"/>
        </w:rPr>
        <w:t>Student Name:</w:t>
      </w:r>
      <w:r w:rsidR="003629C8" w:rsidRPr="00CD58CE">
        <w:rPr>
          <w:rFonts w:ascii="Arial" w:hAnsi="Arial" w:cs="Arial"/>
          <w:b/>
          <w:bCs/>
          <w:i/>
          <w:iCs/>
          <w:sz w:val="32"/>
          <w:szCs w:val="32"/>
          <w:lang w:val="en-GB"/>
        </w:rPr>
        <w:t xml:space="preserve"> Khaleda Akther</w:t>
      </w:r>
    </w:p>
    <w:p w14:paraId="53A24D06" w14:textId="09195190" w:rsidR="00E527B9" w:rsidRPr="00CD58CE" w:rsidRDefault="00E527B9" w:rsidP="003B06AE">
      <w:pPr>
        <w:jc w:val="center"/>
        <w:rPr>
          <w:rFonts w:ascii="Arial" w:hAnsi="Arial" w:cs="Arial"/>
          <w:b/>
          <w:bCs/>
          <w:i/>
          <w:iCs/>
          <w:sz w:val="32"/>
          <w:szCs w:val="32"/>
          <w:lang w:val="en-GB"/>
        </w:rPr>
      </w:pPr>
      <w:r w:rsidRPr="00CD58CE">
        <w:rPr>
          <w:rFonts w:ascii="Arial" w:hAnsi="Arial" w:cs="Arial"/>
          <w:b/>
          <w:bCs/>
          <w:i/>
          <w:iCs/>
          <w:sz w:val="32"/>
          <w:szCs w:val="32"/>
          <w:lang w:val="en-GB"/>
        </w:rPr>
        <w:t>Module Title:</w:t>
      </w:r>
      <w:r w:rsidR="0057243E" w:rsidRPr="00CD58CE">
        <w:rPr>
          <w:rFonts w:ascii="Arial" w:hAnsi="Arial" w:cs="Arial"/>
          <w:b/>
          <w:bCs/>
          <w:i/>
          <w:iCs/>
          <w:sz w:val="32"/>
          <w:szCs w:val="32"/>
          <w:lang w:val="en-GB"/>
        </w:rPr>
        <w:t xml:space="preserve"> Personnel</w:t>
      </w:r>
      <w:r w:rsidR="007E0DF5" w:rsidRPr="00CD58CE">
        <w:rPr>
          <w:rFonts w:ascii="Arial" w:hAnsi="Arial" w:cs="Arial"/>
          <w:b/>
          <w:bCs/>
          <w:i/>
          <w:iCs/>
          <w:sz w:val="32"/>
          <w:szCs w:val="32"/>
          <w:lang w:val="en-GB"/>
        </w:rPr>
        <w:t xml:space="preserve"> Resources</w:t>
      </w:r>
      <w:r w:rsidR="0057243E" w:rsidRPr="00CD58CE">
        <w:rPr>
          <w:rFonts w:ascii="Arial" w:hAnsi="Arial" w:cs="Arial"/>
          <w:b/>
          <w:bCs/>
          <w:i/>
          <w:iCs/>
          <w:sz w:val="32"/>
          <w:szCs w:val="32"/>
          <w:lang w:val="en-GB"/>
        </w:rPr>
        <w:t xml:space="preserve"> Development</w:t>
      </w:r>
    </w:p>
    <w:p w14:paraId="1471BF17" w14:textId="40509602" w:rsidR="00E527B9" w:rsidRPr="00CD58CE" w:rsidRDefault="00E527B9" w:rsidP="003B06AE">
      <w:pPr>
        <w:jc w:val="center"/>
        <w:rPr>
          <w:rFonts w:ascii="Arial" w:hAnsi="Arial" w:cs="Arial"/>
          <w:b/>
          <w:bCs/>
          <w:i/>
          <w:iCs/>
          <w:sz w:val="32"/>
          <w:szCs w:val="32"/>
          <w:lang w:val="en-GB"/>
        </w:rPr>
      </w:pPr>
      <w:r w:rsidRPr="00CD58CE">
        <w:rPr>
          <w:rFonts w:ascii="Arial" w:hAnsi="Arial" w:cs="Arial"/>
          <w:b/>
          <w:bCs/>
          <w:i/>
          <w:iCs/>
          <w:sz w:val="32"/>
          <w:szCs w:val="32"/>
          <w:lang w:val="en-GB"/>
        </w:rPr>
        <w:t>Module code:</w:t>
      </w:r>
      <w:r w:rsidR="003B06AE" w:rsidRPr="00CD58CE">
        <w:rPr>
          <w:rFonts w:ascii="Arial" w:hAnsi="Arial" w:cs="Arial"/>
          <w:b/>
          <w:bCs/>
          <w:i/>
          <w:iCs/>
          <w:sz w:val="32"/>
          <w:szCs w:val="32"/>
          <w:lang w:val="en-GB"/>
        </w:rPr>
        <w:t xml:space="preserve"> BMIH5005</w:t>
      </w:r>
    </w:p>
    <w:p w14:paraId="6468DADA" w14:textId="77777777" w:rsidR="00A933AF" w:rsidRPr="00CD58CE" w:rsidRDefault="00A933AF" w:rsidP="009A58F0">
      <w:pPr>
        <w:jc w:val="both"/>
        <w:rPr>
          <w:rFonts w:ascii="Arial" w:hAnsi="Arial" w:cs="Arial"/>
          <w:b/>
          <w:bCs/>
          <w:i/>
          <w:iCs/>
          <w:sz w:val="28"/>
          <w:szCs w:val="28"/>
          <w:lang w:val="en-GB"/>
        </w:rPr>
      </w:pPr>
    </w:p>
    <w:p w14:paraId="2335B373" w14:textId="77777777" w:rsidR="00A933AF" w:rsidRPr="00CD58CE" w:rsidRDefault="00A933AF" w:rsidP="009A58F0">
      <w:pPr>
        <w:jc w:val="both"/>
        <w:rPr>
          <w:rFonts w:ascii="Arial" w:hAnsi="Arial" w:cs="Arial"/>
          <w:b/>
          <w:bCs/>
          <w:i/>
          <w:iCs/>
          <w:sz w:val="28"/>
          <w:szCs w:val="28"/>
          <w:lang w:val="en-GB"/>
        </w:rPr>
      </w:pPr>
    </w:p>
    <w:p w14:paraId="073FA3A4" w14:textId="77777777" w:rsidR="00FB246C" w:rsidRPr="00CD58CE" w:rsidRDefault="00FB246C" w:rsidP="009A58F0">
      <w:pPr>
        <w:jc w:val="both"/>
        <w:rPr>
          <w:rFonts w:ascii="Arial" w:hAnsi="Arial" w:cs="Arial"/>
          <w:sz w:val="24"/>
          <w:szCs w:val="24"/>
          <w:lang w:val="en-GB"/>
        </w:rPr>
      </w:pPr>
    </w:p>
    <w:p w14:paraId="69128BEC" w14:textId="77777777" w:rsidR="00522E18" w:rsidRPr="00CD58CE" w:rsidRDefault="00522E18" w:rsidP="009A58F0">
      <w:pPr>
        <w:jc w:val="both"/>
        <w:rPr>
          <w:rFonts w:ascii="Arial" w:hAnsi="Arial" w:cs="Arial"/>
          <w:sz w:val="24"/>
          <w:szCs w:val="24"/>
          <w:lang w:val="en-GB"/>
        </w:rPr>
      </w:pPr>
    </w:p>
    <w:p w14:paraId="0D5D24C5" w14:textId="77777777" w:rsidR="00522E18" w:rsidRPr="00CD58CE" w:rsidRDefault="00522E18" w:rsidP="009A58F0">
      <w:pPr>
        <w:jc w:val="both"/>
        <w:rPr>
          <w:rFonts w:ascii="Arial" w:hAnsi="Arial" w:cs="Arial"/>
          <w:sz w:val="24"/>
          <w:szCs w:val="24"/>
          <w:lang w:val="en-GB"/>
        </w:rPr>
      </w:pPr>
    </w:p>
    <w:p w14:paraId="5CB88359" w14:textId="77777777" w:rsidR="00522E18" w:rsidRPr="00CD58CE" w:rsidRDefault="00522E18" w:rsidP="009A58F0">
      <w:pPr>
        <w:jc w:val="both"/>
        <w:rPr>
          <w:rFonts w:ascii="Arial" w:hAnsi="Arial" w:cs="Arial"/>
          <w:sz w:val="24"/>
          <w:szCs w:val="24"/>
          <w:lang w:val="en-GB"/>
        </w:rPr>
      </w:pPr>
    </w:p>
    <w:p w14:paraId="18DC99B4" w14:textId="77777777" w:rsidR="00522E18" w:rsidRPr="00CD58CE" w:rsidRDefault="00522E18" w:rsidP="009A58F0">
      <w:pPr>
        <w:jc w:val="both"/>
        <w:rPr>
          <w:rFonts w:ascii="Arial" w:hAnsi="Arial" w:cs="Arial"/>
          <w:sz w:val="24"/>
          <w:szCs w:val="24"/>
          <w:lang w:val="en-GB"/>
        </w:rPr>
      </w:pPr>
    </w:p>
    <w:p w14:paraId="664E478D" w14:textId="77777777" w:rsidR="00522E18" w:rsidRPr="00CD58CE" w:rsidRDefault="00522E18" w:rsidP="009A58F0">
      <w:pPr>
        <w:jc w:val="both"/>
        <w:rPr>
          <w:rFonts w:ascii="Arial" w:hAnsi="Arial" w:cs="Arial"/>
          <w:sz w:val="24"/>
          <w:szCs w:val="24"/>
          <w:lang w:val="en-GB"/>
        </w:rPr>
      </w:pPr>
    </w:p>
    <w:p w14:paraId="19C37764" w14:textId="77777777" w:rsidR="00522E18" w:rsidRPr="00CD58CE" w:rsidRDefault="00522E18" w:rsidP="009A58F0">
      <w:pPr>
        <w:jc w:val="both"/>
        <w:rPr>
          <w:rFonts w:ascii="Arial" w:hAnsi="Arial" w:cs="Arial"/>
          <w:sz w:val="24"/>
          <w:szCs w:val="24"/>
          <w:lang w:val="en-GB"/>
        </w:rPr>
      </w:pPr>
    </w:p>
    <w:p w14:paraId="72F36E7D" w14:textId="77777777" w:rsidR="00522E18" w:rsidRPr="00CD58CE" w:rsidRDefault="00522E18" w:rsidP="009A58F0">
      <w:pPr>
        <w:jc w:val="both"/>
        <w:rPr>
          <w:rFonts w:ascii="Arial" w:hAnsi="Arial" w:cs="Arial"/>
          <w:sz w:val="24"/>
          <w:szCs w:val="24"/>
          <w:lang w:val="en-GB"/>
        </w:rPr>
      </w:pPr>
    </w:p>
    <w:p w14:paraId="334F4D9E" w14:textId="77777777" w:rsidR="00522E18" w:rsidRPr="00CD58CE" w:rsidRDefault="00522E18" w:rsidP="009A58F0">
      <w:pPr>
        <w:jc w:val="both"/>
        <w:rPr>
          <w:rFonts w:ascii="Arial" w:hAnsi="Arial" w:cs="Arial"/>
          <w:sz w:val="24"/>
          <w:szCs w:val="24"/>
          <w:lang w:val="en-GB"/>
        </w:rPr>
      </w:pPr>
    </w:p>
    <w:p w14:paraId="273D26FA" w14:textId="77777777" w:rsidR="00522E18" w:rsidRPr="00CD58CE" w:rsidRDefault="00522E18" w:rsidP="009A58F0">
      <w:pPr>
        <w:jc w:val="both"/>
        <w:rPr>
          <w:rFonts w:ascii="Arial" w:hAnsi="Arial" w:cs="Arial"/>
          <w:sz w:val="24"/>
          <w:szCs w:val="24"/>
          <w:lang w:val="en-GB"/>
        </w:rPr>
      </w:pPr>
    </w:p>
    <w:p w14:paraId="414457BE" w14:textId="77777777" w:rsidR="00522E18" w:rsidRPr="00CD58CE" w:rsidRDefault="00522E18" w:rsidP="009A58F0">
      <w:pPr>
        <w:jc w:val="both"/>
        <w:rPr>
          <w:rFonts w:ascii="Arial" w:hAnsi="Arial" w:cs="Arial"/>
          <w:sz w:val="24"/>
          <w:szCs w:val="24"/>
          <w:lang w:val="en-GB"/>
        </w:rPr>
      </w:pPr>
    </w:p>
    <w:p w14:paraId="34772908" w14:textId="77777777" w:rsidR="00522E18" w:rsidRPr="00CD58CE" w:rsidRDefault="00522E18" w:rsidP="009A58F0">
      <w:pPr>
        <w:jc w:val="both"/>
        <w:rPr>
          <w:rFonts w:ascii="Arial" w:hAnsi="Arial" w:cs="Arial"/>
          <w:sz w:val="24"/>
          <w:szCs w:val="24"/>
          <w:lang w:val="en-GB"/>
        </w:rPr>
      </w:pPr>
    </w:p>
    <w:p w14:paraId="72B3D487" w14:textId="77777777" w:rsidR="00522E18" w:rsidRPr="00CD58CE" w:rsidRDefault="00522E18" w:rsidP="009A58F0">
      <w:pPr>
        <w:jc w:val="both"/>
        <w:rPr>
          <w:rFonts w:ascii="Arial" w:hAnsi="Arial" w:cs="Arial"/>
          <w:sz w:val="24"/>
          <w:szCs w:val="24"/>
          <w:lang w:val="en-GB"/>
        </w:rPr>
      </w:pPr>
    </w:p>
    <w:p w14:paraId="2367B261" w14:textId="610A1389" w:rsidR="00833B82" w:rsidRPr="00A30071" w:rsidRDefault="00833B82" w:rsidP="00A30071">
      <w:pPr>
        <w:spacing w:line="360" w:lineRule="auto"/>
        <w:jc w:val="both"/>
        <w:rPr>
          <w:rFonts w:ascii="Arial" w:hAnsi="Arial" w:cs="Arial"/>
          <w:sz w:val="24"/>
          <w:szCs w:val="24"/>
          <w:lang w:val="en-GB"/>
        </w:rPr>
      </w:pPr>
      <w:r w:rsidRPr="00A30071">
        <w:rPr>
          <w:rFonts w:ascii="Arial" w:hAnsi="Arial" w:cs="Arial"/>
          <w:sz w:val="24"/>
          <w:szCs w:val="24"/>
          <w:lang w:val="en-GB"/>
        </w:rPr>
        <w:lastRenderedPageBreak/>
        <w:t>Engaging and retaining Generation Y employees, also known as Millennials, throughout their employee lifecycle is crucial for organizational success. This generation values job satisfaction, career growth, and work-life balance</w:t>
      </w:r>
      <w:r w:rsidR="00D82C51">
        <w:rPr>
          <w:rFonts w:ascii="Arial" w:hAnsi="Arial" w:cs="Arial"/>
          <w:sz w:val="24"/>
          <w:szCs w:val="24"/>
          <w:lang w:val="en-GB"/>
        </w:rPr>
        <w:t xml:space="preserve"> </w:t>
      </w:r>
      <w:r w:rsidR="00D82C51">
        <w:rPr>
          <w:rFonts w:ascii="Arial" w:hAnsi="Arial" w:cs="Arial"/>
          <w:sz w:val="24"/>
          <w:szCs w:val="24"/>
          <w:lang w:val="en-GB"/>
        </w:rPr>
        <w:t>(</w:t>
      </w:r>
      <w:r w:rsidR="00D82C51" w:rsidRPr="00D82C51">
        <w:rPr>
          <w:rFonts w:ascii="Arial" w:hAnsi="Arial" w:cs="Arial"/>
          <w:sz w:val="24"/>
          <w:szCs w:val="24"/>
          <w:lang w:val="en-GB"/>
        </w:rPr>
        <w:t>Twenge,</w:t>
      </w:r>
      <w:r w:rsidR="00D82C51">
        <w:rPr>
          <w:rFonts w:ascii="Arial" w:hAnsi="Arial" w:cs="Arial"/>
          <w:sz w:val="24"/>
          <w:szCs w:val="24"/>
          <w:lang w:val="en-GB"/>
        </w:rPr>
        <w:t xml:space="preserve"> </w:t>
      </w:r>
      <w:r w:rsidR="00D82C51" w:rsidRPr="00D82C51">
        <w:rPr>
          <w:rFonts w:ascii="Arial" w:hAnsi="Arial" w:cs="Arial"/>
          <w:sz w:val="24"/>
          <w:szCs w:val="24"/>
          <w:lang w:val="en-GB"/>
        </w:rPr>
        <w:t>2010).</w:t>
      </w:r>
      <w:r w:rsidRPr="00A30071">
        <w:rPr>
          <w:rFonts w:ascii="Arial" w:hAnsi="Arial" w:cs="Arial"/>
          <w:sz w:val="24"/>
          <w:szCs w:val="24"/>
          <w:lang w:val="en-GB"/>
        </w:rPr>
        <w:t xml:space="preserve"> To achieve this, organizations should focus on the strategies listed in this essay.</w:t>
      </w:r>
      <w:r w:rsidR="00D82C51" w:rsidRPr="00D82C51">
        <w:rPr>
          <w:rFonts w:ascii="Arial" w:hAnsi="Arial" w:cs="Arial"/>
          <w:sz w:val="24"/>
          <w:szCs w:val="24"/>
          <w:lang w:val="en-GB"/>
        </w:rPr>
        <w:t xml:space="preserve"> </w:t>
      </w:r>
    </w:p>
    <w:p w14:paraId="61F8F571" w14:textId="247C7212" w:rsidR="00A30071" w:rsidRPr="00A30071" w:rsidRDefault="004F1249"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Managing and fostering talent throughout the employment lifecycle is vital for a large hotel's human resource department </w:t>
      </w:r>
      <w:r w:rsidR="00212998" w:rsidRPr="00A30071">
        <w:rPr>
          <w:rFonts w:ascii="Arial" w:hAnsi="Arial" w:cs="Arial"/>
          <w:sz w:val="24"/>
          <w:szCs w:val="24"/>
          <w:lang w:val="en-GB"/>
        </w:rPr>
        <w:t>(TEDx Talks, 2011)</w:t>
      </w:r>
      <w:r w:rsidR="00171955" w:rsidRPr="00A30071">
        <w:rPr>
          <w:rFonts w:ascii="Arial" w:hAnsi="Arial" w:cs="Arial"/>
          <w:sz w:val="24"/>
          <w:szCs w:val="24"/>
          <w:lang w:val="en-GB"/>
        </w:rPr>
        <w:t xml:space="preserve">. </w:t>
      </w:r>
      <w:r w:rsidRPr="00A30071">
        <w:rPr>
          <w:rFonts w:ascii="Arial" w:hAnsi="Arial" w:cs="Arial"/>
          <w:sz w:val="24"/>
          <w:szCs w:val="24"/>
          <w:lang w:val="en-GB"/>
        </w:rPr>
        <w:t xml:space="preserve"> By implementing successful strategies and practices, HR professionals may aid in employee retention and engagement, which will lead to a motivated and productive workforce. </w:t>
      </w:r>
      <w:r w:rsidR="00A30071" w:rsidRPr="00A30071">
        <w:rPr>
          <w:rFonts w:ascii="Arial" w:hAnsi="Arial" w:cs="Arial"/>
          <w:sz w:val="24"/>
          <w:szCs w:val="24"/>
          <w:lang w:val="en-GB"/>
        </w:rPr>
        <w:t>This essay critically examines the pivotal role of the HR department in managing and cultivating talent throughout the entire employment lifecycle within a prominent hotel (hbsp.harvard.edu, 2017). The recruitment process, which mirrors the Employee Lifecycle, is instrumental in selecting Generation Y candidates whose values align with the hotel's culture, ensuring a positive candidate experience. As emphasized by Hannum (2021), attracting top talent necessitates the HR department's focus on crafting an enticing employer brand that highlights unique benefits and opportunities.</w:t>
      </w:r>
    </w:p>
    <w:p w14:paraId="66C78D74" w14:textId="23D006F2"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For talent attraction, the HR team can leverage a compelling employee value proposition that accentuates the hotel's distinct advantages and </w:t>
      </w:r>
      <w:r w:rsidR="00A378BF" w:rsidRPr="00A30071">
        <w:rPr>
          <w:rFonts w:ascii="Arial" w:hAnsi="Arial" w:cs="Arial"/>
          <w:sz w:val="24"/>
          <w:szCs w:val="24"/>
          <w:lang w:val="en-GB"/>
        </w:rPr>
        <w:t>prospects</w:t>
      </w:r>
      <w:r w:rsidRPr="00A30071">
        <w:rPr>
          <w:rFonts w:ascii="Arial" w:hAnsi="Arial" w:cs="Arial"/>
          <w:sz w:val="24"/>
          <w:szCs w:val="24"/>
          <w:lang w:val="en-GB"/>
        </w:rPr>
        <w:t xml:space="preserve"> (Anon, 2022). To cast a wider net for prospective candidates and to ensure a diverse pool of talent is drawn to the organization, the HR department of a large hotel must prioritize the development of an appealing employer brand. Additionally, embracing technological advancements and providing Millennials with the necessary tools and resources for success is vital (Howe &amp; Strauss, 2000). Furthermore, fostering an innovative and collaborative environment to harness their tech-savvy skills is equally essential (Howe &amp; Strauss, 2000).</w:t>
      </w:r>
    </w:p>
    <w:p w14:paraId="3EC24408" w14:textId="58D25FA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In terms of recruitment, the HR department should commence by conducting a comprehensive job analysis to pinpoint the requisite skills and qualifications. Effective job descriptions should be used to clearly communicate role expectations. Furthermore, candidate screening methods, such as interviews and assessments, must be employed to assess a candidate's compatibility with the hotel (</w:t>
      </w:r>
      <w:r w:rsidR="008F30CD" w:rsidRPr="008F30CD">
        <w:rPr>
          <w:rFonts w:ascii="Arial" w:hAnsi="Arial" w:cs="Arial"/>
          <w:sz w:val="24"/>
          <w:szCs w:val="24"/>
          <w:lang w:val="en-GB"/>
        </w:rPr>
        <w:t>Guest, D.</w:t>
      </w:r>
      <w:r w:rsidR="008F30CD">
        <w:rPr>
          <w:rFonts w:ascii="Arial" w:hAnsi="Arial" w:cs="Arial"/>
          <w:sz w:val="24"/>
          <w:szCs w:val="24"/>
          <w:lang w:val="en-GB"/>
        </w:rPr>
        <w:t xml:space="preserve">, </w:t>
      </w:r>
      <w:r w:rsidR="008F30CD" w:rsidRPr="008F30CD">
        <w:rPr>
          <w:rFonts w:ascii="Arial" w:hAnsi="Arial" w:cs="Arial"/>
          <w:sz w:val="24"/>
          <w:szCs w:val="24"/>
          <w:lang w:val="en-GB"/>
        </w:rPr>
        <w:t>2004).</w:t>
      </w:r>
    </w:p>
    <w:p w14:paraId="18C3F798" w14:textId="4FAE3856"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Onboarding: It is essential to implement a robust onboarding program to ensure that new hires are not only welcomed but also thoroughly prepared for their roles (Alsabbah, </w:t>
      </w:r>
      <w:r w:rsidRPr="00A30071">
        <w:rPr>
          <w:rFonts w:ascii="Arial" w:hAnsi="Arial" w:cs="Arial"/>
          <w:sz w:val="24"/>
          <w:szCs w:val="24"/>
          <w:lang w:val="en-GB"/>
        </w:rPr>
        <w:lastRenderedPageBreak/>
        <w:t>Khadour, &amp; Abduh, 2020). Continuous training and development opportunities are equally crucial, enabling Millennials to expand their skillsets and grow in their positions (Lyons, Schweitzer, &amp; Ng, 2015). Moreover, the provision of mentors or a buddy system can greatly assist newcomers in navigating their roles and acclimating to the work environment (Michael Daniel George HR, 2022). A comprehensive onboarding process should encompass orientation sessions, introductions to key team members, and a concise overview of the hotel's values and expectations.</w:t>
      </w:r>
    </w:p>
    <w:p w14:paraId="22F18441" w14:textId="0B444773"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Development: To nurture employee skills, the HR department must offer ongoing training and development opportunities, encompassing both technical and soft skills (</w:t>
      </w:r>
      <w:proofErr w:type="spellStart"/>
      <w:r w:rsidR="00D82C51">
        <w:rPr>
          <w:rFonts w:ascii="Arial" w:hAnsi="Arial" w:cs="Arial"/>
          <w:sz w:val="24"/>
          <w:szCs w:val="24"/>
          <w:lang w:val="en-GB"/>
        </w:rPr>
        <w:t>Woermann</w:t>
      </w:r>
      <w:proofErr w:type="spellEnd"/>
      <w:r w:rsidR="00D82C51">
        <w:rPr>
          <w:rFonts w:ascii="Arial" w:hAnsi="Arial" w:cs="Arial"/>
          <w:sz w:val="24"/>
          <w:szCs w:val="24"/>
          <w:lang w:val="en-GB"/>
        </w:rPr>
        <w:t xml:space="preserve">, </w:t>
      </w:r>
      <w:r w:rsidRPr="00A30071">
        <w:rPr>
          <w:rFonts w:ascii="Arial" w:hAnsi="Arial" w:cs="Arial"/>
          <w:sz w:val="24"/>
          <w:szCs w:val="24"/>
          <w:lang w:val="en-GB"/>
        </w:rPr>
        <w:t>201</w:t>
      </w:r>
      <w:r w:rsidR="00D82C51">
        <w:rPr>
          <w:rFonts w:ascii="Arial" w:hAnsi="Arial" w:cs="Arial"/>
          <w:sz w:val="24"/>
          <w:szCs w:val="24"/>
          <w:lang w:val="en-GB"/>
        </w:rPr>
        <w:t>8</w:t>
      </w:r>
      <w:r w:rsidRPr="00A30071">
        <w:rPr>
          <w:rFonts w:ascii="Arial" w:hAnsi="Arial" w:cs="Arial"/>
          <w:sz w:val="24"/>
          <w:szCs w:val="24"/>
          <w:lang w:val="en-GB"/>
        </w:rPr>
        <w:t>). Supporting professional growth can be achieved through initiatives like job rotations, cross-training, and mentorship programs. Accommodating individual needs through flexible work arrangements is vital, while promoting a healthy work-life balance contributes to reduced burnout and increased job satisfaction (Jenkins, 2018).</w:t>
      </w:r>
    </w:p>
    <w:p w14:paraId="01797060" w14:textId="3D20B239"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Retention: Employee engagement and satisfaction are pivotal for retaining top talent. Competitive pay and benefits packages are crucial for attracting and retaining employees. Recognizing and rewarding achievements and efforts are equally essential in maintaining motivation and loyalty. Clear career paths, performance reviews, and advancement opportunities are key to retaining employees (Lyons, Schweitzer, &amp; Ng, 2015). Encouraging skill-building and cross-training ensures that employees remain engaged and adaptable (Lyons, Schweitzer, &amp; Ng, 2015). Regular feedback and recognition of contributions are fundamental (Alsabbah, Khadour, &amp; Abduh, 2020). Implementing a rewards and recognition program effectively motivates and engages employees (Gubler, Larkin, &amp; Pierce, 2018).</w:t>
      </w:r>
    </w:p>
    <w:p w14:paraId="78AC6C42" w14:textId="78870DDF"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Separation: Exit interviews offer invaluable feedback from departing employees, enabling the identification of areas for </w:t>
      </w:r>
      <w:r w:rsidR="00A378BF" w:rsidRPr="00A30071">
        <w:rPr>
          <w:rFonts w:ascii="Arial" w:hAnsi="Arial" w:cs="Arial"/>
          <w:sz w:val="24"/>
          <w:szCs w:val="24"/>
          <w:lang w:val="en-GB"/>
        </w:rPr>
        <w:t>improvement,</w:t>
      </w:r>
      <w:r w:rsidRPr="00A30071">
        <w:rPr>
          <w:rFonts w:ascii="Arial" w:hAnsi="Arial" w:cs="Arial"/>
          <w:sz w:val="24"/>
          <w:szCs w:val="24"/>
          <w:lang w:val="en-GB"/>
        </w:rPr>
        <w:t xml:space="preserve"> and enhancing retention strategies. Maintaining positive relationships with former employees can yield dividends in the form of brand ambassadors or even potential rehires in the future.</w:t>
      </w:r>
    </w:p>
    <w:p w14:paraId="758A8B34" w14:textId="77777777" w:rsidR="00A30071" w:rsidRPr="00A30071" w:rsidRDefault="00A30071" w:rsidP="00A30071">
      <w:pPr>
        <w:spacing w:line="360" w:lineRule="auto"/>
        <w:jc w:val="both"/>
        <w:rPr>
          <w:rFonts w:ascii="Arial" w:hAnsi="Arial" w:cs="Arial"/>
          <w:sz w:val="24"/>
          <w:szCs w:val="24"/>
          <w:lang w:val="en-GB"/>
        </w:rPr>
      </w:pPr>
    </w:p>
    <w:p w14:paraId="0F11DDE1" w14:textId="0E7BC68B"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lastRenderedPageBreak/>
        <w:t>Advantages for Team and Organizational Effectiveness:</w:t>
      </w:r>
      <w:r>
        <w:rPr>
          <w:rFonts w:ascii="Arial" w:hAnsi="Arial" w:cs="Arial"/>
          <w:sz w:val="24"/>
          <w:szCs w:val="24"/>
          <w:lang w:val="en-GB"/>
        </w:rPr>
        <w:t xml:space="preserve"> </w:t>
      </w:r>
      <w:r w:rsidRPr="00A30071">
        <w:rPr>
          <w:rFonts w:ascii="Arial" w:hAnsi="Arial" w:cs="Arial"/>
          <w:sz w:val="24"/>
          <w:szCs w:val="24"/>
          <w:lang w:val="en-GB"/>
        </w:rPr>
        <w:t>Enhanced Productivity: Implementing these strategies throughout an employee's career journey significantly boosts team and company productivity. Engaged and motivated employees tend to deliver better results and provide superior client service, thereby elevating the hotel's reputation.</w:t>
      </w:r>
    </w:p>
    <w:p w14:paraId="3B79B4AA"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Cost Savings: By reducing turnover, organizations spend less on hiring and training new staff. This translates to substantial cost savings and increased efficiency in the long run.</w:t>
      </w:r>
    </w:p>
    <w:p w14:paraId="4714B2E0"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Collaboration and Knowledge Exchange: The focus on employee engagement and development promotes collaboration and knowledge exchange among team members. This results in better problem-solving and innovation.</w:t>
      </w:r>
    </w:p>
    <w:p w14:paraId="18579CD1" w14:textId="4F61ACEC"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To Retain and Engage Employees During Transition, HR Managers Should Consider:</w:t>
      </w:r>
      <w:r>
        <w:rPr>
          <w:rFonts w:ascii="Arial" w:hAnsi="Arial" w:cs="Arial"/>
          <w:sz w:val="24"/>
          <w:szCs w:val="24"/>
          <w:lang w:val="en-GB"/>
        </w:rPr>
        <w:t xml:space="preserve"> </w:t>
      </w:r>
      <w:r w:rsidRPr="00A30071">
        <w:rPr>
          <w:rFonts w:ascii="Arial" w:hAnsi="Arial" w:cs="Arial"/>
          <w:sz w:val="24"/>
          <w:szCs w:val="24"/>
          <w:lang w:val="en-GB"/>
        </w:rPr>
        <w:t>Effective Communication: Timely and transparent communication is essential during periods of transition. HR should clearly explain the reasons for the change, its impact on employees, and the expected outcomes. Clear communication reduces resistance and uncertainty (</w:t>
      </w:r>
      <w:r w:rsidR="00DB5E21" w:rsidRPr="00DB5E21">
        <w:rPr>
          <w:rFonts w:ascii="Arial" w:hAnsi="Arial" w:cs="Arial"/>
          <w:sz w:val="24"/>
          <w:szCs w:val="24"/>
          <w:lang w:val="en-GB"/>
        </w:rPr>
        <w:t>Torrington</w:t>
      </w:r>
      <w:r w:rsidRPr="00A30071">
        <w:rPr>
          <w:rFonts w:ascii="Arial" w:hAnsi="Arial" w:cs="Arial"/>
          <w:sz w:val="24"/>
          <w:szCs w:val="24"/>
          <w:lang w:val="en-GB"/>
        </w:rPr>
        <w:t>., 20</w:t>
      </w:r>
      <w:r w:rsidR="00DB5E21">
        <w:rPr>
          <w:rFonts w:ascii="Arial" w:hAnsi="Arial" w:cs="Arial"/>
          <w:sz w:val="24"/>
          <w:szCs w:val="24"/>
          <w:lang w:val="en-GB"/>
        </w:rPr>
        <w:t>14</w:t>
      </w:r>
      <w:r w:rsidRPr="00A30071">
        <w:rPr>
          <w:rFonts w:ascii="Arial" w:hAnsi="Arial" w:cs="Arial"/>
          <w:sz w:val="24"/>
          <w:szCs w:val="24"/>
          <w:lang w:val="en-GB"/>
        </w:rPr>
        <w:t>).</w:t>
      </w:r>
    </w:p>
    <w:p w14:paraId="7427CFBF"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Employee Involvement: Encouraging employee participation by seeking their opinions, thoughts, and feedback fosters a sense of belonging and value within the organization. Employee involvement enhances engagement and ownership (Rowley, 2014).</w:t>
      </w:r>
    </w:p>
    <w:p w14:paraId="3659B9B7"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Training and Development: HR should identify the necessary training and development initiatives to support employees during the transition. Offering opportunities for skill development and advancement boosts employees' confidence in managing change and feeling supported.</w:t>
      </w:r>
    </w:p>
    <w:p w14:paraId="2B36678A"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Change Champions: To shift employees' perceptions and foster a positive attitude toward change, HR can identify change champions within the organization. These change ambassadors can articulate the benefits of change, address concerns, and inspire others to embrace the new direction.</w:t>
      </w:r>
    </w:p>
    <w:p w14:paraId="5478FEAC"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Employee Recognition Programs: HR should establish recognition programs to acknowledge employees' contributions and achievements throughout the transition </w:t>
      </w:r>
      <w:r w:rsidRPr="00A30071">
        <w:rPr>
          <w:rFonts w:ascii="Arial" w:hAnsi="Arial" w:cs="Arial"/>
          <w:sz w:val="24"/>
          <w:szCs w:val="24"/>
          <w:lang w:val="en-GB"/>
        </w:rPr>
        <w:lastRenderedPageBreak/>
        <w:t>process. Celebrating successes bolsters morale and encourages ongoing participation. Recognizing employees during times of change reinforces their commitment and adaptability in dynamic circumstances.</w:t>
      </w:r>
    </w:p>
    <w:p w14:paraId="0B8AC390" w14:textId="18426E8F"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Support Systems: HR should establish support systems such as counseling services, employee assistance programs, or designated channels where employees can seek guidance or voice their concerns during periods of transformation. This not only showcases HR's commitment to employee well-being but also facilitates a smoother transition.</w:t>
      </w:r>
    </w:p>
    <w:p w14:paraId="0B890344" w14:textId="47982284"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Feedback Collection: Regularly soliciting employee feedback on the transformation process is crucial. HR should create avenues for employees to share their ideas, concerns, and opinions. Actively listening to employee feedback enables HR to identify areas for improvement and address issues that may impede engagement and retention (Inc., 2022).</w:t>
      </w:r>
    </w:p>
    <w:p w14:paraId="4BDB9BD0" w14:textId="3270EF21"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By effectively managing change throughout the employment lifecycle, HR professionals play a vital role in guiding organizations through transitions while maintaining a motivated and engaged workforce.</w:t>
      </w:r>
    </w:p>
    <w:p w14:paraId="58ED4281" w14:textId="3192A246"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The survey highlights key insights, revealing that caregiving for young children ranks as the fifth most common reason for short-term employee absence, while stress and musculoskeletal issues top the list for long-term absence. Interestingly, the study also explores line managers' role in promoting employee well-being, indicating that 58% of HR professionals believe that line managers recognize the importance of well-being. However, only 31% of respondents believe that managers effectively engage in delivering on this front (Rowley, 2014).</w:t>
      </w:r>
    </w:p>
    <w:p w14:paraId="75C39DAA" w14:textId="63FE0B33"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While the report notes that the average absence duration per employee per year is at an all-time low of 5.8 days, it is concerning that "presenteeism" (working while sick) has been witnessed by 89% of respondents, with "leaveism" (working while on vacation) observed by 73%. Moreover, only 32% of organizations have implemented measures to discourage these unhealthy </w:t>
      </w:r>
      <w:r w:rsidR="00A378BF" w:rsidRPr="00A30071">
        <w:rPr>
          <w:rFonts w:ascii="Arial" w:hAnsi="Arial" w:cs="Arial"/>
          <w:sz w:val="24"/>
          <w:szCs w:val="24"/>
          <w:lang w:val="en-GB"/>
        </w:rPr>
        <w:t>behaviours</w:t>
      </w:r>
      <w:r w:rsidR="00CF1BBD">
        <w:rPr>
          <w:rFonts w:ascii="Arial" w:hAnsi="Arial" w:cs="Arial"/>
          <w:sz w:val="24"/>
          <w:szCs w:val="24"/>
          <w:lang w:val="en-GB"/>
        </w:rPr>
        <w:t xml:space="preserve"> (Wang, 2002).</w:t>
      </w:r>
    </w:p>
    <w:p w14:paraId="3175F691" w14:textId="1601BCA0"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lastRenderedPageBreak/>
        <w:t xml:space="preserve">The Chartered Institute of Personnel and Development (CIPD) offers extensive resources for HR and Learning and Development (L&amp;D) professionals to learn, share insights, and connect. This includes podcasts, blogs, newsletters, and an online community. The annual CIPD study, conducted in partnership with </w:t>
      </w:r>
      <w:r w:rsidR="00A378BF" w:rsidRPr="00A30071">
        <w:rPr>
          <w:rFonts w:ascii="Arial" w:hAnsi="Arial" w:cs="Arial"/>
          <w:sz w:val="24"/>
          <w:szCs w:val="24"/>
          <w:lang w:val="en-GB"/>
        </w:rPr>
        <w:t>Simply health</w:t>
      </w:r>
      <w:r w:rsidRPr="00A30071">
        <w:rPr>
          <w:rFonts w:ascii="Arial" w:hAnsi="Arial" w:cs="Arial"/>
          <w:sz w:val="24"/>
          <w:szCs w:val="24"/>
          <w:lang w:val="en-GB"/>
        </w:rPr>
        <w:t>, provides valuable data on absence management, well-being, and health in the workplace. Organizations seeking further information and support on these topics can visit the official CIPD website (Michael Daniel George HR, 2022).</w:t>
      </w:r>
    </w:p>
    <w:p w14:paraId="332F6F41" w14:textId="0A9F0640"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The concept of "quiet resigning" describes a situation in which employees emotionally disengage from their work due to various factors like lack of motivation, poor management, or a toxic work environment. Gen Y employees who engage in quiet resigning often depart an organization without publicly expressing their discontent or actively seeking alternative employment (</w:t>
      </w:r>
      <w:r w:rsidR="000D61F9" w:rsidRPr="000D61F9">
        <w:rPr>
          <w:rFonts w:ascii="Arial" w:hAnsi="Arial" w:cs="Arial"/>
          <w:sz w:val="24"/>
          <w:szCs w:val="24"/>
          <w:lang w:val="en-GB"/>
        </w:rPr>
        <w:t xml:space="preserve">Boxall, P., &amp; </w:t>
      </w:r>
      <w:proofErr w:type="spellStart"/>
      <w:r w:rsidR="000D61F9" w:rsidRPr="000D61F9">
        <w:rPr>
          <w:rFonts w:ascii="Arial" w:hAnsi="Arial" w:cs="Arial"/>
          <w:sz w:val="24"/>
          <w:szCs w:val="24"/>
          <w:lang w:val="en-GB"/>
        </w:rPr>
        <w:t>Macky</w:t>
      </w:r>
      <w:proofErr w:type="spellEnd"/>
      <w:r w:rsidR="000D61F9" w:rsidRPr="000D61F9">
        <w:rPr>
          <w:rFonts w:ascii="Arial" w:hAnsi="Arial" w:cs="Arial"/>
          <w:sz w:val="24"/>
          <w:szCs w:val="24"/>
          <w:lang w:val="en-GB"/>
        </w:rPr>
        <w:t>, K.</w:t>
      </w:r>
      <w:r w:rsidR="000D61F9">
        <w:rPr>
          <w:rFonts w:ascii="Arial" w:hAnsi="Arial" w:cs="Arial"/>
          <w:sz w:val="24"/>
          <w:szCs w:val="24"/>
          <w:lang w:val="en-GB"/>
        </w:rPr>
        <w:t xml:space="preserve">, </w:t>
      </w:r>
      <w:r w:rsidR="000D61F9" w:rsidRPr="000D61F9">
        <w:rPr>
          <w:rFonts w:ascii="Arial" w:hAnsi="Arial" w:cs="Arial"/>
          <w:sz w:val="24"/>
          <w:szCs w:val="24"/>
          <w:lang w:val="en-GB"/>
        </w:rPr>
        <w:t>2009</w:t>
      </w:r>
      <w:r w:rsidRPr="00A30071">
        <w:rPr>
          <w:rFonts w:ascii="Arial" w:hAnsi="Arial" w:cs="Arial"/>
          <w:sz w:val="24"/>
          <w:szCs w:val="24"/>
          <w:lang w:val="en-GB"/>
        </w:rPr>
        <w:t>).</w:t>
      </w:r>
    </w:p>
    <w:p w14:paraId="6FA307BE" w14:textId="4A925F11"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To address and mitigate the issue of quiet resignation, organizations can utilize two well-established psychological models: Kurt Lewin's Three-Stage Model and Maslow's Hierarchy of Needs. These models provide a framework for keeping employees engaged and motivated throughout their entire career journey.</w:t>
      </w:r>
    </w:p>
    <w:p w14:paraId="71F041E4" w14:textId="3934B4F8"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Kurt Lewin's Three-Stage Model:</w:t>
      </w:r>
      <w:r>
        <w:rPr>
          <w:rFonts w:ascii="Arial" w:hAnsi="Arial" w:cs="Arial"/>
          <w:sz w:val="24"/>
          <w:szCs w:val="24"/>
          <w:lang w:val="en-GB"/>
        </w:rPr>
        <w:t xml:space="preserve"> </w:t>
      </w:r>
      <w:r w:rsidRPr="00A30071">
        <w:rPr>
          <w:rFonts w:ascii="Arial" w:hAnsi="Arial" w:cs="Arial"/>
          <w:sz w:val="24"/>
          <w:szCs w:val="24"/>
          <w:lang w:val="en-GB"/>
        </w:rPr>
        <w:t>Unfreeze: The initial stage involves raising awareness of the problem of silent resignation within the organization and acknowledging its existence. Managers should delve into the underlying reasons for disengagement and identify areas for improvement.</w:t>
      </w:r>
    </w:p>
    <w:p w14:paraId="291CBB72"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Change: In the second stage, the primary objective is to implement actions that boost employee engagement. This may entail improving communication channels, fostering a positive workplace culture, providing opportunities for growth and development, and enhancing leadership skills.</w:t>
      </w:r>
    </w:p>
    <w:p w14:paraId="4E4FC261" w14:textId="7A41A59D"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Refreeze: The final phase aims to solidify the changes and ensure they become an integral part of the company's culture. This may involve regularly monitoring employee engagement, </w:t>
      </w:r>
      <w:r w:rsidR="00A378BF" w:rsidRPr="00A30071">
        <w:rPr>
          <w:rFonts w:ascii="Arial" w:hAnsi="Arial" w:cs="Arial"/>
          <w:sz w:val="24"/>
          <w:szCs w:val="24"/>
          <w:lang w:val="en-GB"/>
        </w:rPr>
        <w:t>recognizing,</w:t>
      </w:r>
      <w:r w:rsidRPr="00A30071">
        <w:rPr>
          <w:rFonts w:ascii="Arial" w:hAnsi="Arial" w:cs="Arial"/>
          <w:sz w:val="24"/>
          <w:szCs w:val="24"/>
          <w:lang w:val="en-GB"/>
        </w:rPr>
        <w:t xml:space="preserve"> and celebrating employees' achievements, and offering continuous support and growth opportunities.</w:t>
      </w:r>
    </w:p>
    <w:p w14:paraId="22CD2B96" w14:textId="04CBB343"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lastRenderedPageBreak/>
        <w:t>Maslow's Theory of Motivation:</w:t>
      </w:r>
      <w:r>
        <w:rPr>
          <w:rFonts w:ascii="Arial" w:hAnsi="Arial" w:cs="Arial"/>
          <w:sz w:val="24"/>
          <w:szCs w:val="24"/>
          <w:lang w:val="en-GB"/>
        </w:rPr>
        <w:t xml:space="preserve"> </w:t>
      </w:r>
      <w:r w:rsidRPr="00A30071">
        <w:rPr>
          <w:rFonts w:ascii="Arial" w:hAnsi="Arial" w:cs="Arial"/>
          <w:sz w:val="24"/>
          <w:szCs w:val="24"/>
          <w:lang w:val="en-GB"/>
        </w:rPr>
        <w:t>Companies can consider the following criteria to retain and engage their employees, in alignment with Maslow's Hierarchy of Needs:</w:t>
      </w:r>
    </w:p>
    <w:p w14:paraId="10DBF380"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Physiological Needs: Ensure that employees have access to essential necessities and provide a secure and comfortable workplace.</w:t>
      </w:r>
    </w:p>
    <w:p w14:paraId="611939FC"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Safety Needs: Establish policies and practices that promote job security, create a positive workplace environment, and address issues related to both physical and psychological safety.</w:t>
      </w:r>
    </w:p>
    <w:p w14:paraId="1FD25323"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Social Needs: Foster a sense of belonging and community within the organization through team-building activities, opportunities for collaboration, and nurturing positive relationships among employees.</w:t>
      </w:r>
    </w:p>
    <w:p w14:paraId="62CC3057"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Esteem Needs: Express gratitude for employees' efforts, provide opportunities for professional advancement, and conduct regular performance assessments and feedback sessions.</w:t>
      </w:r>
    </w:p>
    <w:p w14:paraId="4E677683"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Self-Actualization Needs: Support employees' professional and personal growth by assigning them stimulating and fulfilling work, offering training opportunities, and encouraging their independence and creativity.</w:t>
      </w:r>
    </w:p>
    <w:p w14:paraId="3DDB8BCC"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By incorporating these models, organizations can enhance their leadership styles, create a welcoming work environment, cater to their employees' needs, and cultivate a culture that promotes engagement and retention throughout every stage of an employee's career. This proactive approach helps prevent silent resignation and fosters a motivated and committed workforce.</w:t>
      </w:r>
    </w:p>
    <w:p w14:paraId="1708538D"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Prominent hotel brands such as Four Seasons Hotels and Resorts, Marriott International, and Hilton Worldwide have made employee well-being a top priority. They recognize that a satisfied and motivated workforce is key to delivering exceptional customer service and maintaining a positive reputation in the hospitality industry. These brands have implemented various strategies and programs to support their employees throughout their career journeys.</w:t>
      </w:r>
    </w:p>
    <w:p w14:paraId="2609F90F"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lastRenderedPageBreak/>
        <w:t>Marriott International: Known for its dedication to professional development, Marriott International operates "Marriott University," an extensive training and development program that offers a wide range of learning opportunities for employees at all levels. This program includes online and live training modules covering technical skills and leadership development. Marriott's focus on education not only equips employees with the skills needed for advancement but also fosters loyalty and commitment to the company. It provides a clear career path, regular feedback, and performance reviews, all of which contribute to employee growth and job satisfaction.</w:t>
      </w:r>
    </w:p>
    <w:p w14:paraId="2E2487DE"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Four Seasons Hotels &amp; Resorts: Four Seasons values employee well-being and acknowledges that content employees are more likely to deliver excellent customer service. To support their well-being, they provide comprehensive benefits such as health insurance, retirement plans, and employee assistance programs. Recognizing the importance of work-life balance, Four Seasons offers flexible schedule options, including part-time or reduced workweeks when appropriate. Their commitment to work-life integration contributes to overall job satisfaction and fosters an employee-centric culture.</w:t>
      </w:r>
    </w:p>
    <w:p w14:paraId="3D154472"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Hilton Worldwide: Hilton has established recognition initiatives like the "Catch Me at My Best" campaign to celebrate exceptional employee performance. This program empowers team members to acknowledge and express gratitude to their colleagues for their outstanding contributions to the company. By promoting a culture of peer recognition and appreciation, Hilton creates a positive workplace environment where staff members value and appreciate one another. Recognition can take various forms, including verbal compliments, certificates, or modest rewards, all of which contribute to a harmonious and motivated workforce.</w:t>
      </w:r>
    </w:p>
    <w:p w14:paraId="04F00D04" w14:textId="6DF337C1"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These hotel brands exemplify how investing in employee well-being, professional development, and recognition programs can lead to a committed and content workforce, ultimately benefiting both employees and the </w:t>
      </w:r>
      <w:r w:rsidR="00A378BF" w:rsidRPr="00A30071">
        <w:rPr>
          <w:rFonts w:ascii="Arial" w:hAnsi="Arial" w:cs="Arial"/>
          <w:sz w:val="24"/>
          <w:szCs w:val="24"/>
          <w:lang w:val="en-GB"/>
        </w:rPr>
        <w:t>organization</w:t>
      </w:r>
      <w:r w:rsidRPr="00A30071">
        <w:rPr>
          <w:rFonts w:ascii="Arial" w:hAnsi="Arial" w:cs="Arial"/>
          <w:sz w:val="24"/>
          <w:szCs w:val="24"/>
          <w:lang w:val="en-GB"/>
        </w:rPr>
        <w:t>. Such initiatives foster a positive work environment and reinforce the hospitality industry's commitment to providing exceptional service to guests.</w:t>
      </w:r>
    </w:p>
    <w:p w14:paraId="5A8A1213" w14:textId="672BF67C"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 xml:space="preserve">Hilton </w:t>
      </w:r>
      <w:r w:rsidR="00A378BF" w:rsidRPr="00A30071">
        <w:rPr>
          <w:rFonts w:ascii="Arial" w:hAnsi="Arial" w:cs="Arial"/>
          <w:sz w:val="24"/>
          <w:szCs w:val="24"/>
          <w:lang w:val="en-GB"/>
        </w:rPr>
        <w:t>World wide’s</w:t>
      </w:r>
      <w:r w:rsidRPr="00A30071">
        <w:rPr>
          <w:rFonts w:ascii="Arial" w:hAnsi="Arial" w:cs="Arial"/>
          <w:sz w:val="24"/>
          <w:szCs w:val="24"/>
          <w:lang w:val="en-GB"/>
        </w:rPr>
        <w:t xml:space="preserve"> dedication to professional development, as seen through training programs, conferences, and professional certifications, underscores the significance of </w:t>
      </w:r>
      <w:r w:rsidRPr="00A30071">
        <w:rPr>
          <w:rFonts w:ascii="Arial" w:hAnsi="Arial" w:cs="Arial"/>
          <w:sz w:val="24"/>
          <w:szCs w:val="24"/>
          <w:lang w:val="en-GB"/>
        </w:rPr>
        <w:lastRenderedPageBreak/>
        <w:t>offering opportunities for career growth to its employees. By investing in staff development, Hilton not only helps its employees advance in their careers but also enriches its talent pool, fostering a culture of continuous learning and improvement.</w:t>
      </w:r>
    </w:p>
    <w:p w14:paraId="41716D74" w14:textId="77777777" w:rsidR="00A30071" w:rsidRPr="00A30071" w:rsidRDefault="00A30071" w:rsidP="00A30071">
      <w:pPr>
        <w:spacing w:line="360" w:lineRule="auto"/>
        <w:jc w:val="both"/>
        <w:rPr>
          <w:rFonts w:ascii="Arial" w:hAnsi="Arial" w:cs="Arial"/>
          <w:sz w:val="24"/>
          <w:szCs w:val="24"/>
          <w:lang w:val="en-GB"/>
        </w:rPr>
      </w:pPr>
      <w:r w:rsidRPr="00A30071">
        <w:rPr>
          <w:rFonts w:ascii="Arial" w:hAnsi="Arial" w:cs="Arial"/>
          <w:sz w:val="24"/>
          <w:szCs w:val="24"/>
          <w:lang w:val="en-GB"/>
        </w:rPr>
        <w:t>In essence, the practices exemplified by Marriott International, Four Seasons Hotels &amp; Resorts, and Hilton Worldwide highlight the critical role of managing and nurturing personnel throughout their entire employment journey. These organizations understand that by promoting the personal development, overall well-being, and recognition of their Gen Y employees, they can boost motivation and engagement, resulting in improved team performance and overall organizational success. By embracing these best practices, these hospitality giants lead the way in prioritizing their workforce and reaping the benefits of a content and motivated team.</w:t>
      </w:r>
    </w:p>
    <w:p w14:paraId="747DDB53" w14:textId="32DF73FD" w:rsidR="00994423" w:rsidRPr="00A30071" w:rsidRDefault="004F5A76" w:rsidP="00A30071">
      <w:pPr>
        <w:spacing w:line="360" w:lineRule="auto"/>
        <w:jc w:val="both"/>
        <w:rPr>
          <w:rFonts w:ascii="Arial" w:hAnsi="Arial" w:cs="Arial"/>
          <w:sz w:val="24"/>
          <w:szCs w:val="24"/>
          <w:lang w:val="en-GB"/>
        </w:rPr>
      </w:pPr>
      <w:r w:rsidRPr="00A30071">
        <w:rPr>
          <w:rFonts w:ascii="Arial" w:hAnsi="Arial" w:cs="Arial"/>
          <w:sz w:val="24"/>
          <w:szCs w:val="24"/>
          <w:lang w:val="en-GB"/>
        </w:rPr>
        <w:t>In conclusion, engaging and retaining Generation Y employees throughout their career journey is a multifaceted challenge that requires a proactive and holistic approach. By prioritizing onboarding, career growth, work-life balance, technology integration, and consistent recognition, organizations can foster a workplace culture that not only appeals to Millennials but also nurtures their potential and long-term commitment, ultimately contributing to the success and sustainability of the organization.</w:t>
      </w:r>
    </w:p>
    <w:p w14:paraId="005E390C" w14:textId="77777777" w:rsidR="00994423" w:rsidRPr="00CD58CE" w:rsidRDefault="00994423" w:rsidP="009A58F0">
      <w:pPr>
        <w:jc w:val="both"/>
        <w:rPr>
          <w:rFonts w:ascii="Arial" w:hAnsi="Arial" w:cs="Arial"/>
          <w:sz w:val="24"/>
          <w:szCs w:val="24"/>
          <w:lang w:val="en-GB"/>
        </w:rPr>
      </w:pPr>
    </w:p>
    <w:p w14:paraId="792F5255" w14:textId="77777777" w:rsidR="00994423" w:rsidRPr="00CD58CE" w:rsidRDefault="00994423" w:rsidP="009A58F0">
      <w:pPr>
        <w:jc w:val="both"/>
        <w:rPr>
          <w:rFonts w:ascii="Arial" w:hAnsi="Arial" w:cs="Arial"/>
          <w:sz w:val="24"/>
          <w:szCs w:val="24"/>
          <w:lang w:val="en-GB"/>
        </w:rPr>
      </w:pPr>
    </w:p>
    <w:p w14:paraId="08516C01" w14:textId="77777777" w:rsidR="00994423" w:rsidRPr="00CD58CE" w:rsidRDefault="00994423" w:rsidP="009A58F0">
      <w:pPr>
        <w:jc w:val="both"/>
        <w:rPr>
          <w:rFonts w:ascii="Arial" w:hAnsi="Arial" w:cs="Arial"/>
          <w:sz w:val="24"/>
          <w:szCs w:val="24"/>
          <w:lang w:val="en-GB"/>
        </w:rPr>
      </w:pPr>
    </w:p>
    <w:p w14:paraId="0FF9C7CE" w14:textId="77777777" w:rsidR="00994423" w:rsidRPr="00CD58CE" w:rsidRDefault="00994423" w:rsidP="009A58F0">
      <w:pPr>
        <w:jc w:val="both"/>
        <w:rPr>
          <w:rFonts w:ascii="Arial" w:hAnsi="Arial" w:cs="Arial"/>
          <w:sz w:val="24"/>
          <w:szCs w:val="24"/>
          <w:lang w:val="en-GB"/>
        </w:rPr>
      </w:pPr>
    </w:p>
    <w:p w14:paraId="609AD576" w14:textId="77777777" w:rsidR="00994423" w:rsidRPr="00CD58CE" w:rsidRDefault="00994423" w:rsidP="009A58F0">
      <w:pPr>
        <w:jc w:val="both"/>
        <w:rPr>
          <w:rFonts w:ascii="Arial" w:hAnsi="Arial" w:cs="Arial"/>
          <w:sz w:val="24"/>
          <w:szCs w:val="24"/>
          <w:lang w:val="en-GB"/>
        </w:rPr>
      </w:pPr>
    </w:p>
    <w:p w14:paraId="1443F3C5" w14:textId="77777777" w:rsidR="00994423" w:rsidRPr="00CD58CE" w:rsidRDefault="00994423" w:rsidP="009A58F0">
      <w:pPr>
        <w:jc w:val="both"/>
        <w:rPr>
          <w:rFonts w:ascii="Arial" w:hAnsi="Arial" w:cs="Arial"/>
          <w:sz w:val="24"/>
          <w:szCs w:val="24"/>
          <w:lang w:val="en-GB"/>
        </w:rPr>
      </w:pPr>
    </w:p>
    <w:p w14:paraId="1C630E53" w14:textId="77777777" w:rsidR="009A58F0" w:rsidRPr="00CD58CE" w:rsidRDefault="009A58F0" w:rsidP="009A58F0">
      <w:pPr>
        <w:jc w:val="both"/>
        <w:rPr>
          <w:rFonts w:ascii="Arial" w:hAnsi="Arial" w:cs="Arial"/>
          <w:sz w:val="24"/>
          <w:szCs w:val="24"/>
          <w:lang w:val="en-GB"/>
        </w:rPr>
      </w:pPr>
    </w:p>
    <w:p w14:paraId="4B280A98" w14:textId="77777777" w:rsidR="00E11174" w:rsidRDefault="00E11174" w:rsidP="009A58F0">
      <w:pPr>
        <w:jc w:val="both"/>
        <w:rPr>
          <w:rFonts w:ascii="Arial" w:hAnsi="Arial" w:cs="Arial"/>
          <w:sz w:val="24"/>
          <w:szCs w:val="24"/>
          <w:lang w:val="en-GB"/>
        </w:rPr>
      </w:pPr>
    </w:p>
    <w:p w14:paraId="72D46AE8" w14:textId="77777777" w:rsidR="004E76D1" w:rsidRDefault="004E76D1" w:rsidP="009A58F0">
      <w:pPr>
        <w:jc w:val="both"/>
        <w:rPr>
          <w:rFonts w:ascii="Arial" w:hAnsi="Arial" w:cs="Arial"/>
          <w:sz w:val="24"/>
          <w:szCs w:val="24"/>
          <w:lang w:val="en-GB"/>
        </w:rPr>
      </w:pPr>
    </w:p>
    <w:p w14:paraId="1FCC6090" w14:textId="77777777" w:rsidR="004E76D1" w:rsidRPr="00CD58CE" w:rsidRDefault="004E76D1" w:rsidP="009A58F0">
      <w:pPr>
        <w:jc w:val="both"/>
        <w:rPr>
          <w:rFonts w:ascii="Arial" w:hAnsi="Arial" w:cs="Arial"/>
          <w:sz w:val="24"/>
          <w:szCs w:val="24"/>
          <w:lang w:val="en-GB"/>
        </w:rPr>
      </w:pPr>
    </w:p>
    <w:p w14:paraId="685EF3D8" w14:textId="77777777" w:rsidR="00DC2A70" w:rsidRPr="00DC2A70" w:rsidRDefault="00DC2A70" w:rsidP="00DC2A70">
      <w:pPr>
        <w:rPr>
          <w:lang w:val="en-GB"/>
        </w:rPr>
      </w:pPr>
    </w:p>
    <w:p w14:paraId="3576354B" w14:textId="3B31ED46" w:rsidR="008C5F23" w:rsidRPr="00CD58CE" w:rsidRDefault="0038354F" w:rsidP="009A58F0">
      <w:pPr>
        <w:pStyle w:val="Heading1"/>
        <w:jc w:val="both"/>
        <w:rPr>
          <w:rFonts w:ascii="Arial" w:hAnsi="Arial" w:cs="Arial"/>
          <w:b/>
          <w:bCs/>
          <w:color w:val="000000" w:themeColor="text1"/>
          <w:sz w:val="24"/>
          <w:szCs w:val="24"/>
          <w:lang w:val="en-GB"/>
        </w:rPr>
      </w:pPr>
      <w:r w:rsidRPr="00CD58CE">
        <w:rPr>
          <w:rFonts w:ascii="Arial" w:hAnsi="Arial" w:cs="Arial"/>
          <w:b/>
          <w:bCs/>
          <w:color w:val="000000" w:themeColor="text1"/>
          <w:sz w:val="24"/>
          <w:szCs w:val="24"/>
          <w:lang w:val="en-GB"/>
        </w:rPr>
        <w:lastRenderedPageBreak/>
        <w:t>Reference</w:t>
      </w:r>
      <w:r w:rsidR="008F736B" w:rsidRPr="00CD58CE">
        <w:rPr>
          <w:rFonts w:ascii="Arial" w:hAnsi="Arial" w:cs="Arial"/>
          <w:b/>
          <w:bCs/>
          <w:color w:val="000000" w:themeColor="text1"/>
          <w:sz w:val="24"/>
          <w:szCs w:val="24"/>
          <w:lang w:val="en-GB"/>
        </w:rPr>
        <w:t>s</w:t>
      </w:r>
    </w:p>
    <w:p w14:paraId="56C32807" w14:textId="77777777" w:rsidR="008F736B" w:rsidRPr="00CD58CE" w:rsidRDefault="008F736B" w:rsidP="009A58F0">
      <w:pPr>
        <w:jc w:val="both"/>
        <w:rPr>
          <w:rFonts w:ascii="Arial" w:hAnsi="Arial" w:cs="Arial"/>
          <w:sz w:val="24"/>
          <w:szCs w:val="24"/>
          <w:lang w:val="en-GB"/>
        </w:rPr>
      </w:pPr>
    </w:p>
    <w:p w14:paraId="1181BAFB"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Almond, P., Horton, R., &amp; James, G. (2022). Mental health and wellbeing at work in the UK: current legal approaches. Legal Studies, pp. 1–17. doi: https://doi.org/10.1017/lst.2022.16.</w:t>
      </w:r>
    </w:p>
    <w:p w14:paraId="38EEEB5A"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Alsabbah, M., Khadour, L., &amp; Abduh, M. (2020). Employee retention and engagement: A review of literature. International Journal of Scientific &amp; Engineering Research, 11(2), 1287-1291.</w:t>
      </w:r>
    </w:p>
    <w:p w14:paraId="40C7B011"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Anon. (2022). The 10 trends that are shaping the hospitality industry in 2022 – EliteX. [online] Available at: https://theelitex.com/the-10-trends-that-are-shaping-the-hospitality-industry-in-2022/ [Accessed 8 Oct. 2023].</w:t>
      </w:r>
    </w:p>
    <w:p w14:paraId="47BA43E2"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 xml:space="preserve">Boxall, P., &amp; </w:t>
      </w:r>
      <w:proofErr w:type="spellStart"/>
      <w:r w:rsidRPr="000D61F9">
        <w:rPr>
          <w:rFonts w:ascii="Arial" w:hAnsi="Arial" w:cs="Arial"/>
          <w:sz w:val="24"/>
          <w:szCs w:val="24"/>
          <w:lang w:val="en-GB"/>
        </w:rPr>
        <w:t>Macky</w:t>
      </w:r>
      <w:proofErr w:type="spellEnd"/>
      <w:r w:rsidRPr="000D61F9">
        <w:rPr>
          <w:rFonts w:ascii="Arial" w:hAnsi="Arial" w:cs="Arial"/>
          <w:sz w:val="24"/>
          <w:szCs w:val="24"/>
          <w:lang w:val="en-GB"/>
        </w:rPr>
        <w:t>, K. (2009). Research and theory on high-performance work systems: progressing the high-involvement stream. Human Resource Management Journal, 19(1), 3-23. [Accessed 6 Oct. 2023].</w:t>
      </w:r>
    </w:p>
    <w:p w14:paraId="4FCB086C" w14:textId="77777777" w:rsidR="003D632F" w:rsidRPr="00D82C51" w:rsidRDefault="003D632F" w:rsidP="00D82C51">
      <w:pPr>
        <w:jc w:val="both"/>
        <w:rPr>
          <w:rFonts w:ascii="Arial" w:hAnsi="Arial" w:cs="Arial"/>
          <w:sz w:val="24"/>
          <w:szCs w:val="24"/>
          <w:lang w:val="en-GB"/>
        </w:rPr>
      </w:pPr>
      <w:r w:rsidRPr="00D82C51">
        <w:rPr>
          <w:rFonts w:ascii="Arial" w:hAnsi="Arial" w:cs="Arial"/>
          <w:sz w:val="24"/>
          <w:szCs w:val="24"/>
          <w:lang w:val="en-GB"/>
        </w:rPr>
        <w:t>Chan, S. (2019). The Effects of Work-Life Balance on Employee Retention: A Study on Generation Y. Management Science Letters, 9(10), 1565-1574.</w:t>
      </w:r>
    </w:p>
    <w:p w14:paraId="3B0EF079"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Covid-19 and modern slavery journal of modern slavery. (2021). Available at: https://slavefreetoday.org/journal_of_modern_slavery/v6i2_COVID19andMODERNSLAVERY.pdf.</w:t>
      </w:r>
    </w:p>
    <w:p w14:paraId="472C389C" w14:textId="77777777" w:rsidR="003D632F" w:rsidRDefault="003D632F" w:rsidP="000D61F9">
      <w:pPr>
        <w:jc w:val="both"/>
        <w:rPr>
          <w:rFonts w:ascii="Arial" w:hAnsi="Arial" w:cs="Arial"/>
          <w:sz w:val="24"/>
          <w:szCs w:val="24"/>
          <w:lang w:val="en-GB"/>
        </w:rPr>
      </w:pPr>
      <w:r w:rsidRPr="000D61F9">
        <w:rPr>
          <w:rFonts w:ascii="Arial" w:hAnsi="Arial" w:cs="Arial"/>
          <w:sz w:val="24"/>
          <w:szCs w:val="24"/>
          <w:lang w:val="en-GB"/>
        </w:rPr>
        <w:t>Gubler, T., Larkin, I., &amp; Pierce, L. (2018). Doing well by making well: The impact of corporate wellness programs on employee productivity. Management Science, 66(11), 4962-4981.</w:t>
      </w:r>
    </w:p>
    <w:p w14:paraId="06848CAC" w14:textId="77777777" w:rsidR="003D632F" w:rsidRPr="000D61F9" w:rsidRDefault="003D632F" w:rsidP="000D61F9">
      <w:pPr>
        <w:jc w:val="both"/>
        <w:rPr>
          <w:rFonts w:ascii="Arial" w:hAnsi="Arial" w:cs="Arial"/>
          <w:sz w:val="24"/>
          <w:szCs w:val="24"/>
          <w:lang w:val="en-GB"/>
        </w:rPr>
      </w:pPr>
      <w:r w:rsidRPr="008F30CD">
        <w:rPr>
          <w:rFonts w:ascii="Arial" w:hAnsi="Arial" w:cs="Arial"/>
          <w:sz w:val="24"/>
          <w:szCs w:val="24"/>
          <w:lang w:val="en-GB"/>
        </w:rPr>
        <w:t>Guest, D. (2004). Flexible employment contracts, the psychological contract, and employee outcomes: An analysis and review of the evidence. International Journal of Management Reviews, 5/6(1), 1-19.</w:t>
      </w:r>
    </w:p>
    <w:p w14:paraId="2615475A"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Hann, L. (2021). 7 Strategies for Effectively Managing Organizational Change. [online] Beehive. Available at: https://beehivepr.biz/7-strategies-for-effectively-managing-organizational-change/.</w:t>
      </w:r>
    </w:p>
    <w:p w14:paraId="195F0943"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hbsp.harvard.edu. (2017). Harvard Business Publishing Education. [online] Available at: https://hbsp.harvard.edu/product/R1706D-PDF-ENG.</w:t>
      </w:r>
    </w:p>
    <w:p w14:paraId="6DF30057"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Howe, N., &amp; Strauss, W. (2000). Millennials rising: The next great generation. Vintage.</w:t>
      </w:r>
    </w:p>
    <w:p w14:paraId="1E6101DE"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Inc, G. (2022). Quiet Firing: What It Is and How to Stop Doing It. [online] Gallup.com. Available at: https://www.gallup.com/workplace/404996/quiet-firing-stop-doing.aspx.</w:t>
      </w:r>
    </w:p>
    <w:p w14:paraId="0A9169A8"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Jenkins, D. (2018). The influence of work-life balance and job satisfaction on employee retention. Dissertation Abstracts International Section A: Humanities and Social Sciences, 78(8-A(E)).</w:t>
      </w:r>
    </w:p>
    <w:p w14:paraId="078F1ADE"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lastRenderedPageBreak/>
        <w:t>Klein, M. (2022). The importance of open communication in the workplace. [online] Blink. Available at: https://joinblink.com/intelligence/open-communication-importance/.</w:t>
      </w:r>
    </w:p>
    <w:p w14:paraId="1806590B"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LoyaltyLobby. (2021). Hilton’s SubmitMyCatch. [online] Available at: https://loyaltylobby.com/2021/08/17/hiltons-submitmycatch/.</w:t>
      </w:r>
    </w:p>
    <w:p w14:paraId="4692BCC8" w14:textId="77777777" w:rsidR="003D632F" w:rsidRPr="00D82C51" w:rsidRDefault="003D632F" w:rsidP="00D82C51">
      <w:pPr>
        <w:jc w:val="both"/>
        <w:rPr>
          <w:rFonts w:ascii="Arial" w:hAnsi="Arial" w:cs="Arial"/>
          <w:sz w:val="24"/>
          <w:szCs w:val="24"/>
          <w:lang w:val="en-GB"/>
        </w:rPr>
      </w:pPr>
      <w:r w:rsidRPr="00D82C51">
        <w:rPr>
          <w:rFonts w:ascii="Arial" w:hAnsi="Arial" w:cs="Arial"/>
          <w:sz w:val="24"/>
          <w:szCs w:val="24"/>
          <w:lang w:val="en-GB"/>
        </w:rPr>
        <w:t>Lyons, S. T., Ng, E. S., &amp; Schweitzer, L. (2015). Generational differences in work values: A review of theory and evidence. International Journal of Management Reviews, 17(4), 413-442.</w:t>
      </w:r>
    </w:p>
    <w:p w14:paraId="066130EE"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Lyons, S. T., Schweitzer, L., &amp; Ng, E. S. (2015). How have careers changed? An investigation of changing career patterns across four generations. Journal of Managerial Psychology, 30(1), 8-21.</w:t>
      </w:r>
    </w:p>
    <w:p w14:paraId="599EDFFE"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Marriott (2023). Marriott Voyage: Leadership Development Program | Marriott University Programs - Marriott Voyage. [online] Marriott.com. Available at: https://university.marriott.com/post-graduates/.</w:t>
      </w:r>
    </w:p>
    <w:p w14:paraId="3F0402B1"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Michael Daniel George HR. (2022). (MOD 1) CIPD Level 5. [online] Available at: https://www.michaelhr.com/mod-1-cipd-level-5/ [Accessed 6 Oct. 2023].</w:t>
      </w:r>
    </w:p>
    <w:p w14:paraId="17E81DF7" w14:textId="77777777" w:rsidR="003D632F" w:rsidRPr="00D82C51" w:rsidRDefault="003D632F" w:rsidP="00D82C51">
      <w:pPr>
        <w:jc w:val="both"/>
        <w:rPr>
          <w:rFonts w:ascii="Arial" w:hAnsi="Arial" w:cs="Arial"/>
          <w:sz w:val="24"/>
          <w:szCs w:val="24"/>
          <w:lang w:val="en-GB"/>
        </w:rPr>
      </w:pPr>
      <w:r w:rsidRPr="00D82C51">
        <w:rPr>
          <w:rFonts w:ascii="Arial" w:hAnsi="Arial" w:cs="Arial"/>
          <w:sz w:val="24"/>
          <w:szCs w:val="24"/>
          <w:lang w:val="en-GB"/>
        </w:rPr>
        <w:t xml:space="preserve">Parry, E., &amp; </w:t>
      </w:r>
      <w:proofErr w:type="spellStart"/>
      <w:r w:rsidRPr="00D82C51">
        <w:rPr>
          <w:rFonts w:ascii="Arial" w:hAnsi="Arial" w:cs="Arial"/>
          <w:sz w:val="24"/>
          <w:szCs w:val="24"/>
          <w:lang w:val="en-GB"/>
        </w:rPr>
        <w:t>Urwin</w:t>
      </w:r>
      <w:proofErr w:type="spellEnd"/>
      <w:r w:rsidRPr="00D82C51">
        <w:rPr>
          <w:rFonts w:ascii="Arial" w:hAnsi="Arial" w:cs="Arial"/>
          <w:sz w:val="24"/>
          <w:szCs w:val="24"/>
          <w:lang w:val="en-GB"/>
        </w:rPr>
        <w:t>, P. (2011). Generational differences in work values: A review of theory and evidence. International Journal of Management Reviews, 13(1), 79-96.</w:t>
      </w:r>
    </w:p>
    <w:p w14:paraId="3ED24228"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Prof, A., Azizi, H. and Yahaya (2008). Abraham Maslow: The Needs Hierarchy. [online] Available at: https://core.ac.uk/download/pdf/11782195.pdf.</w:t>
      </w:r>
    </w:p>
    <w:p w14:paraId="2340BF91"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Rowley, H. (2014). Employee Ownership: Evaluating the Factors Contributing to Successful Employee Engagement. [online] Available at: https://core.ac.uk/download/pdf/30268254.pdf.</w:t>
      </w:r>
    </w:p>
    <w:p w14:paraId="0601D8A6" w14:textId="77777777" w:rsidR="003D632F" w:rsidRPr="000D61F9" w:rsidRDefault="003D632F" w:rsidP="000D61F9">
      <w:pPr>
        <w:jc w:val="both"/>
        <w:rPr>
          <w:rFonts w:ascii="Arial" w:hAnsi="Arial" w:cs="Arial"/>
          <w:sz w:val="24"/>
          <w:szCs w:val="24"/>
          <w:lang w:val="en-GB"/>
        </w:rPr>
      </w:pPr>
      <w:r w:rsidRPr="000D61F9">
        <w:rPr>
          <w:rFonts w:ascii="Arial" w:hAnsi="Arial" w:cs="Arial"/>
          <w:sz w:val="24"/>
          <w:szCs w:val="24"/>
          <w:lang w:val="en-GB"/>
        </w:rPr>
        <w:t>TEDx Talks (2011). TEDx Perth - Jason Clarke - Embracing Change. [online] Available at: https://www.youtube.com/watch?app=desktop&amp;v=vPhM8lxibSU.</w:t>
      </w:r>
    </w:p>
    <w:p w14:paraId="0FE109E9" w14:textId="77777777" w:rsidR="003D632F" w:rsidRPr="00DB5E21" w:rsidRDefault="003D632F" w:rsidP="00DB5E21">
      <w:pPr>
        <w:jc w:val="both"/>
        <w:rPr>
          <w:rFonts w:ascii="Arial" w:hAnsi="Arial" w:cs="Arial"/>
          <w:sz w:val="24"/>
          <w:szCs w:val="24"/>
          <w:lang w:val="en-GB"/>
        </w:rPr>
      </w:pPr>
      <w:r w:rsidRPr="00DB5E21">
        <w:rPr>
          <w:rFonts w:ascii="Arial" w:hAnsi="Arial" w:cs="Arial"/>
          <w:sz w:val="24"/>
          <w:szCs w:val="24"/>
          <w:lang w:val="en-GB"/>
        </w:rPr>
        <w:t>Torrington, D., Hall, L., &amp; Taylor, S. (2014). Human Resource Management. Pearson.</w:t>
      </w:r>
    </w:p>
    <w:p w14:paraId="4745EC90" w14:textId="77777777" w:rsidR="003D632F" w:rsidRPr="00D82C51" w:rsidRDefault="003D632F" w:rsidP="00D82C51">
      <w:pPr>
        <w:jc w:val="both"/>
        <w:rPr>
          <w:rFonts w:ascii="Arial" w:hAnsi="Arial" w:cs="Arial"/>
          <w:sz w:val="24"/>
          <w:szCs w:val="24"/>
          <w:lang w:val="en-GB"/>
        </w:rPr>
      </w:pPr>
      <w:r w:rsidRPr="00D82C51">
        <w:rPr>
          <w:rFonts w:ascii="Arial" w:hAnsi="Arial" w:cs="Arial"/>
          <w:sz w:val="24"/>
          <w:szCs w:val="24"/>
          <w:lang w:val="en-GB"/>
        </w:rPr>
        <w:t>Twenge, J. M., Campbell, S. M., Hoffman, B. J., &amp; Lance, C. E. (2010). Generational differences in work values: Leisure and extrinsic values increasing, social and intrinsic values decreasing. Journal of Management, 36(5), 1117-1142.</w:t>
      </w:r>
    </w:p>
    <w:p w14:paraId="60911DA3" w14:textId="77777777" w:rsidR="003D632F" w:rsidRPr="00CD58CE" w:rsidRDefault="003D632F" w:rsidP="00DB5E21">
      <w:pPr>
        <w:jc w:val="both"/>
        <w:rPr>
          <w:rFonts w:ascii="Arial" w:hAnsi="Arial" w:cs="Arial"/>
          <w:sz w:val="24"/>
          <w:szCs w:val="24"/>
          <w:lang w:val="en-GB"/>
        </w:rPr>
      </w:pPr>
      <w:r w:rsidRPr="00DB5E21">
        <w:rPr>
          <w:rFonts w:ascii="Arial" w:hAnsi="Arial" w:cs="Arial"/>
          <w:sz w:val="24"/>
          <w:szCs w:val="24"/>
          <w:lang w:val="en-GB"/>
        </w:rPr>
        <w:t>Wang, X., &amp; Shaffer, M. A. (2002). The misuses of power: Managerial responses to perceived subordinate dependence. Academy of Management Journal, 45(6), 1180-1193.</w:t>
      </w:r>
    </w:p>
    <w:p w14:paraId="3A2AE170" w14:textId="77777777" w:rsidR="003D632F" w:rsidRPr="00DB5E21" w:rsidRDefault="003D632F" w:rsidP="00D82C51">
      <w:pPr>
        <w:jc w:val="both"/>
        <w:rPr>
          <w:rFonts w:ascii="Arial" w:hAnsi="Arial" w:cs="Arial"/>
          <w:sz w:val="24"/>
          <w:szCs w:val="24"/>
          <w:lang w:val="en-GB"/>
        </w:rPr>
      </w:pPr>
      <w:proofErr w:type="spellStart"/>
      <w:r w:rsidRPr="00D82C51">
        <w:rPr>
          <w:rFonts w:ascii="Arial" w:hAnsi="Arial" w:cs="Arial"/>
          <w:sz w:val="24"/>
          <w:szCs w:val="24"/>
          <w:lang w:val="en-GB"/>
        </w:rPr>
        <w:t>Woermann</w:t>
      </w:r>
      <w:proofErr w:type="spellEnd"/>
      <w:r w:rsidRPr="00D82C51">
        <w:rPr>
          <w:rFonts w:ascii="Arial" w:hAnsi="Arial" w:cs="Arial"/>
          <w:sz w:val="24"/>
          <w:szCs w:val="24"/>
          <w:lang w:val="en-GB"/>
        </w:rPr>
        <w:t xml:space="preserve">, M., </w:t>
      </w:r>
      <w:proofErr w:type="spellStart"/>
      <w:r w:rsidRPr="00D82C51">
        <w:rPr>
          <w:rFonts w:ascii="Arial" w:hAnsi="Arial" w:cs="Arial"/>
          <w:sz w:val="24"/>
          <w:szCs w:val="24"/>
          <w:lang w:val="en-GB"/>
        </w:rPr>
        <w:t>Magg</w:t>
      </w:r>
      <w:proofErr w:type="spellEnd"/>
      <w:r w:rsidRPr="00D82C51">
        <w:rPr>
          <w:rFonts w:ascii="Arial" w:hAnsi="Arial" w:cs="Arial"/>
          <w:sz w:val="24"/>
          <w:szCs w:val="24"/>
          <w:lang w:val="en-GB"/>
        </w:rPr>
        <w:t>, D., &amp; Jonas, K. (2018). How generational stereotypes hold up—Or not: A meta-analysis of empirical studies. Work, Aging and Retirement, 4(3), 230-247.</w:t>
      </w:r>
    </w:p>
    <w:sectPr w:rsidR="003D632F" w:rsidRPr="00DB5E2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46C"/>
    <w:rsid w:val="00001E79"/>
    <w:rsid w:val="00002C63"/>
    <w:rsid w:val="00011B7B"/>
    <w:rsid w:val="00035134"/>
    <w:rsid w:val="000D61F9"/>
    <w:rsid w:val="001140AB"/>
    <w:rsid w:val="00115DA1"/>
    <w:rsid w:val="00171955"/>
    <w:rsid w:val="001A26C2"/>
    <w:rsid w:val="001F2929"/>
    <w:rsid w:val="001F3CA8"/>
    <w:rsid w:val="001F595A"/>
    <w:rsid w:val="00203238"/>
    <w:rsid w:val="00212998"/>
    <w:rsid w:val="002404C5"/>
    <w:rsid w:val="002540A3"/>
    <w:rsid w:val="003629C8"/>
    <w:rsid w:val="0038354F"/>
    <w:rsid w:val="003A4534"/>
    <w:rsid w:val="003B06AE"/>
    <w:rsid w:val="003D632F"/>
    <w:rsid w:val="004061D2"/>
    <w:rsid w:val="00431369"/>
    <w:rsid w:val="0043383C"/>
    <w:rsid w:val="00475276"/>
    <w:rsid w:val="0047593E"/>
    <w:rsid w:val="00481F65"/>
    <w:rsid w:val="004C1248"/>
    <w:rsid w:val="004E0672"/>
    <w:rsid w:val="004E76D1"/>
    <w:rsid w:val="004F1249"/>
    <w:rsid w:val="004F5A76"/>
    <w:rsid w:val="004F7FCA"/>
    <w:rsid w:val="00522E18"/>
    <w:rsid w:val="0057243E"/>
    <w:rsid w:val="00576B35"/>
    <w:rsid w:val="005816A4"/>
    <w:rsid w:val="00592471"/>
    <w:rsid w:val="005F4CCE"/>
    <w:rsid w:val="006103AB"/>
    <w:rsid w:val="0062249E"/>
    <w:rsid w:val="0062328E"/>
    <w:rsid w:val="006B429A"/>
    <w:rsid w:val="006B745B"/>
    <w:rsid w:val="006C45A6"/>
    <w:rsid w:val="006D08EC"/>
    <w:rsid w:val="006E608C"/>
    <w:rsid w:val="00706E19"/>
    <w:rsid w:val="0071784A"/>
    <w:rsid w:val="007D78C0"/>
    <w:rsid w:val="007E059D"/>
    <w:rsid w:val="007E0DF5"/>
    <w:rsid w:val="00812C23"/>
    <w:rsid w:val="00833B82"/>
    <w:rsid w:val="00867988"/>
    <w:rsid w:val="008B0974"/>
    <w:rsid w:val="008C1A99"/>
    <w:rsid w:val="008C5F23"/>
    <w:rsid w:val="008D59CD"/>
    <w:rsid w:val="008E647E"/>
    <w:rsid w:val="008F30CD"/>
    <w:rsid w:val="008F736B"/>
    <w:rsid w:val="0090427E"/>
    <w:rsid w:val="009078ED"/>
    <w:rsid w:val="00946340"/>
    <w:rsid w:val="00955B33"/>
    <w:rsid w:val="009573E5"/>
    <w:rsid w:val="009729DA"/>
    <w:rsid w:val="00981D5B"/>
    <w:rsid w:val="00994423"/>
    <w:rsid w:val="009A58F0"/>
    <w:rsid w:val="009B6FD1"/>
    <w:rsid w:val="00A147BF"/>
    <w:rsid w:val="00A30071"/>
    <w:rsid w:val="00A378BF"/>
    <w:rsid w:val="00A54485"/>
    <w:rsid w:val="00A55BCC"/>
    <w:rsid w:val="00A74C0A"/>
    <w:rsid w:val="00A933AF"/>
    <w:rsid w:val="00A9418F"/>
    <w:rsid w:val="00B21042"/>
    <w:rsid w:val="00B609DD"/>
    <w:rsid w:val="00BC20F1"/>
    <w:rsid w:val="00BE3462"/>
    <w:rsid w:val="00C16AB0"/>
    <w:rsid w:val="00C16EAB"/>
    <w:rsid w:val="00C64C9C"/>
    <w:rsid w:val="00C84623"/>
    <w:rsid w:val="00C950BD"/>
    <w:rsid w:val="00C9764E"/>
    <w:rsid w:val="00CA1B3C"/>
    <w:rsid w:val="00CA71F0"/>
    <w:rsid w:val="00CA7D97"/>
    <w:rsid w:val="00CC1D00"/>
    <w:rsid w:val="00CD58CE"/>
    <w:rsid w:val="00CE72D4"/>
    <w:rsid w:val="00CF1BBD"/>
    <w:rsid w:val="00D3142A"/>
    <w:rsid w:val="00D632A2"/>
    <w:rsid w:val="00D82C51"/>
    <w:rsid w:val="00DB5E21"/>
    <w:rsid w:val="00DC2A70"/>
    <w:rsid w:val="00DE2A14"/>
    <w:rsid w:val="00E11174"/>
    <w:rsid w:val="00E30C4B"/>
    <w:rsid w:val="00E32CD7"/>
    <w:rsid w:val="00E411C6"/>
    <w:rsid w:val="00E527B9"/>
    <w:rsid w:val="00E92091"/>
    <w:rsid w:val="00EA3D62"/>
    <w:rsid w:val="00EB6FEA"/>
    <w:rsid w:val="00ED40F8"/>
    <w:rsid w:val="00EF188C"/>
    <w:rsid w:val="00EF7FF9"/>
    <w:rsid w:val="00F21F53"/>
    <w:rsid w:val="00F63304"/>
    <w:rsid w:val="00FA5387"/>
    <w:rsid w:val="00FB246C"/>
    <w:rsid w:val="00FF02C3"/>
    <w:rsid w:val="00FF1D46"/>
    <w:rsid w:val="00FF4F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2DF81"/>
  <w15:chartTrackingRefBased/>
  <w15:docId w15:val="{C930D292-6415-4476-B09C-479CA34F62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B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BCC"/>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E3462"/>
    <w:rPr>
      <w:color w:val="0563C1" w:themeColor="hyperlink"/>
      <w:u w:val="single"/>
    </w:rPr>
  </w:style>
  <w:style w:type="character" w:customStyle="1" w:styleId="UnresolvedMention1">
    <w:name w:val="Unresolved Mention1"/>
    <w:basedOn w:val="DefaultParagraphFont"/>
    <w:uiPriority w:val="99"/>
    <w:semiHidden/>
    <w:unhideWhenUsed/>
    <w:rsid w:val="00BE3462"/>
    <w:rPr>
      <w:color w:val="605E5C"/>
      <w:shd w:val="clear" w:color="auto" w:fill="E1DFDD"/>
    </w:rPr>
  </w:style>
  <w:style w:type="character" w:styleId="UnresolvedMention">
    <w:name w:val="Unresolved Mention"/>
    <w:basedOn w:val="DefaultParagraphFont"/>
    <w:uiPriority w:val="99"/>
    <w:semiHidden/>
    <w:unhideWhenUsed/>
    <w:rsid w:val="00DB5E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834634">
      <w:bodyDiv w:val="1"/>
      <w:marLeft w:val="0"/>
      <w:marRight w:val="0"/>
      <w:marTop w:val="0"/>
      <w:marBottom w:val="0"/>
      <w:divBdr>
        <w:top w:val="none" w:sz="0" w:space="0" w:color="auto"/>
        <w:left w:val="none" w:sz="0" w:space="0" w:color="auto"/>
        <w:bottom w:val="none" w:sz="0" w:space="0" w:color="auto"/>
        <w:right w:val="none" w:sz="0" w:space="0" w:color="auto"/>
      </w:divBdr>
    </w:div>
    <w:div w:id="484904851">
      <w:bodyDiv w:val="1"/>
      <w:marLeft w:val="0"/>
      <w:marRight w:val="0"/>
      <w:marTop w:val="0"/>
      <w:marBottom w:val="0"/>
      <w:divBdr>
        <w:top w:val="none" w:sz="0" w:space="0" w:color="auto"/>
        <w:left w:val="none" w:sz="0" w:space="0" w:color="auto"/>
        <w:bottom w:val="none" w:sz="0" w:space="0" w:color="auto"/>
        <w:right w:val="none" w:sz="0" w:space="0" w:color="auto"/>
      </w:divBdr>
    </w:div>
    <w:div w:id="522791436">
      <w:bodyDiv w:val="1"/>
      <w:marLeft w:val="0"/>
      <w:marRight w:val="0"/>
      <w:marTop w:val="0"/>
      <w:marBottom w:val="0"/>
      <w:divBdr>
        <w:top w:val="none" w:sz="0" w:space="0" w:color="auto"/>
        <w:left w:val="none" w:sz="0" w:space="0" w:color="auto"/>
        <w:bottom w:val="none" w:sz="0" w:space="0" w:color="auto"/>
        <w:right w:val="none" w:sz="0" w:space="0" w:color="auto"/>
      </w:divBdr>
    </w:div>
    <w:div w:id="812285315">
      <w:bodyDiv w:val="1"/>
      <w:marLeft w:val="0"/>
      <w:marRight w:val="0"/>
      <w:marTop w:val="0"/>
      <w:marBottom w:val="0"/>
      <w:divBdr>
        <w:top w:val="none" w:sz="0" w:space="0" w:color="auto"/>
        <w:left w:val="none" w:sz="0" w:space="0" w:color="auto"/>
        <w:bottom w:val="none" w:sz="0" w:space="0" w:color="auto"/>
        <w:right w:val="none" w:sz="0" w:space="0" w:color="auto"/>
      </w:divBdr>
    </w:div>
    <w:div w:id="915939422">
      <w:bodyDiv w:val="1"/>
      <w:marLeft w:val="0"/>
      <w:marRight w:val="0"/>
      <w:marTop w:val="0"/>
      <w:marBottom w:val="0"/>
      <w:divBdr>
        <w:top w:val="none" w:sz="0" w:space="0" w:color="auto"/>
        <w:left w:val="none" w:sz="0" w:space="0" w:color="auto"/>
        <w:bottom w:val="none" w:sz="0" w:space="0" w:color="auto"/>
        <w:right w:val="none" w:sz="0" w:space="0" w:color="auto"/>
      </w:divBdr>
    </w:div>
    <w:div w:id="1542933619">
      <w:bodyDiv w:val="1"/>
      <w:marLeft w:val="0"/>
      <w:marRight w:val="0"/>
      <w:marTop w:val="0"/>
      <w:marBottom w:val="0"/>
      <w:divBdr>
        <w:top w:val="none" w:sz="0" w:space="0" w:color="auto"/>
        <w:left w:val="none" w:sz="0" w:space="0" w:color="auto"/>
        <w:bottom w:val="none" w:sz="0" w:space="0" w:color="auto"/>
        <w:right w:val="none" w:sz="0" w:space="0" w:color="auto"/>
      </w:divBdr>
    </w:div>
    <w:div w:id="1787967079">
      <w:bodyDiv w:val="1"/>
      <w:marLeft w:val="0"/>
      <w:marRight w:val="0"/>
      <w:marTop w:val="0"/>
      <w:marBottom w:val="0"/>
      <w:divBdr>
        <w:top w:val="none" w:sz="0" w:space="0" w:color="auto"/>
        <w:left w:val="none" w:sz="0" w:space="0" w:color="auto"/>
        <w:bottom w:val="none" w:sz="0" w:space="0" w:color="auto"/>
        <w:right w:val="none" w:sz="0" w:space="0" w:color="auto"/>
      </w:divBdr>
    </w:div>
    <w:div w:id="2079554561">
      <w:bodyDiv w:val="1"/>
      <w:marLeft w:val="0"/>
      <w:marRight w:val="0"/>
      <w:marTop w:val="0"/>
      <w:marBottom w:val="0"/>
      <w:divBdr>
        <w:top w:val="none" w:sz="0" w:space="0" w:color="auto"/>
        <w:left w:val="none" w:sz="0" w:space="0" w:color="auto"/>
        <w:bottom w:val="none" w:sz="0" w:space="0" w:color="auto"/>
        <w:right w:val="none" w:sz="0" w:space="0" w:color="auto"/>
      </w:divBdr>
    </w:div>
    <w:div w:id="2097969214">
      <w:bodyDiv w:val="1"/>
      <w:marLeft w:val="0"/>
      <w:marRight w:val="0"/>
      <w:marTop w:val="0"/>
      <w:marBottom w:val="0"/>
      <w:divBdr>
        <w:top w:val="none" w:sz="0" w:space="0" w:color="auto"/>
        <w:left w:val="none" w:sz="0" w:space="0" w:color="auto"/>
        <w:bottom w:val="none" w:sz="0" w:space="0" w:color="auto"/>
        <w:right w:val="none" w:sz="0" w:space="0" w:color="auto"/>
      </w:divBdr>
      <w:divsChild>
        <w:div w:id="1981419688">
          <w:marLeft w:val="0"/>
          <w:marRight w:val="0"/>
          <w:marTop w:val="0"/>
          <w:marBottom w:val="0"/>
          <w:divBdr>
            <w:top w:val="none" w:sz="0" w:space="0" w:color="auto"/>
            <w:left w:val="none" w:sz="0" w:space="0" w:color="auto"/>
            <w:bottom w:val="none" w:sz="0" w:space="0" w:color="auto"/>
            <w:right w:val="none" w:sz="0" w:space="0" w:color="auto"/>
          </w:divBdr>
          <w:divsChild>
            <w:div w:id="1449086644">
              <w:marLeft w:val="0"/>
              <w:marRight w:val="0"/>
              <w:marTop w:val="0"/>
              <w:marBottom w:val="0"/>
              <w:divBdr>
                <w:top w:val="none" w:sz="0" w:space="0" w:color="auto"/>
                <w:left w:val="none" w:sz="0" w:space="0" w:color="auto"/>
                <w:bottom w:val="none" w:sz="0" w:space="0" w:color="auto"/>
                <w:right w:val="none" w:sz="0" w:space="0" w:color="auto"/>
              </w:divBdr>
            </w:div>
            <w:div w:id="1986855429">
              <w:marLeft w:val="120"/>
              <w:marRight w:val="120"/>
              <w:marTop w:val="120"/>
              <w:marBottom w:val="12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TotalTime>
  <Pages>11</Pages>
  <Words>2745</Words>
  <Characters>18584</Characters>
  <Application>Microsoft Office Word</Application>
  <DocSecurity>0</DocSecurity>
  <Lines>326</Lines>
  <Paragraphs>83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21246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42</cp:revision>
  <dcterms:created xsi:type="dcterms:W3CDTF">2023-10-19T10:32:00Z</dcterms:created>
  <dcterms:modified xsi:type="dcterms:W3CDTF">2023-10-19T11:36:00Z</dcterms:modified>
  <cp:category/>
</cp:coreProperties>
</file>