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1B8B9198">
      <w:bookmarkStart w:name="_GoBack" w:id="0"/>
      <w:bookmarkEnd w:id="0"/>
      <w:r w:rsidR="7B4D6815">
        <w:rPr/>
        <w:t xml:space="preserve">Legal Process assessment 1 </w:t>
      </w:r>
    </w:p>
    <w:p w:rsidR="7B4D6815" w:rsidRDefault="7B4D6815" w14:paraId="27D1F892" w14:textId="446E85A0">
      <w:r w:rsidRPr="7B4D6815" w:rsidR="7B4D6815">
        <w:rPr>
          <w:rFonts w:ascii="Arial" w:hAnsi="Arial" w:eastAsia="Arial" w:cs="Arial"/>
          <w:b w:val="1"/>
          <w:bCs w:val="1"/>
          <w:noProof w:val="0"/>
          <w:color w:val="000000" w:themeColor="text1" w:themeTint="FF" w:themeShade="FF"/>
          <w:sz w:val="24"/>
          <w:szCs w:val="24"/>
          <w:lang w:val="en-US"/>
        </w:rPr>
        <w:t>It is sometimes argued that diversity in the judiciary is of little importance: what matters is that judges are experts and make sound decisions. However, judges have considerable power to make decisions that matter both constitutionally and to the lives of ordinary people.</w:t>
      </w:r>
    </w:p>
    <w:p w:rsidR="7B4D6815" w:rsidRDefault="7B4D6815" w14:paraId="431D0087" w14:textId="014E25CD">
      <w:r w:rsidRPr="7B4D6815" w:rsidR="7B4D6815">
        <w:rPr>
          <w:rFonts w:ascii="Arial" w:hAnsi="Arial" w:eastAsia="Arial" w:cs="Arial"/>
          <w:noProof w:val="0"/>
          <w:color w:val="000000" w:themeColor="text1" w:themeTint="FF" w:themeShade="FF"/>
          <w:sz w:val="24"/>
          <w:szCs w:val="24"/>
          <w:lang w:val="en-US"/>
        </w:rPr>
        <w:t xml:space="preserve"> </w:t>
      </w:r>
    </w:p>
    <w:p w:rsidR="7B4D6815" w:rsidRDefault="7B4D6815" w14:paraId="6EE13CA2" w14:textId="3E98CC01">
      <w:r w:rsidRPr="7B4D6815" w:rsidR="7B4D6815">
        <w:rPr>
          <w:rFonts w:ascii="Arial" w:hAnsi="Arial" w:eastAsia="Arial" w:cs="Arial"/>
          <w:b w:val="1"/>
          <w:bCs w:val="1"/>
          <w:noProof w:val="0"/>
          <w:sz w:val="24"/>
          <w:szCs w:val="24"/>
          <w:lang w:val="en-US"/>
        </w:rPr>
        <w:t>With specific reference to Supreme Court Justices, to what extent do you agree with the stance that diversity is of little importance?</w:t>
      </w:r>
    </w:p>
    <w:p w:rsidR="7B4D6815" w:rsidP="7B4D6815" w:rsidRDefault="7B4D6815" w14:paraId="206909F8" w14:textId="0FF0D0CA">
      <w:pPr>
        <w:pStyle w:val="Normal"/>
      </w:pPr>
    </w:p>
    <w:p w:rsidR="7B4D6815" w:rsidP="7B4D6815" w:rsidRDefault="7B4D6815" w14:paraId="55A8B2E5" w14:textId="3C3D8E5B">
      <w:pPr>
        <w:pStyle w:val="Normal"/>
      </w:pPr>
      <w:r w:rsidR="7B4D6815">
        <w:rPr/>
        <w:t xml:space="preserve"> </w:t>
      </w:r>
    </w:p>
    <w:p w:rsidR="7B4D6815" w:rsidP="7B4D6815" w:rsidRDefault="7B4D6815" w14:paraId="290B0872" w14:textId="0DAD4326">
      <w:pPr>
        <w:pStyle w:val="Normal"/>
        <w:rPr>
          <w:u w:val="none"/>
        </w:rPr>
      </w:pPr>
      <w:r w:rsidR="7B4D6815">
        <w:rPr/>
        <w:t xml:space="preserve"> To begin the supreme court (2022)</w:t>
      </w:r>
      <w:r w:rsidRPr="6C9CE71C">
        <w:rPr>
          <w:rStyle w:val="FootnoteReference"/>
        </w:rPr>
        <w:footnoteReference w:id="16047"/>
      </w:r>
      <w:r w:rsidR="7B4D6815">
        <w:rPr/>
        <w:t xml:space="preserve"> is the final court of appeal within the United Kingdom</w:t>
      </w:r>
      <w:r w:rsidR="7B4D6815">
        <w:rPr/>
        <w:t>. The supreme court was founded within the (</w:t>
      </w:r>
      <w:r w:rsidRPr="6C9CE71C" w:rsidR="7B4D6815">
        <w:rPr>
          <w:i w:val="1"/>
          <w:iCs w:val="1"/>
        </w:rPr>
        <w:t>Constitutional reform act</w:t>
      </w:r>
      <w:r w:rsidR="7B4D6815">
        <w:rPr/>
        <w:t xml:space="preserve"> 2005)</w:t>
      </w:r>
      <w:r w:rsidRPr="7B4D6815">
        <w:rPr>
          <w:rStyle w:val="FootnoteReference"/>
        </w:rPr>
        <w:footnoteReference w:id="24699"/>
      </w:r>
      <w:r w:rsidR="7B4D6815">
        <w:rPr/>
        <w:t xml:space="preserve"> to separate powers more efficiently. It also plays a very crucial role within the UK as the cases that it takes on are difficult ones with no clear law to dictate the result. An example case would be </w:t>
      </w:r>
      <w:r w:rsidR="7B4D6815">
        <w:rPr>
          <w:u w:val="none"/>
        </w:rPr>
        <w:t xml:space="preserve">(</w:t>
      </w:r>
      <w:r w:rsidRPr="6C9CE71C" w:rsidR="7B4D6815">
        <w:rPr>
          <w:i w:val="1"/>
          <w:iCs w:val="1"/>
          <w:u w:val="none"/>
        </w:rPr>
        <w:t>Craig</w:t>
      </w:r>
      <w:r w:rsidRPr="6C9CE71C" w:rsidR="7B4D6815">
        <w:rPr>
          <w:u w:val="none"/>
        </w:rPr>
        <w:t xml:space="preserve"> (AP) (Appellant)</w:t>
      </w:r>
      <w:r w:rsidRPr="6C9CE71C" w:rsidR="7B4D6815">
        <w:rPr>
          <w:i w:val="1"/>
          <w:iCs w:val="1"/>
          <w:u w:val="none"/>
        </w:rPr>
        <w:t xml:space="preserve"> v Her Majesty's Advocate </w:t>
      </w:r>
      <w:r w:rsidRPr="6C9CE71C" w:rsidR="7B4D6815">
        <w:rPr>
          <w:u w:val="none"/>
        </w:rPr>
        <w:t xml:space="preserve">(for the Government of the United States of America) </w:t>
      </w:r>
      <w:r w:rsidRPr="6C9CE71C" w:rsidR="7B4D6815">
        <w:rPr>
          <w:i w:val="1"/>
          <w:iCs w:val="1"/>
          <w:u w:val="none"/>
        </w:rPr>
        <w:t>and another</w:t>
      </w:r>
      <w:r w:rsidRPr="6C9CE71C" w:rsidR="7B4D6815">
        <w:rPr>
          <w:u w:val="none"/>
        </w:rPr>
        <w:t xml:space="preserve"> (Respondents) (Scotland)2022</w:t>
      </w:r>
      <w:r w:rsidRPr="6C9CE71C" w:rsidR="7B4D6815">
        <w:rPr>
          <w:u w:val="none"/>
        </w:rPr>
        <w:t>)</w:t>
      </w:r>
      <w:r w:rsidRPr="6C9CE71C">
        <w:rPr>
          <w:rStyle w:val="FootnoteReference"/>
          <w:u w:val="none"/>
        </w:rPr>
        <w:footnoteReference w:id="8601"/>
      </w:r>
      <w:r w:rsidRPr="6C9CE71C" w:rsidR="7B4D6815">
        <w:rPr>
          <w:u w:val="none"/>
        </w:rPr>
        <w:t>.</w:t>
      </w:r>
      <w:r w:rsidR="7B4D6815">
        <w:rPr>
          <w:u w:val="none"/>
        </w:rPr>
        <w:t xml:space="preserve"> Another aspect of the supreme court is the fact that it only hears appeal cases if a lower court makes a relevant order for it</w:t>
      </w:r>
      <w:r w:rsidR="7B4D6815">
        <w:rPr>
          <w:u w:val="none"/>
        </w:rPr>
        <w:t xml:space="preserve">. It is the final arbitrator between citizens and state whilst also emphasizing independence of law lords and increasing transparency between parliament and cour</w:t>
      </w:r>
      <w:r w:rsidR="7B4D6815">
        <w:rPr>
          <w:u w:val="none"/>
        </w:rPr>
        <w:t xml:space="preserve">t</w:t>
      </w:r>
      <w:r w:rsidR="7B4D6815">
        <w:rPr>
          <w:u w:val="none"/>
        </w:rPr>
        <w:t xml:space="preserve">. </w:t>
      </w:r>
    </w:p>
    <w:p w:rsidR="7B4D6815" w:rsidP="7B4D6815" w:rsidRDefault="7B4D6815" w14:paraId="52D7190E" w14:textId="0D8A8C77">
      <w:pPr>
        <w:pStyle w:val="Normal"/>
        <w:rPr>
          <w:u w:val="none"/>
        </w:rPr>
      </w:pPr>
      <w:r w:rsidRPr="7B4D6815" w:rsidR="7B4D6815">
        <w:rPr>
          <w:u w:val="single"/>
        </w:rPr>
        <w:t xml:space="preserve"> </w:t>
      </w:r>
      <w:r w:rsidRPr="6C9CE71C" w:rsidR="7B4D6815">
        <w:rPr>
          <w:u w:val="none"/>
        </w:rPr>
        <w:t xml:space="preserve">Section 25 of the (</w:t>
      </w:r>
      <w:r w:rsidRPr="6C9CE71C" w:rsidR="7B4D6815">
        <w:rPr>
          <w:i w:val="1"/>
          <w:iCs w:val="1"/>
          <w:u w:val="none"/>
        </w:rPr>
        <w:t xml:space="preserve">Constitutional reform act</w:t>
      </w:r>
      <w:r w:rsidRPr="6C9CE71C" w:rsidR="7B4D6815">
        <w:rPr>
          <w:u w:val="none"/>
        </w:rPr>
        <w:t xml:space="preserve"> 2005</w:t>
      </w:r>
      <w:r w:rsidRPr="7B4D6815" w:rsidR="7B4D6815">
        <w:rPr>
          <w:u w:val="single"/>
        </w:rPr>
        <w:t xml:space="preserve">)</w:t>
      </w:r>
      <w:r w:rsidRPr="7B4D6815">
        <w:rPr>
          <w:rStyle w:val="FootnoteReference"/>
          <w:u w:val="none"/>
        </w:rPr>
        <w:footnoteReference w:id="17497"/>
      </w:r>
      <w:r w:rsidR="7B4D6815">
        <w:rPr>
          <w:u w:val="none"/>
        </w:rPr>
        <w:t xml:space="preserve"> lists out the requirements to be appointed as a member of the supreme court. Due to the nature and importance of the role many of the requirements present an image of a very experienced lawmaker. Requirements such as ‘held a high judicial office for a period of at least 2 years’ and ‘satisfied the judicial-appointment eligibility condition on a 15-year bases</w:t>
      </w:r>
      <w:r w:rsidR="7B4D6815">
        <w:rPr>
          <w:u w:val="none"/>
        </w:rPr>
        <w:t xml:space="preserve">.  </w:t>
      </w:r>
      <w:r w:rsidR="7B4D6815">
        <w:rPr>
          <w:u w:val="none"/>
        </w:rPr>
        <w:t xml:space="preserve">As of the writing of this work out of the current 10 serving Justices there is one white woman and nine white men. Including Lady Rose as a current justice there has only been 4 women throughout the history of the supreme court. All were white which is the same with the male members, this is also from the supreme court (2022)</w:t>
      </w:r>
      <w:r w:rsidRPr="7B4D6815">
        <w:rPr>
          <w:rStyle w:val="FootnoteReference"/>
          <w:u w:val="none"/>
        </w:rPr>
        <w:footnoteReference w:id="30482"/>
      </w:r>
      <w:r w:rsidR="7B4D6815">
        <w:rPr>
          <w:u w:val="none"/>
        </w:rPr>
        <w:t xml:space="preserve"> website. Looking at current data tables taken in 2021 from (GOV.UK, 2022)</w:t>
      </w:r>
      <w:r w:rsidRPr="6C9CE71C">
        <w:rPr>
          <w:rStyle w:val="FootnoteReference"/>
          <w:u w:val="none"/>
        </w:rPr>
        <w:footnoteReference w:id="7260"/>
      </w:r>
      <w:r w:rsidR="7B4D6815">
        <w:rPr>
          <w:u w:val="none"/>
        </w:rPr>
        <w:t xml:space="preserve"> it is clear to see that it is not only the supreme court which is underrepresented by women and minorities. </w:t>
      </w:r>
      <w:r w:rsidR="7B4D6815">
        <w:rPr>
          <w:u w:val="none"/>
        </w:rPr>
        <w:t>Diversity of the judiciary: Legal professions, new appointments, and current post-holders</w:t>
      </w:r>
      <w:r w:rsidR="7B4D6815">
        <w:rPr>
          <w:u w:val="none"/>
        </w:rPr>
        <w:t xml:space="preserve">. Presents that woman only hold 29% of the positions for high courts and ethnic minorities hold 4% of higher court positions. As clearly shown here with clear statistics the judiciary is anything but </w:t>
      </w:r>
      <w:r w:rsidR="7B4D6815">
        <w:rPr>
          <w:u w:val="none"/>
        </w:rPr>
        <w:t xml:space="preserve">diverse if</w:t>
      </w:r>
      <w:r w:rsidR="7B4D6815">
        <w:rPr>
          <w:u w:val="none"/>
        </w:rPr>
        <w:t xml:space="preserve"> all you care about is superficial features and skin tone. </w:t>
      </w:r>
    </w:p>
    <w:p w:rsidR="7B4D6815" w:rsidP="7B4D6815" w:rsidRDefault="7B4D6815" w14:paraId="53534559" w14:textId="529F13C4">
      <w:pPr>
        <w:pStyle w:val="Normal"/>
        <w:rPr>
          <w:u w:val="none"/>
        </w:rPr>
      </w:pPr>
      <w:r w:rsidR="7B4D6815">
        <w:rPr>
          <w:u w:val="none"/>
        </w:rPr>
        <w:t xml:space="preserve">  The first article that will be presented is called </w:t>
      </w:r>
      <w:r w:rsidRPr="6C9CE71C" w:rsidR="7B4D6815">
        <w:rPr>
          <w:u w:val="none"/>
        </w:rPr>
        <w:t>‘</w:t>
      </w:r>
      <w:r w:rsidRPr="6C9CE71C" w:rsidR="7B4D6815">
        <w:rPr>
          <w:u w:val="none"/>
        </w:rPr>
        <w:t>Values diversity in the United Kingdom Supreme Court: abandoning the ‘don't-ask-don't-tell’ policy’ (</w:t>
      </w:r>
      <w:proofErr w:type="spellStart"/>
      <w:r w:rsidRPr="6C9CE71C" w:rsidR="7B4D6815">
        <w:rPr>
          <w:u w:val="none"/>
        </w:rPr>
        <w:t>Malleson</w:t>
      </w:r>
      <w:proofErr w:type="spellEnd"/>
      <w:r w:rsidRPr="6C9CE71C" w:rsidR="7B4D6815">
        <w:rPr>
          <w:u w:val="none"/>
        </w:rPr>
        <w:t>, 2022, p. 3-22</w:t>
      </w:r>
      <w:r w:rsidRPr="7B4D6815" w:rsidR="7B4D6815">
        <w:rPr>
          <w:u w:val="single"/>
        </w:rPr>
        <w:t>)</w:t>
      </w:r>
      <w:r w:rsidRPr="7B4D6815">
        <w:rPr>
          <w:rStyle w:val="FootnoteReference"/>
          <w:u w:val="single"/>
        </w:rPr>
        <w:footnoteReference w:id="4221"/>
      </w:r>
      <w:r w:rsidR="7B4D6815">
        <w:rPr>
          <w:u w:val="none"/>
        </w:rPr>
        <w:t xml:space="preserve">. The main concept presented is interesting, it focuses on diversity in a unique way. The writer </w:t>
      </w:r>
      <w:r w:rsidR="7B4D6815">
        <w:rPr>
          <w:u w:val="none"/>
        </w:rPr>
        <w:t>identifies</w:t>
      </w:r>
      <w:r w:rsidR="7B4D6815">
        <w:rPr>
          <w:u w:val="none"/>
        </w:rPr>
        <w:t xml:space="preserve"> the lack of diversity not only in the supreme court but the judiciary but believes that just by appointing more women and ethnic minorities </w:t>
      </w:r>
      <w:r w:rsidR="7B4D6815">
        <w:rPr>
          <w:u w:val="none"/>
        </w:rPr>
        <w:t>will not</w:t>
      </w:r>
      <w:r w:rsidR="7B4D6815">
        <w:rPr>
          <w:u w:val="none"/>
        </w:rPr>
        <w:t xml:space="preserve"> address the core problem. Instead, the focus should be cognitive diversity and value diversity. Due to the nature of the supreme court most cases have no clear legal rule behind them, difficult cases of principle will arise for the justices to deal with. Justice will often need to draw upon their own personal values, explicitly to decide between legally plausible competency arguments put to them. An interesting parallel was made within the article between feminist scholars and the judges who support the courts promoting further gender equality through law grappling with how to differentiate ‘good’ and ‘bad’ bias. Lady Hale differentiated between the two by </w:t>
      </w:r>
      <w:r w:rsidR="7B4D6815">
        <w:rPr>
          <w:u w:val="none"/>
        </w:rPr>
        <w:t>stating</w:t>
      </w:r>
      <w:r w:rsidR="7B4D6815">
        <w:rPr>
          <w:u w:val="none"/>
        </w:rPr>
        <w:t xml:space="preserve"> that a point of view was an acceptable bias </w:t>
      </w:r>
      <w:r w:rsidR="7B4D6815">
        <w:rPr>
          <w:u w:val="none"/>
        </w:rPr>
        <w:t>whereas</w:t>
      </w:r>
      <w:r w:rsidR="7B4D6815">
        <w:rPr>
          <w:u w:val="none"/>
        </w:rPr>
        <w:t xml:space="preserve"> an agenda was a bad one (Hale, 2017)</w:t>
      </w:r>
      <w:r w:rsidRPr="7B4D6815">
        <w:rPr>
          <w:rStyle w:val="FootnoteReference"/>
          <w:u w:val="none"/>
        </w:rPr>
        <w:footnoteReference w:id="22914"/>
      </w:r>
      <w:r w:rsidR="7B4D6815">
        <w:rPr>
          <w:u w:val="none"/>
        </w:rPr>
        <w:t xml:space="preserve">. An agenda is endorsed or promoted by specific groups and when trying to apply this to complex issues that could be found with the supreme court would be incredibly difficult. </w:t>
      </w:r>
    </w:p>
    <w:p w:rsidR="7B4D6815" w:rsidP="6E316F47" w:rsidRDefault="7B4D6815" w14:paraId="7549B1A0" w14:textId="6E397D44">
      <w:pPr>
        <w:pStyle w:val="Normal"/>
        <w:rPr>
          <w:u w:val="none"/>
        </w:rPr>
      </w:pPr>
      <w:r w:rsidR="7B4D6815">
        <w:rPr>
          <w:u w:val="none"/>
        </w:rPr>
        <w:t xml:space="preserve"> Following on with the article another concept that is brought up is rather than </w:t>
      </w:r>
      <w:r w:rsidR="7B4D6815">
        <w:rPr>
          <w:u w:val="none"/>
        </w:rPr>
        <w:t>determining</w:t>
      </w:r>
      <w:r w:rsidR="7B4D6815">
        <w:rPr>
          <w:u w:val="none"/>
        </w:rPr>
        <w:t xml:space="preserve"> bias look at how a judge would respond to facts over ideology. Again, like bias for a case with no clear lawful solution, it would be difficult to find meaningful distinctions. Which is why it would be prudent to see if the judge is willing to change their views after dependent on arguments and evidence. ‘This openness to argumentation, which is the hallmark of a fair and legitimate judicial process, may be more likely to arise where a judge has shown self-awareness of their “bents and biases” rather than denying that they bring these to deliberate processes</w:t>
      </w:r>
      <w:r w:rsidR="7B4D6815">
        <w:rPr>
          <w:u w:val="none"/>
        </w:rPr>
        <w:t>,’</w:t>
      </w:r>
      <w:r w:rsidR="7B4D6815">
        <w:rPr>
          <w:u w:val="none"/>
        </w:rPr>
        <w:t xml:space="preserve"> this quote is making the claim that If a judge is able to openly explain their own bias it will clear up ambiguities and allow them to engage with cases in more interesting ways.</w:t>
      </w:r>
      <w:r w:rsidR="7B4D6815">
        <w:rPr>
          <w:u w:val="none"/>
        </w:rPr>
        <w:t xml:space="preserve"> Following on from this the article goes on to explain how a framework such as this will provide impartial judges many opportunities to prove themselves by engaging with cases and being able to reach decisions based on arguments rather than preconceived notions and or bias. Which is different to contemporary ways which </w:t>
      </w:r>
      <w:r w:rsidR="7B4D6815">
        <w:rPr>
          <w:u w:val="none"/>
        </w:rPr>
        <w:t>seeks</w:t>
      </w:r>
      <w:r w:rsidR="7B4D6815">
        <w:rPr>
          <w:u w:val="none"/>
        </w:rPr>
        <w:t xml:space="preserve"> to separate a judge from their own circumstances and demographic with a vague notion of complete neutrality. An interesting comparison is made between the current judiciary way of hiding peoples innate biases towards the ‘don’t ask don’t tell’ policy of the military to gay servicemembers. This reluctance however is not completely unfounded, due to how society is now if our supreme court justices were to expose such values it is clear to see that many people would claim the justices are compromised. Following that many decisions previously made could, be called into question. A poignant quote on this is ‘For judges, as for any other decision makers, where these biases operate at an unconscious level, the antidote is first to acknowledge that such biases are universal and then to surface them to allow them to be scrutinized and interrogated</w:t>
      </w:r>
      <w:r w:rsidR="7B4D6815">
        <w:rPr>
          <w:u w:val="none"/>
        </w:rPr>
        <w:t>’.</w:t>
      </w:r>
      <w:r w:rsidR="6E316F47">
        <w:rPr>
          <w:u w:val="none"/>
        </w:rPr>
        <w:t xml:space="preserve"> Following on rather than focusing solely on background and heritage the court should focus on prioritizing the diversity of value. An example give is that for the supreme court from 2011 to 2019 Lady Hale Lord Sumption both sat on the court. While both agreed on many </w:t>
      </w:r>
      <w:r w:rsidR="6E316F47">
        <w:rPr>
          <w:u w:val="none"/>
        </w:rPr>
        <w:t>judgements,</w:t>
      </w:r>
      <w:r w:rsidR="6E316F47">
        <w:rPr>
          <w:u w:val="none"/>
        </w:rPr>
        <w:t xml:space="preserve"> they expressed different prioritization of values which has the potential to enhance the different range of interpretations feeding the courts collective thinking</w:t>
      </w:r>
    </w:p>
    <w:p w:rsidR="7B4D6815" w:rsidP="7B4D6815" w:rsidRDefault="7B4D6815" w14:paraId="25BDC66E" w14:textId="4AEB06E1">
      <w:pPr>
        <w:pStyle w:val="Normal"/>
        <w:rPr>
          <w:u w:val="none"/>
        </w:rPr>
      </w:pPr>
      <w:r w:rsidR="6E316F47">
        <w:rPr>
          <w:u w:val="none"/>
        </w:rPr>
        <w:t xml:space="preserve"> A common criticism mentioned in the article about the contemporary courts is lack of demographic diversity which creates a judicial partiality to certain groups that are overrepresented. Behavioural scientists believe insofar that the lived experience of different demographic groups differentially affect their cognitive tools. Studies on this so far have been exclusively focused on gender diversity and it has been hard to </w:t>
      </w:r>
      <w:r w:rsidR="6E316F47">
        <w:rPr>
          <w:u w:val="none"/>
        </w:rPr>
        <w:t>demonstrate</w:t>
      </w:r>
      <w:r w:rsidR="6E316F47">
        <w:rPr>
          <w:u w:val="none"/>
        </w:rPr>
        <w:t xml:space="preserve"> empirically. Final aspect of this article that is relevant is the nuance behind value-based diversity compared to demographic based. Regarding feminism while most feminist are women just because a woman becomes a justice does not mean she is a feminist. A particularly good quote to finish with is ‘If we conclude that the court as a body lacks Justices who priorities the values of racial equality, then the most effective way to achieve this value diversity is to appoint judges who hold those values, rather than seeking such values through proxy or ethnicity</w:t>
      </w:r>
      <w:r w:rsidR="6E316F47">
        <w:rPr>
          <w:u w:val="none"/>
        </w:rPr>
        <w:t>.’</w:t>
      </w:r>
    </w:p>
    <w:p w:rsidR="7B4D6815" w:rsidP="6E316F47" w:rsidRDefault="7B4D6815" w14:paraId="766DB5A4" w14:textId="11F1F310">
      <w:pPr>
        <w:pStyle w:val="Normal"/>
        <w:rPr>
          <w:u w:val="single"/>
        </w:rPr>
      </w:pPr>
      <w:r w:rsidR="6E316F47">
        <w:rPr/>
        <w:t xml:space="preserve">The final article I would like to examine is the </w:t>
      </w:r>
      <w:r w:rsidRPr="6C9CE71C" w:rsidR="6E316F47">
        <w:rPr>
          <w:u w:val="none"/>
        </w:rPr>
        <w:t>Institutional Diversity document (Thomas, 2005)</w:t>
      </w:r>
      <w:r w:rsidRPr="6C9CE71C">
        <w:rPr>
          <w:rStyle w:val="FootnoteReference"/>
          <w:u w:val="none"/>
        </w:rPr>
        <w:footnoteReference w:id="17856"/>
      </w:r>
      <w:r w:rsidRPr="6E316F47" w:rsidR="6E316F47">
        <w:rPr>
          <w:u w:val="single"/>
        </w:rPr>
        <w:t xml:space="preserve"> </w:t>
      </w:r>
      <w:r w:rsidR="6E316F47">
        <w:rPr>
          <w:u w:val="none"/>
        </w:rPr>
        <w:t xml:space="preserve">. To begin the document states that for our diverse society the current judiciary must be much be more diverse as to ensure it </w:t>
      </w:r>
      <w:r w:rsidR="6E316F47">
        <w:rPr>
          <w:u w:val="none"/>
        </w:rPr>
        <w:t>remains</w:t>
      </w:r>
      <w:r w:rsidR="6E316F47">
        <w:rPr>
          <w:u w:val="none"/>
        </w:rPr>
        <w:t xml:space="preserve"> both legitimate and impartial for the issues it will contend with. Following on it makes the argument that just as a diverse jury pool is needed to give fair and balanced verdict in a community, the same democratic principle can be said </w:t>
      </w:r>
      <w:r w:rsidR="6E316F47">
        <w:rPr>
          <w:u w:val="none"/>
        </w:rPr>
        <w:t>regarding</w:t>
      </w:r>
      <w:r w:rsidR="6E316F47">
        <w:rPr>
          <w:u w:val="none"/>
        </w:rPr>
        <w:t xml:space="preserve"> the justices that make decisions </w:t>
      </w:r>
      <w:r w:rsidR="6E316F47">
        <w:rPr>
          <w:u w:val="none"/>
        </w:rPr>
        <w:t>impacting</w:t>
      </w:r>
      <w:r w:rsidR="6E316F47">
        <w:rPr>
          <w:u w:val="none"/>
        </w:rPr>
        <w:t xml:space="preserve"> people's everyday life. An interesting point was made about the UK societal dismissal of judicial studies. Judicial studies are a political science-based discipline with foundations in debate about legal realism in the United States. The reason this is interesting is because it looks at the political implications of the judiciary which is something that in the United Kingdom has been ignored. Within the United Kingdom focus has been narrowed more onto the legalistic analysis of Judicial opinions at least in terms of academical analysis. The closes were to Judicial studies has been Griffiths</w:t>
      </w:r>
      <w:r w:rsidRPr="6E316F47">
        <w:rPr>
          <w:rStyle w:val="FootnoteReference"/>
          <w:u w:val="none"/>
        </w:rPr>
        <w:footnoteReference w:id="32316"/>
      </w:r>
      <w:r w:rsidR="6E316F47">
        <w:rPr>
          <w:u w:val="none"/>
        </w:rPr>
        <w:t xml:space="preserve"> examination of political role in the 1970s however it was ineffective in practice at changing anything. The need for diversity within the judiciary specifically the supreme court is unique. This is due to the far-reaching effects of their decisions as specified before. One quote that sums up the view of this document perfectly is ’a judiciary that operates in a diverse society must itself be diverse to fulfil its very function – the delivery of justice</w:t>
      </w:r>
      <w:r w:rsidR="6E316F47">
        <w:rPr>
          <w:u w:val="none"/>
        </w:rPr>
        <w:t>’,</w:t>
      </w:r>
      <w:r w:rsidR="6E316F47">
        <w:rPr>
          <w:u w:val="none"/>
        </w:rPr>
        <w:t xml:space="preserve"> this implies that unless our judiciary is able to understand and empathise with the people it serves it will be ineffective and cause more pain suffering. T</w:t>
      </w:r>
      <w:r w:rsidRPr="6C9CE71C" w:rsidR="6E316F47">
        <w:rPr>
          <w:u w:val="none"/>
        </w:rPr>
        <w:t>wo academics Johnson and Fuentes-Rohwe</w:t>
      </w:r>
      <w:r w:rsidR="6E316F47">
        <w:rPr>
          <w:u w:val="none"/>
        </w:rPr>
        <w:t>r</w:t>
      </w:r>
      <w:r w:rsidRPr="6E316F47">
        <w:rPr>
          <w:rStyle w:val="FootnoteReference"/>
          <w:u w:val="none"/>
        </w:rPr>
        <w:footnoteReference w:id="16553"/>
      </w:r>
      <w:r w:rsidR="6E316F47">
        <w:rPr>
          <w:u w:val="none"/>
        </w:rPr>
        <w:t xml:space="preserve"> despite being American scholars make an interesting point </w:t>
      </w:r>
      <w:r w:rsidR="6E316F47">
        <w:rPr>
          <w:u w:val="none"/>
        </w:rPr>
        <w:t>regarding</w:t>
      </w:r>
      <w:r w:rsidR="6E316F47">
        <w:rPr>
          <w:u w:val="none"/>
        </w:rPr>
        <w:t xml:space="preserve"> diversity which mimics </w:t>
      </w:r>
      <w:r w:rsidR="6E316F47">
        <w:rPr>
          <w:u w:val="none"/>
        </w:rPr>
        <w:t>previous</w:t>
      </w:r>
      <w:r w:rsidR="6E316F47">
        <w:rPr>
          <w:u w:val="none"/>
        </w:rPr>
        <w:t xml:space="preserve"> lines of thinking. Their line of thinking is that if </w:t>
      </w:r>
      <w:r w:rsidR="6E316F47">
        <w:rPr>
          <w:u w:val="none"/>
        </w:rPr>
        <w:t>regarding</w:t>
      </w:r>
      <w:r w:rsidR="6E316F47">
        <w:rPr>
          <w:u w:val="none"/>
        </w:rPr>
        <w:t xml:space="preserve"> appointment to the judiciary the forethought should be on expanding diversity first as that would lead to greater legitimacy. As legitimacy is a special concern due to the fought that minorities that feel shut out of the system will be less likely to respect an institution that </w:t>
      </w:r>
      <w:r w:rsidR="6E316F47">
        <w:rPr>
          <w:u w:val="none"/>
        </w:rPr>
        <w:t>fails to</w:t>
      </w:r>
      <w:r w:rsidR="6E316F47">
        <w:rPr>
          <w:u w:val="none"/>
        </w:rPr>
        <w:t xml:space="preserve"> represent them. Regarding this point within the United Kingdom there are pushes towards more diversity through government systems such as the </w:t>
      </w:r>
      <w:r w:rsidRPr="6C9CE71C" w:rsidR="6E316F47">
        <w:rPr>
          <w:u w:val="none"/>
        </w:rPr>
        <w:t xml:space="preserve">Judicial Mentoring Scheme from Courts and Tribunals Judiciary (2022) </w:t>
      </w:r>
      <w:r w:rsidRPr="6E316F47">
        <w:rPr>
          <w:rStyle w:val="FootnoteReference"/>
          <w:u w:val="none"/>
        </w:rPr>
        <w:footnoteReference w:id="26891"/>
      </w:r>
      <w:r w:rsidRPr="6C9CE71C" w:rsidR="6E316F47">
        <w:rPr>
          <w:u w:val="none"/>
        </w:rPr>
        <w:t xml:space="preserve">.</w:t>
      </w:r>
      <w:r w:rsidRPr="6E316F47" w:rsidR="6E316F47">
        <w:rPr>
          <w:u w:val="single"/>
        </w:rPr>
        <w:t xml:space="preserve"> </w:t>
      </w:r>
      <w:r w:rsidR="6E316F47">
        <w:rPr>
          <w:u w:val="none"/>
        </w:rPr>
        <w:t xml:space="preserve">This is designed to increase diversity within judiciary. It is only accessible to </w:t>
      </w:r>
      <w:r w:rsidR="6E316F47">
        <w:rPr>
          <w:u w:val="none"/>
        </w:rPr>
        <w:t>either woman</w:t>
      </w:r>
      <w:r w:rsidR="6E316F47">
        <w:rPr>
          <w:u w:val="none"/>
        </w:rPr>
        <w:t xml:space="preserve">, people from a BAME background, Lawyers who were first generation in their family to attend university and Lawyers who attend a non-fee-paying state school. This is a good step in the direction of increasing diversity by allowing less fortunate or minority people easier access to </w:t>
      </w:r>
      <w:r w:rsidR="6E316F47">
        <w:rPr>
          <w:u w:val="none"/>
        </w:rPr>
        <w:t>professions</w:t>
      </w:r>
      <w:r w:rsidR="6E316F47">
        <w:rPr>
          <w:u w:val="none"/>
        </w:rPr>
        <w:t xml:space="preserve"> that are systematically held out of reach.</w:t>
      </w:r>
    </w:p>
    <w:p w:rsidR="6E316F47" w:rsidP="6E316F47" w:rsidRDefault="6E316F47" w14:paraId="6267C472" w14:textId="6D8C29CF">
      <w:pPr>
        <w:pStyle w:val="Normal"/>
        <w:rPr>
          <w:u w:val="none"/>
        </w:rPr>
      </w:pPr>
      <w:r w:rsidR="6E316F47">
        <w:rPr>
          <w:u w:val="none"/>
        </w:rPr>
        <w:t xml:space="preserve"> In conclusion I am hesitant to say that I agree with the notion that diversity holds minor matter </w:t>
      </w:r>
      <w:r w:rsidR="6E316F47">
        <w:rPr>
          <w:u w:val="none"/>
        </w:rPr>
        <w:t>regarding</w:t>
      </w:r>
      <w:r w:rsidR="6E316F47">
        <w:rPr>
          <w:u w:val="none"/>
        </w:rPr>
        <w:t xml:space="preserve"> the judiciary and even more so with the supreme court. While the job of the Supreme court has implications on people's daily life their decision making requires a lot of thought about the implications of their decision and how it could affect other laws. I believe that demographical diversity is of little importance; however, value diversity should be strived for instead.</w:t>
      </w:r>
    </w:p>
    <w:p w:rsidR="6C9CE71C" w:rsidP="6C9CE71C" w:rsidRDefault="6C9CE71C" w14:paraId="2E43380D" w14:textId="5AAEB6CD">
      <w:pPr>
        <w:pStyle w:val="Normal"/>
        <w:rPr>
          <w:u w:val="none"/>
        </w:rPr>
      </w:pPr>
    </w:p>
    <w:p w:rsidR="6C9CE71C" w:rsidP="6C9CE71C" w:rsidRDefault="6C9CE71C" w14:paraId="0E490855" w14:textId="4B769665">
      <w:pPr>
        <w:pStyle w:val="Normal"/>
        <w:rPr>
          <w:u w:val="single"/>
        </w:rPr>
      </w:pPr>
      <w:r w:rsidRPr="6C9CE71C" w:rsidR="6C9CE71C">
        <w:rPr>
          <w:u w:val="single"/>
        </w:rPr>
        <w:t>Bibliography</w:t>
      </w:r>
    </w:p>
    <w:p w:rsidR="6C9CE71C" w:rsidP="6C9CE71C" w:rsidRDefault="6C9CE71C" w14:paraId="406F4097" w14:textId="181AB08F">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C9CE71C" w:rsidR="6C9CE71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Constitutional Reform act 2005. Available at: </w:t>
      </w:r>
      <w:hyperlink r:id="R33968b035497459f">
        <w:r w:rsidRPr="6C9CE71C" w:rsidR="6C9CE71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https://www.legislation.gov.uk/ukpga/2005/4/contents</w:t>
        </w:r>
      </w:hyperlink>
      <w:r w:rsidRPr="6C9CE71C" w:rsidR="6C9CE71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 March 2022)</w:t>
      </w:r>
    </w:p>
    <w:p w:rsidR="6C9CE71C" w:rsidP="6C9CE71C" w:rsidRDefault="6C9CE71C" w14:paraId="485F701E" w14:textId="73EF0DBF">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CE71C" w:rsidR="6C9CE71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Constitutional Reform act 2005, section 25. Available at: </w:t>
      </w:r>
      <w:hyperlink r:id="Rc3a0df1c71fe41d6">
        <w:r w:rsidRPr="6C9CE71C" w:rsidR="6C9CE71C">
          <w:rPr>
            <w:rStyle w:val="Hyperlink"/>
            <w:rFonts w:ascii="Calibri" w:hAnsi="Calibri" w:eastAsia="Calibri" w:cs="Calibri" w:asciiTheme="minorAscii" w:hAnsiTheme="minorAscii" w:eastAsiaTheme="minorAscii" w:cstheme="minorAscii"/>
            <w:sz w:val="22"/>
            <w:szCs w:val="22"/>
          </w:rPr>
          <w:t>https://www.legislation.gov.uk/ukpga/2005/4/part/3/crossheading/appointment-of-judges</w:t>
        </w:r>
      </w:hyperlink>
      <w:r w:rsidRPr="6C9CE71C" w:rsidR="6C9CE71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 March 2022)</w:t>
      </w:r>
    </w:p>
    <w:p w:rsidR="6E316F47" w:rsidP="6C9CE71C" w:rsidRDefault="6E316F47" w14:paraId="15EBBE39" w14:textId="7013E766">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u w:val="none"/>
          <w:lang w:val="en-GB"/>
        </w:rPr>
      </w:pPr>
      <w:r w:rsidRPr="6C9CE71C" w:rsidR="6E316F47">
        <w:rPr>
          <w:rFonts w:ascii="Calibri" w:hAnsi="Calibri" w:eastAsia="Calibri" w:cs="Calibri" w:asciiTheme="minorAscii" w:hAnsiTheme="minorAscii" w:eastAsiaTheme="minorAscii" w:cstheme="minorAscii"/>
          <w:sz w:val="22"/>
          <w:szCs w:val="22"/>
          <w:u w:val="none"/>
        </w:rPr>
        <w:t>Courts and Tribunals Judiciary (2022). Available at:</w:t>
      </w:r>
      <w:r w:rsidRPr="6C9CE71C" w:rsidR="6C9CE71C">
        <w:rPr>
          <w:rStyle w:val="Hyperlink"/>
          <w:rFonts w:ascii="Calibri" w:hAnsi="Calibri" w:eastAsia="Calibri" w:cs="Calibri" w:asciiTheme="minorAscii" w:hAnsiTheme="minorAscii" w:eastAsiaTheme="minorAscii" w:cstheme="minorAscii"/>
          <w:b w:val="0"/>
          <w:bCs w:val="0"/>
          <w:i w:val="0"/>
          <w:iCs w:val="0"/>
          <w:strike w:val="0"/>
          <w:dstrike w:val="0"/>
          <w:noProof w:val="0"/>
          <w:sz w:val="22"/>
          <w:szCs w:val="22"/>
          <w:lang w:val="en-GB"/>
        </w:rPr>
        <w:t xml:space="preserve"> </w:t>
      </w:r>
      <w:hyperlink r:id="R05c1b87ccc7a466b">
        <w:r w:rsidRPr="6C9CE71C" w:rsidR="6C9CE71C">
          <w:rPr>
            <w:rStyle w:val="Hyperlink"/>
            <w:rFonts w:ascii="Calibri" w:hAnsi="Calibri" w:eastAsia="Calibri" w:cs="Calibri" w:asciiTheme="minorAscii" w:hAnsiTheme="minorAscii" w:eastAsiaTheme="minorAscii" w:cstheme="minorAscii"/>
            <w:b w:val="0"/>
            <w:bCs w:val="0"/>
            <w:i w:val="0"/>
            <w:iCs w:val="0"/>
            <w:strike w:val="0"/>
            <w:dstrike w:val="0"/>
            <w:noProof w:val="0"/>
            <w:sz w:val="22"/>
            <w:szCs w:val="22"/>
            <w:lang w:val="en-GB"/>
          </w:rPr>
          <w:t>https://www.judiciary.uk/about-the-judiciary/judges-career-paths/appointments-diversity/</w:t>
        </w:r>
      </w:hyperlink>
      <w:r w:rsidRPr="6C9CE71C" w:rsidR="6C9CE71C">
        <w:rPr>
          <w:rFonts w:ascii="Calibri" w:hAnsi="Calibri" w:eastAsia="Calibri" w:cs="Calibri" w:asciiTheme="minorAscii" w:hAnsiTheme="minorAscii" w:eastAsiaTheme="minorAscii" w:cstheme="minorAscii"/>
          <w:b w:val="0"/>
          <w:bCs w:val="0"/>
          <w:i w:val="0"/>
          <w:iCs w:val="0"/>
          <w:strike w:val="0"/>
          <w:dstrike w:val="0"/>
          <w:noProof w:val="0"/>
          <w:sz w:val="22"/>
          <w:szCs w:val="22"/>
          <w:lang w:val="en-GB"/>
        </w:rPr>
        <w:t xml:space="preserve"> (Accessed 1 March 2022)</w:t>
      </w:r>
    </w:p>
    <w:p w:rsidR="6C9CE71C" w:rsidP="6C9CE71C" w:rsidRDefault="6C9CE71C" w14:paraId="22B5C78D" w14:textId="1BC41AE8">
      <w:pPr>
        <w:pStyle w:val="ListParagraph"/>
        <w:numPr>
          <w:ilvl w:val="0"/>
          <w:numId w:val="1"/>
        </w:numPr>
        <w:rPr>
          <w:rFonts w:ascii="Calibri" w:hAnsi="Calibri" w:eastAsia="Calibri" w:cs="Calibri" w:asciiTheme="minorAscii" w:hAnsiTheme="minorAscii" w:eastAsiaTheme="minorAscii" w:cstheme="minorAscii"/>
          <w:sz w:val="22"/>
          <w:szCs w:val="22"/>
          <w:u w:val="none"/>
        </w:rPr>
      </w:pPr>
      <w:r w:rsidRPr="6C9CE71C" w:rsidR="6C9CE71C">
        <w:rPr>
          <w:rFonts w:ascii="Calibri" w:hAnsi="Calibri" w:eastAsia="Calibri" w:cs="Calibri" w:asciiTheme="minorAscii" w:hAnsiTheme="minorAscii" w:eastAsiaTheme="minorAscii" w:cstheme="minorAscii"/>
          <w:sz w:val="22"/>
          <w:szCs w:val="22"/>
        </w:rPr>
        <w:t>‘</w:t>
      </w:r>
      <w:r w:rsidRPr="6C9CE71C" w:rsidR="7B4D6815">
        <w:rPr>
          <w:rFonts w:ascii="Calibri" w:hAnsi="Calibri" w:eastAsia="Calibri" w:cs="Calibri" w:asciiTheme="minorAscii" w:hAnsiTheme="minorAscii" w:eastAsiaTheme="minorAscii" w:cstheme="minorAscii"/>
          <w:i w:val="0"/>
          <w:iCs w:val="0"/>
          <w:sz w:val="22"/>
          <w:szCs w:val="22"/>
          <w:u w:val="none"/>
        </w:rPr>
        <w:t>Craig</w:t>
      </w:r>
      <w:r w:rsidRPr="6C9CE71C" w:rsidR="7B4D6815">
        <w:rPr>
          <w:rFonts w:ascii="Calibri" w:hAnsi="Calibri" w:eastAsia="Calibri" w:cs="Calibri" w:asciiTheme="minorAscii" w:hAnsiTheme="minorAscii" w:eastAsiaTheme="minorAscii" w:cstheme="minorAscii"/>
          <w:sz w:val="22"/>
          <w:szCs w:val="22"/>
          <w:u w:val="none"/>
        </w:rPr>
        <w:t xml:space="preserve"> (AP) (Appellant)</w:t>
      </w:r>
      <w:r w:rsidRPr="6C9CE71C" w:rsidR="7B4D6815">
        <w:rPr>
          <w:rFonts w:ascii="Calibri" w:hAnsi="Calibri" w:eastAsia="Calibri" w:cs="Calibri" w:asciiTheme="minorAscii" w:hAnsiTheme="minorAscii" w:eastAsiaTheme="minorAscii" w:cstheme="minorAscii"/>
          <w:i w:val="0"/>
          <w:iCs w:val="0"/>
          <w:sz w:val="22"/>
          <w:szCs w:val="22"/>
          <w:u w:val="none"/>
        </w:rPr>
        <w:t xml:space="preserve"> v Her Majesty's Advocate </w:t>
      </w:r>
      <w:r w:rsidRPr="6C9CE71C" w:rsidR="7B4D6815">
        <w:rPr>
          <w:rFonts w:ascii="Calibri" w:hAnsi="Calibri" w:eastAsia="Calibri" w:cs="Calibri" w:asciiTheme="minorAscii" w:hAnsiTheme="minorAscii" w:eastAsiaTheme="minorAscii" w:cstheme="minorAscii"/>
          <w:sz w:val="22"/>
          <w:szCs w:val="22"/>
          <w:u w:val="none"/>
        </w:rPr>
        <w:t xml:space="preserve">(for the Government of the United States of America) </w:t>
      </w:r>
      <w:r w:rsidRPr="6C9CE71C" w:rsidR="7B4D6815">
        <w:rPr>
          <w:rFonts w:ascii="Calibri" w:hAnsi="Calibri" w:eastAsia="Calibri" w:cs="Calibri" w:asciiTheme="minorAscii" w:hAnsiTheme="minorAscii" w:eastAsiaTheme="minorAscii" w:cstheme="minorAscii"/>
          <w:i w:val="0"/>
          <w:iCs w:val="0"/>
          <w:sz w:val="22"/>
          <w:szCs w:val="22"/>
          <w:u w:val="none"/>
        </w:rPr>
        <w:t>and another</w:t>
      </w:r>
      <w:r w:rsidRPr="6C9CE71C" w:rsidR="7B4D6815">
        <w:rPr>
          <w:rFonts w:ascii="Calibri" w:hAnsi="Calibri" w:eastAsia="Calibri" w:cs="Calibri" w:asciiTheme="minorAscii" w:hAnsiTheme="minorAscii" w:eastAsiaTheme="minorAscii" w:cstheme="minorAscii"/>
          <w:i w:val="0"/>
          <w:iCs w:val="0"/>
          <w:sz w:val="22"/>
          <w:szCs w:val="22"/>
          <w:u w:val="none"/>
        </w:rPr>
        <w:t xml:space="preserve"> (Respondents) (Scotland)’ (2022) United Kingdom Supreme Court. Available at:</w:t>
      </w:r>
      <w:r w:rsidRPr="6C9CE71C" w:rsidR="6C9CE71C">
        <w:rPr>
          <w:rFonts w:ascii="Calibri" w:hAnsi="Calibri" w:eastAsia="Calibri" w:cs="Calibri" w:asciiTheme="minorAscii" w:hAnsiTheme="minorAscii" w:eastAsiaTheme="minorAscii" w:cstheme="minorAscii"/>
          <w:i w:val="0"/>
          <w:iCs w:val="0"/>
          <w:sz w:val="22"/>
          <w:szCs w:val="22"/>
          <w:u w:val="none"/>
        </w:rPr>
        <w:t xml:space="preserve"> </w:t>
      </w:r>
      <w:hyperlink r:id="R58730127ea054611">
        <w:r w:rsidRPr="6C9CE71C" w:rsidR="6C9CE71C">
          <w:rPr>
            <w:rStyle w:val="Hyperlink"/>
            <w:rFonts w:ascii="Calibri" w:hAnsi="Calibri" w:eastAsia="Calibri" w:cs="Calibri" w:asciiTheme="minorAscii" w:hAnsiTheme="minorAscii" w:eastAsiaTheme="minorAscii" w:cstheme="minorAscii"/>
            <w:i w:val="0"/>
            <w:iCs w:val="0"/>
            <w:sz w:val="22"/>
            <w:szCs w:val="22"/>
          </w:rPr>
          <w:t>https://www.supremecourt.uk/cases/uksc-2020-0185.html</w:t>
        </w:r>
      </w:hyperlink>
      <w:r w:rsidRPr="6C9CE71C" w:rsidR="6C9CE71C">
        <w:rPr>
          <w:rFonts w:ascii="Calibri" w:hAnsi="Calibri" w:eastAsia="Calibri" w:cs="Calibri" w:asciiTheme="minorAscii" w:hAnsiTheme="minorAscii" w:eastAsiaTheme="minorAscii" w:cstheme="minorAscii"/>
          <w:i w:val="0"/>
          <w:iCs w:val="0"/>
          <w:sz w:val="22"/>
          <w:szCs w:val="22"/>
          <w:u w:val="none"/>
        </w:rPr>
        <w:t xml:space="preserve"> (Accessed </w:t>
      </w:r>
      <w:proofErr w:type="gramStart"/>
      <w:r w:rsidRPr="6C9CE71C" w:rsidR="6C9CE71C">
        <w:rPr>
          <w:rFonts w:ascii="Calibri" w:hAnsi="Calibri" w:eastAsia="Calibri" w:cs="Calibri" w:asciiTheme="minorAscii" w:hAnsiTheme="minorAscii" w:eastAsiaTheme="minorAscii" w:cstheme="minorAscii"/>
          <w:i w:val="0"/>
          <w:iCs w:val="0"/>
          <w:sz w:val="22"/>
          <w:szCs w:val="22"/>
          <w:u w:val="none"/>
        </w:rPr>
        <w:t>at</w:t>
      </w:r>
      <w:proofErr w:type="gramEnd"/>
      <w:r w:rsidRPr="6C9CE71C" w:rsidR="6C9CE71C">
        <w:rPr>
          <w:rFonts w:ascii="Calibri" w:hAnsi="Calibri" w:eastAsia="Calibri" w:cs="Calibri" w:asciiTheme="minorAscii" w:hAnsiTheme="minorAscii" w:eastAsiaTheme="minorAscii" w:cstheme="minorAscii"/>
          <w:i w:val="0"/>
          <w:iCs w:val="0"/>
          <w:sz w:val="22"/>
          <w:szCs w:val="22"/>
          <w:u w:val="none"/>
        </w:rPr>
        <w:t xml:space="preserve"> 1 March 2022)</w:t>
      </w:r>
    </w:p>
    <w:p w:rsidR="6C9CE71C" w:rsidP="6C9CE71C" w:rsidRDefault="6C9CE71C" w14:paraId="7A6C6025" w14:textId="650BD0EF">
      <w:pPr>
        <w:pStyle w:val="ListParagraph"/>
        <w:numPr>
          <w:ilvl w:val="0"/>
          <w:numId w:val="1"/>
        </w:numPr>
        <w:rPr>
          <w:rFonts w:ascii="Calibri" w:hAnsi="Calibri" w:eastAsia="Calibri" w:cs="Calibri" w:asciiTheme="minorAscii" w:hAnsiTheme="minorAscii" w:eastAsiaTheme="minorAscii" w:cstheme="minorAscii"/>
          <w:sz w:val="22"/>
          <w:szCs w:val="22"/>
        </w:rPr>
      </w:pPr>
      <w:r w:rsidRPr="6C9CE71C" w:rsidR="6C9CE71C">
        <w:rPr>
          <w:rFonts w:ascii="Calibri" w:hAnsi="Calibri" w:eastAsia="Calibri" w:cs="Calibri" w:asciiTheme="minorAscii" w:hAnsiTheme="minorAscii" w:eastAsiaTheme="minorAscii" w:cstheme="minorAscii"/>
          <w:sz w:val="22"/>
          <w:szCs w:val="22"/>
        </w:rPr>
        <w:t>GOV.UK (2022) Diversity of the judiciary. Available at:</w:t>
      </w:r>
      <w:hyperlink r:id="R1ba8f40c3e3b4d66">
        <w:r w:rsidRPr="6C9CE71C" w:rsidR="6C9CE71C">
          <w:rPr>
            <w:rStyle w:val="Hyperlink"/>
            <w:rFonts w:ascii="Calibri" w:hAnsi="Calibri" w:eastAsia="Calibri" w:cs="Calibri" w:asciiTheme="minorAscii" w:hAnsiTheme="minorAscii" w:eastAsiaTheme="minorAscii" w:cstheme="minorAscii"/>
            <w:sz w:val="22"/>
            <w:szCs w:val="22"/>
          </w:rPr>
          <w:t>https://www.gov.uk/government/statistics/diversity-of-the-judiciary-2021-statistics/diversity-of-the-judiciary-2021-statistics-report</w:t>
        </w:r>
      </w:hyperlink>
      <w:r w:rsidRPr="6C9CE71C" w:rsidR="6C9CE71C">
        <w:rPr>
          <w:rFonts w:ascii="Calibri" w:hAnsi="Calibri" w:eastAsia="Calibri" w:cs="Calibri" w:asciiTheme="minorAscii" w:hAnsiTheme="minorAscii" w:eastAsiaTheme="minorAscii" w:cstheme="minorAscii"/>
          <w:sz w:val="22"/>
          <w:szCs w:val="22"/>
        </w:rPr>
        <w:t xml:space="preserve"> (Accessed </w:t>
      </w:r>
      <w:proofErr w:type="gramStart"/>
      <w:r w:rsidRPr="6C9CE71C" w:rsidR="6C9CE71C">
        <w:rPr>
          <w:rFonts w:ascii="Calibri" w:hAnsi="Calibri" w:eastAsia="Calibri" w:cs="Calibri" w:asciiTheme="minorAscii" w:hAnsiTheme="minorAscii" w:eastAsiaTheme="minorAscii" w:cstheme="minorAscii"/>
          <w:sz w:val="22"/>
          <w:szCs w:val="22"/>
        </w:rPr>
        <w:t>at</w:t>
      </w:r>
      <w:proofErr w:type="gramEnd"/>
      <w:r w:rsidRPr="6C9CE71C" w:rsidR="6C9CE71C">
        <w:rPr>
          <w:rFonts w:ascii="Calibri" w:hAnsi="Calibri" w:eastAsia="Calibri" w:cs="Calibri" w:asciiTheme="minorAscii" w:hAnsiTheme="minorAscii" w:eastAsiaTheme="minorAscii" w:cstheme="minorAscii"/>
          <w:sz w:val="22"/>
          <w:szCs w:val="22"/>
        </w:rPr>
        <w:t xml:space="preserve"> 1 March 2022)</w:t>
      </w:r>
    </w:p>
    <w:p w:rsidR="6C9CE71C" w:rsidP="6C9CE71C" w:rsidRDefault="6C9CE71C" w14:paraId="3D2AEA24" w14:textId="6163AAE1">
      <w:pPr>
        <w:pStyle w:val="ListParagraph"/>
        <w:numPr>
          <w:ilvl w:val="0"/>
          <w:numId w:val="1"/>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vertAlign w:val="superscript"/>
        </w:rPr>
      </w:pPr>
      <w:r w:rsidRPr="6C9CE71C" w:rsidR="6C9CE71C">
        <w:rPr>
          <w:rFonts w:ascii="Calibri" w:hAnsi="Calibri" w:eastAsia="Calibri" w:cs="Calibri" w:asciiTheme="minorAscii" w:hAnsiTheme="minorAscii" w:eastAsiaTheme="minorAscii" w:cstheme="minorAscii"/>
          <w:sz w:val="22"/>
          <w:szCs w:val="22"/>
        </w:rPr>
        <w:t xml:space="preserve">Hale, L </w:t>
      </w:r>
      <w:r w:rsidRPr="6C9CE71C" w:rsidR="6C9CE71C">
        <w:rPr>
          <w:rFonts w:ascii="Calibri" w:hAnsi="Calibri" w:eastAsia="Calibri" w:cs="Calibri" w:asciiTheme="minorAscii" w:hAnsiTheme="minorAscii" w:eastAsiaTheme="minorAscii" w:cstheme="minorAscii"/>
          <w:noProof w:val="0"/>
          <w:sz w:val="22"/>
          <w:szCs w:val="22"/>
          <w:lang w:val="en-GB"/>
        </w:rPr>
        <w:t>Judges, Power and Accountability Constitutional Implications of Judicial Selection Constitutional Law Summer School, Belfast. Available at:</w:t>
      </w:r>
      <w:hyperlink r:id="R79e26d8bb71d41fc">
        <w:r w:rsidRPr="6C9CE71C" w:rsidR="6C9CE71C">
          <w:rPr>
            <w:rStyle w:val="Hyperlink"/>
            <w:rFonts w:ascii="Calibri" w:hAnsi="Calibri" w:eastAsia="Calibri" w:cs="Calibri" w:asciiTheme="minorAscii" w:hAnsiTheme="minorAscii" w:eastAsiaTheme="minorAscii" w:cstheme="minorAscii"/>
            <w:sz w:val="22"/>
            <w:szCs w:val="22"/>
          </w:rPr>
          <w:t>https://www.supremecourt.uk/docs/speech-170811.pdf</w:t>
        </w:r>
      </w:hyperlink>
      <w:r w:rsidRPr="6C9CE71C" w:rsidR="6C9CE71C">
        <w:rPr>
          <w:rFonts w:ascii="Calibri" w:hAnsi="Calibri" w:eastAsia="Calibri" w:cs="Calibri" w:asciiTheme="minorAscii" w:hAnsiTheme="minorAscii" w:eastAsiaTheme="minorAscii" w:cstheme="minorAscii"/>
          <w:sz w:val="22"/>
          <w:szCs w:val="22"/>
        </w:rPr>
        <w:t xml:space="preserve"> Accessed 1 March 2022)</w:t>
      </w:r>
    </w:p>
    <w:p w:rsidR="6C9CE71C" w:rsidP="6C9CE71C" w:rsidRDefault="6C9CE71C" w14:paraId="5ED3487C" w14:textId="2D700E60">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u w:val="none"/>
          <w:vertAlign w:val="superscript"/>
          <w:lang w:val="en-GB"/>
        </w:rPr>
      </w:pPr>
      <w:r w:rsidRPr="6C9CE71C" w:rsidR="6C9CE71C">
        <w:rPr>
          <w:rStyle w:val="FootnoteReference"/>
          <w:rFonts w:ascii="Calibri" w:hAnsi="Calibri" w:eastAsia="Calibri" w:cs="Calibri" w:asciiTheme="minorAscii" w:hAnsiTheme="minorAscii" w:eastAsiaTheme="minorAscii" w:cstheme="minorAscii"/>
          <w:sz w:val="22"/>
          <w:szCs w:val="22"/>
        </w:rPr>
        <w:t xml:space="preserve">20 J.A.G. Griffiths </w:t>
      </w:r>
      <w:proofErr w:type="gramStart"/>
      <w:r w:rsidRPr="6C9CE71C" w:rsidR="6C9CE71C">
        <w:rPr>
          <w:rStyle w:val="FootnoteReference"/>
          <w:rFonts w:ascii="Calibri" w:hAnsi="Calibri" w:eastAsia="Calibri" w:cs="Calibri" w:asciiTheme="minorAscii" w:hAnsiTheme="minorAscii" w:eastAsiaTheme="minorAscii" w:cstheme="minorAscii"/>
          <w:sz w:val="22"/>
          <w:szCs w:val="22"/>
        </w:rPr>
        <w:t>The</w:t>
      </w:r>
      <w:proofErr w:type="gramEnd"/>
      <w:r w:rsidRPr="6C9CE71C" w:rsidR="6C9CE71C">
        <w:rPr>
          <w:rStyle w:val="FootnoteReference"/>
          <w:rFonts w:ascii="Calibri" w:hAnsi="Calibri" w:eastAsia="Calibri" w:cs="Calibri" w:asciiTheme="minorAscii" w:hAnsiTheme="minorAscii" w:eastAsiaTheme="minorAscii" w:cstheme="minorAscii"/>
          <w:sz w:val="22"/>
          <w:szCs w:val="22"/>
        </w:rPr>
        <w:t xml:space="preserve"> Politics of the Judiciary (1971); also see R. Stevens </w:t>
      </w:r>
      <w:proofErr w:type="gramStart"/>
      <w:r w:rsidRPr="6C9CE71C" w:rsidR="6C9CE71C">
        <w:rPr>
          <w:rStyle w:val="FootnoteReference"/>
          <w:rFonts w:ascii="Calibri" w:hAnsi="Calibri" w:eastAsia="Calibri" w:cs="Calibri" w:asciiTheme="minorAscii" w:hAnsiTheme="minorAscii" w:eastAsiaTheme="minorAscii" w:cstheme="minorAscii"/>
          <w:sz w:val="22"/>
          <w:szCs w:val="22"/>
        </w:rPr>
        <w:t>The</w:t>
      </w:r>
      <w:proofErr w:type="gramEnd"/>
      <w:r w:rsidRPr="6C9CE71C" w:rsidR="6C9CE71C">
        <w:rPr>
          <w:rStyle w:val="FootnoteReference"/>
          <w:rFonts w:ascii="Calibri" w:hAnsi="Calibri" w:eastAsia="Calibri" w:cs="Calibri" w:asciiTheme="minorAscii" w:hAnsiTheme="minorAscii" w:eastAsiaTheme="minorAscii" w:cstheme="minorAscii"/>
          <w:sz w:val="22"/>
          <w:szCs w:val="22"/>
        </w:rPr>
        <w:t xml:space="preserve"> Independence of the Judiciary: The View from the Lord Chancellor’s Office (OUP 1993); G. Marshall “Lions Around the Throne: The Expansion of Judicial Review in Britain” in J. J. Hesse and N. Johnson (eds.), Constitutional Policy and Change in Europe (Oxford University Press 1995)</w:t>
      </w:r>
    </w:p>
    <w:p w:rsidR="6C9CE71C" w:rsidP="6C9CE71C" w:rsidRDefault="6C9CE71C" w14:paraId="36563322" w14:textId="34422DBF">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GB"/>
        </w:rPr>
      </w:pPr>
      <w:r w:rsidRPr="6C9CE71C" w:rsidR="6C9CE71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K. Johnson and L. Fuentes-Rohwer “A Principled Approach to the Quest for Racial Diversity on the Judiciary” UC Davis Legal Studies Research Paper No. 33 (February 2005)</w:t>
      </w:r>
    </w:p>
    <w:p w:rsidR="6C9CE71C" w:rsidP="6C9CE71C" w:rsidRDefault="6C9CE71C" w14:paraId="27AA469B" w14:textId="185099CE">
      <w:pPr>
        <w:pStyle w:val="ListParagraph"/>
        <w:numPr>
          <w:ilvl w:val="0"/>
          <w:numId w:val="1"/>
        </w:numPr>
        <w:rPr>
          <w:rFonts w:ascii="Calibri" w:hAnsi="Calibri" w:eastAsia="Calibri" w:cs="Calibri" w:asciiTheme="minorAscii" w:hAnsiTheme="minorAscii" w:eastAsiaTheme="minorAscii" w:cstheme="minorAscii"/>
          <w:noProof w:val="0"/>
          <w:sz w:val="22"/>
          <w:szCs w:val="22"/>
          <w:lang w:val="en-US"/>
        </w:rPr>
      </w:pPr>
      <w:r w:rsidRPr="6C9CE71C" w:rsidR="6C9CE71C">
        <w:rPr>
          <w:rFonts w:ascii="Calibri" w:hAnsi="Calibri" w:eastAsia="Calibri" w:cs="Calibri" w:asciiTheme="minorAscii" w:hAnsiTheme="minorAscii" w:eastAsiaTheme="minorAscii" w:cstheme="minorAscii"/>
          <w:sz w:val="22"/>
          <w:szCs w:val="22"/>
        </w:rPr>
        <w:t xml:space="preserve">Malleson, K (2022) </w:t>
      </w:r>
      <w:r w:rsidRPr="6C9CE71C" w:rsidR="7B4D6815">
        <w:rPr>
          <w:rFonts w:ascii="Calibri" w:hAnsi="Calibri" w:eastAsia="Calibri" w:cs="Calibri" w:asciiTheme="minorAscii" w:hAnsiTheme="minorAscii" w:eastAsiaTheme="minorAscii" w:cstheme="minorAscii"/>
          <w:sz w:val="22"/>
          <w:szCs w:val="22"/>
          <w:u w:val="none"/>
        </w:rPr>
        <w:t>‘</w:t>
      </w:r>
      <w:r w:rsidRPr="6C9CE71C" w:rsidR="7B4D6815">
        <w:rPr>
          <w:rFonts w:ascii="Calibri" w:hAnsi="Calibri" w:eastAsia="Calibri" w:cs="Calibri" w:asciiTheme="minorAscii" w:hAnsiTheme="minorAscii" w:eastAsiaTheme="minorAscii" w:cstheme="minorAscii"/>
          <w:sz w:val="22"/>
          <w:szCs w:val="22"/>
          <w:u w:val="none"/>
        </w:rPr>
        <w:t>Values diversity in the United Kingdom Supreme Court: abandoning the ‘don't-ask-don't-tell’ policy’, pp.3-22. Available at:</w:t>
      </w:r>
      <w:r w:rsidRPr="6C9CE71C" w:rsidR="6C9CE71C">
        <w:rPr>
          <w:rStyle w:val="Hyperlink"/>
          <w:rFonts w:ascii="Calibri" w:hAnsi="Calibri" w:eastAsia="Calibri" w:cs="Calibri" w:asciiTheme="minorAscii" w:hAnsiTheme="minorAscii" w:eastAsiaTheme="minorAscii" w:cstheme="minorAscii"/>
          <w:sz w:val="22"/>
          <w:szCs w:val="22"/>
        </w:rPr>
        <w:t xml:space="preserve"> </w:t>
      </w:r>
      <w:hyperlink r:id="R56deebdddadb417d">
        <w:r w:rsidRPr="6C9CE71C" w:rsidR="6C9CE71C">
          <w:rPr>
            <w:rStyle w:val="Hyperlink"/>
            <w:rFonts w:ascii="Calibri" w:hAnsi="Calibri" w:eastAsia="Calibri" w:cs="Calibri" w:asciiTheme="minorAscii" w:hAnsiTheme="minorAscii" w:eastAsiaTheme="minorAscii" w:cstheme="minorAscii"/>
            <w:sz w:val="22"/>
            <w:szCs w:val="22"/>
          </w:rPr>
          <w:t>https://onlinelibrary.wiley.com/doi/full/10.1111/jols.12343</w:t>
        </w:r>
      </w:hyperlink>
      <w:r w:rsidRPr="6C9CE71C" w:rsidR="6C9CE71C">
        <w:rPr>
          <w:rFonts w:ascii="Calibri" w:hAnsi="Calibri" w:eastAsia="Calibri" w:cs="Calibri" w:asciiTheme="minorAscii" w:hAnsiTheme="minorAscii" w:eastAsiaTheme="minorAscii" w:cstheme="minorAscii"/>
          <w:sz w:val="22"/>
          <w:szCs w:val="22"/>
        </w:rPr>
        <w:t xml:space="preserve"> (Accessed 1 March 2022)</w:t>
      </w:r>
    </w:p>
    <w:p w:rsidR="6C9CE71C" w:rsidP="6C9CE71C" w:rsidRDefault="6C9CE71C" w14:paraId="7AE06CDE" w14:textId="7B9FDD1F">
      <w:pPr>
        <w:pStyle w:val="ListParagraph"/>
        <w:numPr>
          <w:ilvl w:val="0"/>
          <w:numId w:val="1"/>
        </w:numPr>
        <w:rPr>
          <w:rFonts w:ascii="Calibri" w:hAnsi="Calibri" w:eastAsia="Calibri" w:cs="Calibri" w:asciiTheme="minorAscii" w:hAnsiTheme="minorAscii" w:eastAsiaTheme="minorAscii" w:cstheme="minorAscii"/>
          <w:sz w:val="22"/>
          <w:szCs w:val="22"/>
        </w:rPr>
      </w:pPr>
      <w:r w:rsidRPr="6C9CE71C" w:rsidR="6C9CE71C">
        <w:rPr>
          <w:rFonts w:ascii="Calibri" w:hAnsi="Calibri" w:eastAsia="Calibri" w:cs="Calibri" w:asciiTheme="minorAscii" w:hAnsiTheme="minorAscii" w:eastAsiaTheme="minorAscii" w:cstheme="minorAscii"/>
          <w:sz w:val="22"/>
          <w:szCs w:val="22"/>
        </w:rPr>
        <w:t xml:space="preserve">The Supreme Court (2022). Available at: </w:t>
      </w:r>
      <w:hyperlink r:id="R6fdaa69238384017">
        <w:r w:rsidRPr="6C9CE71C" w:rsidR="6C9CE71C">
          <w:rPr>
            <w:rStyle w:val="Hyperlink"/>
            <w:rFonts w:ascii="Calibri" w:hAnsi="Calibri" w:eastAsia="Calibri" w:cs="Calibri" w:asciiTheme="minorAscii" w:hAnsiTheme="minorAscii" w:eastAsiaTheme="minorAscii" w:cstheme="minorAscii"/>
            <w:sz w:val="22"/>
            <w:szCs w:val="22"/>
          </w:rPr>
          <w:t>https://www.supremecourt.uk/about/role-of-the-supreme-court.html</w:t>
        </w:r>
      </w:hyperlink>
      <w:r w:rsidRPr="6C9CE71C" w:rsidR="6C9CE71C">
        <w:rPr>
          <w:rFonts w:ascii="Calibri" w:hAnsi="Calibri" w:eastAsia="Calibri" w:cs="Calibri" w:asciiTheme="minorAscii" w:hAnsiTheme="minorAscii" w:eastAsiaTheme="minorAscii" w:cstheme="minorAscii"/>
          <w:sz w:val="22"/>
          <w:szCs w:val="22"/>
        </w:rPr>
        <w:t xml:space="preserve"> (Accessed on 1 March 2022)</w:t>
      </w:r>
    </w:p>
    <w:p w:rsidR="6C9CE71C" w:rsidP="6C9CE71C" w:rsidRDefault="6C9CE71C" w14:paraId="3169E7E9" w14:textId="69F90CD1">
      <w:pPr>
        <w:pStyle w:val="ListParagraph"/>
        <w:numPr>
          <w:ilvl w:val="0"/>
          <w:numId w:val="1"/>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6C9CE71C" w:rsidR="6C9CE71C">
        <w:rPr>
          <w:rFonts w:ascii="Calibri" w:hAnsi="Calibri" w:eastAsia="Calibri" w:cs="Calibri" w:asciiTheme="minorAscii" w:hAnsiTheme="minorAscii" w:eastAsiaTheme="minorAscii" w:cstheme="minorAscii"/>
          <w:sz w:val="22"/>
          <w:szCs w:val="22"/>
        </w:rPr>
        <w:t>The Supreme Court (2022). Available at</w:t>
      </w:r>
      <w:r w:rsidRPr="6C9CE71C" w:rsidR="6C9CE71C">
        <w:rPr>
          <w:rStyle w:val="Hyperlink"/>
          <w:rFonts w:ascii="Calibri" w:hAnsi="Calibri" w:eastAsia="Calibri" w:cs="Calibri" w:asciiTheme="minorAscii" w:hAnsiTheme="minorAscii" w:eastAsiaTheme="minorAscii" w:cstheme="minorAscii"/>
          <w:sz w:val="22"/>
          <w:szCs w:val="22"/>
        </w:rPr>
        <w:t xml:space="preserve"> </w:t>
      </w:r>
      <w:hyperlink r:id="R0d5088ee53fe4591">
        <w:r w:rsidRPr="6C9CE71C" w:rsidR="6C9CE71C">
          <w:rPr>
            <w:rStyle w:val="Hyperlink"/>
            <w:rFonts w:ascii="Calibri" w:hAnsi="Calibri" w:eastAsia="Calibri" w:cs="Calibri" w:asciiTheme="minorAscii" w:hAnsiTheme="minorAscii" w:eastAsiaTheme="minorAscii" w:cstheme="minorAscii"/>
            <w:sz w:val="22"/>
            <w:szCs w:val="22"/>
          </w:rPr>
          <w:t>https://www.supremecourt.uk/about/former-justices.html</w:t>
        </w:r>
      </w:hyperlink>
      <w:r w:rsidRPr="6C9CE71C" w:rsidR="6C9CE71C">
        <w:rPr>
          <w:rFonts w:ascii="Calibri" w:hAnsi="Calibri" w:eastAsia="Calibri" w:cs="Calibri" w:asciiTheme="minorAscii" w:hAnsiTheme="minorAscii" w:eastAsiaTheme="minorAscii" w:cstheme="minorAscii"/>
          <w:sz w:val="22"/>
          <w:szCs w:val="22"/>
        </w:rPr>
        <w:t xml:space="preserve"> (Accessed 1 March 2022)</w:t>
      </w:r>
    </w:p>
    <w:p w:rsidR="6C9CE71C" w:rsidP="6C9CE71C" w:rsidRDefault="6C9CE71C" w14:paraId="7F6D439F" w14:textId="32B54214">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C9CE71C" w:rsidR="6C9CE71C">
        <w:rPr>
          <w:rFonts w:ascii="Calibri" w:hAnsi="Calibri" w:eastAsia="Calibri" w:cs="Calibri" w:asciiTheme="minorAscii" w:hAnsiTheme="minorAscii" w:eastAsiaTheme="minorAscii" w:cstheme="minorAscii"/>
          <w:sz w:val="22"/>
          <w:szCs w:val="22"/>
        </w:rPr>
        <w:t xml:space="preserve">Thomas, C (2005) </w:t>
      </w:r>
      <w:r w:rsidRPr="6C9CE71C" w:rsidR="6C9CE71C">
        <w:rPr>
          <w:rFonts w:ascii="Calibri" w:hAnsi="Calibri" w:eastAsia="Calibri" w:cs="Calibri" w:asciiTheme="minorAscii" w:hAnsiTheme="minorAscii" w:eastAsiaTheme="minorAscii" w:cstheme="minorAscii"/>
          <w:noProof w:val="0"/>
          <w:sz w:val="22"/>
          <w:szCs w:val="22"/>
          <w:lang w:val="en-GB"/>
        </w:rPr>
        <w:t xml:space="preserve">JUDICIAL DIVERSITY IN THE UNITED KINGDOM AND OTHER JURISDICTIONS A REVIEW OF RESEARCH, POLICIES AND PRACTICES. Available at: </w:t>
      </w:r>
      <w:hyperlink r:id="R12c0a47a43184123">
        <w:r w:rsidRPr="6C9CE71C" w:rsidR="6C9CE71C">
          <w:rPr>
            <w:rStyle w:val="Hyperlink"/>
            <w:rFonts w:ascii="Calibri" w:hAnsi="Calibri" w:eastAsia="Calibri" w:cs="Calibri" w:asciiTheme="minorAscii" w:hAnsiTheme="minorAscii" w:eastAsiaTheme="minorAscii" w:cstheme="minorAscii"/>
            <w:noProof w:val="0"/>
            <w:sz w:val="22"/>
            <w:szCs w:val="22"/>
            <w:lang w:val="en-GB"/>
          </w:rPr>
          <w:t>https://www.ucl.ac.uk/judicial-institute/sites/judicial-institute/files/judicial_diversity_in_the_uk_and_other_jurisdictions.pdf</w:t>
        </w:r>
      </w:hyperlink>
      <w:r w:rsidRPr="6C9CE71C" w:rsidR="6C9CE71C">
        <w:rPr>
          <w:rFonts w:ascii="Calibri" w:hAnsi="Calibri" w:eastAsia="Calibri" w:cs="Calibri" w:asciiTheme="minorAscii" w:hAnsiTheme="minorAscii" w:eastAsiaTheme="minorAscii" w:cstheme="minorAscii"/>
          <w:noProof w:val="0"/>
          <w:sz w:val="22"/>
          <w:szCs w:val="22"/>
          <w:lang w:val="en-GB"/>
        </w:rPr>
        <w:t xml:space="preserve"> (Accessed on 1 March 2022)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7B4D6815" w:rsidRDefault="7B4D6815" w14:paraId="1BB1666F" w14:textId="67299D46">
      <w:pPr>
        <w:spacing w:after="0" w:line="240" w:lineRule="auto"/>
      </w:pPr>
      <w:r>
        <w:separator/>
      </w:r>
    </w:p>
  </w:footnote>
  <w:footnote w:type="continuationSeparator" w:id="0">
    <w:p w:rsidR="7B4D6815" w:rsidRDefault="7B4D6815" w14:paraId="0C7DD90C" w14:textId="0E6B568D">
      <w:pPr>
        <w:spacing w:after="0" w:line="240" w:lineRule="auto"/>
      </w:pPr>
      <w:r>
        <w:continuationSeparator/>
      </w:r>
    </w:p>
  </w:footnote>
  <w:footnote w:id="8601">
    <w:p w:rsidR="7B4D6815" w:rsidP="6C9CE71C" w:rsidRDefault="7B4D6815" w14:paraId="11CA07A4" w14:textId="6826BD4F">
      <w:pPr>
        <w:pStyle w:val="FootnoteText"/>
        <w:bidi w:val="0"/>
        <w:rPr>
          <w:sz w:val="20"/>
          <w:szCs w:val="20"/>
          <w:u w:val="none"/>
        </w:rPr>
      </w:pPr>
      <w:r w:rsidRPr="7B4D6815">
        <w:rPr>
          <w:rStyle w:val="FootnoteReference"/>
          <w:sz w:val="20"/>
          <w:szCs w:val="20"/>
        </w:rPr>
        <w:footnoteRef/>
      </w:r>
      <w:r w:rsidRPr="7B4D6815" w:rsidR="6C9CE71C">
        <w:rPr>
          <w:sz w:val="20"/>
          <w:szCs w:val="20"/>
        </w:rPr>
        <w:t xml:space="preserve"> ‘</w:t>
      </w:r>
      <w:r w:rsidRPr="6C9CE71C" w:rsidR="7B4D6815">
        <w:rPr>
          <w:i w:val="0"/>
          <w:iCs w:val="0"/>
          <w:u w:val="none"/>
        </w:rPr>
        <w:t>Craig</w:t>
      </w:r>
      <w:r w:rsidR="7B4D6815">
        <w:rPr>
          <w:u w:val="none"/>
        </w:rPr>
        <w:t xml:space="preserve"> (AP) (Appellant)</w:t>
      </w:r>
      <w:r w:rsidRPr="6C9CE71C" w:rsidR="7B4D6815">
        <w:rPr>
          <w:i w:val="0"/>
          <w:iCs w:val="0"/>
          <w:u w:val="none"/>
        </w:rPr>
        <w:t xml:space="preserve"> v Her Majesty's Advocate </w:t>
      </w:r>
      <w:r w:rsidR="7B4D6815">
        <w:rPr>
          <w:u w:val="none"/>
        </w:rPr>
        <w:t xml:space="preserve">(for the Government of the United States of America) </w:t>
      </w:r>
      <w:r w:rsidRPr="6C9CE71C" w:rsidR="7B4D6815">
        <w:rPr>
          <w:i w:val="0"/>
          <w:iCs w:val="0"/>
          <w:u w:val="none"/>
        </w:rPr>
        <w:t>and another</w:t>
      </w:r>
      <w:r w:rsidRPr="6C9CE71C" w:rsidR="7B4D6815">
        <w:rPr>
          <w:i w:val="0"/>
          <w:iCs w:val="0"/>
          <w:u w:val="none"/>
        </w:rPr>
        <w:t xml:space="preserve"> (Respondents) (Scotland)’ (2022) United Kingdom Supreme Court. Available at:</w:t>
      </w:r>
      <w:r w:rsidRPr="6C9CE71C" w:rsidR="6C9CE71C">
        <w:rPr>
          <w:i w:val="0"/>
          <w:iCs w:val="0"/>
          <w:u w:val="none"/>
        </w:rPr>
        <w:t xml:space="preserve"> </w:t>
      </w:r>
      <w:hyperlink r:id="Rd7a286bc4e2e4f17">
        <w:r w:rsidRPr="6C9CE71C" w:rsidR="6C9CE71C">
          <w:rPr>
            <w:rStyle w:val="Hyperlink"/>
            <w:i w:val="0"/>
            <w:iCs w:val="0"/>
          </w:rPr>
          <w:t>https://www.supremecourt.uk/cases/uksc-2020-0185.html</w:t>
        </w:r>
      </w:hyperlink>
      <w:r w:rsidRPr="6C9CE71C" w:rsidR="6C9CE71C">
        <w:rPr>
          <w:i w:val="0"/>
          <w:iCs w:val="0"/>
          <w:u w:val="none"/>
        </w:rPr>
        <w:t xml:space="preserve"> (Accessed at 1 March 2022)</w:t>
      </w:r>
    </w:p>
  </w:footnote>
  <w:footnote w:id="24699">
    <w:p w:rsidR="7B4D6815" w:rsidP="6C9CE71C" w:rsidRDefault="7B4D6815" w14:paraId="3CED8A3B" w14:textId="3F8734F4">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C9CE71C">
        <w:rPr>
          <w:rStyle w:val="FootnoteReference"/>
          <w:sz w:val="20"/>
          <w:szCs w:val="20"/>
        </w:rPr>
        <w:footnoteRef/>
      </w:r>
      <w:r w:rsidRPr="6C9CE71C" w:rsidR="6C9CE7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Constitutional Reform act 2005. Available at: </w:t>
      </w:r>
      <w:hyperlink r:id="Rfc9d08f762ab4540">
        <w:r w:rsidRPr="6C9CE71C" w:rsidR="6C9CE71C">
          <w:rPr>
            <w:rStyle w:val="Hyperlink"/>
            <w:rFonts w:ascii="Calibri" w:hAnsi="Calibri" w:eastAsia="Calibri" w:cs="Calibri"/>
            <w:b w:val="0"/>
            <w:bCs w:val="0"/>
            <w:i w:val="0"/>
            <w:iCs w:val="0"/>
            <w:caps w:val="0"/>
            <w:smallCaps w:val="0"/>
            <w:strike w:val="0"/>
            <w:dstrike w:val="0"/>
            <w:noProof w:val="0"/>
            <w:sz w:val="22"/>
            <w:szCs w:val="22"/>
            <w:lang w:val="en-GB"/>
          </w:rPr>
          <w:t>https://www.legislation.gov.uk/ukpga/2005/4/contents</w:t>
        </w:r>
      </w:hyperlink>
      <w:r w:rsidRPr="6C9CE71C" w:rsidR="6C9CE7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1 March 2022)</w:t>
      </w:r>
    </w:p>
    <w:p w:rsidR="7B4D6815" w:rsidP="6C9CE71C" w:rsidRDefault="7B4D6815" w14:paraId="5E0D0AA2" w14:textId="38934E9C">
      <w:pPr>
        <w:pStyle w:val="FootnoteText"/>
        <w:bidi w:val="0"/>
        <w:rPr>
          <w:sz w:val="20"/>
          <w:szCs w:val="20"/>
        </w:rPr>
      </w:pPr>
      <w:r w:rsidRPr="7B4D6815">
        <w:rPr>
          <w:rStyle w:val="FootnoteReference"/>
          <w:sz w:val="20"/>
          <w:szCs w:val="20"/>
        </w:rPr>
        <w:footnoteRef/>
      </w:r>
    </w:p>
  </w:footnote>
  <w:footnote w:id="17497">
    <w:p w:rsidR="7B4D6815" w:rsidP="6C9CE71C" w:rsidRDefault="7B4D6815" w14:paraId="30069210" w14:textId="5A987777">
      <w:pPr>
        <w:pStyle w:val="FootnoteText"/>
        <w:bidi w:val="0"/>
        <w:rPr>
          <w:sz w:val="20"/>
          <w:szCs w:val="20"/>
        </w:rPr>
      </w:pPr>
      <w:r w:rsidRPr="7B4D6815">
        <w:rPr>
          <w:rStyle w:val="FootnoteReference"/>
          <w:sz w:val="20"/>
          <w:szCs w:val="20"/>
        </w:rPr>
        <w:footnoteRef/>
      </w:r>
      <w:r w:rsidRPr="7B4D6815" w:rsidR="6C9CE71C">
        <w:rPr>
          <w:sz w:val="20"/>
          <w:szCs w:val="20"/>
        </w:rPr>
        <w:t xml:space="preserve"> </w:t>
      </w:r>
      <w:r w:rsidRPr="6C9CE71C" w:rsidR="6C9CE7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Constitutional Reform act 2005, section 25. Available at: </w:t>
      </w:r>
      <w:hyperlink r:id="R388e92097d5943da">
        <w:r w:rsidRPr="6C9CE71C" w:rsidR="6C9CE71C">
          <w:rPr>
            <w:rStyle w:val="Hyperlink"/>
            <w:sz w:val="20"/>
            <w:szCs w:val="20"/>
          </w:rPr>
          <w:t>https://www.legislation.gov.uk/ukpga/2005/4/part/3/crossheading/appointment-of-judges</w:t>
        </w:r>
      </w:hyperlink>
    </w:p>
    <w:p w:rsidR="7B4D6815" w:rsidP="6C9CE71C" w:rsidRDefault="7B4D6815" w14:paraId="0680A8EC" w14:textId="0FE3949A">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C9CE71C" w:rsidR="6C9CE7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1 March 2022)</w:t>
      </w:r>
    </w:p>
    <w:p w:rsidR="7B4D6815" w:rsidP="6C9CE71C" w:rsidRDefault="7B4D6815" w14:paraId="597D6809" w14:textId="018A9150">
      <w:pPr>
        <w:pStyle w:val="FootnoteText"/>
        <w:bidi w:val="0"/>
        <w:rPr>
          <w:sz w:val="20"/>
          <w:szCs w:val="20"/>
        </w:rPr>
      </w:pPr>
    </w:p>
    <w:p w:rsidR="7B4D6815" w:rsidP="6C9CE71C" w:rsidRDefault="7B4D6815" w14:paraId="323ED663" w14:textId="17FE9BB7">
      <w:pPr>
        <w:pStyle w:val="FootnoteText"/>
        <w:bidi w:val="0"/>
        <w:rPr>
          <w:sz w:val="20"/>
          <w:szCs w:val="20"/>
        </w:rPr>
      </w:pPr>
    </w:p>
  </w:footnote>
  <w:footnote w:id="30482">
    <w:p w:rsidR="7B4D6815" w:rsidP="7B4D6815" w:rsidRDefault="7B4D6815" w14:paraId="251FF575" w14:textId="6933DF33">
      <w:pPr>
        <w:pStyle w:val="FootnoteText"/>
        <w:bidi w:val="0"/>
      </w:pPr>
      <w:r w:rsidRPr="7B4D6815">
        <w:rPr>
          <w:rStyle w:val="FootnoteReference"/>
          <w:sz w:val="20"/>
          <w:szCs w:val="20"/>
        </w:rPr>
        <w:footnoteRef/>
      </w:r>
      <w:r w:rsidRPr="7B4D6815" w:rsidR="6C9CE71C">
        <w:rPr>
          <w:sz w:val="20"/>
          <w:szCs w:val="20"/>
        </w:rPr>
        <w:t xml:space="preserve"> </w:t>
      </w:r>
      <w:r w:rsidRPr="6C9CE71C" w:rsidR="6C9CE71C">
        <w:rPr>
          <w:sz w:val="20"/>
          <w:szCs w:val="20"/>
        </w:rPr>
        <w:t>The Supreme Court (2022). Available at</w:t>
      </w:r>
      <w:r w:rsidRPr="6C9CE71C" w:rsidR="6C9CE71C">
        <w:rPr>
          <w:rStyle w:val="Hyperlink"/>
          <w:sz w:val="20"/>
          <w:szCs w:val="20"/>
        </w:rPr>
        <w:t xml:space="preserve"> </w:t>
      </w:r>
      <w:hyperlink r:id="R12bca629d8314198">
        <w:r w:rsidRPr="7B4D6815" w:rsidR="6C9CE71C">
          <w:rPr>
            <w:rStyle w:val="Hyperlink"/>
            <w:sz w:val="20"/>
            <w:szCs w:val="20"/>
          </w:rPr>
          <w:t>https://www.supremecourt.uk/about/former-justices.html</w:t>
        </w:r>
      </w:hyperlink>
      <w:r w:rsidRPr="7B4D6815" w:rsidR="6C9CE71C">
        <w:rPr>
          <w:sz w:val="20"/>
          <w:szCs w:val="20"/>
        </w:rPr>
        <w:t xml:space="preserve"> (Accessed 1 March 2022)</w:t>
      </w:r>
    </w:p>
  </w:footnote>
  <w:footnote w:id="4221">
    <w:p w:rsidR="7B4D6815" w:rsidP="7B4D6815" w:rsidRDefault="7B4D6815" w14:paraId="382170E3" w14:textId="7CC4D1CE">
      <w:pPr>
        <w:pStyle w:val="FootnoteText"/>
        <w:bidi w:val="0"/>
        <w:rPr>
          <w:noProof w:val="0"/>
          <w:sz w:val="20"/>
          <w:szCs w:val="20"/>
          <w:lang w:val="en-US"/>
        </w:rPr>
      </w:pPr>
      <w:r w:rsidRPr="7B4D6815">
        <w:rPr>
          <w:rStyle w:val="FootnoteReference"/>
          <w:sz w:val="20"/>
          <w:szCs w:val="20"/>
        </w:rPr>
        <w:footnoteRef/>
      </w:r>
      <w:r w:rsidRPr="7B4D6815" w:rsidR="6C9CE71C">
        <w:rPr>
          <w:sz w:val="20"/>
          <w:szCs w:val="20"/>
        </w:rPr>
        <w:t xml:space="preserve"> Malleson, K (2022) </w:t>
      </w:r>
      <w:r w:rsidR="7B4D6815">
        <w:rPr>
          <w:u w:val="none"/>
        </w:rPr>
        <w:t>‘</w:t>
      </w:r>
      <w:r w:rsidR="7B4D6815">
        <w:rPr>
          <w:u w:val="none"/>
        </w:rPr>
        <w:t>Values diversity in the United Kingdom Supreme Court: abandoning the ‘don't-ask-don't-tell’ policy’, pp.3-22. Available at:</w:t>
      </w:r>
      <w:r w:rsidRPr="6C9CE71C" w:rsidR="6C9CE71C">
        <w:rPr>
          <w:rStyle w:val="Hyperlink"/>
          <w:sz w:val="20"/>
          <w:szCs w:val="20"/>
        </w:rPr>
        <w:t xml:space="preserve"> </w:t>
      </w:r>
      <w:hyperlink r:id="R27c432770f054b5c">
        <w:r w:rsidRPr="7B4D6815" w:rsidR="6C9CE71C">
          <w:rPr>
            <w:rStyle w:val="Hyperlink"/>
            <w:sz w:val="20"/>
            <w:szCs w:val="20"/>
          </w:rPr>
          <w:t>https://onlinelibrary.wiley.com/doi/full/10.1111/jols.12343</w:t>
        </w:r>
      </w:hyperlink>
      <w:r w:rsidRPr="7B4D6815" w:rsidR="6C9CE71C">
        <w:rPr>
          <w:sz w:val="20"/>
          <w:szCs w:val="20"/>
        </w:rPr>
        <w:t xml:space="preserve"> (Accessed 1 March 2022)</w:t>
      </w:r>
    </w:p>
  </w:footnote>
  <w:footnote w:id="22914">
    <w:p w:rsidR="7B4D6815" w:rsidP="7B4D6815" w:rsidRDefault="7B4D6815" w14:paraId="54B1617B" w14:textId="67082853">
      <w:pPr>
        <w:pStyle w:val="FootnoteText"/>
        <w:bidi w:val="0"/>
      </w:pPr>
      <w:r w:rsidRPr="7B4D6815">
        <w:rPr>
          <w:rStyle w:val="FootnoteReference"/>
          <w:sz w:val="20"/>
          <w:szCs w:val="20"/>
        </w:rPr>
        <w:footnoteRef/>
      </w:r>
      <w:r w:rsidRPr="7B4D6815" w:rsidR="6C9CE71C">
        <w:rPr>
          <w:sz w:val="20"/>
          <w:szCs w:val="20"/>
        </w:rPr>
        <w:t xml:space="preserve"> Hale, L </w:t>
      </w:r>
      <w:r w:rsidRPr="6C9CE71C" w:rsidR="6C9CE71C">
        <w:rPr>
          <w:noProof w:val="0"/>
          <w:lang w:val="en-GB"/>
        </w:rPr>
        <w:t>Judges, Power and Accountability Constitutional Implications of Judicial Selection Constitutional Law Summer School, Belfast. Available at:</w:t>
      </w:r>
      <w:r w:rsidRPr="6C9CE71C" w:rsidR="6C9CE71C">
        <w:rPr/>
        <w:t>﷟HYPERLINK "https://www.supremecourt.uk/docs/speech-170811.pdf"</w:t>
      </w:r>
      <w:r w:rsidRPr="6C9CE71C" w:rsidR="6C9CE71C">
        <w:rPr>
          <w:rStyle w:val="Hyperlink"/>
          <w:sz w:val="20"/>
          <w:szCs w:val="20"/>
        </w:rPr>
        <w:t xml:space="preserve">https://www.supremecourt.uk/docs/speech-170811.pdf</w:t>
      </w:r>
      <w:r w:rsidRPr="6C9CE71C" w:rsidR="6C9CE71C">
        <w:rPr>
          <w:sz w:val="20"/>
          <w:szCs w:val="20"/>
        </w:rPr>
        <w:t xml:space="preserve"> Accessed 1 March 2022)</w:t>
      </w:r>
    </w:p>
  </w:footnote>
  <w:footnote w:id="17856">
    <w:p w:rsidR="6E316F47" w:rsidP="6C9CE71C" w:rsidRDefault="6E316F47" w14:paraId="2249234C" w14:textId="3651EA27">
      <w:pPr>
        <w:pStyle w:val="FootnoteText"/>
        <w:bidi w:val="0"/>
        <w:rPr>
          <w:noProof w:val="0"/>
          <w:sz w:val="20"/>
          <w:szCs w:val="20"/>
          <w:lang w:val="en-GB"/>
        </w:rPr>
      </w:pPr>
      <w:r w:rsidRPr="6E316F47">
        <w:rPr>
          <w:rStyle w:val="FootnoteReference"/>
          <w:sz w:val="20"/>
          <w:szCs w:val="20"/>
        </w:rPr>
        <w:footnoteRef/>
      </w:r>
      <w:r w:rsidRPr="6E316F47" w:rsidR="6C9CE71C">
        <w:rPr>
          <w:sz w:val="20"/>
          <w:szCs w:val="20"/>
        </w:rPr>
        <w:t xml:space="preserve"> Thomas, C (2005) </w:t>
      </w:r>
      <w:r w:rsidRPr="6C9CE71C" w:rsidR="6C9CE71C">
        <w:rPr>
          <w:noProof w:val="0"/>
          <w:lang w:val="en-GB"/>
        </w:rPr>
        <w:t xml:space="preserve">JUDICIAL DIVERSITY IN THE UNITED KINGDOM AND OTHER JURISDICTIONS A REVIEW OF RESEARCH, POLICIES AND PRACTICES. Available at: </w:t>
      </w:r>
      <w:hyperlink r:id="R9158eef649f94ffb">
        <w:r w:rsidRPr="6C9CE71C" w:rsidR="6C9CE71C">
          <w:rPr>
            <w:rStyle w:val="Hyperlink"/>
            <w:noProof w:val="0"/>
            <w:lang w:val="en-GB"/>
          </w:rPr>
          <w:t>https://www.ucl.ac.uk/judicial-institute/sites/judicial-institute/files/judicial_diversity_in_the_uk_and_other_jurisdictions.pdf</w:t>
        </w:r>
      </w:hyperlink>
      <w:r w:rsidRPr="6C9CE71C" w:rsidR="6C9CE71C">
        <w:rPr>
          <w:noProof w:val="0"/>
          <w:lang w:val="en-GB"/>
        </w:rPr>
        <w:t xml:space="preserve"> (Accessed on 1 March 2022) </w:t>
      </w:r>
    </w:p>
  </w:footnote>
  <w:footnote w:id="32316">
    <w:p w:rsidR="6E316F47" w:rsidP="6E316F47" w:rsidRDefault="6E316F47" w14:paraId="4B2065B3" w14:textId="7D5B590D">
      <w:pPr>
        <w:pStyle w:val="FootnoteText"/>
        <w:bidi w:val="0"/>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6E316F47">
        <w:rPr>
          <w:rStyle w:val="FootnoteReference"/>
          <w:sz w:val="20"/>
          <w:szCs w:val="20"/>
        </w:rPr>
        <w:footnoteRef/>
      </w:r>
      <w:r w:rsidRPr="6E316F47" w:rsidR="6E316F47">
        <w:rPr>
          <w:sz w:val="20"/>
          <w:szCs w:val="20"/>
        </w:rPr>
        <w:t xml:space="preserve"> </w:t>
      </w:r>
      <w:r w:rsidRPr="6E316F47" w:rsidR="6E316F4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20 J.A.G. Griffiths The Politics of the Judiciary (1971); also see R. Stevens The Independence of the Judiciary: The View from the Lord Chancellor’s Office (OUP 1993); G. Marshall “Lions Around the Throne: The Expansion of Judicial Review in Britain” in J. J. Hesse and N. Johnson (eds.), Constitutional Policy and Change in Europe (Oxford University Press 1995) </w:t>
      </w:r>
    </w:p>
  </w:footnote>
  <w:footnote w:id="16553">
    <w:p w:rsidR="6E316F47" w:rsidP="6E316F47" w:rsidRDefault="6E316F47" w14:paraId="1A7E9081" w14:textId="75E4F245">
      <w:pPr>
        <w:pStyle w:val="FootnoteText"/>
        <w:bidi w:val="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E316F47">
        <w:rPr>
          <w:rStyle w:val="FootnoteReference"/>
          <w:sz w:val="20"/>
          <w:szCs w:val="20"/>
        </w:rPr>
        <w:footnoteRef/>
      </w:r>
      <w:r w:rsidRPr="6E316F47" w:rsidR="6E316F47">
        <w:rPr>
          <w:rStyle w:val="FootnoteReference"/>
          <w:sz w:val="20"/>
          <w:szCs w:val="20"/>
        </w:rPr>
        <w:t xml:space="preserve">20 J.A.G. Griffiths </w:t>
      </w:r>
      <w:proofErr w:type="gramStart"/>
      <w:r w:rsidRPr="6E316F47" w:rsidR="6E316F47">
        <w:rPr>
          <w:rStyle w:val="FootnoteReference"/>
          <w:sz w:val="20"/>
          <w:szCs w:val="20"/>
        </w:rPr>
        <w:t>The</w:t>
      </w:r>
      <w:proofErr w:type="gramEnd"/>
      <w:r w:rsidRPr="6E316F47" w:rsidR="6E316F47">
        <w:rPr>
          <w:rStyle w:val="FootnoteReference"/>
          <w:sz w:val="20"/>
          <w:szCs w:val="20"/>
        </w:rPr>
        <w:t xml:space="preserve"> Politics of the Judiciary (1971); also see R. Stevens </w:t>
      </w:r>
      <w:proofErr w:type="gramStart"/>
      <w:r w:rsidRPr="6E316F47" w:rsidR="6E316F47">
        <w:rPr>
          <w:rStyle w:val="FootnoteReference"/>
          <w:sz w:val="20"/>
          <w:szCs w:val="20"/>
        </w:rPr>
        <w:t>The</w:t>
      </w:r>
      <w:proofErr w:type="gramEnd"/>
      <w:r w:rsidRPr="6E316F47" w:rsidR="6E316F47">
        <w:rPr>
          <w:rStyle w:val="FootnoteReference"/>
          <w:sz w:val="20"/>
          <w:szCs w:val="20"/>
        </w:rPr>
        <w:t xml:space="preserve"> Independence of the Judiciary: The View from the Lord Chancellor’s Office (OUP 1993); G. Marshall “Lions Around the Throne: The Expansion of Judicial Review in Britain” in J. J. Hesse and N. Johnson (eds.), Constitutional Policy and Change in Europe (Oxford University Press 1995) </w:t>
      </w:r>
    </w:p>
  </w:footnote>
  <w:footnote w:id="26891">
    <w:p w:rsidR="6E316F47" w:rsidP="6C9CE71C" w:rsidRDefault="6E316F47" w14:paraId="5D048826" w14:textId="0217BED9">
      <w:pPr>
        <w:pStyle w:val="FootnoteText"/>
        <w:bidi w:val="0"/>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6E316F47">
        <w:rPr>
          <w:rStyle w:val="FootnoteReference"/>
          <w:sz w:val="20"/>
          <w:szCs w:val="20"/>
        </w:rPr>
        <w:footnoteRef/>
      </w:r>
      <w:r w:rsidRPr="6E316F47" w:rsidR="6C9CE71C">
        <w:rPr>
          <w:sz w:val="20"/>
          <w:szCs w:val="20"/>
        </w:rPr>
        <w:t xml:space="preserve"> </w:t>
      </w:r>
      <w:r w:rsidR="6E316F47">
        <w:rPr>
          <w:u w:val="none"/>
        </w:rPr>
        <w:t>Courts and Tribunals Judiciary (2022). Available at:</w:t>
      </w:r>
      <w:r w:rsidRPr="6C9CE71C" w:rsidR="6C9CE71C">
        <w:rPr>
          <w:rStyle w:val="Hyperlink"/>
          <w:rFonts w:ascii="Arial" w:hAnsi="Arial" w:eastAsia="Arial" w:cs="Arial"/>
          <w:b w:val="0"/>
          <w:bCs w:val="0"/>
          <w:i w:val="0"/>
          <w:iCs w:val="0"/>
          <w:strike w:val="0"/>
          <w:dstrike w:val="0"/>
          <w:noProof w:val="0"/>
          <w:sz w:val="22"/>
          <w:szCs w:val="22"/>
          <w:lang w:val="en-GB"/>
        </w:rPr>
        <w:t xml:space="preserve"> </w:t>
      </w:r>
      <w:hyperlink r:id="Re09685cb63b5494f">
        <w:r w:rsidRPr="6C9CE71C" w:rsidR="6C9CE71C">
          <w:rPr>
            <w:rStyle w:val="Hyperlink"/>
            <w:rFonts w:ascii="Arial" w:hAnsi="Arial" w:eastAsia="Arial" w:cs="Arial"/>
            <w:b w:val="0"/>
            <w:bCs w:val="0"/>
            <w:i w:val="0"/>
            <w:iCs w:val="0"/>
            <w:strike w:val="0"/>
            <w:dstrike w:val="0"/>
            <w:noProof w:val="0"/>
            <w:sz w:val="22"/>
            <w:szCs w:val="22"/>
            <w:lang w:val="en-GB"/>
          </w:rPr>
          <w:t>https://www.judiciary.uk/about-the-judiciary/judges-career-paths/appointments-diversity/</w:t>
        </w:r>
      </w:hyperlink>
      <w:r w:rsidRPr="6C9CE71C" w:rsidR="6C9CE71C">
        <w:rPr>
          <w:rFonts w:ascii="Arial" w:hAnsi="Arial" w:eastAsia="Arial" w:cs="Arial"/>
          <w:b w:val="0"/>
          <w:bCs w:val="0"/>
          <w:i w:val="0"/>
          <w:iCs w:val="0"/>
          <w:strike w:val="0"/>
          <w:dstrike w:val="0"/>
          <w:noProof w:val="0"/>
          <w:sz w:val="22"/>
          <w:szCs w:val="22"/>
          <w:lang w:val="en-GB"/>
        </w:rPr>
        <w:t xml:space="preserve"> (Accessed 1 March 2022)</w:t>
      </w:r>
    </w:p>
  </w:footnote>
  <w:footnote w:id="16047">
    <w:p w:rsidR="6C9CE71C" w:rsidP="6C9CE71C" w:rsidRDefault="6C9CE71C" w14:paraId="3133E69F" w14:textId="290D09E6">
      <w:pPr>
        <w:pStyle w:val="FootnoteText"/>
        <w:bidi w:val="0"/>
        <w:rPr>
          <w:sz w:val="20"/>
          <w:szCs w:val="20"/>
        </w:rPr>
      </w:pPr>
      <w:r w:rsidRPr="6C9CE71C">
        <w:rPr>
          <w:rStyle w:val="FootnoteReference"/>
          <w:sz w:val="20"/>
          <w:szCs w:val="20"/>
        </w:rPr>
        <w:footnoteRef/>
      </w:r>
      <w:r w:rsidRPr="6C9CE71C" w:rsidR="6C9CE71C">
        <w:rPr>
          <w:sz w:val="20"/>
          <w:szCs w:val="20"/>
        </w:rPr>
        <w:t xml:space="preserve">The Supreme Court (2022). Available at: </w:t>
      </w:r>
      <w:hyperlink r:id="Rcaf7918fb3b2451f">
        <w:r w:rsidRPr="6C9CE71C" w:rsidR="6C9CE71C">
          <w:rPr>
            <w:rStyle w:val="Hyperlink"/>
            <w:sz w:val="20"/>
            <w:szCs w:val="20"/>
          </w:rPr>
          <w:t>https://www.supremecourt.uk/about/role-of-the-supreme-court.html</w:t>
        </w:r>
      </w:hyperlink>
      <w:r w:rsidRPr="6C9CE71C" w:rsidR="6C9CE71C">
        <w:rPr>
          <w:sz w:val="20"/>
          <w:szCs w:val="20"/>
        </w:rPr>
        <w:t xml:space="preserve"> (Accessed on 1 March 2022)</w:t>
      </w:r>
    </w:p>
  </w:footnote>
  <w:footnote w:id="7260">
    <w:p w:rsidR="6C9CE71C" w:rsidP="6C9CE71C" w:rsidRDefault="6C9CE71C" w14:paraId="6D7659E1" w14:textId="5B08E04F">
      <w:pPr>
        <w:pStyle w:val="FootnoteText"/>
      </w:pPr>
      <w:r w:rsidRPr="6C9CE71C">
        <w:rPr>
          <w:rStyle w:val="FootnoteReference"/>
          <w:sz w:val="20"/>
          <w:szCs w:val="20"/>
        </w:rPr>
        <w:footnoteRef/>
      </w:r>
      <w:r w:rsidRPr="6C9CE71C" w:rsidR="6C9CE71C">
        <w:rPr>
          <w:sz w:val="20"/>
          <w:szCs w:val="20"/>
        </w:rPr>
        <w:t xml:space="preserve"> GOV.UK (2022) Diversity of the judiciary. Available at:</w:t>
      </w:r>
      <w:hyperlink r:id="R4b64bd12c0b942ef">
        <w:r w:rsidRPr="6C9CE71C" w:rsidR="6C9CE71C">
          <w:rPr>
            <w:rStyle w:val="Hyperlink"/>
            <w:sz w:val="20"/>
            <w:szCs w:val="20"/>
          </w:rPr>
          <w:t>https://www.gov.uk/government/statistics/diversity-of-the-judiciary-2021-statistics/diversity-of-the-judiciary-2021-statistics-report</w:t>
        </w:r>
      </w:hyperlink>
      <w:r w:rsidRPr="6C9CE71C" w:rsidR="6C9CE71C">
        <w:rPr>
          <w:sz w:val="20"/>
          <w:szCs w:val="20"/>
        </w:rPr>
        <w:t xml:space="preserve"> (Accessed at 1 March 2022)</w:t>
      </w:r>
    </w:p>
  </w:footnote>
</w:footnotes>
</file>

<file path=word/intelligence.xml><?xml version="1.0" encoding="utf-8"?>
<int:Intelligence xmlns:int="http://schemas.microsoft.com/office/intelligence/2019/intelligence">
  <int:IntelligenceSettings/>
  <int:Manifest>
    <int:ParagraphRange paragraphId="1986901412" textId="1576507512" start="2466" length="12" invalidationStart="2466" invalidationLength="12" id="2PYOvtVO"/>
    <int:ParagraphRange paragraphId="1986901412" textId="1487263190" start="2466" length="12" invalidationStart="2466" invalidationLength="12" id="Kg9qSqEN"/>
    <int:WordHash hashCode="NMVr4YTYNVY8l6" id="tnmNCLu4"/>
    <int:WordHash hashCode="A3WqN6nHc21/to" id="EwQNOUFU"/>
  </int:Manifest>
  <int:Observations>
    <int:Content id="2PYOvtVO">
      <int:Rejection type="LegacyProofing"/>
    </int:Content>
    <int:Content id="Kg9qSqEN">
      <int:Rejection type="LegacyProofing"/>
    </int:Content>
    <int:Content id="tnmNCLu4">
      <int:Rejection type="AugLoop_Text_Critique"/>
    </int:Content>
    <int:Content id="EwQNOUF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92F725"/>
    <w:rsid w:val="00854348"/>
    <w:rsid w:val="00854348"/>
    <w:rsid w:val="010327C9"/>
    <w:rsid w:val="01C49A02"/>
    <w:rsid w:val="020F12BF"/>
    <w:rsid w:val="028DBD53"/>
    <w:rsid w:val="02A5E651"/>
    <w:rsid w:val="02EC735C"/>
    <w:rsid w:val="0421A02E"/>
    <w:rsid w:val="0421A02E"/>
    <w:rsid w:val="04300BA1"/>
    <w:rsid w:val="059AFAE1"/>
    <w:rsid w:val="05C55E15"/>
    <w:rsid w:val="05C55E15"/>
    <w:rsid w:val="05F10BA1"/>
    <w:rsid w:val="06914D8A"/>
    <w:rsid w:val="0833DB86"/>
    <w:rsid w:val="089842B3"/>
    <w:rsid w:val="089842B3"/>
    <w:rsid w:val="0923958D"/>
    <w:rsid w:val="0B63B080"/>
    <w:rsid w:val="0BA713D8"/>
    <w:rsid w:val="0D074CA9"/>
    <w:rsid w:val="0D6BB3D6"/>
    <w:rsid w:val="0FF4ABF5"/>
    <w:rsid w:val="111DA909"/>
    <w:rsid w:val="139E21FD"/>
    <w:rsid w:val="1525F500"/>
    <w:rsid w:val="1600F7BD"/>
    <w:rsid w:val="162171AD"/>
    <w:rsid w:val="178E60E1"/>
    <w:rsid w:val="1849FF50"/>
    <w:rsid w:val="18745C09"/>
    <w:rsid w:val="189C6593"/>
    <w:rsid w:val="18AE667D"/>
    <w:rsid w:val="18D0FF09"/>
    <w:rsid w:val="1925A7D0"/>
    <w:rsid w:val="1A0D6381"/>
    <w:rsid w:val="1A15A185"/>
    <w:rsid w:val="1A4C7340"/>
    <w:rsid w:val="1AAEF302"/>
    <w:rsid w:val="1D510B85"/>
    <w:rsid w:val="1D81D7A0"/>
    <w:rsid w:val="1D841402"/>
    <w:rsid w:val="1D841402"/>
    <w:rsid w:val="1DFC2C11"/>
    <w:rsid w:val="1E00321B"/>
    <w:rsid w:val="1E15873F"/>
    <w:rsid w:val="1EA14862"/>
    <w:rsid w:val="1F1FE463"/>
    <w:rsid w:val="20097D6E"/>
    <w:rsid w:val="201BB087"/>
    <w:rsid w:val="20329B87"/>
    <w:rsid w:val="203D18C3"/>
    <w:rsid w:val="20551135"/>
    <w:rsid w:val="20839571"/>
    <w:rsid w:val="212FA8E9"/>
    <w:rsid w:val="22578525"/>
    <w:rsid w:val="23535149"/>
    <w:rsid w:val="2374B985"/>
    <w:rsid w:val="2374B985"/>
    <w:rsid w:val="238CB1F7"/>
    <w:rsid w:val="238CB1F7"/>
    <w:rsid w:val="251089E6"/>
    <w:rsid w:val="25306FDE"/>
    <w:rsid w:val="25306FDE"/>
    <w:rsid w:val="259659B4"/>
    <w:rsid w:val="25D203D5"/>
    <w:rsid w:val="263DD128"/>
    <w:rsid w:val="27137390"/>
    <w:rsid w:val="27DA84DF"/>
    <w:rsid w:val="280DED63"/>
    <w:rsid w:val="286810A0"/>
    <w:rsid w:val="29A64C50"/>
    <w:rsid w:val="29FF05B9"/>
    <w:rsid w:val="2AC297E6"/>
    <w:rsid w:val="2ACB0B59"/>
    <w:rsid w:val="2B5E632E"/>
    <w:rsid w:val="2BE5A130"/>
    <w:rsid w:val="2C0654F1"/>
    <w:rsid w:val="2C0654F1"/>
    <w:rsid w:val="2C14C9C1"/>
    <w:rsid w:val="2C281CFC"/>
    <w:rsid w:val="2C281CFC"/>
    <w:rsid w:val="2D1BDFEF"/>
    <w:rsid w:val="2D1BDFEF"/>
    <w:rsid w:val="2D5000AE"/>
    <w:rsid w:val="2D817191"/>
    <w:rsid w:val="2DFA38A8"/>
    <w:rsid w:val="2E161C59"/>
    <w:rsid w:val="2E55E889"/>
    <w:rsid w:val="2E9603F0"/>
    <w:rsid w:val="2E9603F0"/>
    <w:rsid w:val="2F67AB44"/>
    <w:rsid w:val="2F85541F"/>
    <w:rsid w:val="2FB2FAA4"/>
    <w:rsid w:val="30732285"/>
    <w:rsid w:val="308090DE"/>
    <w:rsid w:val="314ECB05"/>
    <w:rsid w:val="31AE18C9"/>
    <w:rsid w:val="3254E2B4"/>
    <w:rsid w:val="336CE1BD"/>
    <w:rsid w:val="33C4619E"/>
    <w:rsid w:val="33C4619E"/>
    <w:rsid w:val="33F0B315"/>
    <w:rsid w:val="34304D2F"/>
    <w:rsid w:val="348BDBCA"/>
    <w:rsid w:val="34C8AF27"/>
    <w:rsid w:val="35139E99"/>
    <w:rsid w:val="35ABE784"/>
    <w:rsid w:val="35AD3737"/>
    <w:rsid w:val="35B46B04"/>
    <w:rsid w:val="36A999D8"/>
    <w:rsid w:val="36E26409"/>
    <w:rsid w:val="3767EDF1"/>
    <w:rsid w:val="37B68528"/>
    <w:rsid w:val="38197846"/>
    <w:rsid w:val="385E9296"/>
    <w:rsid w:val="390E8D8A"/>
    <w:rsid w:val="39BF0632"/>
    <w:rsid w:val="39E0A41D"/>
    <w:rsid w:val="3A24BE75"/>
    <w:rsid w:val="3A50B2FB"/>
    <w:rsid w:val="3ACA3C2D"/>
    <w:rsid w:val="3B3036F1"/>
    <w:rsid w:val="3B511908"/>
    <w:rsid w:val="3B511908"/>
    <w:rsid w:val="3B77F3A2"/>
    <w:rsid w:val="3B7C747E"/>
    <w:rsid w:val="3C376E98"/>
    <w:rsid w:val="3D1844DF"/>
    <w:rsid w:val="3D1844DF"/>
    <w:rsid w:val="3D92F725"/>
    <w:rsid w:val="3D9DD10C"/>
    <w:rsid w:val="3E88B9CA"/>
    <w:rsid w:val="3EEAF708"/>
    <w:rsid w:val="3EED75EE"/>
    <w:rsid w:val="3EED75EE"/>
    <w:rsid w:val="3FC81084"/>
    <w:rsid w:val="40A3B904"/>
    <w:rsid w:val="40A6CC22"/>
    <w:rsid w:val="41EBB602"/>
    <w:rsid w:val="422297CA"/>
    <w:rsid w:val="42429C83"/>
    <w:rsid w:val="440F1661"/>
    <w:rsid w:val="440F1661"/>
    <w:rsid w:val="44B00092"/>
    <w:rsid w:val="44B00092"/>
    <w:rsid w:val="452356C4"/>
    <w:rsid w:val="452BDAC7"/>
    <w:rsid w:val="45AA94C6"/>
    <w:rsid w:val="46BF2725"/>
    <w:rsid w:val="46C7AB28"/>
    <w:rsid w:val="46C7AB28"/>
    <w:rsid w:val="46FE7C60"/>
    <w:rsid w:val="46FE7C60"/>
    <w:rsid w:val="47D32269"/>
    <w:rsid w:val="485B8E03"/>
    <w:rsid w:val="488CA43A"/>
    <w:rsid w:val="488CA43A"/>
    <w:rsid w:val="48FCC943"/>
    <w:rsid w:val="4A498D60"/>
    <w:rsid w:val="4A498D60"/>
    <w:rsid w:val="4A9899A4"/>
    <w:rsid w:val="4A9899A4"/>
    <w:rsid w:val="4B932EC5"/>
    <w:rsid w:val="4B932EC5"/>
    <w:rsid w:val="4BB5E2D7"/>
    <w:rsid w:val="4BC444FC"/>
    <w:rsid w:val="4BE55DC1"/>
    <w:rsid w:val="4D823C0C"/>
    <w:rsid w:val="4D854F2A"/>
    <w:rsid w:val="4D895534"/>
    <w:rsid w:val="4DD03A66"/>
    <w:rsid w:val="4E8FDF1F"/>
    <w:rsid w:val="4EC7EDD5"/>
    <w:rsid w:val="4ED2BD0D"/>
    <w:rsid w:val="4EFD188B"/>
    <w:rsid w:val="4EFD188B"/>
    <w:rsid w:val="4F1E0C6D"/>
    <w:rsid w:val="4F677740"/>
    <w:rsid w:val="4FEC9FC1"/>
    <w:rsid w:val="504C0BAA"/>
    <w:rsid w:val="50A0B471"/>
    <w:rsid w:val="50E6762C"/>
    <w:rsid w:val="5258C04D"/>
    <w:rsid w:val="532F7367"/>
    <w:rsid w:val="532F7367"/>
    <w:rsid w:val="5364F5E7"/>
    <w:rsid w:val="53A62E30"/>
    <w:rsid w:val="53A62E30"/>
    <w:rsid w:val="53F490AE"/>
    <w:rsid w:val="53F896B8"/>
    <w:rsid w:val="54CB43C8"/>
    <w:rsid w:val="551FCA29"/>
    <w:rsid w:val="5541FE91"/>
    <w:rsid w:val="557849DC"/>
    <w:rsid w:val="55AEAF3A"/>
    <w:rsid w:val="55AEAF3A"/>
    <w:rsid w:val="560F9448"/>
    <w:rsid w:val="57AFE585"/>
    <w:rsid w:val="57EF3AC0"/>
    <w:rsid w:val="5813A2EC"/>
    <w:rsid w:val="5813A2EC"/>
    <w:rsid w:val="58AC9122"/>
    <w:rsid w:val="58E64FFC"/>
    <w:rsid w:val="59851694"/>
    <w:rsid w:val="598AFD09"/>
    <w:rsid w:val="598B0B21"/>
    <w:rsid w:val="598B0B21"/>
    <w:rsid w:val="599EB4EB"/>
    <w:rsid w:val="599EB4EB"/>
    <w:rsid w:val="5A4F843D"/>
    <w:rsid w:val="5AA76AE0"/>
    <w:rsid w:val="5B20E6F5"/>
    <w:rsid w:val="5B6D1274"/>
    <w:rsid w:val="5B6D1274"/>
    <w:rsid w:val="5C436A92"/>
    <w:rsid w:val="5CBCB756"/>
    <w:rsid w:val="5CC4E14A"/>
    <w:rsid w:val="5CC4E14A"/>
    <w:rsid w:val="5DD4A074"/>
    <w:rsid w:val="5DFBB919"/>
    <w:rsid w:val="5E5887B7"/>
    <w:rsid w:val="5E5887B7"/>
    <w:rsid w:val="5E8F35E7"/>
    <w:rsid w:val="5FF45818"/>
    <w:rsid w:val="6026E540"/>
    <w:rsid w:val="611A317E"/>
    <w:rsid w:val="611A317E"/>
    <w:rsid w:val="613359DB"/>
    <w:rsid w:val="62208199"/>
    <w:rsid w:val="624617FA"/>
    <w:rsid w:val="62951FC8"/>
    <w:rsid w:val="62C09AC6"/>
    <w:rsid w:val="62F604D6"/>
    <w:rsid w:val="634D84B7"/>
    <w:rsid w:val="63BC51FA"/>
    <w:rsid w:val="64395A24"/>
    <w:rsid w:val="6451D240"/>
    <w:rsid w:val="645C6B27"/>
    <w:rsid w:val="6491D537"/>
    <w:rsid w:val="65303A4A"/>
    <w:rsid w:val="65EDA2A1"/>
    <w:rsid w:val="65F4CA14"/>
    <w:rsid w:val="6685F9D7"/>
    <w:rsid w:val="67A29B5F"/>
    <w:rsid w:val="68C20C21"/>
    <w:rsid w:val="6904614C"/>
    <w:rsid w:val="6909D667"/>
    <w:rsid w:val="6ADC7883"/>
    <w:rsid w:val="6ADC7883"/>
    <w:rsid w:val="6B3C795F"/>
    <w:rsid w:val="6C3C020E"/>
    <w:rsid w:val="6C9CE71C"/>
    <w:rsid w:val="6D8DD3E2"/>
    <w:rsid w:val="6DAD75B6"/>
    <w:rsid w:val="6DBBE129"/>
    <w:rsid w:val="6DF8B486"/>
    <w:rsid w:val="6DF8B486"/>
    <w:rsid w:val="6E316F47"/>
    <w:rsid w:val="6F494617"/>
    <w:rsid w:val="6F57B18A"/>
    <w:rsid w:val="6FADAD44"/>
    <w:rsid w:val="6FADAD44"/>
    <w:rsid w:val="71A685CF"/>
    <w:rsid w:val="71C8AC7E"/>
    <w:rsid w:val="71CBBF9C"/>
    <w:rsid w:val="71EFE80C"/>
    <w:rsid w:val="71EFE80C"/>
    <w:rsid w:val="72033624"/>
    <w:rsid w:val="72033624"/>
    <w:rsid w:val="727629EF"/>
    <w:rsid w:val="72B481EB"/>
    <w:rsid w:val="73636EF5"/>
    <w:rsid w:val="74DE2691"/>
    <w:rsid w:val="74E724E3"/>
    <w:rsid w:val="754290A0"/>
    <w:rsid w:val="75A74CC4"/>
    <w:rsid w:val="75ADCAB1"/>
    <w:rsid w:val="75CDE37A"/>
    <w:rsid w:val="7603C66B"/>
    <w:rsid w:val="7815C753"/>
    <w:rsid w:val="78959621"/>
    <w:rsid w:val="7B4D6815"/>
    <w:rsid w:val="7B566667"/>
    <w:rsid w:val="7C168E48"/>
    <w:rsid w:val="7CF128DE"/>
    <w:rsid w:val="7CF128DE"/>
    <w:rsid w:val="7D0E7243"/>
    <w:rsid w:val="7D45E8CB"/>
    <w:rsid w:val="7DB25EA9"/>
    <w:rsid w:val="7DB25EA9"/>
    <w:rsid w:val="7E798901"/>
    <w:rsid w:val="7EC890CF"/>
    <w:rsid w:val="7F2975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2F725"/>
  <w15:chartTrackingRefBased/>
  <w15:docId w15:val="{465A7D2E-256E-49CB-B862-612ADF0D5C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E316F4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FootnoteTextChar" w:customStyle="true">
    <w:uiPriority w:val="99"/>
    <w:name w:val="Footnote Text Char"/>
    <w:basedOn w:val="DefaultParagraphFont"/>
    <w:semiHidden/>
    <w:link w:val="FootnoteText"/>
    <w:rsid w:val="6E316F47"/>
    <w:rPr>
      <w:noProof w:val="0"/>
      <w:sz w:val="20"/>
      <w:szCs w:val="20"/>
      <w:lang w:val="en-GB"/>
    </w:rPr>
  </w:style>
  <w:style w:type="paragraph" w:styleId="FootnoteText">
    <w:uiPriority w:val="99"/>
    <w:name w:val="footnote text"/>
    <w:basedOn w:val="Normal"/>
    <w:semiHidden/>
    <w:unhideWhenUsed/>
    <w:link w:val="FootnoteTextChar"/>
    <w:rsid w:val="6E316F47"/>
    <w:rPr>
      <w:sz w:val="20"/>
      <w:szCs w:val="20"/>
    </w:rPr>
    <w:pPr>
      <w:spacing w:after="0"/>
    </w:pPr>
  </w:style>
  <w:style w:type="paragraph" w:styleId="Heading1">
    <w:uiPriority w:val="9"/>
    <w:name w:val="heading 1"/>
    <w:basedOn w:val="Normal"/>
    <w:next w:val="Normal"/>
    <w:link w:val="Heading1Char"/>
    <w:qFormat/>
    <w:rsid w:val="6E316F47"/>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6E316F47"/>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6E316F47"/>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6E316F47"/>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6E316F47"/>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6E316F47"/>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6E316F47"/>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6E316F47"/>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6E316F47"/>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6E316F4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E316F4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E316F4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E316F4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E316F47"/>
    <w:pPr>
      <w:spacing/>
      <w:ind w:left="720"/>
      <w:contextualSpacing/>
    </w:pPr>
  </w:style>
  <w:style w:type="character" w:styleId="Heading1Char" w:customStyle="true">
    <w:uiPriority w:val="9"/>
    <w:name w:val="Heading 1 Char"/>
    <w:basedOn w:val="DefaultParagraphFont"/>
    <w:link w:val="Heading1"/>
    <w:rsid w:val="6E316F4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E316F4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E316F4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E316F4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E316F4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E316F4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E316F4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E316F4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E316F4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E316F4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E316F4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E316F4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E316F47"/>
    <w:rPr>
      <w:i w:val="1"/>
      <w:iCs w:val="1"/>
      <w:noProof w:val="0"/>
      <w:color w:val="4472C4" w:themeColor="accent1" w:themeTint="FF" w:themeShade="FF"/>
      <w:lang w:val="en-GB"/>
    </w:rPr>
  </w:style>
  <w:style w:type="paragraph" w:styleId="TOC1">
    <w:uiPriority w:val="39"/>
    <w:name w:val="toc 1"/>
    <w:basedOn w:val="Normal"/>
    <w:next w:val="Normal"/>
    <w:unhideWhenUsed/>
    <w:rsid w:val="6E316F47"/>
    <w:pPr>
      <w:spacing w:after="100"/>
    </w:pPr>
  </w:style>
  <w:style w:type="paragraph" w:styleId="TOC2">
    <w:uiPriority w:val="39"/>
    <w:name w:val="toc 2"/>
    <w:basedOn w:val="Normal"/>
    <w:next w:val="Normal"/>
    <w:unhideWhenUsed/>
    <w:rsid w:val="6E316F47"/>
    <w:pPr>
      <w:spacing w:after="100"/>
      <w:ind w:left="220"/>
    </w:pPr>
  </w:style>
  <w:style w:type="paragraph" w:styleId="TOC3">
    <w:uiPriority w:val="39"/>
    <w:name w:val="toc 3"/>
    <w:basedOn w:val="Normal"/>
    <w:next w:val="Normal"/>
    <w:unhideWhenUsed/>
    <w:rsid w:val="6E316F47"/>
    <w:pPr>
      <w:spacing w:after="100"/>
      <w:ind w:left="440"/>
    </w:pPr>
  </w:style>
  <w:style w:type="paragraph" w:styleId="TOC4">
    <w:uiPriority w:val="39"/>
    <w:name w:val="toc 4"/>
    <w:basedOn w:val="Normal"/>
    <w:next w:val="Normal"/>
    <w:unhideWhenUsed/>
    <w:rsid w:val="6E316F47"/>
    <w:pPr>
      <w:spacing w:after="100"/>
      <w:ind w:left="660"/>
    </w:pPr>
  </w:style>
  <w:style w:type="paragraph" w:styleId="TOC5">
    <w:uiPriority w:val="39"/>
    <w:name w:val="toc 5"/>
    <w:basedOn w:val="Normal"/>
    <w:next w:val="Normal"/>
    <w:unhideWhenUsed/>
    <w:rsid w:val="6E316F47"/>
    <w:pPr>
      <w:spacing w:after="100"/>
      <w:ind w:left="880"/>
    </w:pPr>
  </w:style>
  <w:style w:type="paragraph" w:styleId="TOC6">
    <w:uiPriority w:val="39"/>
    <w:name w:val="toc 6"/>
    <w:basedOn w:val="Normal"/>
    <w:next w:val="Normal"/>
    <w:unhideWhenUsed/>
    <w:rsid w:val="6E316F47"/>
    <w:pPr>
      <w:spacing w:after="100"/>
      <w:ind w:left="1100"/>
    </w:pPr>
  </w:style>
  <w:style w:type="paragraph" w:styleId="TOC7">
    <w:uiPriority w:val="39"/>
    <w:name w:val="toc 7"/>
    <w:basedOn w:val="Normal"/>
    <w:next w:val="Normal"/>
    <w:unhideWhenUsed/>
    <w:rsid w:val="6E316F47"/>
    <w:pPr>
      <w:spacing w:after="100"/>
      <w:ind w:left="1320"/>
    </w:pPr>
  </w:style>
  <w:style w:type="paragraph" w:styleId="TOC8">
    <w:uiPriority w:val="39"/>
    <w:name w:val="toc 8"/>
    <w:basedOn w:val="Normal"/>
    <w:next w:val="Normal"/>
    <w:unhideWhenUsed/>
    <w:rsid w:val="6E316F47"/>
    <w:pPr>
      <w:spacing w:after="100"/>
      <w:ind w:left="1540"/>
    </w:pPr>
  </w:style>
  <w:style w:type="paragraph" w:styleId="TOC9">
    <w:uiPriority w:val="39"/>
    <w:name w:val="toc 9"/>
    <w:basedOn w:val="Normal"/>
    <w:next w:val="Normal"/>
    <w:unhideWhenUsed/>
    <w:rsid w:val="6E316F47"/>
    <w:pPr>
      <w:spacing w:after="100"/>
      <w:ind w:left="1760"/>
    </w:pPr>
  </w:style>
  <w:style w:type="paragraph" w:styleId="EndnoteText">
    <w:uiPriority w:val="99"/>
    <w:name w:val="endnote text"/>
    <w:basedOn w:val="Normal"/>
    <w:semiHidden/>
    <w:unhideWhenUsed/>
    <w:link w:val="EndnoteTextChar"/>
    <w:rsid w:val="6E316F47"/>
    <w:rPr>
      <w:sz w:val="20"/>
      <w:szCs w:val="20"/>
    </w:rPr>
    <w:pPr>
      <w:spacing w:after="0"/>
    </w:pPr>
  </w:style>
  <w:style w:type="character" w:styleId="EndnoteTextChar" w:customStyle="true">
    <w:uiPriority w:val="99"/>
    <w:name w:val="Endnote Text Char"/>
    <w:basedOn w:val="DefaultParagraphFont"/>
    <w:semiHidden/>
    <w:link w:val="EndnoteText"/>
    <w:rsid w:val="6E316F47"/>
    <w:rPr>
      <w:noProof w:val="0"/>
      <w:sz w:val="20"/>
      <w:szCs w:val="20"/>
      <w:lang w:val="en-GB"/>
    </w:rPr>
  </w:style>
  <w:style w:type="paragraph" w:styleId="Footer">
    <w:uiPriority w:val="99"/>
    <w:name w:val="footer"/>
    <w:basedOn w:val="Normal"/>
    <w:unhideWhenUsed/>
    <w:link w:val="FooterChar"/>
    <w:rsid w:val="6E316F4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E316F47"/>
    <w:rPr>
      <w:noProof w:val="0"/>
      <w:lang w:val="en-GB"/>
    </w:rPr>
  </w:style>
  <w:style w:type="paragraph" w:styleId="Header">
    <w:uiPriority w:val="99"/>
    <w:name w:val="header"/>
    <w:basedOn w:val="Normal"/>
    <w:unhideWhenUsed/>
    <w:link w:val="HeaderChar"/>
    <w:rsid w:val="6E316F4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E316F47"/>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0edf3be8c72b4c8b" /><Relationship Type="http://schemas.microsoft.com/office/2019/09/relationships/intelligence" Target="intelligence.xml" Id="R486f9deef2384bbb" /><Relationship Type="http://schemas.openxmlformats.org/officeDocument/2006/relationships/hyperlink" Target="https://www.legislation.gov.uk/ukpga/2005/4/contents" TargetMode="External" Id="R33968b035497459f" /><Relationship Type="http://schemas.openxmlformats.org/officeDocument/2006/relationships/hyperlink" Target="https://www.legislation.gov.uk/ukpga/2005/4/part/3/crossheading/appointment-of-judges" TargetMode="External" Id="Rc3a0df1c71fe41d6" /><Relationship Type="http://schemas.openxmlformats.org/officeDocument/2006/relationships/hyperlink" Target="https://www.judiciary.uk/about-the-judiciary/judges-career-paths/appointments-diversity/" TargetMode="External" Id="R05c1b87ccc7a466b" /><Relationship Type="http://schemas.openxmlformats.org/officeDocument/2006/relationships/hyperlink" Target="https://www.supremecourt.uk/cases/uksc-2020-0185.html" TargetMode="External" Id="R58730127ea054611" /><Relationship Type="http://schemas.openxmlformats.org/officeDocument/2006/relationships/hyperlink" Target="https://www.gov.uk/government/statistics/diversity-of-the-judiciary-2021-statistics/diversity-of-the-judiciary-2021-statistics-report" TargetMode="External" Id="R1ba8f40c3e3b4d66" /><Relationship Type="http://schemas.openxmlformats.org/officeDocument/2006/relationships/hyperlink" Target="https://www.supremecourt.uk/docs/speech-170811.pdf" TargetMode="External" Id="R79e26d8bb71d41fc" /><Relationship Type="http://schemas.openxmlformats.org/officeDocument/2006/relationships/hyperlink" Target="https://onlinelibrary.wiley.com/doi/full/10.1111/jols.12343" TargetMode="External" Id="R56deebdddadb417d" /><Relationship Type="http://schemas.openxmlformats.org/officeDocument/2006/relationships/hyperlink" Target="https://www.supremecourt.uk/about/role-of-the-supreme-court.html" TargetMode="External" Id="R6fdaa69238384017" /><Relationship Type="http://schemas.openxmlformats.org/officeDocument/2006/relationships/hyperlink" Target="https://www.supremecourt.uk/about/former-justices.html" TargetMode="External" Id="R0d5088ee53fe4591" /><Relationship Type="http://schemas.openxmlformats.org/officeDocument/2006/relationships/hyperlink" Target="https://www.ucl.ac.uk/judicial-institute/sites/judicial-institute/files/judicial_diversity_in_the_uk_and_other_jurisdictions.pdf" TargetMode="External" Id="R12c0a47a43184123" /><Relationship Type="http://schemas.openxmlformats.org/officeDocument/2006/relationships/numbering" Target="numbering.xml" Id="R1d1cb82f2eba44af" /></Relationships>
</file>

<file path=word/_rels/footnotes.xml.rels>&#65279;<?xml version="1.0" encoding="utf-8"?><Relationships xmlns="http://schemas.openxmlformats.org/package/2006/relationships"><Relationship Type="http://schemas.openxmlformats.org/officeDocument/2006/relationships/hyperlink" Target="https://www.supremecourt.uk/cases/uksc-2020-0185.html" TargetMode="External" Id="Rd7a286bc4e2e4f17" /><Relationship Type="http://schemas.openxmlformats.org/officeDocument/2006/relationships/hyperlink" Target="https://www.legislation.gov.uk/ukpga/2005/4/contents" TargetMode="External" Id="Rfc9d08f762ab4540" /><Relationship Type="http://schemas.openxmlformats.org/officeDocument/2006/relationships/hyperlink" Target="https://www.legislation.gov.uk/ukpga/2005/4/part/3/crossheading/appointment-of-judges" TargetMode="External" Id="R388e92097d5943da" /><Relationship Type="http://schemas.openxmlformats.org/officeDocument/2006/relationships/hyperlink" Target="https://www.supremecourt.uk/about/former-justices.html" TargetMode="External" Id="R12bca629d8314198" /><Relationship Type="http://schemas.openxmlformats.org/officeDocument/2006/relationships/hyperlink" Target="https://onlinelibrary.wiley.com/doi/full/10.1111/jols.12343" TargetMode="External" Id="R27c432770f054b5c" /><Relationship Type="http://schemas.openxmlformats.org/officeDocument/2006/relationships/hyperlink" Target="https://www.ucl.ac.uk/judicial-institute/sites/judicial-institute/files/judicial_diversity_in_the_uk_and_other_jurisdictions.pdf" TargetMode="External" Id="R9158eef649f94ffb" /><Relationship Type="http://schemas.openxmlformats.org/officeDocument/2006/relationships/hyperlink" Target="https://www.judiciary.uk/about-the-judiciary/judges-career-paths/appointments-diversity/" TargetMode="External" Id="Re09685cb63b5494f" /><Relationship Type="http://schemas.openxmlformats.org/officeDocument/2006/relationships/hyperlink" Target="https://www.supremecourt.uk/about/role-of-the-supreme-court.html" TargetMode="External" Id="Rcaf7918fb3b2451f" /><Relationship Type="http://schemas.openxmlformats.org/officeDocument/2006/relationships/hyperlink" Target="https://www.gov.uk/government/statistics/diversity-of-the-judiciary-2021-statistics/diversity-of-the-judiciary-2021-statistics-report" TargetMode="External" Id="R4b64bd12c0b942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2022-03-04T14:01:25.0409525Z</dcterms:created>
  <dcterms:modified xsi:type="dcterms:W3CDTF">2022-03-11T22:28:21.9201594Z</dcterms:modified>
  <dc:creator>George Jones (2114229)</dc:creator>
  <lastModifiedBy>George Jones (2114229)</lastModifiedBy>
</coreProperties>
</file>