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05C7" w:rsidRDefault="000405C7" w:rsidP="00D41209">
      <w:pPr>
        <w:jc w:val="center"/>
      </w:pPr>
      <w:r>
        <w:rPr>
          <w:noProof/>
          <w:lang w:val="en-US" w:eastAsia="en-US"/>
        </w:rPr>
        <w:drawing>
          <wp:inline distT="0" distB="0" distL="0" distR="0">
            <wp:extent cx="4514219" cy="2257425"/>
            <wp:effectExtent l="0" t="0" r="631" b="9525"/>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7"/>
                    <a:srcRect/>
                    <a:stretch>
                      <a:fillRect/>
                    </a:stretch>
                  </pic:blipFill>
                  <pic:spPr>
                    <a:xfrm>
                      <a:off x="0" y="0"/>
                      <a:ext cx="4514219" cy="2257425"/>
                    </a:xfrm>
                    <a:prstGeom prst="rect">
                      <a:avLst/>
                    </a:prstGeom>
                    <a:noFill/>
                    <a:ln>
                      <a:noFill/>
                      <a:prstDash/>
                    </a:ln>
                  </pic:spPr>
                </pic:pic>
              </a:graphicData>
            </a:graphic>
          </wp:inline>
        </w:drawing>
      </w:r>
    </w:p>
    <w:p w:rsidR="000405C7" w:rsidRDefault="000405C7" w:rsidP="00D41209"/>
    <w:p w:rsidR="000405C7" w:rsidRDefault="000405C7" w:rsidP="00D41209"/>
    <w:p w:rsidR="000405C7" w:rsidRDefault="000405C7" w:rsidP="00D41209"/>
    <w:p w:rsidR="000405C7" w:rsidRDefault="000405C7" w:rsidP="00D41209"/>
    <w:p w:rsidR="000405C7" w:rsidRDefault="000405C7" w:rsidP="00D41209"/>
    <w:p w:rsidR="000405C7" w:rsidRDefault="000405C7" w:rsidP="00D41209">
      <w:pPr>
        <w:rPr>
          <w:sz w:val="40"/>
          <w:szCs w:val="40"/>
        </w:rPr>
      </w:pPr>
      <w:r>
        <w:rPr>
          <w:sz w:val="40"/>
          <w:szCs w:val="40"/>
        </w:rPr>
        <w:t xml:space="preserve">Student Name  :- Hiren Prafulbhai Balasara </w:t>
      </w:r>
    </w:p>
    <w:p w:rsidR="000405C7" w:rsidRDefault="000405C7" w:rsidP="00D41209">
      <w:pPr>
        <w:rPr>
          <w:sz w:val="40"/>
          <w:szCs w:val="40"/>
        </w:rPr>
      </w:pPr>
      <w:r>
        <w:rPr>
          <w:sz w:val="40"/>
          <w:szCs w:val="40"/>
        </w:rPr>
        <w:t>Student ID       :- 2239857</w:t>
      </w:r>
    </w:p>
    <w:p w:rsidR="000405C7" w:rsidRDefault="000405C7" w:rsidP="00D41209">
      <w:pPr>
        <w:rPr>
          <w:sz w:val="40"/>
          <w:szCs w:val="40"/>
        </w:rPr>
      </w:pPr>
      <w:r>
        <w:rPr>
          <w:sz w:val="40"/>
          <w:szCs w:val="40"/>
        </w:rPr>
        <w:t>Programme      :- MBA Banking and Finance</w:t>
      </w:r>
    </w:p>
    <w:p w:rsidR="000405C7" w:rsidRDefault="000405C7" w:rsidP="00F47CEC">
      <w:pPr>
        <w:rPr>
          <w:sz w:val="40"/>
          <w:szCs w:val="40"/>
        </w:rPr>
      </w:pPr>
      <w:r>
        <w:rPr>
          <w:sz w:val="40"/>
          <w:szCs w:val="40"/>
        </w:rPr>
        <w:t xml:space="preserve">Module       :- Banking Financial Management and                </w:t>
      </w:r>
      <w:r w:rsidR="00F47CEC">
        <w:rPr>
          <w:sz w:val="40"/>
          <w:szCs w:val="40"/>
        </w:rPr>
        <w:t xml:space="preserve">             </w:t>
      </w:r>
      <w:r w:rsidR="00F47CEC">
        <w:rPr>
          <w:sz w:val="40"/>
          <w:szCs w:val="40"/>
        </w:rPr>
        <w:tab/>
      </w:r>
      <w:r w:rsidR="00F47CEC">
        <w:rPr>
          <w:sz w:val="40"/>
          <w:szCs w:val="40"/>
        </w:rPr>
        <w:tab/>
      </w:r>
      <w:r w:rsidR="00F47CEC">
        <w:rPr>
          <w:sz w:val="40"/>
          <w:szCs w:val="40"/>
        </w:rPr>
        <w:tab/>
      </w:r>
      <w:r w:rsidR="00F47CEC">
        <w:rPr>
          <w:sz w:val="40"/>
          <w:szCs w:val="40"/>
        </w:rPr>
        <w:tab/>
      </w:r>
      <w:r>
        <w:rPr>
          <w:sz w:val="40"/>
          <w:szCs w:val="40"/>
        </w:rPr>
        <w:t>Financial Markets</w:t>
      </w:r>
    </w:p>
    <w:p w:rsidR="000405C7" w:rsidRDefault="000405C7" w:rsidP="00D41209">
      <w:pPr>
        <w:rPr>
          <w:sz w:val="40"/>
          <w:szCs w:val="40"/>
        </w:rPr>
      </w:pPr>
      <w:r>
        <w:rPr>
          <w:sz w:val="40"/>
          <w:szCs w:val="40"/>
        </w:rPr>
        <w:t>Module Code   :- LCMB7012</w:t>
      </w:r>
    </w:p>
    <w:p w:rsidR="000405C7" w:rsidRDefault="000405C7" w:rsidP="00D41209">
      <w:pPr>
        <w:rPr>
          <w:sz w:val="40"/>
          <w:szCs w:val="40"/>
        </w:rPr>
      </w:pPr>
      <w:r>
        <w:rPr>
          <w:sz w:val="40"/>
          <w:szCs w:val="40"/>
        </w:rPr>
        <w:t xml:space="preserve">Lecturer           :- </w:t>
      </w:r>
      <w:r w:rsidR="00F47CEC">
        <w:rPr>
          <w:sz w:val="40"/>
          <w:szCs w:val="40"/>
        </w:rPr>
        <w:t>David Coker</w:t>
      </w:r>
    </w:p>
    <w:p w:rsidR="000405C7" w:rsidRDefault="000405C7" w:rsidP="00D41209">
      <w:pPr>
        <w:rPr>
          <w:sz w:val="40"/>
          <w:szCs w:val="40"/>
        </w:rPr>
      </w:pPr>
      <w:r>
        <w:rPr>
          <w:sz w:val="40"/>
          <w:szCs w:val="40"/>
        </w:rPr>
        <w:t xml:space="preserve">Submitted On  :- </w:t>
      </w:r>
      <w:r w:rsidR="00F47CEC">
        <w:rPr>
          <w:sz w:val="40"/>
          <w:szCs w:val="40"/>
        </w:rPr>
        <w:t>January</w:t>
      </w:r>
      <w:r>
        <w:rPr>
          <w:sz w:val="40"/>
          <w:szCs w:val="40"/>
        </w:rPr>
        <w:t xml:space="preserve"> </w:t>
      </w:r>
      <w:r w:rsidR="00F47CEC">
        <w:rPr>
          <w:sz w:val="40"/>
          <w:szCs w:val="40"/>
        </w:rPr>
        <w:t>5</w:t>
      </w:r>
      <w:r w:rsidRPr="00E052E1">
        <w:rPr>
          <w:sz w:val="40"/>
          <w:szCs w:val="40"/>
          <w:vertAlign w:val="superscript"/>
        </w:rPr>
        <w:t>t</w:t>
      </w:r>
      <w:r w:rsidR="00F47CEC">
        <w:rPr>
          <w:sz w:val="40"/>
          <w:szCs w:val="40"/>
          <w:vertAlign w:val="superscript"/>
        </w:rPr>
        <w:t>h</w:t>
      </w:r>
      <w:r w:rsidR="00F47CEC">
        <w:rPr>
          <w:sz w:val="40"/>
          <w:szCs w:val="40"/>
        </w:rPr>
        <w:t xml:space="preserve"> 2024</w:t>
      </w: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450D2E" w:rsidRDefault="00D91A5C">
      <w:pPr>
        <w:rPr>
          <w:b/>
          <w:color w:val="000000"/>
          <w:sz w:val="32"/>
          <w:szCs w:val="32"/>
        </w:rPr>
      </w:pPr>
    </w:p>
    <w:p w:rsidR="00D91A5C" w:rsidRPr="00450D2E" w:rsidRDefault="00D91A5C">
      <w:pPr>
        <w:jc w:val="center"/>
        <w:rPr>
          <w:b/>
          <w:color w:val="000000"/>
          <w:sz w:val="32"/>
          <w:szCs w:val="32"/>
        </w:rPr>
      </w:pPr>
    </w:p>
    <w:p w:rsidR="00D91A5C" w:rsidRPr="00450D2E" w:rsidRDefault="00D91A5C">
      <w:pPr>
        <w:jc w:val="center"/>
        <w:rPr>
          <w:b/>
          <w:color w:val="000000"/>
          <w:sz w:val="32"/>
          <w:szCs w:val="32"/>
        </w:rPr>
      </w:pPr>
    </w:p>
    <w:p w:rsidR="00D91A5C" w:rsidRPr="009C3101" w:rsidRDefault="000D01B0">
      <w:pPr>
        <w:jc w:val="center"/>
        <w:rPr>
          <w:b/>
          <w:color w:val="000000"/>
          <w:sz w:val="48"/>
          <w:szCs w:val="48"/>
        </w:rPr>
      </w:pPr>
      <w:r w:rsidRPr="009C3101">
        <w:rPr>
          <w:b/>
          <w:color w:val="000000"/>
          <w:sz w:val="48"/>
          <w:szCs w:val="48"/>
        </w:rPr>
        <w:t>LCMB7012- BANKING FINANCIAL MANAGEMENT AND FINANCIAL MARKETS</w:t>
      </w:r>
    </w:p>
    <w:p w:rsidR="00D91A5C" w:rsidRPr="00450D2E" w:rsidRDefault="000D01B0">
      <w:pPr>
        <w:rPr>
          <w:b/>
          <w:color w:val="000000"/>
          <w:sz w:val="32"/>
          <w:szCs w:val="32"/>
        </w:rPr>
      </w:pPr>
      <w:r w:rsidRPr="00450D2E">
        <w:br w:type="page"/>
      </w:r>
    </w:p>
    <w:p w:rsidR="00D91A5C" w:rsidRPr="00450D2E" w:rsidRDefault="000D01B0">
      <w:pPr>
        <w:keepNext/>
        <w:keepLines/>
        <w:pBdr>
          <w:top w:val="nil"/>
          <w:left w:val="nil"/>
          <w:bottom w:val="nil"/>
          <w:right w:val="nil"/>
          <w:between w:val="nil"/>
        </w:pBdr>
        <w:spacing w:before="240" w:after="0"/>
        <w:jc w:val="center"/>
        <w:rPr>
          <w:b/>
          <w:color w:val="000000"/>
          <w:sz w:val="28"/>
          <w:szCs w:val="28"/>
        </w:rPr>
      </w:pPr>
      <w:r w:rsidRPr="00450D2E">
        <w:rPr>
          <w:b/>
          <w:color w:val="000000"/>
          <w:sz w:val="28"/>
          <w:szCs w:val="28"/>
        </w:rPr>
        <w:lastRenderedPageBreak/>
        <w:t>Table of Contents</w:t>
      </w:r>
    </w:p>
    <w:sdt>
      <w:sdtPr>
        <w:id w:val="-99797180"/>
        <w:docPartObj>
          <w:docPartGallery w:val="Table of Contents"/>
          <w:docPartUnique/>
        </w:docPartObj>
      </w:sdtPr>
      <w:sdtContent>
        <w:p w:rsidR="0094348E" w:rsidRDefault="00FF5F8D">
          <w:pPr>
            <w:pStyle w:val="TOC1"/>
            <w:tabs>
              <w:tab w:val="right" w:leader="dot" w:pos="9016"/>
            </w:tabs>
            <w:rPr>
              <w:noProof/>
            </w:rPr>
          </w:pPr>
          <w:r w:rsidRPr="00450D2E">
            <w:fldChar w:fldCharType="begin"/>
          </w:r>
          <w:r w:rsidR="000D01B0" w:rsidRPr="00450D2E">
            <w:instrText xml:space="preserve"> TOC \h \u \z \t "Heading 1,1,Heading 2,2,Heading 3,3,"</w:instrText>
          </w:r>
          <w:r w:rsidRPr="00450D2E">
            <w:fldChar w:fldCharType="separate"/>
          </w:r>
          <w:hyperlink w:anchor="_Toc154361524" w:history="1">
            <w:r w:rsidR="0094348E" w:rsidRPr="000E16A5">
              <w:rPr>
                <w:rStyle w:val="Hyperlink"/>
                <w:noProof/>
              </w:rPr>
              <w:t>Question 1</w:t>
            </w:r>
            <w:r w:rsidR="0094348E">
              <w:rPr>
                <w:noProof/>
                <w:webHidden/>
              </w:rPr>
              <w:tab/>
            </w:r>
            <w:r>
              <w:rPr>
                <w:noProof/>
                <w:webHidden/>
              </w:rPr>
              <w:fldChar w:fldCharType="begin"/>
            </w:r>
            <w:r w:rsidR="0094348E">
              <w:rPr>
                <w:noProof/>
                <w:webHidden/>
              </w:rPr>
              <w:instrText xml:space="preserve"> PAGEREF _Toc154361524 \h </w:instrText>
            </w:r>
            <w:r>
              <w:rPr>
                <w:noProof/>
                <w:webHidden/>
              </w:rPr>
            </w:r>
            <w:r>
              <w:rPr>
                <w:noProof/>
                <w:webHidden/>
              </w:rPr>
              <w:fldChar w:fldCharType="separate"/>
            </w:r>
            <w:r w:rsidR="0094348E">
              <w:rPr>
                <w:noProof/>
                <w:webHidden/>
              </w:rPr>
              <w:t>3</w:t>
            </w:r>
            <w:r>
              <w:rPr>
                <w:noProof/>
                <w:webHidden/>
              </w:rPr>
              <w:fldChar w:fldCharType="end"/>
            </w:r>
          </w:hyperlink>
        </w:p>
        <w:p w:rsidR="0094348E" w:rsidRDefault="00FF5F8D">
          <w:pPr>
            <w:pStyle w:val="TOC1"/>
            <w:tabs>
              <w:tab w:val="right" w:leader="dot" w:pos="9016"/>
            </w:tabs>
            <w:rPr>
              <w:noProof/>
            </w:rPr>
          </w:pPr>
          <w:hyperlink w:anchor="_Toc154361525" w:history="1">
            <w:r w:rsidR="0094348E" w:rsidRPr="000E16A5">
              <w:rPr>
                <w:rStyle w:val="Hyperlink"/>
                <w:noProof/>
              </w:rPr>
              <w:t>Question 2</w:t>
            </w:r>
            <w:r w:rsidR="0094348E">
              <w:rPr>
                <w:noProof/>
                <w:webHidden/>
              </w:rPr>
              <w:tab/>
            </w:r>
            <w:r>
              <w:rPr>
                <w:noProof/>
                <w:webHidden/>
              </w:rPr>
              <w:fldChar w:fldCharType="begin"/>
            </w:r>
            <w:r w:rsidR="0094348E">
              <w:rPr>
                <w:noProof/>
                <w:webHidden/>
              </w:rPr>
              <w:instrText xml:space="preserve"> PAGEREF _Toc154361525 \h </w:instrText>
            </w:r>
            <w:r>
              <w:rPr>
                <w:noProof/>
                <w:webHidden/>
              </w:rPr>
            </w:r>
            <w:r>
              <w:rPr>
                <w:noProof/>
                <w:webHidden/>
              </w:rPr>
              <w:fldChar w:fldCharType="separate"/>
            </w:r>
            <w:r w:rsidR="0094348E">
              <w:rPr>
                <w:noProof/>
                <w:webHidden/>
              </w:rPr>
              <w:t>6</w:t>
            </w:r>
            <w:r>
              <w:rPr>
                <w:noProof/>
                <w:webHidden/>
              </w:rPr>
              <w:fldChar w:fldCharType="end"/>
            </w:r>
          </w:hyperlink>
        </w:p>
        <w:p w:rsidR="0094348E" w:rsidRDefault="00FF5F8D">
          <w:pPr>
            <w:pStyle w:val="TOC1"/>
            <w:tabs>
              <w:tab w:val="right" w:leader="dot" w:pos="9016"/>
            </w:tabs>
            <w:rPr>
              <w:noProof/>
            </w:rPr>
          </w:pPr>
          <w:hyperlink w:anchor="_Toc154361526" w:history="1">
            <w:r w:rsidR="0094348E" w:rsidRPr="000E16A5">
              <w:rPr>
                <w:rStyle w:val="Hyperlink"/>
                <w:noProof/>
              </w:rPr>
              <w:t>Question 3</w:t>
            </w:r>
            <w:r w:rsidR="0094348E">
              <w:rPr>
                <w:noProof/>
                <w:webHidden/>
              </w:rPr>
              <w:tab/>
            </w:r>
            <w:r>
              <w:rPr>
                <w:noProof/>
                <w:webHidden/>
              </w:rPr>
              <w:fldChar w:fldCharType="begin"/>
            </w:r>
            <w:r w:rsidR="0094348E">
              <w:rPr>
                <w:noProof/>
                <w:webHidden/>
              </w:rPr>
              <w:instrText xml:space="preserve"> PAGEREF _Toc154361526 \h </w:instrText>
            </w:r>
            <w:r>
              <w:rPr>
                <w:noProof/>
                <w:webHidden/>
              </w:rPr>
            </w:r>
            <w:r>
              <w:rPr>
                <w:noProof/>
                <w:webHidden/>
              </w:rPr>
              <w:fldChar w:fldCharType="separate"/>
            </w:r>
            <w:r w:rsidR="0094348E">
              <w:rPr>
                <w:noProof/>
                <w:webHidden/>
              </w:rPr>
              <w:t>9</w:t>
            </w:r>
            <w:r>
              <w:rPr>
                <w:noProof/>
                <w:webHidden/>
              </w:rPr>
              <w:fldChar w:fldCharType="end"/>
            </w:r>
          </w:hyperlink>
        </w:p>
        <w:p w:rsidR="0094348E" w:rsidRDefault="00FF5F8D">
          <w:pPr>
            <w:pStyle w:val="TOC1"/>
            <w:tabs>
              <w:tab w:val="right" w:leader="dot" w:pos="9016"/>
            </w:tabs>
            <w:rPr>
              <w:noProof/>
            </w:rPr>
          </w:pPr>
          <w:hyperlink w:anchor="_Toc154361527" w:history="1">
            <w:r w:rsidR="0094348E" w:rsidRPr="000E16A5">
              <w:rPr>
                <w:rStyle w:val="Hyperlink"/>
                <w:noProof/>
              </w:rPr>
              <w:t>Question 4</w:t>
            </w:r>
            <w:r w:rsidR="0094348E">
              <w:rPr>
                <w:noProof/>
                <w:webHidden/>
              </w:rPr>
              <w:tab/>
            </w:r>
            <w:r>
              <w:rPr>
                <w:noProof/>
                <w:webHidden/>
              </w:rPr>
              <w:fldChar w:fldCharType="begin"/>
            </w:r>
            <w:r w:rsidR="0094348E">
              <w:rPr>
                <w:noProof/>
                <w:webHidden/>
              </w:rPr>
              <w:instrText xml:space="preserve"> PAGEREF _Toc154361527 \h </w:instrText>
            </w:r>
            <w:r>
              <w:rPr>
                <w:noProof/>
                <w:webHidden/>
              </w:rPr>
            </w:r>
            <w:r>
              <w:rPr>
                <w:noProof/>
                <w:webHidden/>
              </w:rPr>
              <w:fldChar w:fldCharType="separate"/>
            </w:r>
            <w:r w:rsidR="0094348E">
              <w:rPr>
                <w:noProof/>
                <w:webHidden/>
              </w:rPr>
              <w:t>12</w:t>
            </w:r>
            <w:r>
              <w:rPr>
                <w:noProof/>
                <w:webHidden/>
              </w:rPr>
              <w:fldChar w:fldCharType="end"/>
            </w:r>
          </w:hyperlink>
        </w:p>
        <w:p w:rsidR="0094348E" w:rsidRDefault="00FF5F8D">
          <w:pPr>
            <w:pStyle w:val="TOC1"/>
            <w:tabs>
              <w:tab w:val="right" w:leader="dot" w:pos="9016"/>
            </w:tabs>
            <w:rPr>
              <w:noProof/>
            </w:rPr>
          </w:pPr>
          <w:hyperlink w:anchor="_Toc154361528" w:history="1">
            <w:r w:rsidR="0094348E" w:rsidRPr="000E16A5">
              <w:rPr>
                <w:rStyle w:val="Hyperlink"/>
                <w:noProof/>
              </w:rPr>
              <w:t>Reference</w:t>
            </w:r>
            <w:r w:rsidR="0094348E">
              <w:rPr>
                <w:noProof/>
                <w:webHidden/>
              </w:rPr>
              <w:tab/>
            </w:r>
            <w:r>
              <w:rPr>
                <w:noProof/>
                <w:webHidden/>
              </w:rPr>
              <w:fldChar w:fldCharType="begin"/>
            </w:r>
            <w:r w:rsidR="0094348E">
              <w:rPr>
                <w:noProof/>
                <w:webHidden/>
              </w:rPr>
              <w:instrText xml:space="preserve"> PAGEREF _Toc154361528 \h </w:instrText>
            </w:r>
            <w:r>
              <w:rPr>
                <w:noProof/>
                <w:webHidden/>
              </w:rPr>
            </w:r>
            <w:r>
              <w:rPr>
                <w:noProof/>
                <w:webHidden/>
              </w:rPr>
              <w:fldChar w:fldCharType="separate"/>
            </w:r>
            <w:r w:rsidR="0094348E">
              <w:rPr>
                <w:noProof/>
                <w:webHidden/>
              </w:rPr>
              <w:t>16</w:t>
            </w:r>
            <w:r>
              <w:rPr>
                <w:noProof/>
                <w:webHidden/>
              </w:rPr>
              <w:fldChar w:fldCharType="end"/>
            </w:r>
          </w:hyperlink>
        </w:p>
        <w:p w:rsidR="00D91A5C" w:rsidRPr="00450D2E" w:rsidRDefault="00FF5F8D">
          <w:pPr>
            <w:widowControl w:val="0"/>
            <w:tabs>
              <w:tab w:val="right" w:leader="dot" w:pos="12000"/>
            </w:tabs>
            <w:spacing w:before="60" w:after="0"/>
            <w:rPr>
              <w:b/>
              <w:color w:val="000000"/>
            </w:rPr>
          </w:pPr>
          <w:r w:rsidRPr="00450D2E">
            <w:fldChar w:fldCharType="end"/>
          </w:r>
        </w:p>
      </w:sdtContent>
    </w:sdt>
    <w:p w:rsidR="00D91A5C" w:rsidRPr="00450D2E" w:rsidRDefault="000D01B0">
      <w:pPr>
        <w:jc w:val="center"/>
        <w:rPr>
          <w:b/>
          <w:color w:val="000000"/>
          <w:sz w:val="28"/>
          <w:szCs w:val="28"/>
        </w:rPr>
      </w:pPr>
      <w:bookmarkStart w:id="0" w:name="_heading=h.gjdgxs" w:colFirst="0" w:colLast="0"/>
      <w:bookmarkEnd w:id="0"/>
      <w:r w:rsidRPr="00450D2E">
        <w:br w:type="page"/>
      </w:r>
    </w:p>
    <w:p w:rsidR="00D91A5C" w:rsidRPr="00450D2E" w:rsidRDefault="000D01B0">
      <w:pPr>
        <w:pStyle w:val="Heading1"/>
      </w:pPr>
      <w:bookmarkStart w:id="1" w:name="_Toc154361524"/>
      <w:r w:rsidRPr="00450D2E">
        <w:lastRenderedPageBreak/>
        <w:t>Question 1</w:t>
      </w:r>
      <w:bookmarkEnd w:id="1"/>
    </w:p>
    <w:p w:rsidR="00D91A5C" w:rsidRPr="00450D2E" w:rsidRDefault="000D01B0">
      <w:pPr>
        <w:rPr>
          <w:color w:val="000000"/>
        </w:rPr>
      </w:pPr>
      <w:r w:rsidRPr="00450D2E">
        <w:rPr>
          <w:color w:val="000000"/>
        </w:rPr>
        <w:t xml:space="preserve">After the 2008 budgetary emergency, the Joined together States actualized different laws, controls, and changes to address monetary framework vulnerabilities and anticipate future emergencies. Imperative administrative and administrative measures incorporate e.g. Dodd-Frank, a clearing monetary change law that targets different viewpoints of the money related framework. Imperative controls incorporate the creation of the CFPB (Customer Monetary Security Bureau), fortifying supervision of subordinates, the Volcker run the show restricting banks' claim exchanging, and expanded supervision of systemic dangers. </w:t>
      </w:r>
    </w:p>
    <w:p w:rsidR="00D91A5C" w:rsidRPr="00450D2E" w:rsidRDefault="000D01B0">
      <w:r w:rsidRPr="00450D2E">
        <w:rPr>
          <w:color w:val="000000"/>
        </w:rPr>
        <w:t>The Volcker Run the show, portion of Dodd-Frank, stands out by disallowing banks from exchanging themselves and constraining their ventures in wander capital and private value reserves. The Money related Solidness Oversight Chamber (FSOC), set up by Dodd-Frank, is mindful for distinguishing and reacting to developing dangers to budgetary soundness. It encourages coordination between agents of diverse administrative specialists to address systemic dangers (</w:t>
      </w:r>
      <w:r w:rsidRPr="00450D2E">
        <w:rPr>
          <w:color w:val="000000"/>
          <w:highlight w:val="white"/>
        </w:rPr>
        <w:t>Duffie, 2018</w:t>
      </w:r>
      <w:r w:rsidRPr="00450D2E">
        <w:rPr>
          <w:color w:val="000000"/>
        </w:rPr>
        <w:t xml:space="preserve">). The Office of Monetary Inquire about (OFR), made by Dodd-Frank, moreover underpins FSOC by giving inquire about and data to distinguish and moderate dangers to the budgetary framework. The Customer Monetary Assurance Bureau (CFPB), an free organization made by Dodd-Frank, </w:t>
      </w:r>
      <w:r w:rsidR="00450D2E" w:rsidRPr="00450D2E">
        <w:rPr>
          <w:color w:val="000000"/>
        </w:rPr>
        <w:t>centres</w:t>
      </w:r>
      <w:r w:rsidRPr="00450D2E">
        <w:rPr>
          <w:color w:val="000000"/>
        </w:rPr>
        <w:t xml:space="preserve"> on securing customers in budgetary markets by directing budgetary items and administrations. The reason of the Employments Act is to harmonize securities enactment to encourage capital arrangement for little businesses. This incorporates controls related to crowdfunding, starting open offerings (IPOs) and capital arrangement for developing development companies. While the Quick Act </w:t>
      </w:r>
      <w:r w:rsidR="00450D2E" w:rsidRPr="00450D2E">
        <w:rPr>
          <w:color w:val="000000"/>
        </w:rPr>
        <w:t>centres</w:t>
      </w:r>
      <w:r w:rsidRPr="00450D2E">
        <w:rPr>
          <w:color w:val="000000"/>
        </w:rPr>
        <w:t xml:space="preserve"> essentially on transportation financing, it incorporates arrangements for capitalization and revelation prerequisites for developing development companies (</w:t>
      </w:r>
      <w:r w:rsidRPr="00450D2E">
        <w:rPr>
          <w:color w:val="000000"/>
          <w:highlight w:val="white"/>
        </w:rPr>
        <w:t xml:space="preserve">Johnstone </w:t>
      </w:r>
      <w:r w:rsidRPr="00450D2E">
        <w:rPr>
          <w:i/>
          <w:color w:val="000000"/>
          <w:highlight w:val="white"/>
        </w:rPr>
        <w:t xml:space="preserve">et al, </w:t>
      </w:r>
      <w:r w:rsidRPr="00450D2E">
        <w:rPr>
          <w:color w:val="000000"/>
          <w:highlight w:val="white"/>
        </w:rPr>
        <w:t>2019</w:t>
      </w:r>
      <w:r w:rsidRPr="00450D2E">
        <w:rPr>
          <w:color w:val="000000"/>
        </w:rPr>
        <w:t>).  This law, commonly known as the Dodd-Frank discount, gives administrative help to little and medium-sized banks by unwinding certain arrangements of Dodd-Frank, counting raising the edge for capital ampleness benchmarks and push tests (</w:t>
      </w:r>
      <w:r w:rsidRPr="00450D2E">
        <w:rPr>
          <w:color w:val="000000"/>
          <w:highlight w:val="white"/>
        </w:rPr>
        <w:t>Tarullo, 2019</w:t>
      </w:r>
      <w:r w:rsidRPr="00450D2E">
        <w:rPr>
          <w:color w:val="000000"/>
        </w:rPr>
        <w:t>). The Securities and Exchange Commission (SEC) introduced Reg BI to raise the bar for brokers and require them to act in the best interests of their retail clients.</w:t>
      </w:r>
    </w:p>
    <w:p w:rsidR="00D91A5C" w:rsidRPr="00450D2E" w:rsidRDefault="000D01B0">
      <w:r w:rsidRPr="00450D2E">
        <w:t xml:space="preserve">After the 2008 financial problems, The US viewed an essential overhaul of regulatory guidelines. these viewed their presence in the areas of different essential laws, regulations, and reforms which focused on addressing different types of vulnerabilities in the financial domain to prevent future issues and similar crises. One of the major legislations that cropped up during this period included the “Dodd-Frank Wall Street Reform” as well as the </w:t>
      </w:r>
      <w:r w:rsidRPr="00450D2E">
        <w:lastRenderedPageBreak/>
        <w:t>“Consumer Protection Act” (Tarullo, 2019). In addition, there were certain other legislative initiatives that emerged during this scenario. One of the most essential of them included the JOBS Act or “The Jumpstart Our Business Start</w:t>
      </w:r>
      <w:r w:rsidR="009C3101">
        <w:t xml:space="preserve"> </w:t>
      </w:r>
      <w:r w:rsidRPr="00450D2E">
        <w:t xml:space="preserve">up Act” which was implemented in 2012. </w:t>
      </w:r>
    </w:p>
    <w:p w:rsidR="00D91A5C" w:rsidRPr="00450D2E" w:rsidRDefault="000D01B0">
      <w:r w:rsidRPr="00450D2E">
        <w:t>The main aim of this legislation was to streamline securities regulations for the purpose of adding to capital development as well as the development of small businesses. These legislations are associated with crowd</w:t>
      </w:r>
      <w:r w:rsidR="009C3101">
        <w:t xml:space="preserve"> </w:t>
      </w:r>
      <w:r w:rsidRPr="00450D2E">
        <w:t xml:space="preserve">funding, “initial public offerings” and the development of capital suited for the emergence of different companies (De Filippi </w:t>
      </w:r>
      <w:r w:rsidRPr="00450D2E">
        <w:rPr>
          <w:i/>
        </w:rPr>
        <w:t>et al</w:t>
      </w:r>
      <w:r w:rsidRPr="00450D2E">
        <w:t xml:space="preserve">., 2020). The FAST Act was brought into light initially for the purpose of financing </w:t>
      </w:r>
      <w:r w:rsidR="00450D2E" w:rsidRPr="00450D2E">
        <w:t>transport;</w:t>
      </w:r>
      <w:r w:rsidRPr="00450D2E">
        <w:t xml:space="preserve"> however, it includes different sections associated with capitalisation as well as the emerging and expanding development organisations (Omarova, 2020). It was introduced in 2015 and provides a more comprehensive guideline that supports the diverse sectors of the economy along with the different industries present within the US. </w:t>
      </w:r>
    </w:p>
    <w:p w:rsidR="00D91A5C" w:rsidRPr="00450D2E" w:rsidRDefault="000D01B0">
      <w:r w:rsidRPr="00450D2E">
        <w:t xml:space="preserve">Besides, there were certain other regulations formulated for the development of a better regulatory framework where all businesses can perform in a more effective and impactful manner. One such act includes the “Reg BI” introduced </w:t>
      </w:r>
      <w:r w:rsidR="00450D2E" w:rsidRPr="00450D2E">
        <w:t>by “The</w:t>
      </w:r>
      <w:r w:rsidRPr="00450D2E">
        <w:t xml:space="preserve"> Securities and Exchange Commission”. It was introduced in 2019 for the main purpose of providing better protection to different investors (Borio </w:t>
      </w:r>
      <w:r w:rsidRPr="00450D2E">
        <w:rPr>
          <w:i/>
        </w:rPr>
        <w:t>et al</w:t>
      </w:r>
      <w:r w:rsidRPr="00450D2E">
        <w:t xml:space="preserve">., 2020). Based on this regulation, the standards for brokers were enhanced and they were made to undertake operations in such a manner so that they could act in the best interests of the retail clients. Therefore, by establishing a proper standard for the brokers, Reg BI had the objective of aligning financial professionals with that of the clients for whom they perform. </w:t>
      </w:r>
    </w:p>
    <w:p w:rsidR="00D91A5C" w:rsidRPr="00450D2E" w:rsidRDefault="00450D2E">
      <w:r w:rsidRPr="00450D2E">
        <w:t xml:space="preserve">Furthermore, established in 2019, the “Systematic Risk Designation Improvement Act” was another essential piece of legislation that is aimed at refining the methods by which non-bank financial organisations are designated to be not as important as financial ones. Based on this, the effectiveness of financial stability is viewed in great detail (Naidoo, 2020). Furthermore, the efficiency of “The Financial Stability Oversight Council” or “FSOC” is understood in detail. It aids in understanding and dealing with the probable threats to financial stability. </w:t>
      </w:r>
    </w:p>
    <w:p w:rsidR="00D91A5C" w:rsidRPr="00450D2E" w:rsidRDefault="000D01B0">
      <w:r w:rsidRPr="00450D2E">
        <w:t xml:space="preserve">Furthermore, the regulatory domain keeps evolving and adaptability is also emphasised to deal with the rising challenges in the international sphere. In addition, there still remain scopes for the betterment and amendments to the older laws and guidelines (Larch </w:t>
      </w:r>
      <w:r w:rsidRPr="00450D2E">
        <w:rPr>
          <w:i/>
        </w:rPr>
        <w:t>et al</w:t>
      </w:r>
      <w:r w:rsidRPr="00450D2E">
        <w:t xml:space="preserve">. 2021). These ensure that the dynamic aspects of the legal spheres remain intact in association with the financial industry. The policy formulators must also be vigilant and always consider </w:t>
      </w:r>
      <w:r w:rsidRPr="00450D2E">
        <w:lastRenderedPageBreak/>
        <w:t xml:space="preserve">the current and consistent developments so that resilience, as well as stability, can be maintained and enhanced within the financial system (Regling, 2022). Since the global financial markets are intertwined and interlinked, a better enhancement is provided in the spheres of international regulatory cooperation. </w:t>
      </w:r>
    </w:p>
    <w:p w:rsidR="00D91A5C" w:rsidRPr="00450D2E" w:rsidRDefault="000D01B0">
      <w:r w:rsidRPr="00450D2E">
        <w:t xml:space="preserve">After the incident, collaborative approaches have been developed among the regulatory organisations of different countries. The main aim of the same is to address and understand cross-border challenges and issues. It also develops better harmony among different regulations and approaches (Acharya </w:t>
      </w:r>
      <w:r w:rsidRPr="00450D2E">
        <w:rPr>
          <w:i/>
        </w:rPr>
        <w:t>et al</w:t>
      </w:r>
      <w:r w:rsidRPr="00450D2E">
        <w:t>., 2020). The formulation of diverse agreements like the “Basel III Framework” formulated for the purpose of banking supervision develops a proper commitment displayed towards enhancing better stability in the financial sphere (Chugunov and Makohon, 2019). It is done for the development of a proper financial environment internationally through coordinated and regulatory policies.</w:t>
      </w:r>
    </w:p>
    <w:p w:rsidR="00D91A5C" w:rsidRPr="00450D2E" w:rsidRDefault="000D01B0">
      <w:r w:rsidRPr="00450D2E">
        <w:t xml:space="preserve">As such, it is viewed that after the 2008 “Financial Crisis”, there was a great overhaul of financial measures in the US that aimed to reinvigorate different measures so that betterments and improvements in the already existing financial conditions could be effectively brought about. The main purpose for which these were done includes increasing stability, securing consumers as well as developing economic growth (Zoppè and Dias, 2020). In this regard, the introduction of the “Dodd-Frank” and the other legislative acts </w:t>
      </w:r>
      <w:r w:rsidR="00450D2E" w:rsidRPr="00450D2E">
        <w:t>displays</w:t>
      </w:r>
      <w:r w:rsidRPr="00450D2E">
        <w:t xml:space="preserve"> the country’s desire to learn from past crises and mistakes so that better economic improvements can be effectively brought about. These regulations also ensure proper adaptation to the evolving market dimensions so that proper policies can be developed suitable for all parties (Manaa </w:t>
      </w:r>
      <w:r w:rsidRPr="00450D2E">
        <w:rPr>
          <w:i/>
        </w:rPr>
        <w:t>et al</w:t>
      </w:r>
      <w:r w:rsidRPr="00450D2E">
        <w:t xml:space="preserve">., 2019). Therefore, it is viewed that with the constantly altering financial environment, regulatory measures will continue to adapt to the situations so that these can develop an atmosphere of responsibility and resilience for better functioning. </w:t>
      </w:r>
    </w:p>
    <w:p w:rsidR="00D91A5C" w:rsidRPr="00450D2E" w:rsidRDefault="000D01B0">
      <w:pPr>
        <w:rPr>
          <w:color w:val="000000"/>
        </w:rPr>
      </w:pPr>
      <w:r w:rsidRPr="00450D2E">
        <w:rPr>
          <w:color w:val="000000"/>
        </w:rPr>
        <w:t>These examples represent a snapshot of the evolving regulatory landscape in the United States following the 2008 financial crisis. It's essential to recognize that financial regulations are subject to change, and additional developments may have occurred since my last knowledge update in January 2022.</w:t>
      </w:r>
    </w:p>
    <w:p w:rsidR="00D91A5C" w:rsidRPr="00450D2E" w:rsidRDefault="00D91A5C">
      <w:pPr>
        <w:rPr>
          <w:color w:val="000000"/>
        </w:rPr>
      </w:pPr>
    </w:p>
    <w:p w:rsidR="00D91A5C" w:rsidRPr="00450D2E" w:rsidRDefault="000D01B0">
      <w:pPr>
        <w:pStyle w:val="Heading1"/>
      </w:pPr>
      <w:bookmarkStart w:id="2" w:name="_Toc154361525"/>
      <w:r w:rsidRPr="00450D2E">
        <w:lastRenderedPageBreak/>
        <w:t>Question 2</w:t>
      </w:r>
      <w:bookmarkEnd w:id="2"/>
    </w:p>
    <w:p w:rsidR="00D91A5C" w:rsidRPr="00450D2E" w:rsidRDefault="000D01B0">
      <w:pPr>
        <w:rPr>
          <w:color w:val="000000"/>
        </w:rPr>
      </w:pPr>
      <w:r w:rsidRPr="00450D2E">
        <w:rPr>
          <w:color w:val="000000"/>
        </w:rPr>
        <w:t xml:space="preserve">The 2008 financial crisis prompted various nations and international organizations to undertake a range of measures, with the European Union (EU) playing a prominent role, particularly through its Eurozone member states. In 2010, the EU established the ERDF as a temporary financial assistance mechanism to solve the sovereign debt crisis of the Eurozone. The EVM followed suit in 2012 and emerged as a permanent resolution mechanism. These mechanisms were created to provide financial assistance to Eurozone countries facing economic problems. The reason of the monetary assertion confirmed in 2012 was to fortify financial teach and coordination between nations of the euro range. It presented stricter monetary rules and control instruments to anticipate intemperate budget shortfalls and advance financial soundness. The managing an account union incorporates a few activities pointed at fortifying the solidness of the euro range and the keeping money division. This incorporates the Single Supervisory Instrument (SSM), which brings together managing an account supervision beneath the European Central Bank (ECB), and the Single Determination Component (SRM), which encourages the efficient determination of </w:t>
      </w:r>
      <w:r w:rsidR="00450D2E" w:rsidRPr="00450D2E">
        <w:rPr>
          <w:color w:val="000000"/>
        </w:rPr>
        <w:t>wiped-out</w:t>
      </w:r>
      <w:r w:rsidRPr="00450D2E">
        <w:rPr>
          <w:color w:val="000000"/>
        </w:rPr>
        <w:t xml:space="preserve"> banks (</w:t>
      </w:r>
      <w:r w:rsidRPr="00450D2E">
        <w:rPr>
          <w:color w:val="000000"/>
          <w:highlight w:val="white"/>
        </w:rPr>
        <w:t>Sironi, 2018</w:t>
      </w:r>
      <w:r w:rsidRPr="00450D2E">
        <w:rPr>
          <w:color w:val="000000"/>
        </w:rPr>
        <w:t>). The multi-annual show program presented in 2011 acts as a control instrument to anticipate and adjust macroeconomic awkward nature between EU part states (</w:t>
      </w:r>
      <w:r w:rsidRPr="00450D2E">
        <w:rPr>
          <w:color w:val="000000"/>
          <w:highlight w:val="white"/>
        </w:rPr>
        <w:t>Cucculelli and Peruzzi, 2020</w:t>
      </w:r>
      <w:r w:rsidRPr="00450D2E">
        <w:rPr>
          <w:color w:val="000000"/>
        </w:rPr>
        <w:t>). It screens markers such as current account equalizations, competitiveness and obligation. EMIR, which came into impact in 2012, shapes the administrative system for the OTC subsidiaries advertise. It points to extend straightforwardness, diminish systemic hazard and fortify the soundness of the budgetary framework by requiring centralized settlement and announcing of subordinate exchanges. The choice of the European Union as the most performing artist in understanding the budgetary emergency is due to the major challenges confronting the eurozone, particularly amid the paramount obligation emergency that taken after the worldwide budgetary emergency. The purpose of the arrangements implemented by the EU was to stabilize the eurozone economy, strengthen financial institutions and improve economic governance to reduce the risk of future crises. Given the inter connectedness of the euro area and the global importance of the euro, its response is seen as crucial to maintaining global financial stability.</w:t>
      </w:r>
    </w:p>
    <w:p w:rsidR="00D91A5C" w:rsidRPr="00450D2E" w:rsidRDefault="000D01B0">
      <w:r w:rsidRPr="00450D2E">
        <w:t xml:space="preserve">The EU played a dominant role in dealing with the postconditions of the “2008 financial crisis” in the US. Its major roles included the implementation of different laws and regulations that aimed to stabilise the Eurozone economy and the development of fortifications for the different financial conditions (Markopoulou </w:t>
      </w:r>
      <w:r w:rsidRPr="00450D2E">
        <w:rPr>
          <w:i/>
        </w:rPr>
        <w:t>et al</w:t>
      </w:r>
      <w:r w:rsidRPr="00450D2E">
        <w:t xml:space="preserve">., 2019). The situation’s </w:t>
      </w:r>
      <w:r w:rsidRPr="00450D2E">
        <w:lastRenderedPageBreak/>
        <w:t xml:space="preserve">seriousness can be effectively measured through the involvement of EU to deal with the entire economic conditions. The organisation’s desire for </w:t>
      </w:r>
      <w:r w:rsidR="00450D2E" w:rsidRPr="00450D2E">
        <w:t>financial</w:t>
      </w:r>
      <w:r w:rsidRPr="00450D2E">
        <w:t xml:space="preserve"> stability is addressed beyond the simple fact of crisis management (Pancotto </w:t>
      </w:r>
      <w:r w:rsidRPr="00450D2E">
        <w:rPr>
          <w:i/>
        </w:rPr>
        <w:t>et al</w:t>
      </w:r>
      <w:r w:rsidRPr="00450D2E">
        <w:t xml:space="preserve">. 2019). While dealing with the laws and policies associated with the same, it is necessary to have a proper understanding of the nuanced approach developed by this organisation to address the multidimensional problems so that future crises can be effectively avoided and ignored. </w:t>
      </w:r>
    </w:p>
    <w:p w:rsidR="00D91A5C" w:rsidRPr="00450D2E" w:rsidRDefault="000D01B0">
      <w:pPr>
        <w:spacing w:after="120"/>
        <w:rPr>
          <w:b/>
        </w:rPr>
      </w:pPr>
      <w:r w:rsidRPr="00450D2E">
        <w:rPr>
          <w:b/>
        </w:rPr>
        <w:t>Improvements to existing mechanisms</w:t>
      </w:r>
    </w:p>
    <w:p w:rsidR="00D91A5C" w:rsidRPr="00450D2E" w:rsidRDefault="000D01B0">
      <w:r w:rsidRPr="00450D2E">
        <w:t>A number of policies and practices were undertaken so that the problems could be effectively addressed. These include the following as mentioned below to have a deeper understanding of the same:</w:t>
      </w:r>
    </w:p>
    <w:p w:rsidR="00D91A5C" w:rsidRPr="00450D2E" w:rsidRDefault="000D01B0">
      <w:r w:rsidRPr="00450D2E">
        <w:rPr>
          <w:b/>
          <w:i/>
        </w:rPr>
        <w:t>“European Stability Mechanism”:</w:t>
      </w:r>
      <w:r w:rsidRPr="00450D2E">
        <w:t xml:space="preserve"> the ESM was developed in 2012 as a mechanism for a permanent solution, and various modifications and amendments were introduced to ensure better empowerment of the ESM. these amendments ensured better capabilities and provided operational flexibility to the financial systems (Maarand, 2019). The ESM’s mandate was even extended beyond the scope of the mandate so that proper and direct capitalisation of banks could be induced (De Feo, 2020). It provides a more advanced tool so that systematic risks in the EU banking spheres can be effectively dealt with in a more proper manner. </w:t>
      </w:r>
    </w:p>
    <w:p w:rsidR="00D91A5C" w:rsidRPr="00450D2E" w:rsidRDefault="000D01B0">
      <w:r w:rsidRPr="00450D2E">
        <w:rPr>
          <w:b/>
          <w:i/>
        </w:rPr>
        <w:t>Reinforcing the “Stability and Growth Pact”</w:t>
      </w:r>
      <w:r w:rsidRPr="00450D2E">
        <w:rPr>
          <w:b/>
        </w:rPr>
        <w:t xml:space="preserve">: </w:t>
      </w:r>
      <w:r w:rsidRPr="00450D2E">
        <w:t xml:space="preserve">Post the 2008 crisis, the EU understood the requirement for a robust financial guideline. For this purpose, the organisation reinforced the SGP after 2008 (Fidrmuc and Lind, 2020).  This pact was originally focused on ensuring proper financial </w:t>
      </w:r>
      <w:r w:rsidR="00450D2E" w:rsidRPr="00450D2E">
        <w:t>discipline;</w:t>
      </w:r>
      <w:r w:rsidRPr="00450D2E">
        <w:t xml:space="preserve"> however, further amendments were incorporated to strengthen the enforcement mechanisms so that the member states could be made more collaborative in terms of their economic policies so that improvements in coordination could be brought about (McNamara </w:t>
      </w:r>
      <w:r w:rsidRPr="00450D2E">
        <w:rPr>
          <w:i/>
        </w:rPr>
        <w:t>et al</w:t>
      </w:r>
      <w:r w:rsidRPr="00450D2E">
        <w:t xml:space="preserve">., 2019). The emphasis moved from the correction of crises to preventing and improving macroeconomic imbalances, </w:t>
      </w:r>
      <w:r w:rsidR="00450D2E" w:rsidRPr="00450D2E">
        <w:t>it</w:t>
      </w:r>
      <w:r w:rsidRPr="00450D2E">
        <w:t xml:space="preserve"> also ensures a more resilient EU.</w:t>
      </w:r>
    </w:p>
    <w:p w:rsidR="00D91A5C" w:rsidRPr="00450D2E" w:rsidRDefault="000D01B0">
      <w:r w:rsidRPr="00450D2E">
        <w:rPr>
          <w:b/>
          <w:i/>
        </w:rPr>
        <w:t>“European Banking Union”:</w:t>
      </w:r>
      <w:r w:rsidRPr="00450D2E">
        <w:t xml:space="preserve"> The European Banking Union” is a great movement that provides a significant movement towards more integrated as well as resilient financial areas within the sphere of the Euro</w:t>
      </w:r>
      <w:r w:rsidR="009C3101">
        <w:t xml:space="preserve"> </w:t>
      </w:r>
      <w:r w:rsidRPr="00450D2E">
        <w:t xml:space="preserve">zone. Therefore, two different mechanisms such as the “Single Supervisory Mechanism” or SSM are incorporated with the “Single Resolution Mechanism” or SRM (Galaz </w:t>
      </w:r>
      <w:r w:rsidRPr="00450D2E">
        <w:rPr>
          <w:i/>
        </w:rPr>
        <w:t>et al</w:t>
      </w:r>
      <w:r w:rsidRPr="00450D2E">
        <w:t xml:space="preserve">., 2021). These two together aid in the increase of supervision as well as resolution of different banks. Furthermore, to ensure a better centralisation of banking supervision with the provisions of proper safety, consistency, and effectiveness, the SSM </w:t>
      </w:r>
      <w:r w:rsidRPr="00450D2E">
        <w:lastRenderedPageBreak/>
        <w:t xml:space="preserve">operates under the “European Central Bank” to operate in a more systematic manner and ensure better efficiency of the financial organisation (Tullia Galanti and Sacchi, 2019). The SRM, therefore promotes better resolutions for the failing banks and decreases the systematic risks associated with the financial organisations. </w:t>
      </w:r>
    </w:p>
    <w:p w:rsidR="00D91A5C" w:rsidRPr="00450D2E" w:rsidRDefault="000D01B0">
      <w:r w:rsidRPr="00450D2E">
        <w:t>Furthermore, the EU also developed measures for better coordination as well as tracking and over</w:t>
      </w:r>
      <w:r w:rsidR="009C3101">
        <w:t xml:space="preserve"> </w:t>
      </w:r>
      <w:r w:rsidRPr="00450D2E">
        <w:t>viewing of the microeconomic spheres. These are elucidated below to provide a deeper understanding of the same:</w:t>
      </w:r>
    </w:p>
    <w:p w:rsidR="00D91A5C" w:rsidRPr="00450D2E" w:rsidRDefault="000D01B0">
      <w:r w:rsidRPr="00450D2E">
        <w:rPr>
          <w:b/>
          <w:i/>
        </w:rPr>
        <w:t>“The Multiannual Financial Framework Program” or MFF</w:t>
      </w:r>
      <w:r w:rsidRPr="00450D2E">
        <w:t xml:space="preserve">: This program was initiated in 2011 and it performs the role of a dynamic control tool for the purpose of anticipation and addressing of microeconomic imbalances existing among different EU member states. This tool or mechanism is not just related to the solving of immediate crisis administration to deal with the ever-evolving macroeconomic conditions for the development of effective cooperation and coordination (Proffitt </w:t>
      </w:r>
      <w:r w:rsidRPr="00450D2E">
        <w:rPr>
          <w:i/>
        </w:rPr>
        <w:t>et al</w:t>
      </w:r>
      <w:r w:rsidRPr="00450D2E">
        <w:t>., 2019). Through proper tracking and overviewing of different indicators such as “current account balances”, competitiveness, and debt levels, the MFF focused effectively on developing proper stability and removing future imbalances existing in the financial systems of the member states.</w:t>
      </w:r>
    </w:p>
    <w:p w:rsidR="00D91A5C" w:rsidRPr="00450D2E" w:rsidRDefault="000D01B0">
      <w:r w:rsidRPr="00450D2E">
        <w:rPr>
          <w:b/>
          <w:i/>
        </w:rPr>
        <w:t xml:space="preserve">Fiscal compact involving “Treaty on Stability, Coordination, and Governance in the Economic and Monetary Union”: </w:t>
      </w:r>
      <w:r w:rsidRPr="00450D2E">
        <w:t xml:space="preserve"> This fiscal compact, adapted in 2012, develops a commitment to fiscal discipline along with proper maintenance of coordination within the Euro</w:t>
      </w:r>
      <w:r w:rsidR="009C3101">
        <w:t xml:space="preserve"> </w:t>
      </w:r>
      <w:r w:rsidRPr="00450D2E">
        <w:t>zone. The development of this treaty incorporated the implementation of more robust fiscal disciplines within the financial systems. It is done to coordinate different mechanisms so that a proactive view can be made to deal with different budget deficits, Through the same proper rules and steps can be effectively taken so that long-end stability can be better ensured for the member states in a more impactful manner.</w:t>
      </w:r>
    </w:p>
    <w:p w:rsidR="00D91A5C" w:rsidRPr="00450D2E" w:rsidRDefault="000D01B0">
      <w:pPr>
        <w:spacing w:after="120"/>
        <w:rPr>
          <w:b/>
        </w:rPr>
      </w:pPr>
      <w:r w:rsidRPr="00450D2E">
        <w:rPr>
          <w:b/>
        </w:rPr>
        <w:t>Regulatory frameworks to be followed in the financial markets</w:t>
      </w:r>
    </w:p>
    <w:p w:rsidR="00D91A5C" w:rsidRPr="00450D2E" w:rsidRDefault="000D01B0">
      <w:r w:rsidRPr="00450D2E">
        <w:t>There are different guidelines that were introduced after the crisis to be followed for the effective functioning of the financial markets. These are discussed below as follows to gain a detailed understanding of the same:</w:t>
      </w:r>
    </w:p>
    <w:p w:rsidR="00D91A5C" w:rsidRPr="00450D2E" w:rsidRDefault="000D01B0">
      <w:r w:rsidRPr="00450D2E">
        <w:rPr>
          <w:b/>
          <w:i/>
        </w:rPr>
        <w:t>“European Market Infrastructure Regulations”:</w:t>
      </w:r>
      <w:r w:rsidRPr="00450D2E">
        <w:t xml:space="preserve"> the EMR, that was implemented effectively in 2012, readjusted the regulatory atmosphere for the “over the counter” derivatives market. The initial objectives that it dealt with were the development of </w:t>
      </w:r>
      <w:r w:rsidRPr="00450D2E">
        <w:lastRenderedPageBreak/>
        <w:t>transparency and the decrease of risks (De Feo, 2020). However, amendments were made aimed at enhancing the proper framework. Further amendments also focused on addressing the newer risks and challenges. It ensured that the regulatory environment maintained its adaptiveness to adhere to the newer conditions and the dynamic nature of the financial markets.</w:t>
      </w:r>
    </w:p>
    <w:p w:rsidR="00D91A5C" w:rsidRPr="00450D2E" w:rsidRDefault="000D01B0">
      <w:r w:rsidRPr="00450D2E">
        <w:rPr>
          <w:b/>
          <w:i/>
        </w:rPr>
        <w:t>“Bank recovery and resolution directive”:</w:t>
      </w:r>
      <w:r w:rsidRPr="00450D2E">
        <w:t xml:space="preserve">  It was enacted in 2014 and provides a comprehensive guideline for the proper recovery and resolution of credit organisations and investment enterprises (Georgiev, 2019). It aids the failing banks in resolving their problems in a more effective and orderly manner. Furthermore, disruptions are also reduced so that depositors can be secured and financial systems can be better protected. It is an essential element of the EU directed towards enhancing the strength of the banking sectors and making it more resilient. </w:t>
      </w:r>
    </w:p>
    <w:p w:rsidR="00D91A5C" w:rsidRPr="00450D2E" w:rsidRDefault="000D01B0">
      <w:pPr>
        <w:pStyle w:val="Heading1"/>
      </w:pPr>
      <w:bookmarkStart w:id="3" w:name="_Toc154361526"/>
      <w:r w:rsidRPr="00450D2E">
        <w:t>Question 3</w:t>
      </w:r>
      <w:bookmarkEnd w:id="3"/>
    </w:p>
    <w:p w:rsidR="00D91A5C" w:rsidRPr="00450D2E" w:rsidRDefault="000D01B0">
      <w:r w:rsidRPr="00450D2E">
        <w:rPr>
          <w:color w:val="000000"/>
        </w:rPr>
        <w:t>The execution of the European Monetary Steadiness Office (EFSF) and the European Steadiness Instrument (ESM), coupled with the Financial Compact and other alterations inside the Euro</w:t>
      </w:r>
      <w:r w:rsidR="009C3101">
        <w:rPr>
          <w:color w:val="000000"/>
        </w:rPr>
        <w:t xml:space="preserve"> </w:t>
      </w:r>
      <w:r w:rsidRPr="00450D2E">
        <w:rPr>
          <w:color w:val="000000"/>
        </w:rPr>
        <w:t xml:space="preserve">zone, were presented to stabilize the monetary framework and address the vulnerabilities uncovered by the 2008 monetary emergency and consequent paramount obligation emergency. </w:t>
      </w:r>
      <w:r w:rsidRPr="00450D2E">
        <w:t>The proper implementation of “The European Financial Stability Facility” or EFSF and the “European Stability Mechanism” or ESM developed an essential step in the proper stabilisation of the financial systems within the Euro</w:t>
      </w:r>
      <w:r w:rsidR="009C3101">
        <w:t xml:space="preserve"> </w:t>
      </w:r>
      <w:r w:rsidRPr="00450D2E">
        <w:t>zone (Howarth and Verdun, 2020). In this context, the reforms can be delved into to gain a detailed insight into the nuanced impact of the same on different banking sectors after the mentioned crisis in 2008.</w:t>
      </w:r>
    </w:p>
    <w:p w:rsidR="00D91A5C" w:rsidRPr="00450D2E" w:rsidRDefault="000D01B0">
      <w:r w:rsidRPr="00450D2E">
        <w:t xml:space="preserve"> These two financial frameworks provide significant assistance to Euro</w:t>
      </w:r>
      <w:r w:rsidR="009C3101">
        <w:t xml:space="preserve"> </w:t>
      </w:r>
      <w:r w:rsidRPr="00450D2E">
        <w:t xml:space="preserve">zone countries that try to solve financial challenges. It is done through the process of offering financial assistance so that financial collapses can be avoided and better confidence can be developed within the “independent debt market” (Bertasiute </w:t>
      </w:r>
      <w:r w:rsidRPr="00450D2E">
        <w:rPr>
          <w:i/>
        </w:rPr>
        <w:t>et al</w:t>
      </w:r>
      <w:r w:rsidRPr="00450D2E">
        <w:t xml:space="preserve">., 2020). However, it is extremely crucial to understand that these financial helps come with stringent circumstances and measures, </w:t>
      </w:r>
      <w:r w:rsidR="00450D2E" w:rsidRPr="00450D2E">
        <w:t>though</w:t>
      </w:r>
      <w:r w:rsidRPr="00450D2E">
        <w:t xml:space="preserve"> they are formulated for the purpose of ensuring financial stability, these can become the main sources of social and political conflicts in different member states (Rostagno </w:t>
      </w:r>
      <w:r w:rsidRPr="00450D2E">
        <w:rPr>
          <w:i/>
        </w:rPr>
        <w:t>et al</w:t>
      </w:r>
      <w:r w:rsidRPr="00450D2E">
        <w:t xml:space="preserve">., 2019). The procyclical effects raised by the austerity elements also pose issues of understanding the contribution towards economic stability. In certain areas, the mandated fiscal policies can </w:t>
      </w:r>
      <w:r w:rsidRPr="00450D2E">
        <w:lastRenderedPageBreak/>
        <w:t>exacerbate economic problems and downturns in places of developing a stable economy (Blind, 2023). There is a delicate balance that must be effectively upheld so that proper financial assistance can be impactfully provided and solve the financial problems of different member states.</w:t>
      </w:r>
    </w:p>
    <w:p w:rsidR="00D91A5C" w:rsidRPr="00450D2E" w:rsidRDefault="000D01B0">
      <w:pPr>
        <w:rPr>
          <w:b/>
          <w:i/>
          <w:color w:val="000000"/>
        </w:rPr>
      </w:pPr>
      <w:r w:rsidRPr="00450D2E">
        <w:rPr>
          <w:b/>
          <w:i/>
          <w:color w:val="000000"/>
        </w:rPr>
        <w:t>EFSF and ESM:</w:t>
      </w:r>
    </w:p>
    <w:p w:rsidR="00D91A5C" w:rsidRPr="00450D2E" w:rsidRDefault="000D01B0">
      <w:r w:rsidRPr="00450D2E">
        <w:rPr>
          <w:color w:val="000000"/>
        </w:rPr>
        <w:t>The EFSF and ESM provided money related help to Euro</w:t>
      </w:r>
      <w:r w:rsidR="009C3101">
        <w:rPr>
          <w:color w:val="000000"/>
        </w:rPr>
        <w:t xml:space="preserve"> </w:t>
      </w:r>
      <w:r w:rsidRPr="00450D2E">
        <w:rPr>
          <w:color w:val="000000"/>
        </w:rPr>
        <w:t>zone countries hooking with financial challenges. This money related back obstructed financial collapses and steadied autonomous obligation markets (</w:t>
      </w:r>
      <w:r w:rsidRPr="00450D2E">
        <w:rPr>
          <w:color w:val="000000"/>
          <w:highlight w:val="white"/>
        </w:rPr>
        <w:t xml:space="preserve">Meier </w:t>
      </w:r>
      <w:r w:rsidRPr="00450D2E">
        <w:rPr>
          <w:i/>
          <w:color w:val="000000"/>
          <w:highlight w:val="white"/>
        </w:rPr>
        <w:t xml:space="preserve">et al, </w:t>
      </w:r>
      <w:r w:rsidRPr="00450D2E">
        <w:rPr>
          <w:color w:val="000000"/>
          <w:highlight w:val="white"/>
        </w:rPr>
        <w:t>2021</w:t>
      </w:r>
      <w:r w:rsidRPr="00450D2E">
        <w:rPr>
          <w:color w:val="000000"/>
        </w:rPr>
        <w:t xml:space="preserve">). The budgetary help frequently came with exacting conditions and starkness measures, coming about in social and political troubles in a few part states. These measures at times compounded financial downturns instead of cultivating steadiness. </w:t>
      </w:r>
      <w:r w:rsidRPr="00450D2E">
        <w:t xml:space="preserve">These two financial frameworks provide significant assistance to Eurozone countries that try to solve financial challenges. It is done through the process of offering financial assistance so that financial collapses can be avoided and better confidence can be developed within the “independent debt market” (Bertasiute </w:t>
      </w:r>
      <w:r w:rsidRPr="00450D2E">
        <w:rPr>
          <w:i/>
        </w:rPr>
        <w:t>et al</w:t>
      </w:r>
      <w:r w:rsidRPr="00450D2E">
        <w:t xml:space="preserve">., 2020). However, it is extremely crucial to understand that these financial helps come with stringent circumstances and measures, </w:t>
      </w:r>
      <w:r w:rsidR="00450D2E" w:rsidRPr="00450D2E">
        <w:t>though</w:t>
      </w:r>
      <w:r w:rsidRPr="00450D2E">
        <w:t xml:space="preserve"> they are formulated for the purpose of ensuring financial stability, these can become the main sources of social and political conflicts in different member states (Rostagno </w:t>
      </w:r>
      <w:r w:rsidRPr="00450D2E">
        <w:rPr>
          <w:i/>
        </w:rPr>
        <w:t>et al</w:t>
      </w:r>
      <w:r w:rsidRPr="00450D2E">
        <w:t>., 2019). The procyclical effects raised by the austerity elements also pose issues of understanding the contribution towards economic stability. In certain areas, the mandated fiscal policies can exacerbate economic problems and downturns in places of developing a stable economy (Blind, 2023). There is a delicate balance that must be effectively upheld so that proper financial assistance can be impactfully provided and solve the financial problems of different member states.</w:t>
      </w:r>
    </w:p>
    <w:p w:rsidR="00D91A5C" w:rsidRPr="00450D2E" w:rsidRDefault="000D01B0">
      <w:pPr>
        <w:rPr>
          <w:b/>
          <w:i/>
          <w:color w:val="000000"/>
        </w:rPr>
      </w:pPr>
      <w:r w:rsidRPr="00450D2E">
        <w:rPr>
          <w:b/>
          <w:i/>
          <w:color w:val="000000"/>
        </w:rPr>
        <w:t>Fiscal Compact:</w:t>
      </w:r>
    </w:p>
    <w:p w:rsidR="00D91A5C" w:rsidRPr="00450D2E" w:rsidRDefault="000D01B0">
      <w:r w:rsidRPr="00450D2E">
        <w:rPr>
          <w:color w:val="000000"/>
        </w:rPr>
        <w:t>The Monetary Compact pointed to uphold more thorough budgetary rules, avoiding over the top shortages and advancing monetary teach. This was created to move forward the generally financial soundness of Euro</w:t>
      </w:r>
      <w:r w:rsidR="009C3101">
        <w:rPr>
          <w:color w:val="000000"/>
        </w:rPr>
        <w:t xml:space="preserve"> </w:t>
      </w:r>
      <w:r w:rsidRPr="00450D2E">
        <w:rPr>
          <w:color w:val="000000"/>
        </w:rPr>
        <w:t>zone countries (</w:t>
      </w:r>
      <w:r w:rsidRPr="00450D2E">
        <w:rPr>
          <w:color w:val="000000"/>
          <w:highlight w:val="white"/>
        </w:rPr>
        <w:t>Munzer and Pelger, 2023</w:t>
      </w:r>
      <w:r w:rsidRPr="00450D2E">
        <w:rPr>
          <w:color w:val="000000"/>
        </w:rPr>
        <w:t xml:space="preserve">). The strict monetary rules, outlined to anticipate over the top shortages, too had a procyclical affect. Amid financial downturns, these rules may limit governments' capacity to actualize countercyclical approaches, possibly blocking recovery. The EFSF and ESM played an essential part in stabilizing imperial obligation markets, anticipating budgetary virus, and restoring certainty within the Eurozone. The Financial Compact contributed to more noteworthy financial teach, </w:t>
      </w:r>
      <w:r w:rsidRPr="00450D2E">
        <w:rPr>
          <w:color w:val="000000"/>
        </w:rPr>
        <w:lastRenderedPageBreak/>
        <w:t xml:space="preserve">bringing down the probability of monetary lopsided characteristics and intemperate shortfalls. </w:t>
      </w:r>
      <w:r w:rsidRPr="00450D2E">
        <w:t xml:space="preserve">This policy is designed so that better and more comprehensive fiscal laws. The main aim of the same is to eradicate deficits and improve financial systems across the Eurozone countries. It promotes overall financial stability and defines the strict rules that can result in procyclical effects during economic problems (Mellet and Beauvisage, 2021). It also reduces the government’s actions and capability in the proper implementation of countercyclical tools and policies which can, however, lead to a probable hindrance to the proper and faster economic recovery. Besides, there are certain positive impacts associated as well. It decreases the financial imbalances and deficits (Fuster and Jasmontaite, 2020). Therefore, proper confidence can be developed in the financial markets, and a proper “sense of responsibility” is developed among the different member states. </w:t>
      </w:r>
    </w:p>
    <w:p w:rsidR="00D91A5C" w:rsidRPr="00450D2E" w:rsidRDefault="000D01B0">
      <w:pPr>
        <w:rPr>
          <w:b/>
          <w:i/>
          <w:color w:val="000000"/>
        </w:rPr>
      </w:pPr>
      <w:r w:rsidRPr="00450D2E">
        <w:rPr>
          <w:b/>
          <w:i/>
          <w:color w:val="000000"/>
        </w:rPr>
        <w:t>Challenges and Limitations:</w:t>
      </w:r>
    </w:p>
    <w:p w:rsidR="00D91A5C" w:rsidRPr="00450D2E" w:rsidRDefault="000D01B0">
      <w:r w:rsidRPr="00450D2E">
        <w:rPr>
          <w:color w:val="000000"/>
        </w:rPr>
        <w:t xml:space="preserve">Austerity measures connected to budgetary help programs made social and political distress in a few part states, casting question on the social maintainability of the reforms. While strides have been made with the foundation of the Single Supervisory Instrument (SSM) and Single Determination Instrument (SRM), the Managing an account Union remains inadequate. A completely coordinates and centralized managing an account framework is pivotal for comprehensive solidness. </w:t>
      </w:r>
      <w:r w:rsidRPr="00450D2E">
        <w:t xml:space="preserve">Eurozone countries have to face consistent challenges and problems which consist of rising unemployment rates and slow-paced economic growth in different areas, Therefore, there is a proper requirement for sustaining efforts that can aid in the development of proper reform. The rate of growth of the economy is quite slow than the anticipation and it highlights the inherent structural challenges (Pancotto </w:t>
      </w:r>
      <w:r w:rsidRPr="00450D2E">
        <w:rPr>
          <w:i/>
        </w:rPr>
        <w:t>et al</w:t>
      </w:r>
      <w:r w:rsidRPr="00450D2E">
        <w:t xml:space="preserve">., 2019). These challenges require to be viewed in a more detailed manner so that targeted interventions can be learned to solve the cropping issues in a more impactful manner (Wiggins </w:t>
      </w:r>
      <w:r w:rsidRPr="00450D2E">
        <w:rPr>
          <w:i/>
        </w:rPr>
        <w:t>et al</w:t>
      </w:r>
      <w:r w:rsidRPr="00450D2E">
        <w:t xml:space="preserve">., 2019). It is clearly visible that the continuous impacts of the 2008 crisis have remained along with the subsequent economic shocks that hinder proper growth. </w:t>
      </w:r>
    </w:p>
    <w:p w:rsidR="00D91A5C" w:rsidRPr="00450D2E" w:rsidRDefault="000D01B0">
      <w:pPr>
        <w:rPr>
          <w:b/>
          <w:i/>
          <w:color w:val="000000"/>
        </w:rPr>
      </w:pPr>
      <w:r w:rsidRPr="00450D2E">
        <w:rPr>
          <w:b/>
          <w:i/>
          <w:color w:val="000000"/>
        </w:rPr>
        <w:t>Ongoing Challenges:</w:t>
      </w:r>
    </w:p>
    <w:p w:rsidR="00D91A5C" w:rsidRPr="00450D2E" w:rsidRDefault="000D01B0">
      <w:pPr>
        <w:rPr>
          <w:color w:val="000000"/>
        </w:rPr>
      </w:pPr>
      <w:r w:rsidRPr="00450D2E">
        <w:rPr>
          <w:color w:val="000000"/>
        </w:rPr>
        <w:t>Some Euro</w:t>
      </w:r>
      <w:r w:rsidR="009C3101">
        <w:rPr>
          <w:color w:val="000000"/>
        </w:rPr>
        <w:t xml:space="preserve"> </w:t>
      </w:r>
      <w:r w:rsidRPr="00450D2E">
        <w:rPr>
          <w:color w:val="000000"/>
        </w:rPr>
        <w:t xml:space="preserve">zone nations still hook with auxiliary challenges, such as hoisted unemployment rates and drowsy financial development, requiring supported </w:t>
      </w:r>
      <w:r w:rsidR="00450D2E" w:rsidRPr="00450D2E">
        <w:rPr>
          <w:color w:val="000000"/>
        </w:rPr>
        <w:t>endeavours</w:t>
      </w:r>
      <w:r w:rsidRPr="00450D2E">
        <w:rPr>
          <w:color w:val="000000"/>
        </w:rPr>
        <w:t xml:space="preserve"> in executing auxiliary reforms. The talk on financial integration and a shared monetary approach holds on. A more bound together monetary approach might reinforce the Euro</w:t>
      </w:r>
      <w:r w:rsidR="009C3101">
        <w:rPr>
          <w:color w:val="000000"/>
        </w:rPr>
        <w:t xml:space="preserve"> </w:t>
      </w:r>
      <w:r w:rsidRPr="00450D2E">
        <w:rPr>
          <w:color w:val="000000"/>
        </w:rPr>
        <w:t>zone's versatility to future shocks.</w:t>
      </w:r>
    </w:p>
    <w:p w:rsidR="00D91A5C" w:rsidRPr="00450D2E" w:rsidRDefault="000D01B0">
      <w:pPr>
        <w:rPr>
          <w:color w:val="000000"/>
        </w:rPr>
      </w:pPr>
      <w:r w:rsidRPr="00450D2E">
        <w:rPr>
          <w:color w:val="000000"/>
        </w:rPr>
        <w:lastRenderedPageBreak/>
        <w:t>In conclusion, the EFSF, ESM, Financial Compact, and related changes have played a part in stabilizing the Euro</w:t>
      </w:r>
      <w:r w:rsidR="009C3101">
        <w:rPr>
          <w:color w:val="000000"/>
        </w:rPr>
        <w:t xml:space="preserve"> </w:t>
      </w:r>
      <w:r w:rsidRPr="00450D2E">
        <w:rPr>
          <w:color w:val="000000"/>
        </w:rPr>
        <w:t>zone's budgetary framework, deflecting the collapse of autonomous obligation markets, and strengthening financial teach. In any case, challenges related to social costs, inadequate keeping money unions, and continuous auxiliary issues emphasize the require for persistent appraisal and potential alterations to guarantee the long-term steadiness of the Euro</w:t>
      </w:r>
      <w:r w:rsidR="009C3101">
        <w:rPr>
          <w:color w:val="000000"/>
        </w:rPr>
        <w:t xml:space="preserve"> </w:t>
      </w:r>
      <w:r w:rsidRPr="00450D2E">
        <w:rPr>
          <w:color w:val="000000"/>
        </w:rPr>
        <w:t>zone.</w:t>
      </w:r>
    </w:p>
    <w:p w:rsidR="00D91A5C" w:rsidRPr="00450D2E" w:rsidRDefault="000D01B0">
      <w:r w:rsidRPr="00450D2E">
        <w:t xml:space="preserve">Therefore, there is a need to understand shared monetary approaches. There is also a continuous quest that remains for the development of a unified strategy for developing a proper economy. Such structural reforms are essential to address the deep </w:t>
      </w:r>
      <w:r w:rsidR="00450D2E" w:rsidRPr="00450D2E">
        <w:t>levelled</w:t>
      </w:r>
      <w:r w:rsidRPr="00450D2E">
        <w:t xml:space="preserve"> issues comprising hurdles to economic vitality like “labour market inefficiencies”, “regulations bottlenecks” and inadequate environment impacting proper investments (Rehm, 2022). It is also to be kept in mind that these reforms must depict a delicate balance to tackle such issues and at the same time must be sensitive enough to adhere to the political as well as social dimensions of the individual Euro</w:t>
      </w:r>
      <w:r w:rsidR="009C3101">
        <w:t xml:space="preserve"> </w:t>
      </w:r>
      <w:r w:rsidRPr="00450D2E">
        <w:t xml:space="preserve">zone countries (Shopov, 2020). Therefore, there is a proper requirement for a cohesive economic measure which is essential for exploring the intricate real challenges faced by such countries. The obtaining of financial integration includes harmonising different financial systems so that a seamless flow of capital can be ensured. It also can make the banking systems more resilient. </w:t>
      </w:r>
    </w:p>
    <w:p w:rsidR="00D91A5C" w:rsidRPr="00450D2E" w:rsidRDefault="000D01B0">
      <w:r w:rsidRPr="00450D2E">
        <w:t xml:space="preserve">The quest for gaining a more shared approach aids in developing a collective acknowledgment of a more unified stance. It can aid in better and sustained economic prosperity for the different member states. Another factor that is quite evident in this process is that these challenges are multi-dimensional and interconnected (Larch </w:t>
      </w:r>
      <w:r w:rsidRPr="00450D2E">
        <w:rPr>
          <w:i/>
        </w:rPr>
        <w:t>et al</w:t>
      </w:r>
      <w:r w:rsidRPr="00450D2E">
        <w:t xml:space="preserve">., 2021). There is a long-term commitment to explore such complications and develop better inclusive growth so that unemployment can be reduced and economic resilience can be improved. The proper removal of such problems can better aid in the evolving dynamics and removing external shocks. </w:t>
      </w:r>
    </w:p>
    <w:p w:rsidR="00D91A5C" w:rsidRPr="00450D2E" w:rsidRDefault="000D01B0">
      <w:pPr>
        <w:pStyle w:val="Heading1"/>
      </w:pPr>
      <w:bookmarkStart w:id="4" w:name="_Toc154361527"/>
      <w:r w:rsidRPr="00450D2E">
        <w:t>Question 4</w:t>
      </w:r>
      <w:bookmarkEnd w:id="4"/>
    </w:p>
    <w:p w:rsidR="00D91A5C" w:rsidRPr="00450D2E" w:rsidRDefault="000D01B0">
      <w:pPr>
        <w:rPr>
          <w:b/>
          <w:i/>
          <w:color w:val="000000"/>
          <w:sz w:val="28"/>
          <w:szCs w:val="28"/>
        </w:rPr>
      </w:pPr>
      <w:r w:rsidRPr="00450D2E">
        <w:rPr>
          <w:b/>
          <w:i/>
          <w:color w:val="000000"/>
        </w:rPr>
        <w:t>Before the Global Financial Crisis</w:t>
      </w:r>
      <w:r w:rsidRPr="00450D2E">
        <w:rPr>
          <w:b/>
          <w:i/>
          <w:color w:val="000000"/>
          <w:sz w:val="28"/>
          <w:szCs w:val="28"/>
        </w:rPr>
        <w:t>:</w:t>
      </w:r>
    </w:p>
    <w:p w:rsidR="00D91A5C" w:rsidRPr="00450D2E" w:rsidRDefault="000D01B0">
      <w:pPr>
        <w:rPr>
          <w:color w:val="000000"/>
        </w:rPr>
      </w:pPr>
      <w:r w:rsidRPr="00450D2E">
        <w:rPr>
          <w:color w:val="000000"/>
        </w:rPr>
        <w:t>The administrative environment wa</w:t>
      </w:r>
      <w:r w:rsidR="009C3101">
        <w:rPr>
          <w:color w:val="000000"/>
        </w:rPr>
        <w:t>s moderately lenient, with less</w:t>
      </w:r>
      <w:r w:rsidR="006D5FC2">
        <w:rPr>
          <w:color w:val="000000"/>
        </w:rPr>
        <w:t xml:space="preserve"> </w:t>
      </w:r>
      <w:r w:rsidRPr="00450D2E">
        <w:rPr>
          <w:color w:val="000000"/>
        </w:rPr>
        <w:t xml:space="preserve">limitations on complex monetary items and risk-taking activities. Numerous </w:t>
      </w:r>
      <w:r w:rsidR="00450D2E" w:rsidRPr="00450D2E">
        <w:rPr>
          <w:color w:val="000000"/>
        </w:rPr>
        <w:t>moneys</w:t>
      </w:r>
      <w:r w:rsidRPr="00450D2E">
        <w:rPr>
          <w:color w:val="000000"/>
        </w:rPr>
        <w:t xml:space="preserve"> related educate, counting JPMorgan, sought after worldwide exten</w:t>
      </w:r>
      <w:r w:rsidR="009C3101">
        <w:rPr>
          <w:color w:val="000000"/>
        </w:rPr>
        <w:t xml:space="preserve">sion methodologies, locks in </w:t>
      </w:r>
      <w:r w:rsidRPr="00450D2E">
        <w:rPr>
          <w:color w:val="000000"/>
        </w:rPr>
        <w:t xml:space="preserve">a wide range of </w:t>
      </w:r>
      <w:r w:rsidRPr="00450D2E">
        <w:rPr>
          <w:color w:val="000000"/>
        </w:rPr>
        <w:lastRenderedPageBreak/>
        <w:t>monetary exercises over diverse markets. There was a considerable nearness of subsidiaries exchanging, counting complex disobedient, without exacting oversight.</w:t>
      </w:r>
    </w:p>
    <w:p w:rsidR="00D91A5C" w:rsidRPr="00450D2E" w:rsidRDefault="000D01B0">
      <w:pPr>
        <w:rPr>
          <w:b/>
          <w:i/>
          <w:color w:val="000000"/>
        </w:rPr>
      </w:pPr>
      <w:r w:rsidRPr="00450D2E">
        <w:rPr>
          <w:b/>
          <w:i/>
          <w:color w:val="000000"/>
        </w:rPr>
        <w:t>After the Global Financial Crisis:</w:t>
      </w:r>
    </w:p>
    <w:p w:rsidR="00D91A5C" w:rsidRPr="00450D2E" w:rsidRDefault="000D01B0">
      <w:r w:rsidRPr="00450D2E">
        <w:rPr>
          <w:color w:val="000000"/>
        </w:rPr>
        <w:t xml:space="preserve">The Dodd-Frank Act forced more thorough directions on the money related industry, pointing to boost straightforwardness, diminish systemic chance, and avoid intemperate risk-taking. This included measures such as the Volcker Run the show, which confined restrictive trading. Regulatory bodies, such as the Government Save, picked up expanded specialist to supervise and stress-test money related teach to guarantee their stability. Financial educate had to brace hazard administration hones and improve capital buffers to persevere financial downturns. The foundation of the Buyer Budgetary Assurance Bureau (CFPB) brought a </w:t>
      </w:r>
      <w:r w:rsidR="00450D2E" w:rsidRPr="00450D2E">
        <w:rPr>
          <w:color w:val="000000"/>
        </w:rPr>
        <w:t>centre</w:t>
      </w:r>
      <w:r w:rsidRPr="00450D2E">
        <w:rPr>
          <w:color w:val="000000"/>
        </w:rPr>
        <w:t xml:space="preserve"> on buyer assurance, affecting how budgetary items and administrations are advertised. </w:t>
      </w:r>
      <w:r w:rsidRPr="00450D2E">
        <w:t xml:space="preserve">Post “Dodd-Frank condition” and the continuous adjustments: After the mentioned financial problems, the financial sector underwent a deep transformation with the initiation of the “Dodd-Frank Act” (Álvarez, 2021). It developed a major shift in the regulatory atmosphere, especially in major companies such as “JPMorgan Chase &amp; Co.”. based on this it can be understood that there must be a reassessment of the business models along with operational activities. </w:t>
      </w:r>
    </w:p>
    <w:p w:rsidR="00D91A5C" w:rsidRPr="00450D2E" w:rsidRDefault="000D01B0">
      <w:r w:rsidRPr="00450D2E">
        <w:t xml:space="preserve">Post-crisis regulatory atmosphere: With the coming of the “Dodd-Frank Act”, there. There was a huge alteration in the financial market. As such, there was a requirement for better transparency and removal of risks associated with systems. Furthermore, the excessive risks undertaken by this industry were also reduced to a great extent (Wiliński, 2019). In this, one of the major measures included the Volcker Rule that aimed at restricting propriety trading. Through this, financial organisations could evaluate their risk and better evaluate their trading strategies. Moreover, the landscape of improper trading and complicated instruments involved also faced strict monitoring and it impacted the entire practices which were undertaken before the 2008 crisis. </w:t>
      </w:r>
    </w:p>
    <w:p w:rsidR="00D91A5C" w:rsidRPr="00450D2E" w:rsidRDefault="000D01B0">
      <w:pPr>
        <w:rPr>
          <w:b/>
          <w:i/>
          <w:color w:val="000000"/>
        </w:rPr>
      </w:pPr>
      <w:r w:rsidRPr="00450D2E">
        <w:rPr>
          <w:b/>
          <w:i/>
          <w:color w:val="000000"/>
        </w:rPr>
        <w:t>Impact on JPMorgan Chase &amp; Co:</w:t>
      </w:r>
    </w:p>
    <w:p w:rsidR="00D91A5C" w:rsidRPr="00450D2E" w:rsidRDefault="000D01B0">
      <w:pPr>
        <w:rPr>
          <w:color w:val="000000"/>
        </w:rPr>
      </w:pPr>
      <w:r w:rsidRPr="00450D2E">
        <w:rPr>
          <w:color w:val="000000"/>
        </w:rPr>
        <w:t>JPMorgan, like other major budgetary educate, had to alter its commerce show to comply with unused controls. This included changes in restrictive exchanging exercises, compliance strategies, and hazard administration practices (</w:t>
      </w:r>
      <w:r w:rsidRPr="00450D2E">
        <w:rPr>
          <w:color w:val="000000"/>
          <w:highlight w:val="white"/>
        </w:rPr>
        <w:t>Duffie, 2019</w:t>
      </w:r>
      <w:r w:rsidRPr="00450D2E">
        <w:rPr>
          <w:color w:val="000000"/>
        </w:rPr>
        <w:t xml:space="preserve">). The administrative environment provoked a refocus on </w:t>
      </w:r>
      <w:r w:rsidR="00450D2E" w:rsidRPr="00450D2E">
        <w:rPr>
          <w:color w:val="000000"/>
        </w:rPr>
        <w:t>centre</w:t>
      </w:r>
      <w:r w:rsidRPr="00450D2E">
        <w:rPr>
          <w:color w:val="000000"/>
        </w:rPr>
        <w:t xml:space="preserve"> managing an </w:t>
      </w:r>
      <w:r w:rsidR="00450D2E" w:rsidRPr="00450D2E">
        <w:rPr>
          <w:color w:val="000000"/>
        </w:rPr>
        <w:t>account exercise</w:t>
      </w:r>
      <w:r w:rsidRPr="00450D2E">
        <w:rPr>
          <w:color w:val="000000"/>
        </w:rPr>
        <w:t xml:space="preserve">, such as conventional loaning and deposit-taking, as contradicted to a few of the more hazardous restrictive exchanging strategies. Compliance with modern controls expanded operational </w:t>
      </w:r>
      <w:r w:rsidRPr="00450D2E">
        <w:rPr>
          <w:color w:val="000000"/>
        </w:rPr>
        <w:lastRenderedPageBreak/>
        <w:t>costs for money related educate. JPMorgan had to contribute in frameworks and faculty to guarantee adherence to administrative requirements. Regulatory changes affected how budgetary educate differentiated their trade lines (</w:t>
      </w:r>
      <w:r w:rsidRPr="00450D2E">
        <w:rPr>
          <w:color w:val="000000"/>
          <w:highlight w:val="white"/>
        </w:rPr>
        <w:t>Dagher, 2018</w:t>
      </w:r>
      <w:r w:rsidRPr="00450D2E">
        <w:rPr>
          <w:color w:val="000000"/>
        </w:rPr>
        <w:t>). JPMorgan and others had to reassess the risk-return profiles of different exercises and alter their procedures accordingly. The accentuation on customer security driven to changes in how budgetary items and administrations were showcased and advertised to clients. JPMorgan had to guarantee compliance with unused customer assurance directions.</w:t>
      </w:r>
    </w:p>
    <w:p w:rsidR="00D91A5C" w:rsidRPr="00450D2E" w:rsidRDefault="000D01B0">
      <w:r w:rsidRPr="00450D2E">
        <w:t xml:space="preserve">For the mentioned company, the post-crisis era required a comprehensive understanding and proper changes in the business model. The regulatory environment had to become </w:t>
      </w:r>
      <w:r w:rsidR="00450D2E" w:rsidRPr="00450D2E">
        <w:t>stricter</w:t>
      </w:r>
      <w:r w:rsidRPr="00450D2E">
        <w:t xml:space="preserve"> so that the previously engaged financial activities area could be properly evaluated as well as strategic decisions could be effectively implemented (Nguyen, 2022). The different impacting areas of the company include the following as mentioned below to have a proper understanding of the same:</w:t>
      </w:r>
    </w:p>
    <w:p w:rsidR="00D91A5C" w:rsidRPr="00450D2E" w:rsidRDefault="000D01B0">
      <w:r w:rsidRPr="00450D2E">
        <w:rPr>
          <w:b/>
          <w:i/>
        </w:rPr>
        <w:t xml:space="preserve">An alteration in the trading strategies: </w:t>
      </w:r>
      <w:r w:rsidRPr="00450D2E">
        <w:t xml:space="preserve">The implementation of different restrictions forced the mentioned company to recalibrate its proper trading initiatives. As such the bank had to remove certain propriety trading activities that seemed to be too risky for the current situation (Riggs </w:t>
      </w:r>
      <w:r w:rsidRPr="00450D2E">
        <w:rPr>
          <w:i/>
        </w:rPr>
        <w:t>et al</w:t>
      </w:r>
      <w:r w:rsidRPr="00450D2E">
        <w:t>., 2020). This shift resonated with the wider regulator objectives and needed a reassessment of the “risk-return profiles” developing more conventional banking measures.</w:t>
      </w:r>
    </w:p>
    <w:p w:rsidR="00D91A5C" w:rsidRPr="00450D2E" w:rsidRDefault="000D01B0">
      <w:r w:rsidRPr="00450D2E">
        <w:rPr>
          <w:b/>
          <w:i/>
        </w:rPr>
        <w:t xml:space="preserve">Compliance measures: </w:t>
      </w:r>
      <w:r w:rsidRPr="00450D2E">
        <w:t xml:space="preserve">while adhering to the newer regulatory needs, there was a cost to be paid. Compliance with these regulations required potential investments in the systems and the personnel. The organisation had to implement robust strategies to facilitate better adherence to the ever-evolving regulatory environment. It impacts the entire cost structure of the organisation. </w:t>
      </w:r>
    </w:p>
    <w:p w:rsidR="00D91A5C" w:rsidRPr="00450D2E" w:rsidRDefault="000D01B0">
      <w:r w:rsidRPr="00450D2E">
        <w:rPr>
          <w:b/>
          <w:i/>
        </w:rPr>
        <w:t xml:space="preserve">More concentration on core banking: </w:t>
      </w:r>
      <w:r w:rsidRPr="00450D2E">
        <w:t xml:space="preserve">With the introduction of the newer regulatory environment, there was an emphasis on traditional banking such as traditional lending and deposit making (Evans </w:t>
      </w:r>
      <w:r w:rsidRPr="00450D2E">
        <w:rPr>
          <w:i/>
        </w:rPr>
        <w:t>et al</w:t>
      </w:r>
      <w:r w:rsidRPr="00450D2E">
        <w:t xml:space="preserve">., 2021). JPMorgan also aimed at reducing the risks by focusing more on activities with better predictable results. It aligned better with the intent of regulatory improvements. </w:t>
      </w:r>
    </w:p>
    <w:p w:rsidR="00D91A5C" w:rsidRPr="00450D2E" w:rsidRDefault="000D01B0">
      <w:r w:rsidRPr="00450D2E">
        <w:rPr>
          <w:b/>
          <w:i/>
        </w:rPr>
        <w:t xml:space="preserve">Consumer security and better market practices: </w:t>
      </w:r>
      <w:r w:rsidRPr="00450D2E">
        <w:t xml:space="preserve">the development of the “Consumer Financial Protection Bureau” or CFPB, there was an enhanced focus on consumer protection. One main area to ensure proper consumer security is to determine how the financial products, as well as services, are marketed and provided to different consumers (Gu </w:t>
      </w:r>
      <w:r w:rsidRPr="00450D2E">
        <w:rPr>
          <w:i/>
        </w:rPr>
        <w:t>et al</w:t>
      </w:r>
      <w:r w:rsidRPr="00450D2E">
        <w:t xml:space="preserve">., 2023).  The </w:t>
      </w:r>
      <w:r w:rsidRPr="00450D2E">
        <w:lastRenderedPageBreak/>
        <w:t>organisation had to better adjust itself to the current and evolving financial markets to comply with the newer guidelines to ensure better consumer protection (Marciniak III, 2021). It also provides better transparency as well as inculcates fairness within the bank’s interactions with different clients.</w:t>
      </w:r>
    </w:p>
    <w:p w:rsidR="00D91A5C" w:rsidRPr="00450D2E" w:rsidRDefault="000D01B0">
      <w:r w:rsidRPr="00450D2E">
        <w:rPr>
          <w:b/>
          <w:i/>
        </w:rPr>
        <w:t xml:space="preserve">Continuous adaptations and strategic considerations: </w:t>
      </w:r>
      <w:r w:rsidRPr="00450D2E">
        <w:t xml:space="preserve">While understanding the company’s response to regulatory reforms, it must be understood that the process is a continuous one. The multi-dimensional aspect of financial regulations requires the adaptation of strategic considerations (Kim, 2019). JPMorgan, being a large and better financial institution, has continuously analysed its risk exposure as well as adapted to the prevailing conditions. The company also evaluated </w:t>
      </w:r>
      <w:r w:rsidR="00450D2E" w:rsidRPr="00450D2E">
        <w:t>its</w:t>
      </w:r>
      <w:r w:rsidRPr="00450D2E">
        <w:t xml:space="preserve"> evolving frameworks for laws and other areas so that the strategies can be better evaluated.</w:t>
      </w:r>
    </w:p>
    <w:p w:rsidR="00D91A5C" w:rsidRPr="00450D2E" w:rsidRDefault="000D01B0">
      <w:pPr>
        <w:rPr>
          <w:color w:val="000000"/>
        </w:rPr>
      </w:pPr>
      <w:r w:rsidRPr="00450D2E">
        <w:rPr>
          <w:color w:val="000000"/>
        </w:rPr>
        <w:t>It's important to note that JPMorgan Chase &amp; Co., being a large and diversified financial institution, adapted to the new regulatory landscape in various ways (</w:t>
      </w:r>
      <w:r w:rsidRPr="00450D2E">
        <w:rPr>
          <w:color w:val="000000"/>
          <w:highlight w:val="white"/>
        </w:rPr>
        <w:t xml:space="preserve">Bernards </w:t>
      </w:r>
      <w:r w:rsidRPr="00450D2E">
        <w:rPr>
          <w:i/>
          <w:color w:val="000000"/>
          <w:highlight w:val="white"/>
        </w:rPr>
        <w:t xml:space="preserve">et al, </w:t>
      </w:r>
      <w:r w:rsidRPr="00450D2E">
        <w:rPr>
          <w:color w:val="000000"/>
          <w:highlight w:val="white"/>
        </w:rPr>
        <w:t>2019</w:t>
      </w:r>
      <w:r w:rsidRPr="00450D2E">
        <w:rPr>
          <w:color w:val="000000"/>
        </w:rPr>
        <w:t>). The impact of reforms on any specific company would depend on its business mix, risk exposure, and strategic decisions made in response to regulatory changes. For the most current and specific information, it's recommended to refer to the latest financial reports and disclosures of the company in question.</w:t>
      </w:r>
    </w:p>
    <w:p w:rsidR="00D91A5C" w:rsidRPr="00450D2E" w:rsidRDefault="000D01B0">
      <w:r w:rsidRPr="00450D2E">
        <w:t xml:space="preserve">It can be mentioned that the post-global “Financial Crisis Regulatory Landscape” has greatly influenced the financial areas and the financial landscape. There has been a better focus on traditional banking along with regulation shifts and financial stability. Therefore, the financial industry has been able to navigate these challenges with a more resilient financial system.  </w:t>
      </w:r>
    </w:p>
    <w:p w:rsidR="00D91A5C" w:rsidRPr="00450D2E" w:rsidRDefault="000D01B0">
      <w:pPr>
        <w:pStyle w:val="Heading1"/>
      </w:pPr>
      <w:r w:rsidRPr="00450D2E">
        <w:br w:type="page"/>
      </w:r>
      <w:bookmarkStart w:id="5" w:name="_Toc154361528"/>
      <w:r w:rsidRPr="00450D2E">
        <w:lastRenderedPageBreak/>
        <w:t>Reference</w:t>
      </w:r>
      <w:bookmarkEnd w:id="5"/>
    </w:p>
    <w:p w:rsidR="00D91A5C" w:rsidRPr="00450D2E" w:rsidRDefault="000D01B0">
      <w:r w:rsidRPr="00450D2E">
        <w:t>Acharya, V.V., Imbierowicz, B., Steffen, S. and Teichmann, D., 2020. Does the lack of financial stability impair the transmission of monetary policy?. Journal of Financial Economics, 138(2), pp.342-365.</w:t>
      </w:r>
    </w:p>
    <w:p w:rsidR="00D91A5C" w:rsidRPr="00450D2E" w:rsidRDefault="000D01B0">
      <w:r w:rsidRPr="00450D2E">
        <w:t>Álvarez, M.C., 2021. Eurozone fiscal reform in light of Covid-19: A review of existing proposals. Funcas Europe, pp.1-10.</w:t>
      </w:r>
    </w:p>
    <w:p w:rsidR="00D91A5C" w:rsidRPr="00450D2E" w:rsidRDefault="000D01B0">
      <w:pPr>
        <w:spacing w:before="240"/>
        <w:rPr>
          <w:highlight w:val="white"/>
        </w:rPr>
      </w:pPr>
      <w:r w:rsidRPr="00450D2E">
        <w:rPr>
          <w:highlight w:val="white"/>
        </w:rPr>
        <w:t>Bernards, N. and Campbell-Verduyn, M., 2019. Understanding technological change in global finance through infrastructures: Introduction to review of international political economy special issue ‘the changing technological infrastructures of global finance’. </w:t>
      </w:r>
      <w:r w:rsidRPr="00450D2E">
        <w:rPr>
          <w:i/>
          <w:highlight w:val="white"/>
        </w:rPr>
        <w:t>Review of international political economy</w:t>
      </w:r>
      <w:r w:rsidRPr="00450D2E">
        <w:rPr>
          <w:highlight w:val="white"/>
        </w:rPr>
        <w:t>, </w:t>
      </w:r>
      <w:r w:rsidRPr="00450D2E">
        <w:rPr>
          <w:i/>
          <w:highlight w:val="white"/>
        </w:rPr>
        <w:t>26</w:t>
      </w:r>
      <w:r w:rsidRPr="00450D2E">
        <w:rPr>
          <w:highlight w:val="white"/>
        </w:rPr>
        <w:t>(5), pp.773-789.</w:t>
      </w:r>
    </w:p>
    <w:p w:rsidR="00D91A5C" w:rsidRPr="00450D2E" w:rsidRDefault="000D01B0">
      <w:r w:rsidRPr="00450D2E">
        <w:t>Bertasiute, A., Massaro, D. and Weber, M., 2020. The behavioral economics of currency unions: Economic integration and monetary policy. Journal of Economic Dynamics and Control, 112, p.103850.</w:t>
      </w:r>
    </w:p>
    <w:p w:rsidR="00D91A5C" w:rsidRPr="00450D2E" w:rsidRDefault="000D01B0">
      <w:r w:rsidRPr="00450D2E">
        <w:t>Blind, K., 2023. The role of the quality infrastructure within socio-technical transformations: A European perspective. Technological Forecasting and Social Change, 199, p.123019.</w:t>
      </w:r>
    </w:p>
    <w:p w:rsidR="00D91A5C" w:rsidRPr="00450D2E" w:rsidRDefault="000D01B0">
      <w:r w:rsidRPr="00450D2E">
        <w:t>Borio, C.E., Farag, M. and Tarashev, N.A., 2020. Post-crisis international financial regulatory reforms: a primer.</w:t>
      </w:r>
    </w:p>
    <w:p w:rsidR="00D91A5C" w:rsidRPr="00450D2E" w:rsidRDefault="000D01B0">
      <w:r w:rsidRPr="00450D2E">
        <w:t>Chugunov, I. and Makohon, V., 2019. Fiscal strategy as an instrument of economic growth. Baltic Journal of Economic Studies, 5(3), pp.213-217.</w:t>
      </w:r>
    </w:p>
    <w:p w:rsidR="00D91A5C" w:rsidRPr="00450D2E" w:rsidRDefault="000D01B0">
      <w:pPr>
        <w:spacing w:before="240"/>
      </w:pPr>
      <w:r w:rsidRPr="00450D2E">
        <w:rPr>
          <w:highlight w:val="white"/>
        </w:rPr>
        <w:t>Cucculelli, M. and Peruzzi, V., 2020. Post-crisis firm survival, business model changes, and learning: evidence from the Italian manufacturing industry. </w:t>
      </w:r>
      <w:r w:rsidRPr="00450D2E">
        <w:rPr>
          <w:i/>
          <w:highlight w:val="white"/>
        </w:rPr>
        <w:t>Small Business Economics</w:t>
      </w:r>
      <w:r w:rsidRPr="00450D2E">
        <w:rPr>
          <w:highlight w:val="white"/>
        </w:rPr>
        <w:t>, </w:t>
      </w:r>
      <w:r w:rsidRPr="00450D2E">
        <w:rPr>
          <w:i/>
          <w:highlight w:val="white"/>
        </w:rPr>
        <w:t>54</w:t>
      </w:r>
      <w:r w:rsidRPr="00450D2E">
        <w:rPr>
          <w:highlight w:val="white"/>
        </w:rPr>
        <w:t>, pp.459-474.</w:t>
      </w:r>
    </w:p>
    <w:p w:rsidR="00D91A5C" w:rsidRPr="00450D2E" w:rsidRDefault="000D01B0">
      <w:pPr>
        <w:spacing w:before="240"/>
        <w:rPr>
          <w:highlight w:val="white"/>
        </w:rPr>
      </w:pPr>
      <w:r w:rsidRPr="00450D2E">
        <w:rPr>
          <w:highlight w:val="white"/>
        </w:rPr>
        <w:t>Dagher, J., 2018. </w:t>
      </w:r>
      <w:r w:rsidRPr="00450D2E">
        <w:rPr>
          <w:i/>
          <w:highlight w:val="white"/>
        </w:rPr>
        <w:t>Regulatory cycles: revisiting the political economy of financial crises</w:t>
      </w:r>
      <w:r w:rsidRPr="00450D2E">
        <w:rPr>
          <w:highlight w:val="white"/>
        </w:rPr>
        <w:t>. International Monetary Fund.</w:t>
      </w:r>
    </w:p>
    <w:p w:rsidR="00D91A5C" w:rsidRPr="00450D2E" w:rsidRDefault="000D01B0">
      <w:r w:rsidRPr="00450D2E">
        <w:t>De Feo, A., 2020. The Multiannual Financial Framework 2021-2027: Ambition or Continuity?. EU Migration Policy: Will More Money Solve Old Conflicts? Trauner, Florian, p.1.</w:t>
      </w:r>
    </w:p>
    <w:p w:rsidR="00D91A5C" w:rsidRPr="00450D2E" w:rsidRDefault="000D01B0">
      <w:r w:rsidRPr="00450D2E">
        <w:t>De Filippi, P., Mannan, M. and Reijers, W., 2020. Blockchain as a confidence machine: The problem of trust &amp; challenges of governance. Technology in Society, 62, p.101284.</w:t>
      </w:r>
    </w:p>
    <w:p w:rsidR="00D91A5C" w:rsidRPr="00450D2E" w:rsidRDefault="000D01B0">
      <w:pPr>
        <w:spacing w:before="240"/>
        <w:rPr>
          <w:highlight w:val="white"/>
        </w:rPr>
      </w:pPr>
      <w:r w:rsidRPr="00450D2E">
        <w:rPr>
          <w:highlight w:val="white"/>
        </w:rPr>
        <w:lastRenderedPageBreak/>
        <w:t>Duffie, D., 2018. Financial regulatory reform after the crisis: An assessment. </w:t>
      </w:r>
      <w:r w:rsidRPr="00450D2E">
        <w:rPr>
          <w:i/>
          <w:highlight w:val="white"/>
        </w:rPr>
        <w:t>Management Science</w:t>
      </w:r>
      <w:r w:rsidRPr="00450D2E">
        <w:rPr>
          <w:highlight w:val="white"/>
        </w:rPr>
        <w:t>, </w:t>
      </w:r>
      <w:r w:rsidRPr="00450D2E">
        <w:rPr>
          <w:i/>
          <w:highlight w:val="white"/>
        </w:rPr>
        <w:t>64</w:t>
      </w:r>
      <w:r w:rsidRPr="00450D2E">
        <w:rPr>
          <w:highlight w:val="white"/>
        </w:rPr>
        <w:t>(10), pp.4835-4857.</w:t>
      </w:r>
    </w:p>
    <w:p w:rsidR="00D91A5C" w:rsidRPr="00450D2E" w:rsidRDefault="000D01B0">
      <w:r w:rsidRPr="00450D2E">
        <w:t>Evans, J.W., Sipe, S.R., Inman, M. and Gonzalez, C., 2021. Reforming Dodd‐Frank from the Whistleblower's Vantage. American Business Law Journal, 58(3), pp.453-523.</w:t>
      </w:r>
    </w:p>
    <w:p w:rsidR="00D91A5C" w:rsidRPr="00450D2E" w:rsidRDefault="000D01B0">
      <w:r w:rsidRPr="00450D2E">
        <w:t>Fidrmuc, J. and Lind, R., 2020. Macroeconomic impact of Basel III: Evidence from a meta-analysis. Journal of Banking &amp; Finance, 112, p.105359.</w:t>
      </w:r>
    </w:p>
    <w:p w:rsidR="00D91A5C" w:rsidRPr="00450D2E" w:rsidRDefault="000D01B0">
      <w:r w:rsidRPr="00450D2E">
        <w:t>Fuster, G.G. and Jasmontaite, L., 2020. Cybersecurity regulation in the European union: the digital, the critical and fundamental rights. The ethics of cybersecurity, pp.97-115.</w:t>
      </w:r>
    </w:p>
    <w:p w:rsidR="00D91A5C" w:rsidRPr="00450D2E" w:rsidRDefault="000D01B0">
      <w:r w:rsidRPr="00450D2E">
        <w:t>Galaz, V., Centeno, M.A., Callahan, P.W., Causevic, A., Patterson, T., Brass, I., Baum, S., Farber, D., Fischer, J., Garcia, D. and McPhearson, T., 2021. Artificial intelligence, systemic risks, and sustainability. Technology in Society, 67, p.101741.</w:t>
      </w:r>
    </w:p>
    <w:p w:rsidR="00D91A5C" w:rsidRPr="00450D2E" w:rsidRDefault="000D01B0">
      <w:r w:rsidRPr="00450D2E">
        <w:t>Georgiev, D., 2019. The Multiannual Financial Framework and the Future of the European Union. In Европейският съюз след 2020 г.–нова Европа в нов свят (pp. 266-279). Университет за национално и световно стопанство (УНСС).</w:t>
      </w:r>
    </w:p>
    <w:p w:rsidR="00D91A5C" w:rsidRPr="00450D2E" w:rsidRDefault="000D01B0">
      <w:r w:rsidRPr="00450D2E">
        <w:t>Gu, Z., Jiang, Y. and Yang, S., 2023. Estimating Unobserved Soft Adjustment in Credit Rating Models: Before and after the Dodd–Frank Act. Journal of Financial Econometrics, 21(5), pp.1791-1819.</w:t>
      </w:r>
    </w:p>
    <w:p w:rsidR="00D91A5C" w:rsidRPr="00450D2E" w:rsidRDefault="000D01B0">
      <w:r w:rsidRPr="00450D2E">
        <w:t>Howarth, D. and Verdun, A., 2020. Economic and Monetary Union at twenty: a stocktaking of a tumultuous second decade: introduction. Journal of European integration, 42(3), pp.287-293.</w:t>
      </w:r>
    </w:p>
    <w:p w:rsidR="00D91A5C" w:rsidRPr="00450D2E" w:rsidRDefault="000D01B0">
      <w:pPr>
        <w:spacing w:before="240"/>
        <w:rPr>
          <w:highlight w:val="white"/>
        </w:rPr>
      </w:pPr>
      <w:r w:rsidRPr="00450D2E">
        <w:rPr>
          <w:highlight w:val="white"/>
        </w:rPr>
        <w:t>Johnstone, S., Saridakis, G. and Wilkinson, A., 2019. The global financial crisis, work and employment: Ten years on. </w:t>
      </w:r>
      <w:r w:rsidRPr="00450D2E">
        <w:rPr>
          <w:i/>
          <w:highlight w:val="white"/>
        </w:rPr>
        <w:t>Economic and Industrial Democracy</w:t>
      </w:r>
      <w:r w:rsidRPr="00450D2E">
        <w:rPr>
          <w:highlight w:val="white"/>
        </w:rPr>
        <w:t>, </w:t>
      </w:r>
      <w:r w:rsidRPr="00450D2E">
        <w:rPr>
          <w:i/>
          <w:highlight w:val="white"/>
        </w:rPr>
        <w:t>40</w:t>
      </w:r>
      <w:r w:rsidRPr="00450D2E">
        <w:rPr>
          <w:highlight w:val="white"/>
        </w:rPr>
        <w:t>(3), pp.455-468.</w:t>
      </w:r>
    </w:p>
    <w:p w:rsidR="00D91A5C" w:rsidRPr="00450D2E" w:rsidRDefault="000D01B0">
      <w:r w:rsidRPr="00450D2E">
        <w:t>Kim, R., 2019. Trying Something Old: Incorporating the Dodd-Frank Act into Modern Efforts to Eliminate Workplace Sexual Harassment. Seattle UL Rev., 43, p.351.</w:t>
      </w:r>
    </w:p>
    <w:p w:rsidR="00D91A5C" w:rsidRPr="00450D2E" w:rsidRDefault="000D01B0">
      <w:r w:rsidRPr="00450D2E">
        <w:t>Larch, M., Busse, M. and Jankovics, L., 2021. Enforcement of fiscal rules: Lessons from the fiscal compact. ZEW-Centre for European Economic Research Discussion Paper, (21-085).</w:t>
      </w:r>
    </w:p>
    <w:p w:rsidR="00D91A5C" w:rsidRPr="00450D2E" w:rsidRDefault="000D01B0">
      <w:r w:rsidRPr="00450D2E">
        <w:t>Maarand, M., 2019. The concept of recovery of credit institutions in the bank recovery and resolution directive. Juridica Int'l, 28, p.103.</w:t>
      </w:r>
    </w:p>
    <w:p w:rsidR="00D91A5C" w:rsidRPr="00450D2E" w:rsidRDefault="000D01B0">
      <w:r w:rsidRPr="00450D2E">
        <w:lastRenderedPageBreak/>
        <w:t>Manaa, M., Chimienti, M.T., Adachi, M.M., Athanassiou, P., Balteanu, I., Calza, A., Devaney, C., Diaz Fernandez, E., Eser, F., Ganoulis, I. and Laot, M., 2019. Crypto-Assets: Implications for financial stability, monetary policy, and payments and market infrastructures.</w:t>
      </w:r>
    </w:p>
    <w:p w:rsidR="00D91A5C" w:rsidRPr="00450D2E" w:rsidRDefault="000D01B0">
      <w:r w:rsidRPr="00450D2E">
        <w:t>Marciniak III, S.A., 2021. Too Big to Protect: A Dodd-Frank Framework for Protecting 21st Century American Consumer Privacy Rights. Duq. L. Rev., 59, p.329.</w:t>
      </w:r>
    </w:p>
    <w:p w:rsidR="00D91A5C" w:rsidRPr="00450D2E" w:rsidRDefault="000D01B0">
      <w:r w:rsidRPr="00450D2E">
        <w:t>Markopoulou, D., Papakonstantinou, V. and De Hert, P., 2019. The new EU cybersecurity framework: The NIS Directive, ENISA's role and the General Data Protection Regulation. Computer Law &amp; Security Review, 35(6), p.105336.</w:t>
      </w:r>
    </w:p>
    <w:p w:rsidR="00D91A5C" w:rsidRPr="00450D2E" w:rsidRDefault="000D01B0">
      <w:r w:rsidRPr="00450D2E">
        <w:t>McNamara, C.M., Wedow, M. and Metrick, A., 2019. Basel III B: Basel III Overview. Journal of Financial Crises, 1(4), pp.59-69.</w:t>
      </w:r>
    </w:p>
    <w:p w:rsidR="00D91A5C" w:rsidRPr="00450D2E" w:rsidRDefault="000D01B0">
      <w:pPr>
        <w:spacing w:before="240"/>
        <w:rPr>
          <w:highlight w:val="white"/>
        </w:rPr>
      </w:pPr>
      <w:r w:rsidRPr="00450D2E">
        <w:rPr>
          <w:highlight w:val="white"/>
        </w:rPr>
        <w:t>Meier, S., Gonzalez, M.R. and Kunze, F., 2021. The global financial crisis, the EMU sovereign debt crisis and international financial regulation: lessons from a systematic literature review. </w:t>
      </w:r>
      <w:r w:rsidRPr="00450D2E">
        <w:rPr>
          <w:i/>
          <w:highlight w:val="white"/>
        </w:rPr>
        <w:t>International Review of Law and Economics</w:t>
      </w:r>
      <w:r w:rsidRPr="00450D2E">
        <w:rPr>
          <w:highlight w:val="white"/>
        </w:rPr>
        <w:t>, </w:t>
      </w:r>
      <w:r w:rsidRPr="00450D2E">
        <w:rPr>
          <w:i/>
          <w:highlight w:val="white"/>
        </w:rPr>
        <w:t>65</w:t>
      </w:r>
      <w:r w:rsidRPr="00450D2E">
        <w:rPr>
          <w:highlight w:val="white"/>
        </w:rPr>
        <w:t>, p.105945.</w:t>
      </w:r>
    </w:p>
    <w:p w:rsidR="00D91A5C" w:rsidRPr="00450D2E" w:rsidRDefault="000D01B0">
      <w:r w:rsidRPr="00450D2E">
        <w:t>Mellet, K. and Beauvisage, T., 2021. Cookie monsters. Anatomy of a digital market infrastructure. In Digitalized Markets (pp. 14-33). Routledge.</w:t>
      </w:r>
    </w:p>
    <w:p w:rsidR="00D91A5C" w:rsidRPr="00450D2E" w:rsidRDefault="000D01B0">
      <w:pPr>
        <w:spacing w:before="240"/>
        <w:rPr>
          <w:highlight w:val="white"/>
        </w:rPr>
      </w:pPr>
      <w:r w:rsidRPr="00450D2E">
        <w:rPr>
          <w:highlight w:val="white"/>
        </w:rPr>
        <w:t>Munzer, M. and Pelger, C., 2023. Maintaining the universal banking model–A study of institutional work in the endogenization of a failed transnational post-crisis financial market reform. </w:t>
      </w:r>
      <w:r w:rsidRPr="00450D2E">
        <w:rPr>
          <w:i/>
          <w:highlight w:val="white"/>
        </w:rPr>
        <w:t>Critical Perspectives on Accounting</w:t>
      </w:r>
      <w:r w:rsidRPr="00450D2E">
        <w:rPr>
          <w:highlight w:val="white"/>
        </w:rPr>
        <w:t>, </w:t>
      </w:r>
      <w:r w:rsidRPr="00450D2E">
        <w:rPr>
          <w:i/>
          <w:highlight w:val="white"/>
        </w:rPr>
        <w:t>95</w:t>
      </w:r>
      <w:r w:rsidRPr="00450D2E">
        <w:rPr>
          <w:highlight w:val="white"/>
        </w:rPr>
        <w:t>, p.102510.</w:t>
      </w:r>
    </w:p>
    <w:p w:rsidR="00D91A5C" w:rsidRPr="00450D2E" w:rsidRDefault="000D01B0">
      <w:r w:rsidRPr="00450D2E">
        <w:t>Naidoo, C.P., 2020. Relating financial systems to sustainability transitions: challenges, demands and design features. Environmental Innovation and Societal Transitions, 36, pp.270-290.</w:t>
      </w:r>
    </w:p>
    <w:p w:rsidR="00D91A5C" w:rsidRPr="00450D2E" w:rsidRDefault="000D01B0">
      <w:r w:rsidRPr="00450D2E">
        <w:t>Nguyen, H., 2022. Does the Dodd-Frank Act Stress Test Improve Bank Equity Risk and Liquidity Risk?. Journal of Business, 7(03), pp.12-19.</w:t>
      </w:r>
    </w:p>
    <w:p w:rsidR="00D91A5C" w:rsidRPr="00450D2E" w:rsidRDefault="000D01B0">
      <w:r w:rsidRPr="00450D2E">
        <w:t>Omarova, S.T., 2020. Dealing with disruption: emerging approaches to fintech regulation. Wash. UJL &amp; Pol'y, 61, p.25.</w:t>
      </w:r>
    </w:p>
    <w:p w:rsidR="00D91A5C" w:rsidRPr="00450D2E" w:rsidRDefault="000D01B0">
      <w:r w:rsidRPr="00450D2E">
        <w:t>Pancotto, L., ap Gwilym, O. and Williams, J., 2019. The European bank recovery and resolution directive: A market assessment. Journal of Financial Stability, 44, p.100689.</w:t>
      </w:r>
    </w:p>
    <w:p w:rsidR="00D91A5C" w:rsidRPr="00450D2E" w:rsidRDefault="000D01B0">
      <w:r w:rsidRPr="00450D2E">
        <w:lastRenderedPageBreak/>
        <w:t>Proffitt, D.G., Bartholomew, K., Ewing, R. and Miller, H.J., 2019. Accessibility planning in American metropolitan areas: Are we there yet?. Urban Studies, 56(1), pp.167-192.</w:t>
      </w:r>
    </w:p>
    <w:p w:rsidR="00D91A5C" w:rsidRPr="00450D2E" w:rsidRDefault="000D01B0">
      <w:r w:rsidRPr="00450D2E">
        <w:t>Regling, K., 2022. EU fiscal rules: A look back and the way forward. Intereconomics, 57(1), pp.8-10.</w:t>
      </w:r>
    </w:p>
    <w:p w:rsidR="00D91A5C" w:rsidRPr="00450D2E" w:rsidRDefault="000D01B0">
      <w:r w:rsidRPr="00450D2E">
        <w:t>Rehm, M., 2022. Shocks and Time: The Development of the European Financial Assistance Regime. JCMS: Journal of Common Market Studies, 60(6), pp.1645-1662.</w:t>
      </w:r>
    </w:p>
    <w:p w:rsidR="00D91A5C" w:rsidRPr="00450D2E" w:rsidRDefault="000D01B0">
      <w:r w:rsidRPr="00450D2E">
        <w:t>Riggs, L., Onur, E., Reiffen, D. and Zhu, H., 2020. Swap trading after Dodd-Frank: Evidence from index CDS. Journal of Financial Economics, 137(3), pp.857-886.</w:t>
      </w:r>
    </w:p>
    <w:p w:rsidR="00D91A5C" w:rsidRPr="00450D2E" w:rsidRDefault="000D01B0">
      <w:r w:rsidRPr="00450D2E">
        <w:t>Rostagno, M., Altavilla, C., Carboni, G., Lemke, W., Motto, R., Guilhem, A.S. and Yiangou, J., 2019. A tale of two decades: the ECB's monetary policy at 20.</w:t>
      </w:r>
    </w:p>
    <w:p w:rsidR="00D91A5C" w:rsidRPr="00450D2E" w:rsidRDefault="000D01B0">
      <w:r w:rsidRPr="00450D2E">
        <w:t>Shopov, D., 2020. Analysing and Forecasting the Debt Burden of the EU Countries: Is There a New European Debt Crisis on the Horizon?. Народностопански архив, (2), pp.58-78.</w:t>
      </w:r>
    </w:p>
    <w:p w:rsidR="00D91A5C" w:rsidRPr="00450D2E" w:rsidRDefault="000D01B0">
      <w:pPr>
        <w:spacing w:before="240"/>
        <w:rPr>
          <w:highlight w:val="white"/>
        </w:rPr>
      </w:pPr>
      <w:r w:rsidRPr="00450D2E">
        <w:rPr>
          <w:highlight w:val="white"/>
        </w:rPr>
        <w:t>Sironi, A., 2018. The evolution of banking regulation since the financial crisis: a critical assessment. </w:t>
      </w:r>
      <w:r w:rsidRPr="00450D2E">
        <w:rPr>
          <w:i/>
          <w:highlight w:val="white"/>
        </w:rPr>
        <w:t>BAFFI CAREFIN Centre Research Paper</w:t>
      </w:r>
      <w:r w:rsidRPr="00450D2E">
        <w:rPr>
          <w:highlight w:val="white"/>
        </w:rPr>
        <w:t>, (2018-103).</w:t>
      </w:r>
    </w:p>
    <w:p w:rsidR="00D91A5C" w:rsidRPr="00450D2E" w:rsidRDefault="000D01B0">
      <w:r w:rsidRPr="00450D2E">
        <w:t>Tarullo, D.K., 2019. Financial regulation: Still unsettled a decade after the crisis. Journal of Economic Perspectives, 33(1), pp.61-80.</w:t>
      </w:r>
    </w:p>
    <w:p w:rsidR="00D91A5C" w:rsidRPr="00450D2E" w:rsidRDefault="000D01B0">
      <w:r w:rsidRPr="00450D2E">
        <w:t>Tullia Galanti, M. and Sacchi, S., 2019. When words matter: narratives and strategies in the Italian Jobs Act (2014–2016). Policy and Society, 38(3), pp.485-501.</w:t>
      </w:r>
    </w:p>
    <w:p w:rsidR="00D91A5C" w:rsidRPr="00450D2E" w:rsidRDefault="000D01B0">
      <w:r w:rsidRPr="00450D2E">
        <w:t>Wiggins, R.Z., Wedow, M. and Metrick, A., 2019. European Banking Union B: The Single Resolution Mechanism. Journal of Financial Crises, 1(3), pp.130-149.</w:t>
      </w:r>
    </w:p>
    <w:p w:rsidR="00D91A5C" w:rsidRPr="00450D2E" w:rsidRDefault="000D01B0">
      <w:r w:rsidRPr="00450D2E">
        <w:t>Wiliński, W., 2019. Changes in the fiscal policy of EU states after the 2008 crisis. International journal of management and economics, 55(1), pp.52-65.</w:t>
      </w:r>
    </w:p>
    <w:p w:rsidR="00D91A5C" w:rsidRPr="00450D2E" w:rsidRDefault="000D01B0">
      <w:r w:rsidRPr="00450D2E">
        <w:t>Zoppè, A. and Dias, C., 2020. The European stability mechanism: main features, instruments and accountability.</w:t>
      </w:r>
    </w:p>
    <w:p w:rsidR="00D91A5C" w:rsidRPr="00450D2E" w:rsidRDefault="00D91A5C"/>
    <w:p w:rsidR="00D91A5C" w:rsidRPr="00450D2E" w:rsidRDefault="00D91A5C">
      <w:pPr>
        <w:spacing w:before="240"/>
        <w:rPr>
          <w:highlight w:val="white"/>
        </w:rPr>
      </w:pPr>
    </w:p>
    <w:p w:rsidR="00D91A5C" w:rsidRPr="00450D2E" w:rsidRDefault="00D91A5C">
      <w:pPr>
        <w:spacing w:before="240"/>
        <w:rPr>
          <w:highlight w:val="white"/>
        </w:rPr>
      </w:pPr>
    </w:p>
    <w:sectPr w:rsidR="00D91A5C" w:rsidRPr="00450D2E" w:rsidSect="00B02C50">
      <w:footerReference w:type="default" r:id="rId8"/>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7053A" w:rsidRDefault="0017053A">
      <w:pPr>
        <w:spacing w:after="0" w:line="240" w:lineRule="auto"/>
      </w:pPr>
      <w:r>
        <w:separator/>
      </w:r>
    </w:p>
  </w:endnote>
  <w:endnote w:type="continuationSeparator" w:id="1">
    <w:p w:rsidR="0017053A" w:rsidRDefault="001705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91A5C" w:rsidRDefault="00FF5F8D">
    <w:pPr>
      <w:pBdr>
        <w:top w:val="nil"/>
        <w:left w:val="nil"/>
        <w:bottom w:val="nil"/>
        <w:right w:val="nil"/>
        <w:between w:val="nil"/>
      </w:pBdr>
      <w:tabs>
        <w:tab w:val="center" w:pos="4680"/>
        <w:tab w:val="right" w:pos="9360"/>
      </w:tabs>
      <w:spacing w:after="0" w:line="240" w:lineRule="auto"/>
      <w:jc w:val="right"/>
      <w:rPr>
        <w:color w:val="000000"/>
        <w:sz w:val="20"/>
        <w:szCs w:val="20"/>
      </w:rPr>
    </w:pPr>
    <w:r>
      <w:rPr>
        <w:color w:val="000000"/>
        <w:sz w:val="20"/>
        <w:szCs w:val="20"/>
      </w:rPr>
      <w:fldChar w:fldCharType="begin"/>
    </w:r>
    <w:r w:rsidR="000D01B0">
      <w:rPr>
        <w:color w:val="000000"/>
        <w:sz w:val="20"/>
        <w:szCs w:val="20"/>
      </w:rPr>
      <w:instrText>PAGE</w:instrText>
    </w:r>
    <w:r>
      <w:rPr>
        <w:color w:val="000000"/>
        <w:sz w:val="20"/>
        <w:szCs w:val="20"/>
      </w:rPr>
      <w:fldChar w:fldCharType="separate"/>
    </w:r>
    <w:r w:rsidR="006D5FC2">
      <w:rPr>
        <w:noProof/>
        <w:color w:val="000000"/>
        <w:sz w:val="20"/>
        <w:szCs w:val="20"/>
      </w:rPr>
      <w:t>19</w:t>
    </w:r>
    <w:r>
      <w:rPr>
        <w:color w:val="000000"/>
        <w:sz w:val="20"/>
        <w:szCs w:val="20"/>
      </w:rPr>
      <w:fldChar w:fldCharType="end"/>
    </w:r>
  </w:p>
  <w:p w:rsidR="00D91A5C" w:rsidRDefault="00D91A5C">
    <w:pPr>
      <w:pBdr>
        <w:top w:val="nil"/>
        <w:left w:val="nil"/>
        <w:bottom w:val="nil"/>
        <w:right w:val="nil"/>
        <w:between w:val="nil"/>
      </w:pBdr>
      <w:tabs>
        <w:tab w:val="center" w:pos="4680"/>
        <w:tab w:val="right" w:pos="9360"/>
      </w:tabs>
      <w:spacing w:after="0" w:line="240" w:lineRule="auto"/>
      <w:jc w:val="left"/>
      <w:rPr>
        <w:color w:val="000000"/>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7053A" w:rsidRDefault="0017053A">
      <w:pPr>
        <w:spacing w:after="0" w:line="240" w:lineRule="auto"/>
      </w:pPr>
      <w:r>
        <w:separator/>
      </w:r>
    </w:p>
  </w:footnote>
  <w:footnote w:type="continuationSeparator" w:id="1">
    <w:p w:rsidR="0017053A" w:rsidRDefault="0017053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D91A5C"/>
    <w:rsid w:val="000405C7"/>
    <w:rsid w:val="000D01B0"/>
    <w:rsid w:val="0017053A"/>
    <w:rsid w:val="00450D2E"/>
    <w:rsid w:val="006D5FC2"/>
    <w:rsid w:val="0094348E"/>
    <w:rsid w:val="009C3101"/>
    <w:rsid w:val="00B02C50"/>
    <w:rsid w:val="00D91A5C"/>
    <w:rsid w:val="00EF1D17"/>
    <w:rsid w:val="00F47CEC"/>
    <w:rsid w:val="00FF5F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2C50"/>
    <w:rPr>
      <w:lang w:val="en-GB"/>
    </w:rPr>
  </w:style>
  <w:style w:type="paragraph" w:styleId="Heading1">
    <w:name w:val="heading 1"/>
    <w:basedOn w:val="Normal"/>
    <w:next w:val="Normal"/>
    <w:uiPriority w:val="9"/>
    <w:qFormat/>
    <w:rsid w:val="00B02C50"/>
    <w:pPr>
      <w:keepNext/>
      <w:keepLines/>
      <w:spacing w:before="240" w:after="0"/>
      <w:outlineLvl w:val="0"/>
    </w:pPr>
    <w:rPr>
      <w:b/>
      <w:color w:val="000000"/>
      <w:sz w:val="28"/>
      <w:szCs w:val="28"/>
    </w:rPr>
  </w:style>
  <w:style w:type="paragraph" w:styleId="Heading2">
    <w:name w:val="heading 2"/>
    <w:basedOn w:val="Normal"/>
    <w:next w:val="Normal"/>
    <w:uiPriority w:val="9"/>
    <w:semiHidden/>
    <w:unhideWhenUsed/>
    <w:qFormat/>
    <w:rsid w:val="00B02C50"/>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B02C50"/>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B02C50"/>
    <w:pPr>
      <w:keepNext/>
      <w:keepLines/>
      <w:spacing w:before="240" w:after="40"/>
      <w:outlineLvl w:val="3"/>
    </w:pPr>
    <w:rPr>
      <w:b/>
    </w:rPr>
  </w:style>
  <w:style w:type="paragraph" w:styleId="Heading5">
    <w:name w:val="heading 5"/>
    <w:basedOn w:val="Normal"/>
    <w:next w:val="Normal"/>
    <w:uiPriority w:val="9"/>
    <w:semiHidden/>
    <w:unhideWhenUsed/>
    <w:qFormat/>
    <w:rsid w:val="00B02C50"/>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B02C5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02C50"/>
    <w:pPr>
      <w:keepNext/>
      <w:keepLines/>
      <w:spacing w:before="480" w:after="120"/>
    </w:pPr>
    <w:rPr>
      <w:b/>
      <w:sz w:val="72"/>
      <w:szCs w:val="72"/>
    </w:rPr>
  </w:style>
  <w:style w:type="paragraph" w:styleId="Subtitle">
    <w:name w:val="Subtitle"/>
    <w:basedOn w:val="Normal"/>
    <w:next w:val="Normal"/>
    <w:uiPriority w:val="11"/>
    <w:qFormat/>
    <w:rsid w:val="00B02C50"/>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434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48E"/>
    <w:rPr>
      <w:rFonts w:ascii="Tahoma" w:hAnsi="Tahoma" w:cs="Tahoma"/>
      <w:sz w:val="16"/>
      <w:szCs w:val="16"/>
      <w:lang w:val="en-GB"/>
    </w:rPr>
  </w:style>
  <w:style w:type="paragraph" w:styleId="TOC1">
    <w:name w:val="toc 1"/>
    <w:basedOn w:val="Normal"/>
    <w:next w:val="Normal"/>
    <w:autoRedefine/>
    <w:uiPriority w:val="39"/>
    <w:unhideWhenUsed/>
    <w:rsid w:val="0094348E"/>
    <w:pPr>
      <w:spacing w:after="100"/>
    </w:pPr>
  </w:style>
  <w:style w:type="character" w:styleId="Hyperlink">
    <w:name w:val="Hyperlink"/>
    <w:basedOn w:val="DefaultParagraphFont"/>
    <w:uiPriority w:val="99"/>
    <w:unhideWhenUsed/>
    <w:rsid w:val="0094348E"/>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3IjXveevQElsuQBIPKmmGsZBng==">CgMxLjAyCGguZ2pkZ3hzMgloLjMwajB6bGwyCWguMWZvYjl0ZTIJaC4zem55c2g3MgloLjJldDkycDAyCGgudHlqY3d0OAByITF2UEwySnRMeV8yNzVESnQ5TGxZcjAtc204U01vNWcxSA==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20</Pages>
  <Words>6286</Words>
  <Characters>35831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hiren</cp:lastModifiedBy>
  <cp:revision>6</cp:revision>
  <dcterms:created xsi:type="dcterms:W3CDTF">2023-12-23T12:54:00Z</dcterms:created>
  <dcterms:modified xsi:type="dcterms:W3CDTF">2023-12-24T22:10:00Z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87fa42e8-3386-4ba2-9878-d2c448dce141</vt:lpwstr>
  </property>
</Properties>
</file>