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F7DCC" w14:textId="77777777" w:rsidR="008B794D" w:rsidRPr="00CB00A6" w:rsidRDefault="008B794D" w:rsidP="008B794D">
      <w:pPr>
        <w:jc w:val="center"/>
        <w:rPr>
          <w:rFonts w:ascii="Verdana" w:hAnsi="Verdana"/>
          <w:sz w:val="56"/>
        </w:rPr>
      </w:pPr>
    </w:p>
    <w:p w14:paraId="62D9E26F" w14:textId="77777777" w:rsidR="008B794D" w:rsidRPr="00CB00A6" w:rsidRDefault="008B794D" w:rsidP="008B794D">
      <w:pPr>
        <w:jc w:val="center"/>
        <w:rPr>
          <w:rFonts w:ascii="Verdana" w:hAnsi="Verdana"/>
          <w:sz w:val="56"/>
        </w:rPr>
      </w:pPr>
    </w:p>
    <w:p w14:paraId="5BD0A8BE" w14:textId="4F47A944" w:rsidR="008B794D" w:rsidRPr="003947C5" w:rsidRDefault="007B1DF3" w:rsidP="004E77DE">
      <w:pPr>
        <w:rPr>
          <w:rFonts w:ascii="Verdana" w:hAnsi="Verdana"/>
          <w:sz w:val="64"/>
          <w:szCs w:val="64"/>
        </w:rPr>
      </w:pPr>
      <w:r>
        <w:rPr>
          <w:rFonts w:ascii="Verdana" w:hAnsi="Verdana"/>
          <w:sz w:val="56"/>
        </w:rPr>
        <w:t xml:space="preserve">     </w:t>
      </w:r>
      <w:r w:rsidR="0091457F">
        <w:rPr>
          <w:rFonts w:ascii="Verdana" w:hAnsi="Verdana"/>
          <w:sz w:val="64"/>
          <w:szCs w:val="64"/>
        </w:rPr>
        <w:t>Business Management</w:t>
      </w:r>
    </w:p>
    <w:p w14:paraId="6EE67ADB" w14:textId="56B1D5BD" w:rsidR="00E77F15" w:rsidRDefault="008B794D" w:rsidP="008B794D">
      <w:pPr>
        <w:jc w:val="center"/>
        <w:rPr>
          <w:rFonts w:ascii="Verdana" w:hAnsi="Verdana"/>
          <w:sz w:val="72"/>
        </w:rPr>
      </w:pPr>
      <w:r w:rsidRPr="00CB00A6">
        <w:rPr>
          <w:rFonts w:ascii="Verdana" w:hAnsi="Verdana"/>
          <w:sz w:val="72"/>
        </w:rPr>
        <w:t>Project Management</w:t>
      </w:r>
    </w:p>
    <w:p w14:paraId="7F619E48" w14:textId="2B9F4A52" w:rsidR="00D070BA" w:rsidRPr="00CB00A6" w:rsidRDefault="00D070BA" w:rsidP="008B794D">
      <w:pPr>
        <w:jc w:val="center"/>
        <w:rPr>
          <w:rFonts w:ascii="Verdana" w:hAnsi="Verdana"/>
          <w:sz w:val="72"/>
        </w:rPr>
      </w:pPr>
      <w:r>
        <w:rPr>
          <w:rFonts w:ascii="Verdana" w:hAnsi="Verdana"/>
          <w:sz w:val="72"/>
        </w:rPr>
        <w:t>LCBB5005</w:t>
      </w:r>
    </w:p>
    <w:p w14:paraId="74452252" w14:textId="77777777" w:rsidR="008B794D" w:rsidRDefault="008B794D" w:rsidP="008B794D">
      <w:pPr>
        <w:jc w:val="center"/>
        <w:rPr>
          <w:rFonts w:ascii="Verdana" w:hAnsi="Verdana"/>
          <w:sz w:val="72"/>
        </w:rPr>
      </w:pPr>
      <w:r w:rsidRPr="00CB00A6">
        <w:rPr>
          <w:rFonts w:ascii="Verdana" w:hAnsi="Verdana"/>
          <w:sz w:val="72"/>
        </w:rPr>
        <w:t>Assessment 2</w:t>
      </w:r>
    </w:p>
    <w:p w14:paraId="5150BA34" w14:textId="77777777" w:rsidR="00E71FE3" w:rsidRDefault="00983B5D" w:rsidP="00E71FE3">
      <w:pPr>
        <w:rPr>
          <w:rFonts w:ascii="Verdana" w:hAnsi="Verdana"/>
          <w:sz w:val="72"/>
        </w:rPr>
      </w:pPr>
      <w:r>
        <w:rPr>
          <w:rFonts w:ascii="Verdana" w:hAnsi="Verdana"/>
          <w:sz w:val="72"/>
        </w:rPr>
        <w:t xml:space="preserve">    </w:t>
      </w:r>
      <w:r w:rsidR="003F61F0">
        <w:rPr>
          <w:rFonts w:ascii="Verdana" w:hAnsi="Verdana"/>
          <w:sz w:val="72"/>
        </w:rPr>
        <w:t xml:space="preserve">Anca Larisa Costache </w:t>
      </w:r>
    </w:p>
    <w:p w14:paraId="1B040ABD" w14:textId="66D0CAB3" w:rsidR="00983B5D" w:rsidRPr="00CB00A6" w:rsidRDefault="009E5E4E" w:rsidP="00E71FE3">
      <w:pPr>
        <w:rPr>
          <w:rFonts w:ascii="Verdana" w:hAnsi="Verdana"/>
          <w:sz w:val="72"/>
        </w:rPr>
        <w:sectPr w:rsidR="00983B5D" w:rsidRPr="00CB00A6" w:rsidSect="00056013">
          <w:pgSz w:w="12240" w:h="15840"/>
          <w:pgMar w:top="1440" w:right="1440" w:bottom="1440" w:left="1440" w:header="720" w:footer="720" w:gutter="0"/>
          <w:cols w:space="720"/>
          <w:docGrid w:linePitch="360"/>
        </w:sectPr>
      </w:pPr>
      <w:r>
        <w:rPr>
          <w:rFonts w:ascii="Verdana" w:hAnsi="Verdana"/>
          <w:sz w:val="72"/>
        </w:rPr>
        <w:t xml:space="preserve">            </w:t>
      </w:r>
      <w:r w:rsidR="00983B5D">
        <w:rPr>
          <w:rFonts w:ascii="Verdana" w:hAnsi="Verdana"/>
          <w:sz w:val="72"/>
        </w:rPr>
        <w:t>20</w:t>
      </w:r>
      <w:r>
        <w:rPr>
          <w:rFonts w:ascii="Verdana" w:hAnsi="Verdana"/>
          <w:sz w:val="72"/>
        </w:rPr>
        <w:t>21935</w:t>
      </w:r>
    </w:p>
    <w:sdt>
      <w:sdtPr>
        <w:rPr>
          <w:rFonts w:ascii="Verdana" w:eastAsiaTheme="minorHAnsi" w:hAnsi="Verdana" w:cs="Times New Roman"/>
          <w:b w:val="0"/>
          <w:bCs w:val="0"/>
          <w:color w:val="auto"/>
          <w:sz w:val="24"/>
          <w:szCs w:val="22"/>
          <w:lang w:val="en-GB"/>
        </w:rPr>
        <w:id w:val="44810118"/>
        <w:docPartObj>
          <w:docPartGallery w:val="Table of Contents"/>
          <w:docPartUnique/>
        </w:docPartObj>
      </w:sdtPr>
      <w:sdtEndPr>
        <w:rPr>
          <w:rFonts w:cstheme="minorBidi"/>
        </w:rPr>
      </w:sdtEndPr>
      <w:sdtContent>
        <w:p w14:paraId="051CACC9" w14:textId="77777777" w:rsidR="0052362F" w:rsidRPr="00CB00A6" w:rsidRDefault="0052362F" w:rsidP="0052362F">
          <w:pPr>
            <w:pStyle w:val="Titlucuprins"/>
            <w:jc w:val="center"/>
            <w:rPr>
              <w:rFonts w:ascii="Verdana" w:hAnsi="Verdana" w:cs="Times New Roman"/>
              <w:b w:val="0"/>
              <w:color w:val="auto"/>
            </w:rPr>
          </w:pPr>
          <w:r w:rsidRPr="00CB00A6">
            <w:rPr>
              <w:rFonts w:ascii="Verdana" w:hAnsi="Verdana" w:cs="Times New Roman"/>
              <w:b w:val="0"/>
              <w:color w:val="auto"/>
            </w:rPr>
            <w:t>Table of Contents</w:t>
          </w:r>
        </w:p>
        <w:p w14:paraId="381D505F" w14:textId="77777777" w:rsidR="0052362F" w:rsidRPr="00CB00A6" w:rsidRDefault="0052362F">
          <w:pPr>
            <w:pStyle w:val="Cuprins1"/>
            <w:tabs>
              <w:tab w:val="right" w:leader="dot" w:pos="9350"/>
            </w:tabs>
            <w:rPr>
              <w:rFonts w:ascii="Verdana" w:eastAsiaTheme="minorEastAsia" w:hAnsi="Verdana"/>
              <w:noProof/>
              <w:sz w:val="22"/>
              <w:lang w:val="en-US"/>
            </w:rPr>
          </w:pPr>
          <w:r w:rsidRPr="00CB00A6">
            <w:rPr>
              <w:rFonts w:ascii="Verdana" w:hAnsi="Verdana"/>
            </w:rPr>
            <w:fldChar w:fldCharType="begin"/>
          </w:r>
          <w:r w:rsidRPr="00CB00A6">
            <w:rPr>
              <w:rFonts w:ascii="Verdana" w:hAnsi="Verdana"/>
            </w:rPr>
            <w:instrText xml:space="preserve"> TOC \o "1-3" \h \z \u </w:instrText>
          </w:r>
          <w:r w:rsidRPr="00CB00A6">
            <w:rPr>
              <w:rFonts w:ascii="Verdana" w:hAnsi="Verdana"/>
            </w:rPr>
            <w:fldChar w:fldCharType="separate"/>
          </w:r>
          <w:hyperlink w:anchor="_Toc109254390" w:history="1">
            <w:r w:rsidRPr="00CB00A6">
              <w:rPr>
                <w:rStyle w:val="Hyperlink"/>
                <w:rFonts w:ascii="Verdana" w:hAnsi="Verdana"/>
                <w:noProof/>
              </w:rPr>
              <w:t>Introduction</w:t>
            </w:r>
            <w:r w:rsidRPr="00CB00A6">
              <w:rPr>
                <w:rFonts w:ascii="Verdana" w:hAnsi="Verdana"/>
                <w:noProof/>
                <w:webHidden/>
              </w:rPr>
              <w:tab/>
            </w:r>
            <w:r w:rsidRPr="00CB00A6">
              <w:rPr>
                <w:rFonts w:ascii="Verdana" w:hAnsi="Verdana"/>
                <w:noProof/>
                <w:webHidden/>
              </w:rPr>
              <w:fldChar w:fldCharType="begin"/>
            </w:r>
            <w:r w:rsidRPr="00CB00A6">
              <w:rPr>
                <w:rFonts w:ascii="Verdana" w:hAnsi="Verdana"/>
                <w:noProof/>
                <w:webHidden/>
              </w:rPr>
              <w:instrText xml:space="preserve"> PAGEREF _Toc109254390 \h </w:instrText>
            </w:r>
            <w:r w:rsidRPr="00CB00A6">
              <w:rPr>
                <w:rFonts w:ascii="Verdana" w:hAnsi="Verdana"/>
                <w:noProof/>
                <w:webHidden/>
              </w:rPr>
            </w:r>
            <w:r w:rsidRPr="00CB00A6">
              <w:rPr>
                <w:rFonts w:ascii="Verdana" w:hAnsi="Verdana"/>
                <w:noProof/>
                <w:webHidden/>
              </w:rPr>
              <w:fldChar w:fldCharType="separate"/>
            </w:r>
            <w:r w:rsidR="00690CFA" w:rsidRPr="00CB00A6">
              <w:rPr>
                <w:rFonts w:ascii="Verdana" w:hAnsi="Verdana"/>
                <w:noProof/>
                <w:webHidden/>
              </w:rPr>
              <w:t>1</w:t>
            </w:r>
            <w:r w:rsidRPr="00CB00A6">
              <w:rPr>
                <w:rFonts w:ascii="Verdana" w:hAnsi="Verdana"/>
                <w:noProof/>
                <w:webHidden/>
              </w:rPr>
              <w:fldChar w:fldCharType="end"/>
            </w:r>
          </w:hyperlink>
        </w:p>
        <w:p w14:paraId="57A10C93" w14:textId="77777777" w:rsidR="0052362F" w:rsidRPr="00CB00A6" w:rsidRDefault="00B37610">
          <w:pPr>
            <w:pStyle w:val="Cuprins1"/>
            <w:tabs>
              <w:tab w:val="right" w:leader="dot" w:pos="9350"/>
            </w:tabs>
            <w:rPr>
              <w:rFonts w:ascii="Verdana" w:eastAsiaTheme="minorEastAsia" w:hAnsi="Verdana"/>
              <w:noProof/>
              <w:sz w:val="22"/>
              <w:lang w:val="en-US"/>
            </w:rPr>
          </w:pPr>
          <w:hyperlink w:anchor="_Toc109254391" w:history="1">
            <w:r w:rsidR="0052362F" w:rsidRPr="00CB00A6">
              <w:rPr>
                <w:rStyle w:val="Hyperlink"/>
                <w:rFonts w:ascii="Verdana" w:hAnsi="Verdana"/>
                <w:noProof/>
              </w:rPr>
              <w:t>Main Body</w:t>
            </w:r>
            <w:r w:rsidR="0052362F" w:rsidRPr="00CB00A6">
              <w:rPr>
                <w:rFonts w:ascii="Verdana" w:hAnsi="Verdana"/>
                <w:noProof/>
                <w:webHidden/>
              </w:rPr>
              <w:tab/>
            </w:r>
            <w:r w:rsidR="0052362F" w:rsidRPr="00CB00A6">
              <w:rPr>
                <w:rFonts w:ascii="Verdana" w:hAnsi="Verdana"/>
                <w:noProof/>
                <w:webHidden/>
              </w:rPr>
              <w:fldChar w:fldCharType="begin"/>
            </w:r>
            <w:r w:rsidR="0052362F" w:rsidRPr="00CB00A6">
              <w:rPr>
                <w:rFonts w:ascii="Verdana" w:hAnsi="Verdana"/>
                <w:noProof/>
                <w:webHidden/>
              </w:rPr>
              <w:instrText xml:space="preserve"> PAGEREF _Toc109254391 \h </w:instrText>
            </w:r>
            <w:r w:rsidR="0052362F" w:rsidRPr="00CB00A6">
              <w:rPr>
                <w:rFonts w:ascii="Verdana" w:hAnsi="Verdana"/>
                <w:noProof/>
                <w:webHidden/>
              </w:rPr>
            </w:r>
            <w:r w:rsidR="0052362F" w:rsidRPr="00CB00A6">
              <w:rPr>
                <w:rFonts w:ascii="Verdana" w:hAnsi="Verdana"/>
                <w:noProof/>
                <w:webHidden/>
              </w:rPr>
              <w:fldChar w:fldCharType="separate"/>
            </w:r>
            <w:r w:rsidR="00690CFA" w:rsidRPr="00CB00A6">
              <w:rPr>
                <w:rFonts w:ascii="Verdana" w:hAnsi="Verdana"/>
                <w:noProof/>
                <w:webHidden/>
              </w:rPr>
              <w:t>2</w:t>
            </w:r>
            <w:r w:rsidR="0052362F" w:rsidRPr="00CB00A6">
              <w:rPr>
                <w:rFonts w:ascii="Verdana" w:hAnsi="Verdana"/>
                <w:noProof/>
                <w:webHidden/>
              </w:rPr>
              <w:fldChar w:fldCharType="end"/>
            </w:r>
          </w:hyperlink>
        </w:p>
        <w:p w14:paraId="586C48DB" w14:textId="77777777" w:rsidR="0052362F" w:rsidRPr="00CB00A6" w:rsidRDefault="00B37610">
          <w:pPr>
            <w:pStyle w:val="Cuprins1"/>
            <w:tabs>
              <w:tab w:val="right" w:leader="dot" w:pos="9350"/>
            </w:tabs>
            <w:rPr>
              <w:rFonts w:ascii="Verdana" w:eastAsiaTheme="minorEastAsia" w:hAnsi="Verdana"/>
              <w:noProof/>
              <w:sz w:val="22"/>
              <w:lang w:val="en-US"/>
            </w:rPr>
          </w:pPr>
          <w:hyperlink w:anchor="_Toc109254392" w:history="1">
            <w:r w:rsidR="0052362F" w:rsidRPr="00CB00A6">
              <w:rPr>
                <w:rStyle w:val="Hyperlink"/>
                <w:rFonts w:ascii="Verdana" w:hAnsi="Verdana"/>
                <w:noProof/>
              </w:rPr>
              <w:t>Conclusion</w:t>
            </w:r>
            <w:r w:rsidR="0052362F" w:rsidRPr="00CB00A6">
              <w:rPr>
                <w:rFonts w:ascii="Verdana" w:hAnsi="Verdana"/>
                <w:noProof/>
                <w:webHidden/>
              </w:rPr>
              <w:tab/>
            </w:r>
            <w:r w:rsidR="0052362F" w:rsidRPr="00CB00A6">
              <w:rPr>
                <w:rFonts w:ascii="Verdana" w:hAnsi="Verdana"/>
                <w:noProof/>
                <w:webHidden/>
              </w:rPr>
              <w:fldChar w:fldCharType="begin"/>
            </w:r>
            <w:r w:rsidR="0052362F" w:rsidRPr="00CB00A6">
              <w:rPr>
                <w:rFonts w:ascii="Verdana" w:hAnsi="Verdana"/>
                <w:noProof/>
                <w:webHidden/>
              </w:rPr>
              <w:instrText xml:space="preserve"> PAGEREF _Toc109254392 \h </w:instrText>
            </w:r>
            <w:r w:rsidR="0052362F" w:rsidRPr="00CB00A6">
              <w:rPr>
                <w:rFonts w:ascii="Verdana" w:hAnsi="Verdana"/>
                <w:noProof/>
                <w:webHidden/>
              </w:rPr>
            </w:r>
            <w:r w:rsidR="0052362F" w:rsidRPr="00CB00A6">
              <w:rPr>
                <w:rFonts w:ascii="Verdana" w:hAnsi="Verdana"/>
                <w:noProof/>
                <w:webHidden/>
              </w:rPr>
              <w:fldChar w:fldCharType="separate"/>
            </w:r>
            <w:r w:rsidR="00690CFA" w:rsidRPr="00CB00A6">
              <w:rPr>
                <w:rFonts w:ascii="Verdana" w:hAnsi="Verdana"/>
                <w:noProof/>
                <w:webHidden/>
              </w:rPr>
              <w:t>9</w:t>
            </w:r>
            <w:r w:rsidR="0052362F" w:rsidRPr="00CB00A6">
              <w:rPr>
                <w:rFonts w:ascii="Verdana" w:hAnsi="Verdana"/>
                <w:noProof/>
                <w:webHidden/>
              </w:rPr>
              <w:fldChar w:fldCharType="end"/>
            </w:r>
          </w:hyperlink>
        </w:p>
        <w:p w14:paraId="4D33D126" w14:textId="77777777" w:rsidR="0052362F" w:rsidRPr="00CB00A6" w:rsidRDefault="00B37610">
          <w:pPr>
            <w:pStyle w:val="Cuprins1"/>
            <w:tabs>
              <w:tab w:val="right" w:leader="dot" w:pos="9350"/>
            </w:tabs>
            <w:rPr>
              <w:rFonts w:ascii="Verdana" w:eastAsiaTheme="minorEastAsia" w:hAnsi="Verdana"/>
              <w:noProof/>
              <w:sz w:val="22"/>
              <w:lang w:val="en-US"/>
            </w:rPr>
          </w:pPr>
          <w:hyperlink w:anchor="_Toc109254393" w:history="1">
            <w:r w:rsidR="0052362F" w:rsidRPr="00CB00A6">
              <w:rPr>
                <w:rStyle w:val="Hyperlink"/>
                <w:rFonts w:ascii="Verdana" w:hAnsi="Verdana"/>
                <w:noProof/>
              </w:rPr>
              <w:t>References</w:t>
            </w:r>
            <w:r w:rsidR="0052362F" w:rsidRPr="00CB00A6">
              <w:rPr>
                <w:rFonts w:ascii="Verdana" w:hAnsi="Verdana"/>
                <w:noProof/>
                <w:webHidden/>
              </w:rPr>
              <w:tab/>
            </w:r>
            <w:r w:rsidR="0052362F" w:rsidRPr="00CB00A6">
              <w:rPr>
                <w:rFonts w:ascii="Verdana" w:hAnsi="Verdana"/>
                <w:noProof/>
                <w:webHidden/>
              </w:rPr>
              <w:fldChar w:fldCharType="begin"/>
            </w:r>
            <w:r w:rsidR="0052362F" w:rsidRPr="00CB00A6">
              <w:rPr>
                <w:rFonts w:ascii="Verdana" w:hAnsi="Verdana"/>
                <w:noProof/>
                <w:webHidden/>
              </w:rPr>
              <w:instrText xml:space="preserve"> PAGEREF _Toc109254393 \h </w:instrText>
            </w:r>
            <w:r w:rsidR="0052362F" w:rsidRPr="00CB00A6">
              <w:rPr>
                <w:rFonts w:ascii="Verdana" w:hAnsi="Verdana"/>
                <w:noProof/>
                <w:webHidden/>
              </w:rPr>
            </w:r>
            <w:r w:rsidR="0052362F" w:rsidRPr="00CB00A6">
              <w:rPr>
                <w:rFonts w:ascii="Verdana" w:hAnsi="Verdana"/>
                <w:noProof/>
                <w:webHidden/>
              </w:rPr>
              <w:fldChar w:fldCharType="separate"/>
            </w:r>
            <w:r w:rsidR="00690CFA" w:rsidRPr="00CB00A6">
              <w:rPr>
                <w:rFonts w:ascii="Verdana" w:hAnsi="Verdana"/>
                <w:noProof/>
                <w:webHidden/>
              </w:rPr>
              <w:t>10</w:t>
            </w:r>
            <w:r w:rsidR="0052362F" w:rsidRPr="00CB00A6">
              <w:rPr>
                <w:rFonts w:ascii="Verdana" w:hAnsi="Verdana"/>
                <w:noProof/>
                <w:webHidden/>
              </w:rPr>
              <w:fldChar w:fldCharType="end"/>
            </w:r>
          </w:hyperlink>
        </w:p>
        <w:p w14:paraId="57EB859B" w14:textId="77777777" w:rsidR="0052362F" w:rsidRPr="00CB00A6" w:rsidRDefault="0052362F">
          <w:pPr>
            <w:rPr>
              <w:rFonts w:ascii="Verdana" w:hAnsi="Verdana"/>
            </w:rPr>
          </w:pPr>
          <w:r w:rsidRPr="00CB00A6">
            <w:rPr>
              <w:rFonts w:ascii="Verdana" w:hAnsi="Verdana"/>
            </w:rPr>
            <w:fldChar w:fldCharType="end"/>
          </w:r>
        </w:p>
      </w:sdtContent>
    </w:sdt>
    <w:p w14:paraId="01716D3E" w14:textId="77777777" w:rsidR="0052362F" w:rsidRPr="00CB00A6" w:rsidRDefault="0052362F" w:rsidP="0052362F">
      <w:pPr>
        <w:rPr>
          <w:rFonts w:ascii="Verdana" w:hAnsi="Verdana"/>
        </w:rPr>
        <w:sectPr w:rsidR="0052362F" w:rsidRPr="00CB00A6" w:rsidSect="00056013">
          <w:pgSz w:w="12240" w:h="15840"/>
          <w:pgMar w:top="1440" w:right="1440" w:bottom="1440" w:left="1440" w:header="720" w:footer="720" w:gutter="0"/>
          <w:cols w:space="720"/>
          <w:docGrid w:linePitch="360"/>
        </w:sectPr>
      </w:pPr>
    </w:p>
    <w:p w14:paraId="7778A682" w14:textId="77777777" w:rsidR="008B794D" w:rsidRPr="00CB00A6" w:rsidRDefault="00300BD1" w:rsidP="00300BD1">
      <w:pPr>
        <w:pStyle w:val="Titlu1"/>
        <w:rPr>
          <w:rFonts w:ascii="Verdana" w:hAnsi="Verdana"/>
          <w:b w:val="0"/>
        </w:rPr>
      </w:pPr>
      <w:bookmarkStart w:id="0" w:name="_Toc109254390"/>
      <w:r w:rsidRPr="00CB00A6">
        <w:rPr>
          <w:rFonts w:ascii="Verdana" w:hAnsi="Verdana"/>
          <w:b w:val="0"/>
        </w:rPr>
        <w:lastRenderedPageBreak/>
        <w:t>Introduction</w:t>
      </w:r>
      <w:bookmarkEnd w:id="0"/>
    </w:p>
    <w:p w14:paraId="6A98B1E6" w14:textId="77777777" w:rsidR="00300BD1" w:rsidRPr="00CB00A6" w:rsidRDefault="00300BD1" w:rsidP="00300BD1">
      <w:pPr>
        <w:rPr>
          <w:rFonts w:ascii="Verdana" w:hAnsi="Verdana"/>
        </w:rPr>
      </w:pPr>
      <w:r w:rsidRPr="00CB00A6">
        <w:rPr>
          <w:rFonts w:ascii="Verdana" w:hAnsi="Verdana"/>
        </w:rPr>
        <w:t xml:space="preserve">This report will provide a detailed narration on the Cross Rail Project. Initial plans for Crossrail were announced in 2005. The Crossrail Bill was passed by the UK government in 2009, and the system was scheduled to open in 2019. As part of what is billed as "Europe's greatest building project," 30 current rail stations will be modernised and 10 new ones will be built. The details of the project would be analysed in the report so as to come to the decision of it being a failure or success. </w:t>
      </w:r>
      <w:r w:rsidR="00115D9F" w:rsidRPr="00CB00A6">
        <w:rPr>
          <w:rFonts w:ascii="Verdana" w:hAnsi="Verdana"/>
        </w:rPr>
        <w:t xml:space="preserve">The details such as their management, leadership and other related aspects would be discussed. Moreover, it would provide the related justifications and recommendations. </w:t>
      </w:r>
    </w:p>
    <w:p w14:paraId="7EEDC6DA" w14:textId="77777777" w:rsidR="00A123F8" w:rsidRPr="00CB00A6" w:rsidRDefault="00A123F8" w:rsidP="00FE5B77">
      <w:pPr>
        <w:pStyle w:val="Titlu1"/>
        <w:rPr>
          <w:rFonts w:ascii="Verdana" w:hAnsi="Verdana"/>
          <w:b w:val="0"/>
        </w:rPr>
        <w:sectPr w:rsidR="00A123F8" w:rsidRPr="00CB00A6" w:rsidSect="0052362F">
          <w:footerReference w:type="default" r:id="rId7"/>
          <w:pgSz w:w="12240" w:h="15840"/>
          <w:pgMar w:top="1440" w:right="1440" w:bottom="1440" w:left="1440" w:header="720" w:footer="720" w:gutter="0"/>
          <w:pgNumType w:start="1"/>
          <w:cols w:space="720"/>
          <w:docGrid w:linePitch="360"/>
        </w:sectPr>
      </w:pPr>
    </w:p>
    <w:p w14:paraId="02F29488" w14:textId="77777777" w:rsidR="00FE5B77" w:rsidRPr="00CB00A6" w:rsidRDefault="00FE5B77" w:rsidP="00FE5B77">
      <w:pPr>
        <w:pStyle w:val="Titlu1"/>
        <w:rPr>
          <w:rFonts w:ascii="Verdana" w:hAnsi="Verdana"/>
          <w:b w:val="0"/>
        </w:rPr>
      </w:pPr>
      <w:bookmarkStart w:id="1" w:name="_Toc109254391"/>
      <w:r w:rsidRPr="00CB00A6">
        <w:rPr>
          <w:rFonts w:ascii="Verdana" w:hAnsi="Verdana"/>
          <w:b w:val="0"/>
        </w:rPr>
        <w:lastRenderedPageBreak/>
        <w:t>Main Body</w:t>
      </w:r>
      <w:bookmarkEnd w:id="1"/>
    </w:p>
    <w:p w14:paraId="2F38D849" w14:textId="77777777" w:rsidR="00FE5B77" w:rsidRPr="00CB00A6" w:rsidRDefault="008C4E66" w:rsidP="00FE5B77">
      <w:pPr>
        <w:rPr>
          <w:rFonts w:ascii="Verdana" w:hAnsi="Verdana"/>
        </w:rPr>
      </w:pPr>
      <w:r w:rsidRPr="00CB00A6">
        <w:rPr>
          <w:rFonts w:ascii="Verdana" w:hAnsi="Verdana"/>
        </w:rPr>
        <w:t>As of 2005, the Crossrail project has received a total financing commitment of £3.33 billion (Crossrail, 2017), of which 78% went to strategic partnerships and 22% to different suppliers (a total of £796m).</w:t>
      </w:r>
      <w:r w:rsidR="00841FF1" w:rsidRPr="00CB00A6">
        <w:rPr>
          <w:rFonts w:ascii="Verdana" w:hAnsi="Verdana"/>
        </w:rPr>
        <w:t xml:space="preserve"> The budgetary budget made by government opened the way for a combination of partnerships between Crossrail Limited, Network Rail as potential keeper for the overall infrastructure, and numerous designs and build contracts, which generated over 60 tenders for main construction work, 24 consultancy system for long term sustainability, and over 31 advanced works contractual arrangements for activities such as investigating work, research projects, and other similar things</w:t>
      </w:r>
      <w:r w:rsidR="0000703F" w:rsidRPr="00CB00A6">
        <w:rPr>
          <w:rFonts w:ascii="Verdana" w:hAnsi="Verdana"/>
        </w:rPr>
        <w:t xml:space="preserve"> (</w:t>
      </w:r>
      <w:r w:rsidR="0000703F" w:rsidRPr="00CB00A6">
        <w:rPr>
          <w:rFonts w:ascii="Verdana" w:hAnsi="Verdana"/>
          <w:shd w:val="clear" w:color="auto" w:fill="FFFFFF"/>
        </w:rPr>
        <w:t>Mikkelsen et al., 2020</w:t>
      </w:r>
      <w:r w:rsidR="0000703F" w:rsidRPr="00CB00A6">
        <w:rPr>
          <w:rFonts w:ascii="Verdana" w:hAnsi="Verdana"/>
        </w:rPr>
        <w:t>)</w:t>
      </w:r>
      <w:r w:rsidR="00841FF1" w:rsidRPr="00CB00A6">
        <w:rPr>
          <w:rFonts w:ascii="Verdana" w:hAnsi="Verdana"/>
        </w:rPr>
        <w:t>.</w:t>
      </w:r>
    </w:p>
    <w:p w14:paraId="32CE28D0" w14:textId="77777777" w:rsidR="00346C10" w:rsidRPr="00CB00A6" w:rsidRDefault="005C1D6D" w:rsidP="00346C10">
      <w:pPr>
        <w:rPr>
          <w:rFonts w:ascii="Verdana" w:hAnsi="Verdana"/>
        </w:rPr>
      </w:pPr>
      <w:r w:rsidRPr="00CB00A6">
        <w:rPr>
          <w:rFonts w:ascii="Verdana" w:hAnsi="Verdana"/>
        </w:rPr>
        <w:t>The twelve most difficult tenders had values ranging from £62,2 million to £676,9 million and were awarded to joint projects consisting of two or three well-known building projects giants like BAM and Kier. These joint ventures were responsible for the mobilisation of a total of 55,000 full-time positions. It is anticipated that manufacturing of the service would begin in 2019.</w:t>
      </w:r>
      <w:r w:rsidR="00346C10" w:rsidRPr="00CB00A6">
        <w:rPr>
          <w:rFonts w:ascii="Verdana" w:hAnsi="Verdana"/>
        </w:rPr>
        <w:t xml:space="preserve"> Many people wonder how Crossrail would deal with the challenges of managing and retaining information as the project moves from 2005 to 2019, given the involvement of over 100 large consultancies and construction firms, as well as more than 3000 small and medium-sized businesses (SMEs) in the provision of resources and equipment.</w:t>
      </w:r>
    </w:p>
    <w:p w14:paraId="2A007833" w14:textId="77777777" w:rsidR="00346C10" w:rsidRPr="00CB00A6" w:rsidRDefault="00346C10" w:rsidP="00346C10">
      <w:pPr>
        <w:rPr>
          <w:rFonts w:ascii="Verdana" w:hAnsi="Verdana"/>
        </w:rPr>
      </w:pPr>
      <w:r w:rsidRPr="00CB00A6">
        <w:rPr>
          <w:rFonts w:ascii="Verdana" w:hAnsi="Verdana"/>
        </w:rPr>
        <w:t xml:space="preserve">Crossrail is organised on five levels, taking into account the multilayered organisation culture as well as the number of personnel involved in the programme. These levels include the strategic, plan, geographical region, project, and contractual levels. According to the philosophy of Systems Thinking, each layer serves to a certain subset of the population while interacting elements continue to operate as if they were autonomous systems </w:t>
      </w:r>
      <w:r w:rsidRPr="00CB00A6">
        <w:rPr>
          <w:rFonts w:ascii="Verdana" w:hAnsi="Verdana"/>
        </w:rPr>
        <w:lastRenderedPageBreak/>
        <w:t>with inputs and outputs</w:t>
      </w:r>
      <w:r w:rsidR="0000703F" w:rsidRPr="00CB00A6">
        <w:rPr>
          <w:rFonts w:ascii="Verdana" w:hAnsi="Verdana"/>
        </w:rPr>
        <w:t xml:space="preserve"> (</w:t>
      </w:r>
      <w:r w:rsidR="0000703F" w:rsidRPr="00CB00A6">
        <w:rPr>
          <w:rFonts w:ascii="Verdana" w:hAnsi="Verdana"/>
          <w:shd w:val="clear" w:color="auto" w:fill="FFFFFF"/>
        </w:rPr>
        <w:t>Galli, 2020</w:t>
      </w:r>
      <w:r w:rsidR="0000703F" w:rsidRPr="00CB00A6">
        <w:rPr>
          <w:rFonts w:ascii="Verdana" w:hAnsi="Verdana"/>
        </w:rPr>
        <w:t>)</w:t>
      </w:r>
      <w:r w:rsidRPr="00CB00A6">
        <w:rPr>
          <w:rFonts w:ascii="Verdana" w:hAnsi="Verdana"/>
        </w:rPr>
        <w:t>. This indicates that the level of influence exercised through fundamental situational leadership behaviours such as all styles of leadership, ranging from guiding to mentoring, would only have an effect on nearby relationships and would not be sufficient to keep even a small portion of the programme in sync.</w:t>
      </w:r>
    </w:p>
    <w:p w14:paraId="6F0FFEB0" w14:textId="77777777" w:rsidR="00F56CEE" w:rsidRPr="00CB00A6" w:rsidRDefault="00DA2055" w:rsidP="00F56CEE">
      <w:pPr>
        <w:rPr>
          <w:rFonts w:ascii="Verdana" w:hAnsi="Verdana"/>
        </w:rPr>
      </w:pPr>
      <w:r w:rsidRPr="00CB00A6">
        <w:rPr>
          <w:rFonts w:ascii="Verdana" w:hAnsi="Verdana"/>
        </w:rPr>
        <w:t>Crossrail's Supply Chain and Procurement underlines the importance of individual talents and competencies hired to be up to the job and only operate in safe circumstances, while completely aligned with Network Rail's motto: "Everyone home safe every day." With its ten rigorous organisational Safety Rules, which emphasise safety and personal competence, the corporation suggests that an authoritarian leadership style is more appropriate for an operation where the leader takes choices and instructs his or their followers by instruction.</w:t>
      </w:r>
      <w:r w:rsidR="00F56CEE" w:rsidRPr="00CB00A6">
        <w:rPr>
          <w:rFonts w:ascii="Verdana" w:hAnsi="Verdana"/>
        </w:rPr>
        <w:t xml:space="preserve"> In the 1970s and 1980s, a leadership paradigm known as tran</w:t>
      </w:r>
      <w:r w:rsidR="0000703F" w:rsidRPr="00CB00A6">
        <w:rPr>
          <w:rFonts w:ascii="Verdana" w:hAnsi="Verdana"/>
        </w:rPr>
        <w:t xml:space="preserve">sactional leadership prevailed that </w:t>
      </w:r>
      <w:r w:rsidR="00F56CEE" w:rsidRPr="00CB00A6">
        <w:rPr>
          <w:rFonts w:ascii="Verdana" w:hAnsi="Verdana"/>
        </w:rPr>
        <w:t>provided little incentive for charismatic, motivational, and trans</w:t>
      </w:r>
      <w:r w:rsidR="0000703F" w:rsidRPr="00CB00A6">
        <w:rPr>
          <w:rFonts w:ascii="Verdana" w:hAnsi="Verdana"/>
        </w:rPr>
        <w:t>formative leaders to go forward (</w:t>
      </w:r>
      <w:r w:rsidR="0000703F" w:rsidRPr="00CB00A6">
        <w:rPr>
          <w:rFonts w:ascii="Verdana" w:hAnsi="Verdana"/>
          <w:shd w:val="clear" w:color="auto" w:fill="FFFFFF"/>
        </w:rPr>
        <w:t>Turner, 2018</w:t>
      </w:r>
      <w:r w:rsidR="0000703F" w:rsidRPr="00CB00A6">
        <w:rPr>
          <w:rFonts w:ascii="Verdana" w:hAnsi="Verdana"/>
        </w:rPr>
        <w:t>)</w:t>
      </w:r>
      <w:r w:rsidR="007F51D2" w:rsidRPr="00CB00A6">
        <w:rPr>
          <w:rFonts w:ascii="Verdana" w:hAnsi="Verdana"/>
        </w:rPr>
        <w:t>.</w:t>
      </w:r>
    </w:p>
    <w:p w14:paraId="53AA8EB0" w14:textId="77777777" w:rsidR="00DA2055" w:rsidRPr="00CB00A6" w:rsidRDefault="00186CEB" w:rsidP="00346C10">
      <w:pPr>
        <w:rPr>
          <w:rFonts w:ascii="Verdana" w:hAnsi="Verdana"/>
        </w:rPr>
      </w:pPr>
      <w:r w:rsidRPr="00CB00A6">
        <w:rPr>
          <w:rFonts w:ascii="Verdana" w:hAnsi="Verdana"/>
        </w:rPr>
        <w:t>Despite their effectiveness in struggle, authoritarian and transactional leadership models may not be appropriate for 14-year engineering programmes open to the general public because of their emphasis on precision and immediate or short-term effects. They may also not be appropriate because of their lack of military background.</w:t>
      </w:r>
      <w:r w:rsidR="0042162C" w:rsidRPr="00CB00A6">
        <w:rPr>
          <w:rFonts w:ascii="Verdana" w:hAnsi="Verdana"/>
        </w:rPr>
        <w:t xml:space="preserve"> </w:t>
      </w:r>
      <w:r w:rsidR="001E7838" w:rsidRPr="00CB00A6">
        <w:rPr>
          <w:rFonts w:ascii="Verdana" w:hAnsi="Verdana"/>
        </w:rPr>
        <w:t>An</w:t>
      </w:r>
      <w:r w:rsidR="0042162C" w:rsidRPr="00CB00A6">
        <w:rPr>
          <w:rFonts w:ascii="Verdana" w:hAnsi="Verdana"/>
        </w:rPr>
        <w:t xml:space="preserve"> indication of failure would be reflected </w:t>
      </w:r>
      <w:r w:rsidR="007A3B25" w:rsidRPr="00CB00A6">
        <w:rPr>
          <w:rFonts w:ascii="Verdana" w:hAnsi="Verdana"/>
        </w:rPr>
        <w:t>by ineffective communication or</w:t>
      </w:r>
      <w:r w:rsidR="0042162C" w:rsidRPr="00CB00A6">
        <w:rPr>
          <w:rFonts w:ascii="Verdana" w:hAnsi="Verdana"/>
        </w:rPr>
        <w:t xml:space="preserve"> poor information flows from the point of view of information management. In order to determine whether or not the Crossrail project can be regarded as a success when seen from the aforementioned perspective, one of the aims of this analysis is to do an analysis of the structure of Crossrail</w:t>
      </w:r>
      <w:r w:rsidR="007A3B25" w:rsidRPr="00CB00A6">
        <w:rPr>
          <w:rFonts w:ascii="Verdana" w:hAnsi="Verdana"/>
        </w:rPr>
        <w:t>. The programme adhered to a style of transactional leadership, it may be claimed that this choice would be unfair to taxpayers since it did not choose for a model of successful leadership that centred on continual growth, encouragement, research, and support</w:t>
      </w:r>
      <w:r w:rsidR="007F51D2" w:rsidRPr="00CB00A6">
        <w:rPr>
          <w:rFonts w:ascii="Verdana" w:hAnsi="Verdana"/>
        </w:rPr>
        <w:t xml:space="preserve"> (</w:t>
      </w:r>
      <w:r w:rsidR="007F51D2" w:rsidRPr="00CB00A6">
        <w:rPr>
          <w:rFonts w:ascii="Verdana" w:hAnsi="Verdana"/>
          <w:shd w:val="clear" w:color="auto" w:fill="FFFFFF"/>
        </w:rPr>
        <w:t>Tong and Caroline, 2019</w:t>
      </w:r>
      <w:r w:rsidR="007F51D2" w:rsidRPr="00CB00A6">
        <w:rPr>
          <w:rFonts w:ascii="Verdana" w:hAnsi="Verdana"/>
        </w:rPr>
        <w:t>)</w:t>
      </w:r>
      <w:r w:rsidR="007A3B25" w:rsidRPr="00CB00A6">
        <w:rPr>
          <w:rFonts w:ascii="Verdana" w:hAnsi="Verdana"/>
        </w:rPr>
        <w:t>. </w:t>
      </w:r>
    </w:p>
    <w:p w14:paraId="5130CD61" w14:textId="77777777" w:rsidR="00141DF8" w:rsidRPr="00CB00A6" w:rsidRDefault="00766F42" w:rsidP="00346C10">
      <w:pPr>
        <w:rPr>
          <w:rFonts w:ascii="Verdana" w:hAnsi="Verdana"/>
        </w:rPr>
      </w:pPr>
      <w:r w:rsidRPr="00CB00A6">
        <w:rPr>
          <w:rFonts w:ascii="Verdana" w:hAnsi="Verdana"/>
        </w:rPr>
        <w:lastRenderedPageBreak/>
        <w:t xml:space="preserve">In relation to the management of the project, it would have been more effective. </w:t>
      </w:r>
      <w:r w:rsidR="00F25C72" w:rsidRPr="00CB00A6">
        <w:rPr>
          <w:rFonts w:ascii="Verdana" w:hAnsi="Verdana"/>
        </w:rPr>
        <w:t>Recruiting, training, and exposing resources from a range of venues, including training facilities, colleges, and the workstations of over 55,000 full-time employees will be essential to the project's ability to engage with over 100 significant consulting and construction firms.</w:t>
      </w:r>
      <w:r w:rsidR="00172E87" w:rsidRPr="00CB00A6">
        <w:rPr>
          <w:rFonts w:ascii="Verdana" w:hAnsi="Verdana"/>
        </w:rPr>
        <w:t xml:space="preserve"> As reported by official government reports and strongly supported by the Construction Industry Training Board, one out of every eight construction workers is not a citizen of the United Kingdom, and one out of every four business owners directly employs at least one non-U.K. citizen</w:t>
      </w:r>
      <w:r w:rsidR="00B26578" w:rsidRPr="00CB00A6">
        <w:rPr>
          <w:rFonts w:ascii="Verdana" w:hAnsi="Verdana"/>
        </w:rPr>
        <w:t>.</w:t>
      </w:r>
    </w:p>
    <w:p w14:paraId="5843DB1A" w14:textId="77777777" w:rsidR="00B26578" w:rsidRPr="00CB00A6" w:rsidRDefault="00B26578" w:rsidP="00B26578">
      <w:pPr>
        <w:rPr>
          <w:rFonts w:ascii="Verdana" w:hAnsi="Verdana"/>
        </w:rPr>
      </w:pPr>
      <w:r w:rsidRPr="00CB00A6">
        <w:rPr>
          <w:rFonts w:ascii="Verdana" w:hAnsi="Verdana"/>
        </w:rPr>
        <w:t>Even though it's widely known that the construction sector is far larger than Crossrail in context of the availability of resources, it may be expected that one-quarter of the 55,000 employees are non-UK nationals (13,750). In summary, one-quarter of the Crossrail workforce has benefitted from a wide range of work experiences, including varied training, management staff, and ability to collaborate</w:t>
      </w:r>
      <w:r w:rsidR="007F51D2" w:rsidRPr="00CB00A6">
        <w:rPr>
          <w:rFonts w:ascii="Verdana" w:hAnsi="Verdana"/>
        </w:rPr>
        <w:t xml:space="preserve"> (</w:t>
      </w:r>
      <w:r w:rsidR="007F51D2" w:rsidRPr="00CB00A6">
        <w:rPr>
          <w:rFonts w:ascii="Verdana" w:hAnsi="Verdana"/>
          <w:shd w:val="clear" w:color="auto" w:fill="FFFFFF"/>
        </w:rPr>
        <w:t>Galli, 2018</w:t>
      </w:r>
      <w:r w:rsidR="007F51D2" w:rsidRPr="00CB00A6">
        <w:rPr>
          <w:rFonts w:ascii="Verdana" w:hAnsi="Verdana"/>
        </w:rPr>
        <w:t>)</w:t>
      </w:r>
      <w:r w:rsidRPr="00CB00A6">
        <w:rPr>
          <w:rFonts w:ascii="Verdana" w:hAnsi="Verdana"/>
        </w:rPr>
        <w:t>. The above illustrates the criticality of a well-developed information system in overcoming the problems of a varied workforce and communication and information processing issues.</w:t>
      </w:r>
      <w:r w:rsidR="00AA3DD8" w:rsidRPr="00CB00A6">
        <w:rPr>
          <w:rFonts w:ascii="Verdana" w:hAnsi="Verdana"/>
        </w:rPr>
        <w:t xml:space="preserve"> Distributing project data and knowledge across large, diverse teams like Crossrail necessitates both effective managerial tools and inspiring leadership behaviours capable of consulting and resolving as a group such as through others, to generate a sense of belonging through regular interactions and admiration all through the duration of the project. It is clear from the results in the preceding section that Crossrail's leadership is more transactional, maybe inflexible, than transformative.</w:t>
      </w:r>
    </w:p>
    <w:p w14:paraId="3E395E9E" w14:textId="77777777" w:rsidR="004850AD" w:rsidRPr="00CB00A6" w:rsidRDefault="004850AD" w:rsidP="004850AD">
      <w:pPr>
        <w:rPr>
          <w:rFonts w:ascii="Verdana" w:hAnsi="Verdana"/>
        </w:rPr>
      </w:pPr>
      <w:r w:rsidRPr="00CB00A6">
        <w:rPr>
          <w:rFonts w:ascii="Verdana" w:hAnsi="Verdana"/>
        </w:rPr>
        <w:t xml:space="preserve">It will be necessary to implement a project management technique that is suited to the Crossrail model in order to streamline the flow of information among the many stakeholders, ensure consistency, and allow for efficient monitoring at all levels. Agile, Waterfall, and Prince2 are among the approaches that were considered, but Crossrail chose GRIP (Governance for </w:t>
      </w:r>
      <w:r w:rsidRPr="00CB00A6">
        <w:rPr>
          <w:rFonts w:ascii="Verdana" w:hAnsi="Verdana"/>
        </w:rPr>
        <w:lastRenderedPageBreak/>
        <w:t>Rail and Infrastructure Projects) to guide the project throughout its whole</w:t>
      </w:r>
      <w:r w:rsidR="007F51D2" w:rsidRPr="00CB00A6">
        <w:rPr>
          <w:rFonts w:ascii="Verdana" w:hAnsi="Verdana"/>
        </w:rPr>
        <w:t xml:space="preserve"> (</w:t>
      </w:r>
      <w:proofErr w:type="spellStart"/>
      <w:r w:rsidR="007F51D2" w:rsidRPr="00CB00A6">
        <w:rPr>
          <w:rFonts w:ascii="Verdana" w:hAnsi="Verdana"/>
          <w:shd w:val="clear" w:color="auto" w:fill="FFFFFF"/>
        </w:rPr>
        <w:t>Faulconer</w:t>
      </w:r>
      <w:proofErr w:type="spellEnd"/>
      <w:r w:rsidR="007F51D2" w:rsidRPr="00CB00A6">
        <w:rPr>
          <w:rFonts w:ascii="Verdana" w:hAnsi="Verdana"/>
          <w:shd w:val="clear" w:color="auto" w:fill="FFFFFF"/>
        </w:rPr>
        <w:t>, 2020</w:t>
      </w:r>
      <w:r w:rsidR="007F51D2" w:rsidRPr="00CB00A6">
        <w:rPr>
          <w:rFonts w:ascii="Verdana" w:hAnsi="Verdana"/>
        </w:rPr>
        <w:t>)</w:t>
      </w:r>
      <w:r w:rsidRPr="00CB00A6">
        <w:rPr>
          <w:rFonts w:ascii="Verdana" w:hAnsi="Verdana"/>
        </w:rPr>
        <w:t>.</w:t>
      </w:r>
      <w:r w:rsidR="0000127B" w:rsidRPr="00CB00A6">
        <w:rPr>
          <w:rFonts w:ascii="Verdana" w:hAnsi="Verdana"/>
        </w:rPr>
        <w:t xml:space="preserve"> This project approach is known as GRIP, and it contains eight distinct phases, the biggest of which is expected to cover all of the building, testing, and completion activities between May 2009 and 2019. While there are measures in place to ensure that each GRIP phase is in line with the overall project and delivery timeline, no specific processes or procedures are established inside a phase.</w:t>
      </w:r>
    </w:p>
    <w:p w14:paraId="39EFBC00" w14:textId="77777777" w:rsidR="00E0064C" w:rsidRPr="00CB00A6" w:rsidRDefault="00E0064C" w:rsidP="00E0064C">
      <w:pPr>
        <w:rPr>
          <w:rFonts w:ascii="Verdana" w:hAnsi="Verdana"/>
        </w:rPr>
      </w:pPr>
      <w:r w:rsidRPr="00CB00A6">
        <w:rPr>
          <w:rFonts w:ascii="Verdana" w:hAnsi="Verdana"/>
        </w:rPr>
        <w:t>In order to provide fair distribution and efficient allocation of knowledge and new information to all 40 station operators, the results of GRIP Stage 6 reveal that no means exist for managing and exchanging project knowledge both vertically and horizontally. Such processes should contain lessons learned, risk and issue registrations, SWOT assessments, site updates, asset data, etc (</w:t>
      </w:r>
      <w:proofErr w:type="spellStart"/>
      <w:r w:rsidRPr="00CB00A6">
        <w:rPr>
          <w:rFonts w:ascii="Verdana" w:hAnsi="Verdana"/>
        </w:rPr>
        <w:t>Dalcher</w:t>
      </w:r>
      <w:proofErr w:type="spellEnd"/>
      <w:r w:rsidRPr="00CB00A6">
        <w:rPr>
          <w:rFonts w:ascii="Verdana" w:hAnsi="Verdana"/>
        </w:rPr>
        <w:t>, 2020). Small groups of construction companies or employees working in isolation, only communicating top-down (through instructions), and using the authoritative leadership model described earlier would be the result if a company failed to provide an effective and influential management system for 55,000 employees over the course of ten years.</w:t>
      </w:r>
    </w:p>
    <w:p w14:paraId="3D0C155B" w14:textId="77777777" w:rsidR="00E0064C" w:rsidRPr="00CB00A6" w:rsidRDefault="00E0064C" w:rsidP="00E0064C">
      <w:pPr>
        <w:rPr>
          <w:rFonts w:ascii="Verdana" w:hAnsi="Verdana"/>
        </w:rPr>
      </w:pPr>
      <w:r w:rsidRPr="00CB00A6">
        <w:rPr>
          <w:rFonts w:ascii="Verdana" w:hAnsi="Verdana"/>
        </w:rPr>
        <w:t xml:space="preserve">The inefficiency and capacity expansion that would emerge from repeated effort by people working alone would eventually normalise and become part of the project's character, leading to shortages in management and shortcuts in processes. It is likely that parts of a project that are not in accordance with cultural norms will be rejected by the project culture. An ineffective method that does not provide the necessary tools or regulate information exchange among contract employees at all times is more likely to have a negative impact on a project's overall outcome throughout the length of the project's lifespan, as seen below (Nilsen and </w:t>
      </w:r>
      <w:proofErr w:type="spellStart"/>
      <w:r w:rsidRPr="00CB00A6">
        <w:rPr>
          <w:rFonts w:ascii="Verdana" w:hAnsi="Verdana"/>
        </w:rPr>
        <w:t>Sandaunet</w:t>
      </w:r>
      <w:proofErr w:type="spellEnd"/>
      <w:r w:rsidRPr="00CB00A6">
        <w:rPr>
          <w:rFonts w:ascii="Verdana" w:hAnsi="Verdana"/>
        </w:rPr>
        <w:t>, 2021).</w:t>
      </w:r>
    </w:p>
    <w:p w14:paraId="139C173B" w14:textId="77777777" w:rsidR="00E0064C" w:rsidRPr="00CB00A6" w:rsidRDefault="00E0064C" w:rsidP="00E0064C">
      <w:pPr>
        <w:rPr>
          <w:rFonts w:ascii="Verdana" w:hAnsi="Verdana"/>
        </w:rPr>
      </w:pPr>
      <w:r w:rsidRPr="00CB00A6">
        <w:rPr>
          <w:rFonts w:ascii="Verdana" w:hAnsi="Verdana"/>
        </w:rPr>
        <w:t xml:space="preserve">Agile techniques, which place a focus on people rather than processes and on collaboration rather than conflict, are essential for successful implementation </w:t>
      </w:r>
      <w:r w:rsidRPr="00CB00A6">
        <w:rPr>
          <w:rFonts w:ascii="Verdana" w:hAnsi="Verdana"/>
        </w:rPr>
        <w:lastRenderedPageBreak/>
        <w:t>and reflection (i.e., Lessons Learned). If Crossrail's data flows are to be properly controlled, the Agile approach may be better suited, but previous research shows that the government member Network Rail is under extreme pressure to formulate an establishment stored procedures, driven by the operation, which is not c</w:t>
      </w:r>
      <w:r w:rsidR="004A0542" w:rsidRPr="00CB00A6">
        <w:rPr>
          <w:rFonts w:ascii="Verdana" w:hAnsi="Verdana"/>
        </w:rPr>
        <w:t>onducive to the Agile approach.</w:t>
      </w:r>
    </w:p>
    <w:p w14:paraId="6633FDBC" w14:textId="77777777" w:rsidR="00E0064C" w:rsidRPr="00CB00A6" w:rsidRDefault="00E0064C" w:rsidP="00E0064C">
      <w:pPr>
        <w:rPr>
          <w:rFonts w:ascii="Verdana" w:hAnsi="Verdana"/>
        </w:rPr>
      </w:pPr>
      <w:r w:rsidRPr="00CB00A6">
        <w:rPr>
          <w:rFonts w:ascii="Verdana" w:hAnsi="Verdana"/>
        </w:rPr>
        <w:t>GRIP's resistance to change is another flaw. Network Rail (2017) states that GRIP does not allow for changes to be made to any details of Crossrail that were developed in Stage 4 (Single Option Development between 2005 and 2008) or Stage 6 (Const</w:t>
      </w:r>
      <w:r w:rsidR="008C4746" w:rsidRPr="00CB00A6">
        <w:rPr>
          <w:rFonts w:ascii="Verdana" w:hAnsi="Verdana"/>
        </w:rPr>
        <w:t>ruction, Test, &amp; Commissioning</w:t>
      </w:r>
      <w:r w:rsidRPr="00CB00A6">
        <w:rPr>
          <w:rFonts w:ascii="Verdana" w:hAnsi="Verdana"/>
        </w:rPr>
        <w:t xml:space="preserve"> between 2009 and 2019). This means that if there is not enough slag in the schedule of works or the delivery Gantt schedule, any emerging change will put the programme at risk (</w:t>
      </w:r>
      <w:proofErr w:type="spellStart"/>
      <w:r w:rsidRPr="00CB00A6">
        <w:rPr>
          <w:rFonts w:ascii="Verdana" w:hAnsi="Verdana"/>
        </w:rPr>
        <w:t>Schoormann</w:t>
      </w:r>
      <w:proofErr w:type="spellEnd"/>
      <w:r w:rsidRPr="00CB00A6">
        <w:rPr>
          <w:rFonts w:ascii="Verdana" w:hAnsi="Verdana"/>
        </w:rPr>
        <w:t xml:space="preserve"> et al., 2020). In order to effect change, there are a variety of methods to go about it. It may be purchased via stakeholders like Great Western Railway, Heathrow Express, the Department of Transportation, and other railways, regulatory requirements such as the biggest current edition of the Construction Design and Management Regulations, which was released in 2015, technology improvements such as the use of multi-core processing and tablet computers, deployments, knowledge gained, and pilot projects.</w:t>
      </w:r>
    </w:p>
    <w:p w14:paraId="739A0430" w14:textId="77777777" w:rsidR="007578B5" w:rsidRPr="00CB00A6" w:rsidRDefault="008B080F" w:rsidP="00E0064C">
      <w:pPr>
        <w:rPr>
          <w:rFonts w:ascii="Verdana" w:hAnsi="Verdana"/>
        </w:rPr>
      </w:pPr>
      <w:r w:rsidRPr="00CB00A6">
        <w:rPr>
          <w:rFonts w:ascii="Verdana" w:hAnsi="Verdana"/>
        </w:rPr>
        <w:t>Because it's a step-by-step process, GRIP cannot be reversed. In other words, any knowledge gained through the experiential learning will not only remain in that team because of the lack of parallel communication channels, but it is also unlikely to be put into practise by the members who gained knowledge through the process of experiencing, reflecting, and drawing conclusions about what they have learned. The reason for this is that they already have a decade's worth of orders to follow, leaving little space for self-reflection or remedial measures</w:t>
      </w:r>
      <w:r w:rsidR="00AA0157" w:rsidRPr="00CB00A6">
        <w:rPr>
          <w:rFonts w:ascii="Verdana" w:hAnsi="Verdana"/>
        </w:rPr>
        <w:t xml:space="preserve"> (</w:t>
      </w:r>
      <w:r w:rsidR="00AA0157" w:rsidRPr="00CB00A6">
        <w:rPr>
          <w:rFonts w:ascii="Verdana" w:hAnsi="Verdana"/>
          <w:shd w:val="clear" w:color="auto" w:fill="FFFFFF"/>
        </w:rPr>
        <w:t>Hill et al., 2019</w:t>
      </w:r>
      <w:r w:rsidR="00AA0157" w:rsidRPr="00CB00A6">
        <w:rPr>
          <w:rFonts w:ascii="Verdana" w:hAnsi="Verdana"/>
        </w:rPr>
        <w:t>)</w:t>
      </w:r>
      <w:r w:rsidRPr="00CB00A6">
        <w:rPr>
          <w:rFonts w:ascii="Verdana" w:hAnsi="Verdana"/>
        </w:rPr>
        <w:t>.</w:t>
      </w:r>
    </w:p>
    <w:p w14:paraId="769F9F0B" w14:textId="77777777" w:rsidR="00EA5F97" w:rsidRPr="00CB00A6" w:rsidRDefault="00EA5F97" w:rsidP="00E038FD">
      <w:pPr>
        <w:rPr>
          <w:rFonts w:ascii="Verdana" w:hAnsi="Verdana"/>
        </w:rPr>
      </w:pPr>
      <w:r w:rsidRPr="00CB00A6">
        <w:rPr>
          <w:rFonts w:ascii="Verdana" w:hAnsi="Verdana"/>
        </w:rPr>
        <w:t xml:space="preserve">Transactional leadership models, such as the one described above, prevent the results within one system from informing the other. GRIP confirms this, </w:t>
      </w:r>
      <w:r w:rsidRPr="00CB00A6">
        <w:rPr>
          <w:rFonts w:ascii="Verdana" w:hAnsi="Verdana"/>
        </w:rPr>
        <w:lastRenderedPageBreak/>
        <w:t>and it reduces the advantages of systems theory integration. Efficiencies are lost, but so are chances to learn from others' failures and advances, so that the further projects and developments can be improved.</w:t>
      </w:r>
    </w:p>
    <w:p w14:paraId="64A561B4" w14:textId="77777777" w:rsidR="000941EF" w:rsidRPr="00CB00A6" w:rsidRDefault="00647623" w:rsidP="00647623">
      <w:pPr>
        <w:rPr>
          <w:rFonts w:ascii="Verdana" w:hAnsi="Verdana"/>
        </w:rPr>
      </w:pPr>
      <w:r w:rsidRPr="00CB00A6">
        <w:rPr>
          <w:rFonts w:ascii="Verdana" w:hAnsi="Verdana"/>
        </w:rPr>
        <w:t>There will be 31 Principal Contractors involved in the construction of all 40 stations between the years of 2009 and 2019. Many academics will tell you that a group of related projects should only be handled in a coordinated manner and should never be managed separately from one another. It applies to all forty stations</w:t>
      </w:r>
      <w:r w:rsidR="00AA0157" w:rsidRPr="00CB00A6">
        <w:rPr>
          <w:rFonts w:ascii="Verdana" w:hAnsi="Verdana"/>
        </w:rPr>
        <w:t xml:space="preserve"> (</w:t>
      </w:r>
      <w:r w:rsidR="00AA0157" w:rsidRPr="00CB00A6">
        <w:rPr>
          <w:rFonts w:ascii="Verdana" w:hAnsi="Verdana"/>
          <w:shd w:val="clear" w:color="auto" w:fill="FFFFFF"/>
        </w:rPr>
        <w:t>Young et al., 2021</w:t>
      </w:r>
      <w:r w:rsidR="00AA0157" w:rsidRPr="00CB00A6">
        <w:rPr>
          <w:rFonts w:ascii="Verdana" w:hAnsi="Verdana"/>
        </w:rPr>
        <w:t>)</w:t>
      </w:r>
      <w:r w:rsidRPr="00CB00A6">
        <w:rPr>
          <w:rFonts w:ascii="Verdana" w:hAnsi="Verdana"/>
        </w:rPr>
        <w:t xml:space="preserve">. The overall approach to the project has been hampered by communication issues among the hundreds of local teams working on the project, which were developed by 31 global construction corporations. However, the government may have miscalculated its complexity or failed to consider the coordinated administration of 31 construction enterprises as a strategic alternative to accomplish its desired advantages, for instance. It is possible that the government may fail in both of these scenarios. </w:t>
      </w:r>
    </w:p>
    <w:p w14:paraId="37A22835" w14:textId="77777777" w:rsidR="00083F17" w:rsidRPr="00CB00A6" w:rsidRDefault="00083F17" w:rsidP="00083F17">
      <w:pPr>
        <w:rPr>
          <w:rFonts w:ascii="Verdana" w:hAnsi="Verdana"/>
        </w:rPr>
      </w:pPr>
      <w:r w:rsidRPr="00CB00A6">
        <w:rPr>
          <w:rFonts w:ascii="Verdana" w:hAnsi="Verdana"/>
        </w:rPr>
        <w:t>Crossrail has released the technical documents that were exchanged between the project team and design consultants or other important contractors. Approximately 500,000 distinct technical drawings and five million pages of documentation are included in these figures. Crossrail's computer system is integrated, which makes it easier to keep track of documents. The databases eB and ProjectWise are used by this organisation as a central repository for all of its papers (Sum et al., 2021). Cloud-based platforms for sharing and collaboration, tablet computers on the construction site, and digital integration of change management should be visible in Crossrail's 2006-2008 planning and appear in the form of versioning and change management in digital form. Crossrail Foretelling future trends may also be done with the use of business information.</w:t>
      </w:r>
    </w:p>
    <w:p w14:paraId="62ED4FB8" w14:textId="77777777" w:rsidR="000941EF" w:rsidRPr="00CB00A6" w:rsidRDefault="00083F17" w:rsidP="00083F17">
      <w:pPr>
        <w:rPr>
          <w:rFonts w:ascii="Verdana" w:hAnsi="Verdana"/>
        </w:rPr>
      </w:pPr>
      <w:r w:rsidRPr="00CB00A6">
        <w:rPr>
          <w:rFonts w:ascii="Verdana" w:hAnsi="Verdana"/>
        </w:rPr>
        <w:lastRenderedPageBreak/>
        <w:t xml:space="preserve">Nevertheless, this is not a promise. Crossrail construction seems to be lacking in cutting-edge innovations, such as tablets for site accessibility and copies of the newest technology. Tablets; cloud-based systems for sharing and collaboration Additional dangers lurk in the project's strategy as a whole. First, design consultants begin creating technical drawings and preliminary documentation after the Crossrail project is approved by Network Rail. Once the design consultants have delivered the material to Network Rail, the information is sent to Network Rail to be finished. Construction on Crossrail will begin if Network Rail accepts and releases it as a component of the </w:t>
      </w:r>
      <w:proofErr w:type="spellStart"/>
      <w:r w:rsidRPr="00CB00A6">
        <w:rPr>
          <w:rFonts w:ascii="Verdana" w:hAnsi="Verdana"/>
        </w:rPr>
        <w:t>Crossrail</w:t>
      </w:r>
      <w:proofErr w:type="spellEnd"/>
      <w:r w:rsidRPr="00CB00A6">
        <w:rPr>
          <w:rFonts w:ascii="Verdana" w:hAnsi="Verdana"/>
        </w:rPr>
        <w:t xml:space="preserve"> project (</w:t>
      </w:r>
      <w:proofErr w:type="spellStart"/>
      <w:r w:rsidRPr="00CB00A6">
        <w:rPr>
          <w:rFonts w:ascii="Verdana" w:hAnsi="Verdana"/>
        </w:rPr>
        <w:t>Stanitsas</w:t>
      </w:r>
      <w:proofErr w:type="spellEnd"/>
      <w:r w:rsidRPr="00CB00A6">
        <w:rPr>
          <w:rFonts w:ascii="Verdana" w:hAnsi="Verdana"/>
        </w:rPr>
        <w:t xml:space="preserve"> et al., 2021). More than 30 contracts for design and preparation were awarded to either Network Rail or Crossrail, according to information provided by Crossrail. If this strategy is used, Network Rail must assess whether or not it will result in a bottleneck for both the design and the construction teams.</w:t>
      </w:r>
    </w:p>
    <w:p w14:paraId="45183736" w14:textId="77777777" w:rsidR="00647623" w:rsidRPr="00CB00A6" w:rsidRDefault="00647623" w:rsidP="00647623">
      <w:pPr>
        <w:rPr>
          <w:rFonts w:ascii="Verdana" w:hAnsi="Verdana"/>
        </w:rPr>
      </w:pPr>
      <w:r w:rsidRPr="00CB00A6">
        <w:rPr>
          <w:rFonts w:ascii="Verdana" w:hAnsi="Verdana"/>
        </w:rPr>
        <w:t>Crossrail was found to have established commercial relationships with companies like Bechtel, who provided Network Rail with project managers to handle the increasing workload of Crossrail's expansion.. Unidirectional work flow between Network Rail and the lead designer poses a variety of efficiency concerns, even if it has nothing to do with information technology (ICT). Included among them are: Crossrail's construction phase is expected to take 10 years to complete. Alterations are possible at any stage of the process, from the initial concept through the final construction. According to the GRIP concept, a major designer will distribute the technical drawings, which will then be approved by Network Rail and sent on to a key contractor for the construction phase</w:t>
      </w:r>
      <w:r w:rsidR="00857B32" w:rsidRPr="00CB00A6">
        <w:rPr>
          <w:rFonts w:ascii="Verdana" w:hAnsi="Verdana"/>
        </w:rPr>
        <w:t xml:space="preserve"> (</w:t>
      </w:r>
      <w:proofErr w:type="spellStart"/>
      <w:r w:rsidR="00857B32" w:rsidRPr="00CB00A6">
        <w:rPr>
          <w:rFonts w:ascii="Verdana" w:hAnsi="Verdana"/>
          <w:shd w:val="clear" w:color="auto" w:fill="FFFFFF"/>
        </w:rPr>
        <w:t>Ika</w:t>
      </w:r>
      <w:proofErr w:type="spellEnd"/>
      <w:r w:rsidR="00857B32" w:rsidRPr="00CB00A6">
        <w:rPr>
          <w:rFonts w:ascii="Verdana" w:hAnsi="Verdana"/>
          <w:shd w:val="clear" w:color="auto" w:fill="FFFFFF"/>
        </w:rPr>
        <w:t xml:space="preserve"> et al., 2020</w:t>
      </w:r>
      <w:r w:rsidR="00857B32" w:rsidRPr="00CB00A6">
        <w:rPr>
          <w:rFonts w:ascii="Verdana" w:hAnsi="Verdana"/>
        </w:rPr>
        <w:t>)</w:t>
      </w:r>
      <w:r w:rsidRPr="00CB00A6">
        <w:rPr>
          <w:rFonts w:ascii="Verdana" w:hAnsi="Verdana"/>
        </w:rPr>
        <w:t>. </w:t>
      </w:r>
    </w:p>
    <w:p w14:paraId="4D0AE5A3" w14:textId="77777777" w:rsidR="000941EF" w:rsidRPr="00CB00A6" w:rsidRDefault="00647623" w:rsidP="00647623">
      <w:pPr>
        <w:rPr>
          <w:rFonts w:ascii="Verdana" w:hAnsi="Verdana"/>
        </w:rPr>
      </w:pPr>
      <w:r w:rsidRPr="00CB00A6">
        <w:rPr>
          <w:rFonts w:ascii="Verdana" w:hAnsi="Verdana"/>
        </w:rPr>
        <w:t xml:space="preserve">The comparison of Crossrail to other similar projects performed outside of Network Rail was essential for understanding the project management methodologies utilised in the development of Crossrail, as well as the contrasts and similarities between them. There are plans to build an expanded magnetic </w:t>
      </w:r>
      <w:r w:rsidRPr="00CB00A6">
        <w:rPr>
          <w:rFonts w:ascii="Verdana" w:hAnsi="Verdana"/>
        </w:rPr>
        <w:lastRenderedPageBreak/>
        <w:t xml:space="preserve">levitation-based rail network from Nagoya to Tokyo by the year 2027 by the Central Japan Railway Company (CJRC). This extension is expected to be completed by 2027. Between these two cities, the growth will take place. Since the 1970s, CJRC has been seeking to reduce contractual hurdles so that it may concentrate more on using technology to improve performance. The maglev technology may now be able to reach speeds of up to 375 miles per hour because of this advancement. </w:t>
      </w:r>
    </w:p>
    <w:p w14:paraId="361881F2" w14:textId="77777777" w:rsidR="000941EF" w:rsidRPr="00CB00A6" w:rsidRDefault="00647623" w:rsidP="00647623">
      <w:pPr>
        <w:rPr>
          <w:rFonts w:ascii="Verdana" w:hAnsi="Verdana"/>
        </w:rPr>
      </w:pPr>
      <w:r w:rsidRPr="00CB00A6">
        <w:rPr>
          <w:rFonts w:ascii="Verdana" w:hAnsi="Verdana"/>
        </w:rPr>
        <w:t>Despite the many difficulties, the project will be funded by a mix of private sector track sections and public sector station structures and facilities, both of which are sourced from the public sector. They are doing this in order to preserve a significant advantage over their rivals and to attract the brightest minds from around the country</w:t>
      </w:r>
      <w:r w:rsidR="00857B32" w:rsidRPr="00CB00A6">
        <w:rPr>
          <w:rFonts w:ascii="Verdana" w:hAnsi="Verdana"/>
        </w:rPr>
        <w:t xml:space="preserve"> (</w:t>
      </w:r>
      <w:proofErr w:type="spellStart"/>
      <w:r w:rsidR="00857B32" w:rsidRPr="00CB00A6">
        <w:rPr>
          <w:rFonts w:ascii="Verdana" w:hAnsi="Verdana"/>
          <w:shd w:val="clear" w:color="auto" w:fill="FFFFFF"/>
        </w:rPr>
        <w:t>Tereso</w:t>
      </w:r>
      <w:proofErr w:type="spellEnd"/>
      <w:r w:rsidR="00857B32" w:rsidRPr="00CB00A6">
        <w:rPr>
          <w:rFonts w:ascii="Verdana" w:hAnsi="Verdana"/>
          <w:shd w:val="clear" w:color="auto" w:fill="FFFFFF"/>
        </w:rPr>
        <w:t xml:space="preserve"> et al., 2019</w:t>
      </w:r>
      <w:r w:rsidR="00857B32" w:rsidRPr="00CB00A6">
        <w:rPr>
          <w:rFonts w:ascii="Verdana" w:hAnsi="Verdana"/>
        </w:rPr>
        <w:t>)</w:t>
      </w:r>
      <w:r w:rsidRPr="00CB00A6">
        <w:rPr>
          <w:rFonts w:ascii="Verdana" w:hAnsi="Verdana"/>
        </w:rPr>
        <w:t xml:space="preserve">. Following the findings presented earlier, it appears that a shift in emphasis from individual to teamwork, elimination of contractual barriers caused by Crossrail's introduction of 100 large consultancies and principal contractors, as well as stimulation of competitive bidding would all improve programme success. Both research and continuous improvement are now underutilised in the project. It is feasible that these features will be added. </w:t>
      </w:r>
    </w:p>
    <w:p w14:paraId="653DF1AF" w14:textId="77777777" w:rsidR="00B6440E" w:rsidRPr="00CB00A6" w:rsidRDefault="00647623" w:rsidP="00647623">
      <w:pPr>
        <w:rPr>
          <w:rFonts w:ascii="Verdana" w:hAnsi="Verdana"/>
        </w:rPr>
      </w:pPr>
      <w:r w:rsidRPr="00CB00A6">
        <w:rPr>
          <w:rFonts w:ascii="Verdana" w:hAnsi="Verdana"/>
        </w:rPr>
        <w:t>The Managing Projects course included topics including phases, hazards, and the appropriateness of different tactics in addition to providing an in-depth education on the most widely used project management methodologies today (such as Agile vs Prince2). What I enjoyed most about our lecture was discussing how different viewpoints, such as that of a stakeholder, client or project manager might affect how a project's performance is judged. It is clear to me that I made the right decision by signing up for this elective course, which teaches me how to deal with project conflicts and the different parties involved in a given project. I want to do this by finishing the module's remaining readings</w:t>
      </w:r>
      <w:r w:rsidR="00AC7C1E" w:rsidRPr="00CB00A6">
        <w:rPr>
          <w:rFonts w:ascii="Verdana" w:hAnsi="Verdana"/>
        </w:rPr>
        <w:t xml:space="preserve"> (</w:t>
      </w:r>
      <w:proofErr w:type="spellStart"/>
      <w:r w:rsidR="00AC7C1E" w:rsidRPr="00CB00A6">
        <w:rPr>
          <w:rFonts w:ascii="Verdana" w:hAnsi="Verdana"/>
          <w:shd w:val="clear" w:color="auto" w:fill="FFFFFF"/>
        </w:rPr>
        <w:t>Svejvig</w:t>
      </w:r>
      <w:proofErr w:type="spellEnd"/>
      <w:r w:rsidR="00AC7C1E" w:rsidRPr="00CB00A6">
        <w:rPr>
          <w:rFonts w:ascii="Verdana" w:hAnsi="Verdana"/>
          <w:shd w:val="clear" w:color="auto" w:fill="FFFFFF"/>
        </w:rPr>
        <w:t>, 2021</w:t>
      </w:r>
      <w:r w:rsidR="00AC7C1E" w:rsidRPr="00CB00A6">
        <w:rPr>
          <w:rFonts w:ascii="Verdana" w:hAnsi="Verdana"/>
        </w:rPr>
        <w:t>)</w:t>
      </w:r>
      <w:r w:rsidR="00B6440E" w:rsidRPr="00CB00A6">
        <w:rPr>
          <w:rFonts w:ascii="Verdana" w:hAnsi="Verdana"/>
        </w:rPr>
        <w:t>.</w:t>
      </w:r>
    </w:p>
    <w:p w14:paraId="146DBF70" w14:textId="77777777" w:rsidR="007E2E6A" w:rsidRPr="00CB00A6" w:rsidRDefault="007E2E6A" w:rsidP="004974A3">
      <w:pPr>
        <w:pStyle w:val="Titlu1"/>
        <w:rPr>
          <w:rFonts w:ascii="Verdana" w:hAnsi="Verdana"/>
          <w:b w:val="0"/>
        </w:rPr>
        <w:sectPr w:rsidR="007E2E6A" w:rsidRPr="00CB00A6" w:rsidSect="00056013">
          <w:pgSz w:w="12240" w:h="15840"/>
          <w:pgMar w:top="1440" w:right="1440" w:bottom="1440" w:left="1440" w:header="720" w:footer="720" w:gutter="0"/>
          <w:cols w:space="720"/>
          <w:docGrid w:linePitch="360"/>
        </w:sectPr>
      </w:pPr>
    </w:p>
    <w:p w14:paraId="5155DEA3" w14:textId="77777777" w:rsidR="00FE5B77" w:rsidRPr="00CB00A6" w:rsidRDefault="00FE5B77" w:rsidP="004974A3">
      <w:pPr>
        <w:pStyle w:val="Titlu1"/>
        <w:rPr>
          <w:rFonts w:ascii="Verdana" w:hAnsi="Verdana"/>
          <w:b w:val="0"/>
        </w:rPr>
      </w:pPr>
      <w:bookmarkStart w:id="2" w:name="_Toc109254392"/>
      <w:r w:rsidRPr="00CB00A6">
        <w:rPr>
          <w:rFonts w:ascii="Verdana" w:hAnsi="Verdana"/>
          <w:b w:val="0"/>
        </w:rPr>
        <w:lastRenderedPageBreak/>
        <w:t>Conclusion</w:t>
      </w:r>
      <w:bookmarkEnd w:id="2"/>
    </w:p>
    <w:p w14:paraId="664B00D5" w14:textId="77777777" w:rsidR="007876E1" w:rsidRPr="00CB00A6" w:rsidRDefault="000941EF" w:rsidP="00D51B6C">
      <w:pPr>
        <w:rPr>
          <w:rFonts w:ascii="Verdana" w:hAnsi="Verdana"/>
        </w:rPr>
      </w:pPr>
      <w:r w:rsidRPr="00CB00A6">
        <w:rPr>
          <w:rFonts w:ascii="Verdana" w:hAnsi="Verdana"/>
        </w:rPr>
        <w:t xml:space="preserve">Strategic planning, organisational levels, market culture, and future potential all play a role in a project's success. There are no proposals for Crossrail's timeframe to be extended, thus the project will continue until 2019. Estimates provided in 2013 show that building costs roughly tripled from $3.33 billion up to $14.8 billion, about three times the initial estimate. Choosing the wrong project management method, focusing on efficiency instead of effectiveness, or neglecting the role of social media handling, teaching effectiveness, and data dissemination across all teams in the programme are all highlighted in this article. These inefficiencies and missing opportunities highlighted in the essay may justify the additional investment. </w:t>
      </w:r>
    </w:p>
    <w:p w14:paraId="666BE19D" w14:textId="77777777" w:rsidR="00D51B6C" w:rsidRPr="00CB00A6" w:rsidRDefault="000941EF" w:rsidP="00D51B6C">
      <w:pPr>
        <w:rPr>
          <w:rFonts w:ascii="Verdana" w:hAnsi="Verdana"/>
        </w:rPr>
      </w:pPr>
      <w:r w:rsidRPr="00CB00A6">
        <w:rPr>
          <w:rFonts w:ascii="Verdana" w:hAnsi="Verdana"/>
        </w:rPr>
        <w:t>Numerous problems with Crossrail may be traced back to the project's management style, which is closed to feedback, discourages self-reflection, and fails to foster a culture of improvement. Other contributing factors include the difficulties in coordinating work schedules of primary designers and key contractors, as well as the usage of depreciated software support in an effort to speed up the program's implementation. Because the CAPEX for 2013 has a value five times more than the original allocation of £3.33 billion, I feel Crossrail did not follow the most effective project procedures and methodologies when it comes to information management</w:t>
      </w:r>
      <w:r w:rsidR="00D51B6C" w:rsidRPr="00CB00A6">
        <w:rPr>
          <w:rFonts w:ascii="Verdana" w:hAnsi="Verdana"/>
        </w:rPr>
        <w:t>.</w:t>
      </w:r>
    </w:p>
    <w:p w14:paraId="53BB3600" w14:textId="77777777" w:rsidR="00D32448" w:rsidRPr="00CB00A6" w:rsidRDefault="00D32448" w:rsidP="00D32448">
      <w:pPr>
        <w:pStyle w:val="Titlu1"/>
        <w:rPr>
          <w:rFonts w:ascii="Verdana" w:hAnsi="Verdana"/>
          <w:b w:val="0"/>
        </w:rPr>
        <w:sectPr w:rsidR="00D32448" w:rsidRPr="00CB00A6" w:rsidSect="00056013">
          <w:pgSz w:w="12240" w:h="15840"/>
          <w:pgMar w:top="1440" w:right="1440" w:bottom="1440" w:left="1440" w:header="720" w:footer="720" w:gutter="0"/>
          <w:cols w:space="720"/>
          <w:docGrid w:linePitch="360"/>
        </w:sectPr>
      </w:pPr>
    </w:p>
    <w:p w14:paraId="50138267" w14:textId="77777777" w:rsidR="005A5BC2" w:rsidRPr="00CB00A6" w:rsidRDefault="005A5BC2" w:rsidP="00D32448">
      <w:pPr>
        <w:pStyle w:val="Titlu1"/>
        <w:rPr>
          <w:rFonts w:ascii="Verdana" w:hAnsi="Verdana"/>
          <w:b w:val="0"/>
        </w:rPr>
      </w:pPr>
      <w:bookmarkStart w:id="3" w:name="_Toc109254393"/>
      <w:r w:rsidRPr="00CB00A6">
        <w:rPr>
          <w:rFonts w:ascii="Verdana" w:hAnsi="Verdana"/>
          <w:b w:val="0"/>
        </w:rPr>
        <w:lastRenderedPageBreak/>
        <w:t>References</w:t>
      </w:r>
      <w:bookmarkEnd w:id="3"/>
    </w:p>
    <w:p w14:paraId="177E928C" w14:textId="77777777" w:rsidR="00437557" w:rsidRPr="00CB00A6" w:rsidRDefault="00437557" w:rsidP="00437557">
      <w:pPr>
        <w:rPr>
          <w:rFonts w:ascii="Verdana" w:hAnsi="Verdana"/>
          <w:shd w:val="clear" w:color="auto" w:fill="FFFFFF"/>
        </w:rPr>
      </w:pPr>
      <w:proofErr w:type="spellStart"/>
      <w:r w:rsidRPr="00CB00A6">
        <w:rPr>
          <w:rFonts w:ascii="Verdana" w:hAnsi="Verdana"/>
          <w:shd w:val="clear" w:color="auto" w:fill="FFFFFF"/>
        </w:rPr>
        <w:t>Dalcher</w:t>
      </w:r>
      <w:proofErr w:type="spellEnd"/>
      <w:r w:rsidRPr="00CB00A6">
        <w:rPr>
          <w:rFonts w:ascii="Verdana" w:hAnsi="Verdana"/>
          <w:shd w:val="clear" w:color="auto" w:fill="FFFFFF"/>
        </w:rPr>
        <w:t>, D., 2020. Reflection on resilience for mindful managers. </w:t>
      </w:r>
      <w:r w:rsidRPr="00CB00A6">
        <w:rPr>
          <w:rFonts w:ascii="Verdana" w:hAnsi="Verdana"/>
          <w:iCs/>
          <w:shd w:val="clear" w:color="auto" w:fill="FFFFFF"/>
        </w:rPr>
        <w:t>PM World Journal</w:t>
      </w:r>
      <w:r w:rsidRPr="00CB00A6">
        <w:rPr>
          <w:rFonts w:ascii="Verdana" w:hAnsi="Verdana"/>
          <w:shd w:val="clear" w:color="auto" w:fill="FFFFFF"/>
        </w:rPr>
        <w:t>, </w:t>
      </w:r>
      <w:r w:rsidRPr="00CB00A6">
        <w:rPr>
          <w:rFonts w:ascii="Verdana" w:hAnsi="Verdana"/>
          <w:iCs/>
          <w:shd w:val="clear" w:color="auto" w:fill="FFFFFF"/>
        </w:rPr>
        <w:t>9</w:t>
      </w:r>
      <w:r w:rsidRPr="00CB00A6">
        <w:rPr>
          <w:rFonts w:ascii="Verdana" w:hAnsi="Verdana"/>
          <w:shd w:val="clear" w:color="auto" w:fill="FFFFFF"/>
        </w:rPr>
        <w:t>(10).</w:t>
      </w:r>
    </w:p>
    <w:p w14:paraId="6DC8B243" w14:textId="77777777" w:rsidR="00437557" w:rsidRPr="00CB00A6" w:rsidRDefault="00437557" w:rsidP="00437557">
      <w:pPr>
        <w:rPr>
          <w:rFonts w:ascii="Verdana" w:hAnsi="Verdana"/>
          <w:shd w:val="clear" w:color="auto" w:fill="FFFFFF"/>
        </w:rPr>
      </w:pPr>
      <w:proofErr w:type="spellStart"/>
      <w:r w:rsidRPr="00CB00A6">
        <w:rPr>
          <w:rFonts w:ascii="Verdana" w:hAnsi="Verdana"/>
          <w:shd w:val="clear" w:color="auto" w:fill="FFFFFF"/>
        </w:rPr>
        <w:t>Faulconer</w:t>
      </w:r>
      <w:proofErr w:type="spellEnd"/>
      <w:r w:rsidRPr="00CB00A6">
        <w:rPr>
          <w:rFonts w:ascii="Verdana" w:hAnsi="Verdana"/>
          <w:shd w:val="clear" w:color="auto" w:fill="FFFFFF"/>
        </w:rPr>
        <w:t>, E., 2020. A Reflection on the Changing Reality of Science. </w:t>
      </w:r>
      <w:r w:rsidRPr="00CB00A6">
        <w:rPr>
          <w:rFonts w:ascii="Verdana" w:hAnsi="Verdana"/>
          <w:iCs/>
          <w:shd w:val="clear" w:color="auto" w:fill="FFFFFF"/>
        </w:rPr>
        <w:t>Journal of College Science Teaching</w:t>
      </w:r>
      <w:r w:rsidRPr="00CB00A6">
        <w:rPr>
          <w:rFonts w:ascii="Verdana" w:hAnsi="Verdana"/>
          <w:shd w:val="clear" w:color="auto" w:fill="FFFFFF"/>
        </w:rPr>
        <w:t>, </w:t>
      </w:r>
      <w:r w:rsidRPr="00CB00A6">
        <w:rPr>
          <w:rFonts w:ascii="Verdana" w:hAnsi="Verdana"/>
          <w:iCs/>
          <w:shd w:val="clear" w:color="auto" w:fill="FFFFFF"/>
        </w:rPr>
        <w:t>49</w:t>
      </w:r>
      <w:r w:rsidRPr="00CB00A6">
        <w:rPr>
          <w:rFonts w:ascii="Verdana" w:hAnsi="Verdana"/>
          <w:shd w:val="clear" w:color="auto" w:fill="FFFFFF"/>
        </w:rPr>
        <w:t>(4), pp.7-8.</w:t>
      </w:r>
    </w:p>
    <w:p w14:paraId="476BB764" w14:textId="77777777" w:rsidR="00437557" w:rsidRPr="00CB00A6" w:rsidRDefault="00437557" w:rsidP="00437557">
      <w:pPr>
        <w:rPr>
          <w:rFonts w:ascii="Verdana" w:hAnsi="Verdana"/>
          <w:shd w:val="clear" w:color="auto" w:fill="FFFFFF"/>
        </w:rPr>
      </w:pPr>
      <w:r w:rsidRPr="00CB00A6">
        <w:rPr>
          <w:rFonts w:ascii="Verdana" w:hAnsi="Verdana"/>
          <w:shd w:val="clear" w:color="auto" w:fill="FFFFFF"/>
        </w:rPr>
        <w:t>Galli, B.J., 2018. Effective decision-making in project based environments: A reflection of best practices. </w:t>
      </w:r>
      <w:r w:rsidRPr="00CB00A6">
        <w:rPr>
          <w:rFonts w:ascii="Verdana" w:hAnsi="Verdana"/>
          <w:iCs/>
          <w:shd w:val="clear" w:color="auto" w:fill="FFFFFF"/>
        </w:rPr>
        <w:t>International Journal of Applied Industrial Engineering (IJAIE)</w:t>
      </w:r>
      <w:r w:rsidRPr="00CB00A6">
        <w:rPr>
          <w:rFonts w:ascii="Verdana" w:hAnsi="Verdana"/>
          <w:shd w:val="clear" w:color="auto" w:fill="FFFFFF"/>
        </w:rPr>
        <w:t>, </w:t>
      </w:r>
      <w:r w:rsidRPr="00CB00A6">
        <w:rPr>
          <w:rFonts w:ascii="Verdana" w:hAnsi="Verdana"/>
          <w:iCs/>
          <w:shd w:val="clear" w:color="auto" w:fill="FFFFFF"/>
        </w:rPr>
        <w:t>5</w:t>
      </w:r>
      <w:r w:rsidRPr="00CB00A6">
        <w:rPr>
          <w:rFonts w:ascii="Verdana" w:hAnsi="Verdana"/>
          <w:shd w:val="clear" w:color="auto" w:fill="FFFFFF"/>
        </w:rPr>
        <w:t>(1), pp.50-62.</w:t>
      </w:r>
    </w:p>
    <w:p w14:paraId="0A674555" w14:textId="77777777" w:rsidR="00437557" w:rsidRPr="00CB00A6" w:rsidRDefault="00437557" w:rsidP="00437557">
      <w:pPr>
        <w:rPr>
          <w:rFonts w:ascii="Verdana" w:hAnsi="Verdana"/>
          <w:shd w:val="clear" w:color="auto" w:fill="FFFFFF"/>
        </w:rPr>
      </w:pPr>
      <w:r w:rsidRPr="00CB00A6">
        <w:rPr>
          <w:rFonts w:ascii="Verdana" w:hAnsi="Verdana"/>
          <w:shd w:val="clear" w:color="auto" w:fill="FFFFFF"/>
        </w:rPr>
        <w:t>Galli, B.J., 2020. Economic Decision Making and Risk Management in a Project Management Environment: A Reflection of Practice. </w:t>
      </w:r>
      <w:r w:rsidRPr="00CB00A6">
        <w:rPr>
          <w:rFonts w:ascii="Verdana" w:hAnsi="Verdana"/>
          <w:iCs/>
          <w:shd w:val="clear" w:color="auto" w:fill="FFFFFF"/>
        </w:rPr>
        <w:t>International Journal of Applied Logistics (IJAL)</w:t>
      </w:r>
      <w:r w:rsidRPr="00CB00A6">
        <w:rPr>
          <w:rFonts w:ascii="Verdana" w:hAnsi="Verdana"/>
          <w:shd w:val="clear" w:color="auto" w:fill="FFFFFF"/>
        </w:rPr>
        <w:t>, </w:t>
      </w:r>
      <w:r w:rsidRPr="00CB00A6">
        <w:rPr>
          <w:rFonts w:ascii="Verdana" w:hAnsi="Verdana"/>
          <w:iCs/>
          <w:shd w:val="clear" w:color="auto" w:fill="FFFFFF"/>
        </w:rPr>
        <w:t>10</w:t>
      </w:r>
      <w:r w:rsidRPr="00CB00A6">
        <w:rPr>
          <w:rFonts w:ascii="Verdana" w:hAnsi="Verdana"/>
          <w:shd w:val="clear" w:color="auto" w:fill="FFFFFF"/>
        </w:rPr>
        <w:t>(2), pp.1-24.</w:t>
      </w:r>
    </w:p>
    <w:p w14:paraId="36DB84BA" w14:textId="77777777" w:rsidR="00437557" w:rsidRPr="00CB00A6" w:rsidRDefault="00437557" w:rsidP="00437557">
      <w:pPr>
        <w:rPr>
          <w:rFonts w:ascii="Verdana" w:hAnsi="Verdana"/>
          <w:shd w:val="clear" w:color="auto" w:fill="FFFFFF"/>
        </w:rPr>
      </w:pPr>
      <w:r w:rsidRPr="00CB00A6">
        <w:rPr>
          <w:rFonts w:ascii="Verdana" w:hAnsi="Verdana"/>
          <w:shd w:val="clear" w:color="auto" w:fill="FFFFFF"/>
        </w:rPr>
        <w:t>Hill, M.A., Overton, T. and Thompson, C., 2019, September. Skills reflection in the undergraduate science curriculum: What, why, and how. In </w:t>
      </w:r>
      <w:r w:rsidRPr="00CB00A6">
        <w:rPr>
          <w:rFonts w:ascii="Verdana" w:hAnsi="Verdana"/>
          <w:iCs/>
          <w:shd w:val="clear" w:color="auto" w:fill="FFFFFF"/>
        </w:rPr>
        <w:t>Proceedings of The Australian Conference on Science and Mathematics Education</w:t>
      </w:r>
      <w:r w:rsidRPr="00CB00A6">
        <w:rPr>
          <w:rFonts w:ascii="Verdana" w:hAnsi="Verdana"/>
          <w:shd w:val="clear" w:color="auto" w:fill="FFFFFF"/>
        </w:rPr>
        <w:t> (p. 43).</w:t>
      </w:r>
    </w:p>
    <w:p w14:paraId="1E7FABEA" w14:textId="77777777" w:rsidR="00437557" w:rsidRPr="00CB00A6" w:rsidRDefault="00437557" w:rsidP="00437557">
      <w:pPr>
        <w:rPr>
          <w:rFonts w:ascii="Verdana" w:hAnsi="Verdana"/>
          <w:shd w:val="clear" w:color="auto" w:fill="FFFFFF"/>
        </w:rPr>
      </w:pPr>
      <w:proofErr w:type="spellStart"/>
      <w:r w:rsidRPr="00CB00A6">
        <w:rPr>
          <w:rFonts w:ascii="Verdana" w:hAnsi="Verdana"/>
          <w:shd w:val="clear" w:color="auto" w:fill="FFFFFF"/>
        </w:rPr>
        <w:t>Ika</w:t>
      </w:r>
      <w:proofErr w:type="spellEnd"/>
      <w:r w:rsidRPr="00CB00A6">
        <w:rPr>
          <w:rFonts w:ascii="Verdana" w:hAnsi="Verdana"/>
          <w:shd w:val="clear" w:color="auto" w:fill="FFFFFF"/>
        </w:rPr>
        <w:t xml:space="preserve">, L.A., </w:t>
      </w:r>
      <w:proofErr w:type="spellStart"/>
      <w:r w:rsidRPr="00CB00A6">
        <w:rPr>
          <w:rFonts w:ascii="Verdana" w:hAnsi="Verdana"/>
          <w:shd w:val="clear" w:color="auto" w:fill="FFFFFF"/>
        </w:rPr>
        <w:t>Söderlund</w:t>
      </w:r>
      <w:proofErr w:type="spellEnd"/>
      <w:r w:rsidRPr="00CB00A6">
        <w:rPr>
          <w:rFonts w:ascii="Verdana" w:hAnsi="Verdana"/>
          <w:shd w:val="clear" w:color="auto" w:fill="FFFFFF"/>
        </w:rPr>
        <w:t xml:space="preserve">, J., Munro, L.T. and </w:t>
      </w:r>
      <w:proofErr w:type="spellStart"/>
      <w:r w:rsidRPr="00CB00A6">
        <w:rPr>
          <w:rFonts w:ascii="Verdana" w:hAnsi="Verdana"/>
          <w:shd w:val="clear" w:color="auto" w:fill="FFFFFF"/>
        </w:rPr>
        <w:t>Landoni</w:t>
      </w:r>
      <w:proofErr w:type="spellEnd"/>
      <w:r w:rsidRPr="00CB00A6">
        <w:rPr>
          <w:rFonts w:ascii="Verdana" w:hAnsi="Verdana"/>
          <w:shd w:val="clear" w:color="auto" w:fill="FFFFFF"/>
        </w:rPr>
        <w:t>, P., 2020. Cross-learning between project management and international development: Analysis and research agenda. </w:t>
      </w:r>
      <w:r w:rsidRPr="00CB00A6">
        <w:rPr>
          <w:rFonts w:ascii="Verdana" w:hAnsi="Verdana"/>
          <w:iCs/>
          <w:shd w:val="clear" w:color="auto" w:fill="FFFFFF"/>
        </w:rPr>
        <w:t>International Journal of Project Management</w:t>
      </w:r>
      <w:r w:rsidRPr="00CB00A6">
        <w:rPr>
          <w:rFonts w:ascii="Verdana" w:hAnsi="Verdana"/>
          <w:shd w:val="clear" w:color="auto" w:fill="FFFFFF"/>
        </w:rPr>
        <w:t>, </w:t>
      </w:r>
      <w:r w:rsidRPr="00CB00A6">
        <w:rPr>
          <w:rFonts w:ascii="Verdana" w:hAnsi="Verdana"/>
          <w:iCs/>
          <w:shd w:val="clear" w:color="auto" w:fill="FFFFFF"/>
        </w:rPr>
        <w:t>38</w:t>
      </w:r>
      <w:r w:rsidRPr="00CB00A6">
        <w:rPr>
          <w:rFonts w:ascii="Verdana" w:hAnsi="Verdana"/>
          <w:shd w:val="clear" w:color="auto" w:fill="FFFFFF"/>
        </w:rPr>
        <w:t>(8), pp.548-558.</w:t>
      </w:r>
    </w:p>
    <w:p w14:paraId="22F2E968" w14:textId="77777777" w:rsidR="00437557" w:rsidRPr="00CB00A6" w:rsidRDefault="00437557" w:rsidP="00437557">
      <w:pPr>
        <w:rPr>
          <w:rFonts w:ascii="Verdana" w:hAnsi="Verdana"/>
          <w:shd w:val="clear" w:color="auto" w:fill="FFFFFF"/>
        </w:rPr>
      </w:pPr>
      <w:r w:rsidRPr="00CB00A6">
        <w:rPr>
          <w:rFonts w:ascii="Verdana" w:hAnsi="Verdana"/>
          <w:shd w:val="clear" w:color="auto" w:fill="FFFFFF"/>
        </w:rPr>
        <w:t xml:space="preserve">Mikkelsen, M.F., </w:t>
      </w:r>
      <w:proofErr w:type="spellStart"/>
      <w:r w:rsidRPr="00CB00A6">
        <w:rPr>
          <w:rFonts w:ascii="Verdana" w:hAnsi="Verdana"/>
          <w:shd w:val="clear" w:color="auto" w:fill="FFFFFF"/>
        </w:rPr>
        <w:t>Marnewick</w:t>
      </w:r>
      <w:proofErr w:type="spellEnd"/>
      <w:r w:rsidRPr="00CB00A6">
        <w:rPr>
          <w:rFonts w:ascii="Verdana" w:hAnsi="Verdana"/>
          <w:shd w:val="clear" w:color="auto" w:fill="FFFFFF"/>
        </w:rPr>
        <w:t>, C. and Klein, L., 2020. On Stupidity in Project Management-A critical reflection of PM in a VUCA world. </w:t>
      </w:r>
      <w:r w:rsidRPr="00CB00A6">
        <w:rPr>
          <w:rFonts w:ascii="Verdana" w:hAnsi="Verdana"/>
          <w:iCs/>
          <w:shd w:val="clear" w:color="auto" w:fill="FFFFFF"/>
        </w:rPr>
        <w:t>The Journal of Modern Project Management</w:t>
      </w:r>
      <w:r w:rsidRPr="00CB00A6">
        <w:rPr>
          <w:rFonts w:ascii="Verdana" w:hAnsi="Verdana"/>
          <w:shd w:val="clear" w:color="auto" w:fill="FFFFFF"/>
        </w:rPr>
        <w:t>, </w:t>
      </w:r>
      <w:r w:rsidRPr="00CB00A6">
        <w:rPr>
          <w:rFonts w:ascii="Verdana" w:hAnsi="Verdana"/>
          <w:iCs/>
          <w:shd w:val="clear" w:color="auto" w:fill="FFFFFF"/>
        </w:rPr>
        <w:t>8</w:t>
      </w:r>
      <w:r w:rsidRPr="00CB00A6">
        <w:rPr>
          <w:rFonts w:ascii="Verdana" w:hAnsi="Verdana"/>
          <w:shd w:val="clear" w:color="auto" w:fill="FFFFFF"/>
        </w:rPr>
        <w:t>(2).</w:t>
      </w:r>
    </w:p>
    <w:p w14:paraId="5BF0F380" w14:textId="77777777" w:rsidR="00437557" w:rsidRPr="00CB00A6" w:rsidRDefault="00437557" w:rsidP="00437557">
      <w:pPr>
        <w:rPr>
          <w:rFonts w:ascii="Verdana" w:hAnsi="Verdana"/>
          <w:shd w:val="clear" w:color="auto" w:fill="FFFFFF"/>
        </w:rPr>
      </w:pPr>
      <w:r w:rsidRPr="00CB00A6">
        <w:rPr>
          <w:rFonts w:ascii="Verdana" w:hAnsi="Verdana"/>
          <w:shd w:val="clear" w:color="auto" w:fill="FFFFFF"/>
        </w:rPr>
        <w:t xml:space="preserve">Nilsen, E.A. and </w:t>
      </w:r>
      <w:proofErr w:type="spellStart"/>
      <w:r w:rsidRPr="00CB00A6">
        <w:rPr>
          <w:rFonts w:ascii="Verdana" w:hAnsi="Verdana"/>
          <w:shd w:val="clear" w:color="auto" w:fill="FFFFFF"/>
        </w:rPr>
        <w:t>Sandaunet</w:t>
      </w:r>
      <w:proofErr w:type="spellEnd"/>
      <w:r w:rsidRPr="00CB00A6">
        <w:rPr>
          <w:rFonts w:ascii="Verdana" w:hAnsi="Verdana"/>
          <w:shd w:val="clear" w:color="auto" w:fill="FFFFFF"/>
        </w:rPr>
        <w:t>, A.G., 2021. Implementing new practice: The roles of translation, progression and reflection. </w:t>
      </w:r>
      <w:r w:rsidRPr="00CB00A6">
        <w:rPr>
          <w:rFonts w:ascii="Verdana" w:hAnsi="Verdana"/>
          <w:iCs/>
          <w:shd w:val="clear" w:color="auto" w:fill="FFFFFF"/>
        </w:rPr>
        <w:t>Journal of Change Management</w:t>
      </w:r>
      <w:r w:rsidRPr="00CB00A6">
        <w:rPr>
          <w:rFonts w:ascii="Verdana" w:hAnsi="Verdana"/>
          <w:shd w:val="clear" w:color="auto" w:fill="FFFFFF"/>
        </w:rPr>
        <w:t>, </w:t>
      </w:r>
      <w:r w:rsidRPr="00CB00A6">
        <w:rPr>
          <w:rFonts w:ascii="Verdana" w:hAnsi="Verdana"/>
          <w:iCs/>
          <w:shd w:val="clear" w:color="auto" w:fill="FFFFFF"/>
        </w:rPr>
        <w:t>21</w:t>
      </w:r>
      <w:r w:rsidRPr="00CB00A6">
        <w:rPr>
          <w:rFonts w:ascii="Verdana" w:hAnsi="Verdana"/>
          <w:shd w:val="clear" w:color="auto" w:fill="FFFFFF"/>
        </w:rPr>
        <w:t>(3), pp.307-332.</w:t>
      </w:r>
    </w:p>
    <w:p w14:paraId="45BA6298" w14:textId="77777777" w:rsidR="00437557" w:rsidRPr="00CB00A6" w:rsidRDefault="00437557" w:rsidP="00437557">
      <w:pPr>
        <w:rPr>
          <w:rFonts w:ascii="Verdana" w:hAnsi="Verdana"/>
          <w:shd w:val="clear" w:color="auto" w:fill="FFFFFF"/>
        </w:rPr>
      </w:pPr>
      <w:proofErr w:type="spellStart"/>
      <w:r w:rsidRPr="00CB00A6">
        <w:rPr>
          <w:rFonts w:ascii="Verdana" w:hAnsi="Verdana"/>
          <w:shd w:val="clear" w:color="auto" w:fill="FFFFFF"/>
        </w:rPr>
        <w:lastRenderedPageBreak/>
        <w:t>Schoormann</w:t>
      </w:r>
      <w:proofErr w:type="spellEnd"/>
      <w:r w:rsidRPr="00CB00A6">
        <w:rPr>
          <w:rFonts w:ascii="Verdana" w:hAnsi="Verdana"/>
          <w:shd w:val="clear" w:color="auto" w:fill="FFFFFF"/>
        </w:rPr>
        <w:t xml:space="preserve">, T., Hofer, J. and </w:t>
      </w:r>
      <w:proofErr w:type="spellStart"/>
      <w:r w:rsidRPr="00CB00A6">
        <w:rPr>
          <w:rFonts w:ascii="Verdana" w:hAnsi="Verdana"/>
          <w:shd w:val="clear" w:color="auto" w:fill="FFFFFF"/>
        </w:rPr>
        <w:t>Knackstedt</w:t>
      </w:r>
      <w:proofErr w:type="spellEnd"/>
      <w:r w:rsidRPr="00CB00A6">
        <w:rPr>
          <w:rFonts w:ascii="Verdana" w:hAnsi="Verdana"/>
          <w:shd w:val="clear" w:color="auto" w:fill="FFFFFF"/>
        </w:rPr>
        <w:t>, R., 2020, January. Software tools for supporting reflection in design thinking projects. In </w:t>
      </w:r>
      <w:r w:rsidRPr="00CB00A6">
        <w:rPr>
          <w:rFonts w:ascii="Verdana" w:hAnsi="Verdana"/>
          <w:iCs/>
          <w:shd w:val="clear" w:color="auto" w:fill="FFFFFF"/>
        </w:rPr>
        <w:t>Proceedings of the 53rd Hawaii International Conference on System Sciences</w:t>
      </w:r>
      <w:r w:rsidRPr="00CB00A6">
        <w:rPr>
          <w:rFonts w:ascii="Verdana" w:hAnsi="Verdana"/>
          <w:shd w:val="clear" w:color="auto" w:fill="FFFFFF"/>
        </w:rPr>
        <w:t>.</w:t>
      </w:r>
    </w:p>
    <w:p w14:paraId="1A654D0B" w14:textId="77777777" w:rsidR="00437557" w:rsidRPr="00CB00A6" w:rsidRDefault="00437557" w:rsidP="00437557">
      <w:pPr>
        <w:rPr>
          <w:rFonts w:ascii="Verdana" w:hAnsi="Verdana"/>
          <w:shd w:val="clear" w:color="auto" w:fill="FFFFFF"/>
        </w:rPr>
      </w:pPr>
      <w:proofErr w:type="spellStart"/>
      <w:r w:rsidRPr="00CB00A6">
        <w:rPr>
          <w:rFonts w:ascii="Verdana" w:hAnsi="Verdana"/>
          <w:shd w:val="clear" w:color="auto" w:fill="FFFFFF"/>
        </w:rPr>
        <w:t>Stanitsas</w:t>
      </w:r>
      <w:proofErr w:type="spellEnd"/>
      <w:r w:rsidRPr="00CB00A6">
        <w:rPr>
          <w:rFonts w:ascii="Verdana" w:hAnsi="Verdana"/>
          <w:shd w:val="clear" w:color="auto" w:fill="FFFFFF"/>
        </w:rPr>
        <w:t xml:space="preserve">, M., </w:t>
      </w:r>
      <w:proofErr w:type="spellStart"/>
      <w:r w:rsidRPr="00CB00A6">
        <w:rPr>
          <w:rFonts w:ascii="Verdana" w:hAnsi="Verdana"/>
          <w:shd w:val="clear" w:color="auto" w:fill="FFFFFF"/>
        </w:rPr>
        <w:t>Kirytopoulos</w:t>
      </w:r>
      <w:proofErr w:type="spellEnd"/>
      <w:r w:rsidRPr="00CB00A6">
        <w:rPr>
          <w:rFonts w:ascii="Verdana" w:hAnsi="Verdana"/>
          <w:shd w:val="clear" w:color="auto" w:fill="FFFFFF"/>
        </w:rPr>
        <w:t xml:space="preserve">, K. and </w:t>
      </w:r>
      <w:proofErr w:type="spellStart"/>
      <w:r w:rsidRPr="00CB00A6">
        <w:rPr>
          <w:rFonts w:ascii="Verdana" w:hAnsi="Verdana"/>
          <w:shd w:val="clear" w:color="auto" w:fill="FFFFFF"/>
        </w:rPr>
        <w:t>Leopoulos</w:t>
      </w:r>
      <w:proofErr w:type="spellEnd"/>
      <w:r w:rsidRPr="00CB00A6">
        <w:rPr>
          <w:rFonts w:ascii="Verdana" w:hAnsi="Verdana"/>
          <w:shd w:val="clear" w:color="auto" w:fill="FFFFFF"/>
        </w:rPr>
        <w:t>, V., 2021. Integrating sustainability indicators into project management: The case of construction industry. </w:t>
      </w:r>
      <w:r w:rsidRPr="00CB00A6">
        <w:rPr>
          <w:rFonts w:ascii="Verdana" w:hAnsi="Verdana"/>
          <w:iCs/>
          <w:shd w:val="clear" w:color="auto" w:fill="FFFFFF"/>
        </w:rPr>
        <w:t>Journal of Cleaner Production</w:t>
      </w:r>
      <w:r w:rsidRPr="00CB00A6">
        <w:rPr>
          <w:rFonts w:ascii="Verdana" w:hAnsi="Verdana"/>
          <w:shd w:val="clear" w:color="auto" w:fill="FFFFFF"/>
        </w:rPr>
        <w:t>, </w:t>
      </w:r>
      <w:r w:rsidRPr="00CB00A6">
        <w:rPr>
          <w:rFonts w:ascii="Verdana" w:hAnsi="Verdana"/>
          <w:iCs/>
          <w:shd w:val="clear" w:color="auto" w:fill="FFFFFF"/>
        </w:rPr>
        <w:t>279</w:t>
      </w:r>
      <w:r w:rsidRPr="00CB00A6">
        <w:rPr>
          <w:rFonts w:ascii="Verdana" w:hAnsi="Verdana"/>
          <w:shd w:val="clear" w:color="auto" w:fill="FFFFFF"/>
        </w:rPr>
        <w:t>, p.123774.</w:t>
      </w:r>
    </w:p>
    <w:p w14:paraId="3B496115" w14:textId="77777777" w:rsidR="00437557" w:rsidRPr="00CB00A6" w:rsidRDefault="00437557" w:rsidP="00437557">
      <w:pPr>
        <w:rPr>
          <w:rFonts w:ascii="Verdana" w:hAnsi="Verdana"/>
          <w:shd w:val="clear" w:color="auto" w:fill="FFFFFF"/>
        </w:rPr>
      </w:pPr>
      <w:r w:rsidRPr="00CB00A6">
        <w:rPr>
          <w:rFonts w:ascii="Verdana" w:hAnsi="Verdana"/>
          <w:shd w:val="clear" w:color="auto" w:fill="FFFFFF"/>
        </w:rPr>
        <w:t xml:space="preserve">Sum, K., </w:t>
      </w:r>
      <w:proofErr w:type="spellStart"/>
      <w:r w:rsidRPr="00CB00A6">
        <w:rPr>
          <w:rFonts w:ascii="Verdana" w:hAnsi="Verdana"/>
          <w:shd w:val="clear" w:color="auto" w:fill="FFFFFF"/>
        </w:rPr>
        <w:t>Dimitropoulos</w:t>
      </w:r>
      <w:proofErr w:type="spellEnd"/>
      <w:r w:rsidRPr="00CB00A6">
        <w:rPr>
          <w:rFonts w:ascii="Verdana" w:hAnsi="Verdana"/>
          <w:shd w:val="clear" w:color="auto" w:fill="FFFFFF"/>
        </w:rPr>
        <w:t xml:space="preserve">, L. and </w:t>
      </w:r>
      <w:proofErr w:type="spellStart"/>
      <w:r w:rsidRPr="00CB00A6">
        <w:rPr>
          <w:rFonts w:ascii="Verdana" w:hAnsi="Verdana"/>
          <w:shd w:val="clear" w:color="auto" w:fill="FFFFFF"/>
        </w:rPr>
        <w:t>Kurik</w:t>
      </w:r>
      <w:proofErr w:type="spellEnd"/>
      <w:r w:rsidRPr="00CB00A6">
        <w:rPr>
          <w:rFonts w:ascii="Verdana" w:hAnsi="Verdana"/>
          <w:shd w:val="clear" w:color="auto" w:fill="FFFFFF"/>
        </w:rPr>
        <w:t>, G., 2021. Enhancing student learning and teaching experience through a cross-level collaboration: a reflection. </w:t>
      </w:r>
      <w:r w:rsidRPr="00CB00A6">
        <w:rPr>
          <w:rFonts w:ascii="Verdana" w:hAnsi="Verdana"/>
          <w:iCs/>
          <w:shd w:val="clear" w:color="auto" w:fill="FFFFFF"/>
        </w:rPr>
        <w:t>Student Engagement in Higher Education Journal</w:t>
      </w:r>
      <w:r w:rsidRPr="00CB00A6">
        <w:rPr>
          <w:rFonts w:ascii="Verdana" w:hAnsi="Verdana"/>
          <w:shd w:val="clear" w:color="auto" w:fill="FFFFFF"/>
        </w:rPr>
        <w:t>, </w:t>
      </w:r>
      <w:r w:rsidRPr="00CB00A6">
        <w:rPr>
          <w:rFonts w:ascii="Verdana" w:hAnsi="Verdana"/>
          <w:iCs/>
          <w:shd w:val="clear" w:color="auto" w:fill="FFFFFF"/>
        </w:rPr>
        <w:t>3</w:t>
      </w:r>
      <w:r w:rsidRPr="00CB00A6">
        <w:rPr>
          <w:rFonts w:ascii="Verdana" w:hAnsi="Verdana"/>
          <w:shd w:val="clear" w:color="auto" w:fill="FFFFFF"/>
        </w:rPr>
        <w:t>(2), pp.4-9.</w:t>
      </w:r>
    </w:p>
    <w:p w14:paraId="091E446A" w14:textId="77777777" w:rsidR="00437557" w:rsidRPr="00CB00A6" w:rsidRDefault="00437557" w:rsidP="00437557">
      <w:pPr>
        <w:rPr>
          <w:rFonts w:ascii="Verdana" w:hAnsi="Verdana"/>
        </w:rPr>
      </w:pPr>
      <w:proofErr w:type="spellStart"/>
      <w:r w:rsidRPr="00CB00A6">
        <w:rPr>
          <w:rFonts w:ascii="Verdana" w:hAnsi="Verdana"/>
          <w:shd w:val="clear" w:color="auto" w:fill="FFFFFF"/>
        </w:rPr>
        <w:t>Svejvig</w:t>
      </w:r>
      <w:proofErr w:type="spellEnd"/>
      <w:r w:rsidRPr="00CB00A6">
        <w:rPr>
          <w:rFonts w:ascii="Verdana" w:hAnsi="Verdana"/>
          <w:shd w:val="clear" w:color="auto" w:fill="FFFFFF"/>
        </w:rPr>
        <w:t>, P., 2021. A Meta-theoretical framework for theory building in project management. </w:t>
      </w:r>
      <w:r w:rsidRPr="00CB00A6">
        <w:rPr>
          <w:rFonts w:ascii="Verdana" w:hAnsi="Verdana"/>
          <w:iCs/>
          <w:shd w:val="clear" w:color="auto" w:fill="FFFFFF"/>
        </w:rPr>
        <w:t>International Journal of Project Management</w:t>
      </w:r>
      <w:r w:rsidRPr="00CB00A6">
        <w:rPr>
          <w:rFonts w:ascii="Verdana" w:hAnsi="Verdana"/>
          <w:shd w:val="clear" w:color="auto" w:fill="FFFFFF"/>
        </w:rPr>
        <w:t>, </w:t>
      </w:r>
      <w:r w:rsidRPr="00CB00A6">
        <w:rPr>
          <w:rFonts w:ascii="Verdana" w:hAnsi="Verdana"/>
          <w:iCs/>
          <w:shd w:val="clear" w:color="auto" w:fill="FFFFFF"/>
        </w:rPr>
        <w:t>39</w:t>
      </w:r>
      <w:r w:rsidRPr="00CB00A6">
        <w:rPr>
          <w:rFonts w:ascii="Verdana" w:hAnsi="Verdana"/>
          <w:shd w:val="clear" w:color="auto" w:fill="FFFFFF"/>
        </w:rPr>
        <w:t>(8), pp.849-872.</w:t>
      </w:r>
    </w:p>
    <w:p w14:paraId="69334B8E" w14:textId="77777777" w:rsidR="00437557" w:rsidRPr="00CB00A6" w:rsidRDefault="00437557" w:rsidP="00437557">
      <w:pPr>
        <w:rPr>
          <w:rFonts w:ascii="Verdana" w:hAnsi="Verdana"/>
          <w:shd w:val="clear" w:color="auto" w:fill="FFFFFF"/>
        </w:rPr>
      </w:pPr>
      <w:proofErr w:type="spellStart"/>
      <w:r w:rsidRPr="00CB00A6">
        <w:rPr>
          <w:rFonts w:ascii="Verdana" w:hAnsi="Verdana"/>
          <w:shd w:val="clear" w:color="auto" w:fill="FFFFFF"/>
        </w:rPr>
        <w:t>Tereso</w:t>
      </w:r>
      <w:proofErr w:type="spellEnd"/>
      <w:r w:rsidRPr="00CB00A6">
        <w:rPr>
          <w:rFonts w:ascii="Verdana" w:hAnsi="Verdana"/>
          <w:shd w:val="clear" w:color="auto" w:fill="FFFFFF"/>
        </w:rPr>
        <w:t xml:space="preserve">, A., Ribeiro, P., Fernandes, G., </w:t>
      </w:r>
      <w:proofErr w:type="spellStart"/>
      <w:r w:rsidRPr="00CB00A6">
        <w:rPr>
          <w:rFonts w:ascii="Verdana" w:hAnsi="Verdana"/>
          <w:shd w:val="clear" w:color="auto" w:fill="FFFFFF"/>
        </w:rPr>
        <w:t>Loureiro</w:t>
      </w:r>
      <w:proofErr w:type="spellEnd"/>
      <w:r w:rsidRPr="00CB00A6">
        <w:rPr>
          <w:rFonts w:ascii="Verdana" w:hAnsi="Verdana"/>
          <w:shd w:val="clear" w:color="auto" w:fill="FFFFFF"/>
        </w:rPr>
        <w:t>, I. and Ferreira, M., 2019. Project management practices in private organizations. </w:t>
      </w:r>
      <w:r w:rsidRPr="00CB00A6">
        <w:rPr>
          <w:rFonts w:ascii="Verdana" w:hAnsi="Verdana"/>
          <w:iCs/>
          <w:shd w:val="clear" w:color="auto" w:fill="FFFFFF"/>
        </w:rPr>
        <w:t>Project Management Journal</w:t>
      </w:r>
      <w:r w:rsidRPr="00CB00A6">
        <w:rPr>
          <w:rFonts w:ascii="Verdana" w:hAnsi="Verdana"/>
          <w:shd w:val="clear" w:color="auto" w:fill="FFFFFF"/>
        </w:rPr>
        <w:t>, </w:t>
      </w:r>
      <w:r w:rsidRPr="00CB00A6">
        <w:rPr>
          <w:rFonts w:ascii="Verdana" w:hAnsi="Verdana"/>
          <w:iCs/>
          <w:shd w:val="clear" w:color="auto" w:fill="FFFFFF"/>
        </w:rPr>
        <w:t>50</w:t>
      </w:r>
      <w:r w:rsidRPr="00CB00A6">
        <w:rPr>
          <w:rFonts w:ascii="Verdana" w:hAnsi="Verdana"/>
          <w:shd w:val="clear" w:color="auto" w:fill="FFFFFF"/>
        </w:rPr>
        <w:t>(1), pp.6-22.</w:t>
      </w:r>
    </w:p>
    <w:p w14:paraId="6FE67780" w14:textId="77777777" w:rsidR="00437557" w:rsidRPr="00CB00A6" w:rsidRDefault="00437557" w:rsidP="00437557">
      <w:pPr>
        <w:rPr>
          <w:rFonts w:ascii="Verdana" w:hAnsi="Verdana"/>
          <w:shd w:val="clear" w:color="auto" w:fill="FFFFFF"/>
        </w:rPr>
      </w:pPr>
      <w:r w:rsidRPr="00CB00A6">
        <w:rPr>
          <w:rFonts w:ascii="Verdana" w:hAnsi="Verdana"/>
          <w:shd w:val="clear" w:color="auto" w:fill="FFFFFF"/>
        </w:rPr>
        <w:t>Tong, Y.T. and Caroline, N.J., 2019. An Evaluation of Student Learning and Reflection, through the use of an Engineering Project Management Serious Game. </w:t>
      </w:r>
      <w:r w:rsidRPr="00CB00A6">
        <w:rPr>
          <w:rFonts w:ascii="Verdana" w:hAnsi="Verdana"/>
          <w:iCs/>
          <w:shd w:val="clear" w:color="auto" w:fill="FFFFFF"/>
        </w:rPr>
        <w:t>Excellence in Engineering Education for the 21st Century: The Role of Engineering Education Research</w:t>
      </w:r>
      <w:r w:rsidRPr="00CB00A6">
        <w:rPr>
          <w:rFonts w:ascii="Verdana" w:hAnsi="Verdana"/>
          <w:shd w:val="clear" w:color="auto" w:fill="FFFFFF"/>
        </w:rPr>
        <w:t>, p.250.</w:t>
      </w:r>
    </w:p>
    <w:p w14:paraId="77835F6F" w14:textId="77777777" w:rsidR="00437557" w:rsidRPr="00CB00A6" w:rsidRDefault="00437557" w:rsidP="00437557">
      <w:pPr>
        <w:rPr>
          <w:rFonts w:ascii="Verdana" w:hAnsi="Verdana"/>
          <w:shd w:val="clear" w:color="auto" w:fill="FFFFFF"/>
        </w:rPr>
      </w:pPr>
      <w:r w:rsidRPr="00CB00A6">
        <w:rPr>
          <w:rFonts w:ascii="Verdana" w:hAnsi="Verdana"/>
          <w:shd w:val="clear" w:color="auto" w:fill="FFFFFF"/>
        </w:rPr>
        <w:t>Turner, J.R., 2018. The management of the project-based organization: A personal reflection. </w:t>
      </w:r>
      <w:r w:rsidRPr="00CB00A6">
        <w:rPr>
          <w:rFonts w:ascii="Verdana" w:hAnsi="Verdana"/>
          <w:iCs/>
          <w:shd w:val="clear" w:color="auto" w:fill="FFFFFF"/>
        </w:rPr>
        <w:t>International Journal of Project Management</w:t>
      </w:r>
      <w:r w:rsidRPr="00CB00A6">
        <w:rPr>
          <w:rFonts w:ascii="Verdana" w:hAnsi="Verdana"/>
          <w:shd w:val="clear" w:color="auto" w:fill="FFFFFF"/>
        </w:rPr>
        <w:t>, </w:t>
      </w:r>
      <w:r w:rsidRPr="00CB00A6">
        <w:rPr>
          <w:rFonts w:ascii="Verdana" w:hAnsi="Verdana"/>
          <w:iCs/>
          <w:shd w:val="clear" w:color="auto" w:fill="FFFFFF"/>
        </w:rPr>
        <w:t>36</w:t>
      </w:r>
      <w:r w:rsidRPr="00CB00A6">
        <w:rPr>
          <w:rFonts w:ascii="Verdana" w:hAnsi="Verdana"/>
          <w:shd w:val="clear" w:color="auto" w:fill="FFFFFF"/>
        </w:rPr>
        <w:t>(1), pp.231-240.</w:t>
      </w:r>
    </w:p>
    <w:p w14:paraId="05F121EF" w14:textId="77777777" w:rsidR="00437557" w:rsidRPr="00CB00A6" w:rsidRDefault="00437557" w:rsidP="00437557">
      <w:pPr>
        <w:rPr>
          <w:rFonts w:ascii="Verdana" w:hAnsi="Verdana"/>
          <w:shd w:val="clear" w:color="auto" w:fill="FFFFFF"/>
        </w:rPr>
      </w:pPr>
      <w:r w:rsidRPr="00CB00A6">
        <w:rPr>
          <w:rFonts w:ascii="Verdana" w:hAnsi="Verdana"/>
          <w:shd w:val="clear" w:color="auto" w:fill="FFFFFF"/>
        </w:rPr>
        <w:t>Young, A.G., Majchrzak, A. and Kane, G.C., 2021. Reflection on writing a theory paper: How to theorize for the future. </w:t>
      </w:r>
      <w:r w:rsidRPr="00CB00A6">
        <w:rPr>
          <w:rFonts w:ascii="Verdana" w:hAnsi="Verdana"/>
          <w:iCs/>
          <w:shd w:val="clear" w:color="auto" w:fill="FFFFFF"/>
        </w:rPr>
        <w:t>Journal of the Association for Information Systems</w:t>
      </w:r>
      <w:r w:rsidRPr="00CB00A6">
        <w:rPr>
          <w:rFonts w:ascii="Verdana" w:hAnsi="Verdana"/>
          <w:shd w:val="clear" w:color="auto" w:fill="FFFFFF"/>
        </w:rPr>
        <w:t>, </w:t>
      </w:r>
      <w:r w:rsidRPr="00CB00A6">
        <w:rPr>
          <w:rFonts w:ascii="Verdana" w:hAnsi="Verdana"/>
          <w:iCs/>
          <w:shd w:val="clear" w:color="auto" w:fill="FFFFFF"/>
        </w:rPr>
        <w:t>22</w:t>
      </w:r>
      <w:r w:rsidRPr="00CB00A6">
        <w:rPr>
          <w:rFonts w:ascii="Verdana" w:hAnsi="Verdana"/>
          <w:shd w:val="clear" w:color="auto" w:fill="FFFFFF"/>
        </w:rPr>
        <w:t>(5), pp.1212-1223.</w:t>
      </w:r>
    </w:p>
    <w:sectPr w:rsidR="00437557" w:rsidRPr="00CB00A6" w:rsidSect="000560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E7AE" w14:textId="77777777" w:rsidR="00BE5068" w:rsidRDefault="00BE5068" w:rsidP="004974A3">
      <w:pPr>
        <w:spacing w:after="0" w:line="240" w:lineRule="auto"/>
      </w:pPr>
      <w:r>
        <w:separator/>
      </w:r>
    </w:p>
  </w:endnote>
  <w:endnote w:type="continuationSeparator" w:id="0">
    <w:p w14:paraId="4ADE0487" w14:textId="77777777" w:rsidR="00BE5068" w:rsidRDefault="00BE5068" w:rsidP="00497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10121"/>
      <w:docPartObj>
        <w:docPartGallery w:val="Page Numbers (Bottom of Page)"/>
        <w:docPartUnique/>
      </w:docPartObj>
    </w:sdtPr>
    <w:sdtEndPr/>
    <w:sdtContent>
      <w:p w14:paraId="0A0EB332" w14:textId="77777777" w:rsidR="0052362F" w:rsidRDefault="00BE5068">
        <w:pPr>
          <w:pStyle w:val="Subsol"/>
          <w:jc w:val="right"/>
        </w:pPr>
        <w:r>
          <w:fldChar w:fldCharType="begin"/>
        </w:r>
        <w:r>
          <w:instrText xml:space="preserve"> PAGE   \* MERGEFORMAT </w:instrText>
        </w:r>
        <w:r>
          <w:fldChar w:fldCharType="separate"/>
        </w:r>
        <w:r w:rsidR="00690CFA">
          <w:rPr>
            <w:noProof/>
          </w:rPr>
          <w:t>1</w:t>
        </w:r>
        <w:r>
          <w:rPr>
            <w:noProof/>
          </w:rPr>
          <w:fldChar w:fldCharType="end"/>
        </w:r>
      </w:p>
    </w:sdtContent>
  </w:sdt>
  <w:p w14:paraId="70FD2F7F" w14:textId="77777777" w:rsidR="0052362F" w:rsidRDefault="005236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7B3FC" w14:textId="77777777" w:rsidR="00BE5068" w:rsidRDefault="00BE5068" w:rsidP="004974A3">
      <w:pPr>
        <w:spacing w:after="0" w:line="240" w:lineRule="auto"/>
      </w:pPr>
      <w:r>
        <w:separator/>
      </w:r>
    </w:p>
  </w:footnote>
  <w:footnote w:type="continuationSeparator" w:id="0">
    <w:p w14:paraId="61D1317A" w14:textId="77777777" w:rsidR="00BE5068" w:rsidRDefault="00BE5068" w:rsidP="004974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94D"/>
    <w:rsid w:val="0000127B"/>
    <w:rsid w:val="0000703F"/>
    <w:rsid w:val="0001187D"/>
    <w:rsid w:val="0003128C"/>
    <w:rsid w:val="00056013"/>
    <w:rsid w:val="00082ADB"/>
    <w:rsid w:val="00083F17"/>
    <w:rsid w:val="000941EF"/>
    <w:rsid w:val="000F1617"/>
    <w:rsid w:val="00115D9F"/>
    <w:rsid w:val="00123EA1"/>
    <w:rsid w:val="00141DF8"/>
    <w:rsid w:val="00172E87"/>
    <w:rsid w:val="00186CEB"/>
    <w:rsid w:val="001B44DF"/>
    <w:rsid w:val="001E7838"/>
    <w:rsid w:val="001F1648"/>
    <w:rsid w:val="0027164E"/>
    <w:rsid w:val="00271BAF"/>
    <w:rsid w:val="002A0DA9"/>
    <w:rsid w:val="002C0EE2"/>
    <w:rsid w:val="002E76F6"/>
    <w:rsid w:val="00300BD1"/>
    <w:rsid w:val="00346C10"/>
    <w:rsid w:val="0036289C"/>
    <w:rsid w:val="003947C5"/>
    <w:rsid w:val="003D730A"/>
    <w:rsid w:val="003E1468"/>
    <w:rsid w:val="003F61F0"/>
    <w:rsid w:val="0042162C"/>
    <w:rsid w:val="0043043B"/>
    <w:rsid w:val="00437557"/>
    <w:rsid w:val="004555B7"/>
    <w:rsid w:val="00463E14"/>
    <w:rsid w:val="004850AD"/>
    <w:rsid w:val="004974A3"/>
    <w:rsid w:val="004A0542"/>
    <w:rsid w:val="004A0623"/>
    <w:rsid w:val="004E385C"/>
    <w:rsid w:val="004E77DE"/>
    <w:rsid w:val="0052362F"/>
    <w:rsid w:val="00524B6D"/>
    <w:rsid w:val="005832D3"/>
    <w:rsid w:val="005A5BC2"/>
    <w:rsid w:val="005B1907"/>
    <w:rsid w:val="005C1D6D"/>
    <w:rsid w:val="00647623"/>
    <w:rsid w:val="00690CFA"/>
    <w:rsid w:val="006970ED"/>
    <w:rsid w:val="007578B5"/>
    <w:rsid w:val="00766F42"/>
    <w:rsid w:val="0077203E"/>
    <w:rsid w:val="007876E1"/>
    <w:rsid w:val="007A3B25"/>
    <w:rsid w:val="007B1DF3"/>
    <w:rsid w:val="007D7D4E"/>
    <w:rsid w:val="007E2E6A"/>
    <w:rsid w:val="007F51D2"/>
    <w:rsid w:val="007F7C87"/>
    <w:rsid w:val="00813AF9"/>
    <w:rsid w:val="00841FF1"/>
    <w:rsid w:val="00857B32"/>
    <w:rsid w:val="008B080F"/>
    <w:rsid w:val="008B794D"/>
    <w:rsid w:val="008C4746"/>
    <w:rsid w:val="008C4E66"/>
    <w:rsid w:val="008E0579"/>
    <w:rsid w:val="008E3943"/>
    <w:rsid w:val="0091457F"/>
    <w:rsid w:val="0097541A"/>
    <w:rsid w:val="00983B5D"/>
    <w:rsid w:val="009C7C2D"/>
    <w:rsid w:val="009E5E4E"/>
    <w:rsid w:val="00A123F8"/>
    <w:rsid w:val="00A31734"/>
    <w:rsid w:val="00AA0157"/>
    <w:rsid w:val="00AA3DD8"/>
    <w:rsid w:val="00AC7C1E"/>
    <w:rsid w:val="00B26578"/>
    <w:rsid w:val="00B44885"/>
    <w:rsid w:val="00B6440E"/>
    <w:rsid w:val="00B84FE4"/>
    <w:rsid w:val="00BE5068"/>
    <w:rsid w:val="00C447B4"/>
    <w:rsid w:val="00C6775E"/>
    <w:rsid w:val="00C97498"/>
    <w:rsid w:val="00CB00A6"/>
    <w:rsid w:val="00D070BA"/>
    <w:rsid w:val="00D32448"/>
    <w:rsid w:val="00D51B6C"/>
    <w:rsid w:val="00D90714"/>
    <w:rsid w:val="00DA2055"/>
    <w:rsid w:val="00E0064C"/>
    <w:rsid w:val="00E038FD"/>
    <w:rsid w:val="00E226F2"/>
    <w:rsid w:val="00E43678"/>
    <w:rsid w:val="00E63D92"/>
    <w:rsid w:val="00E71FE3"/>
    <w:rsid w:val="00E96DCA"/>
    <w:rsid w:val="00EA5F97"/>
    <w:rsid w:val="00EB1416"/>
    <w:rsid w:val="00EC1E94"/>
    <w:rsid w:val="00EC71EA"/>
    <w:rsid w:val="00EE3394"/>
    <w:rsid w:val="00F25C72"/>
    <w:rsid w:val="00F56CEE"/>
    <w:rsid w:val="00F66636"/>
    <w:rsid w:val="00F72D39"/>
    <w:rsid w:val="00FE5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2E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DA9"/>
    <w:pPr>
      <w:spacing w:after="160"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B84FE4"/>
    <w:pPr>
      <w:keepNext/>
      <w:keepLines/>
      <w:spacing w:before="48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B84FE4"/>
    <w:pPr>
      <w:keepNext/>
      <w:keepLines/>
      <w:spacing w:before="200"/>
      <w:outlineLvl w:val="1"/>
    </w:pPr>
    <w:rPr>
      <w:rFonts w:eastAsiaTheme="majorEastAsia" w:cstheme="majorBidi"/>
      <w:bCs/>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84FE4"/>
    <w:rPr>
      <w:rFonts w:ascii="Times New Roman" w:eastAsiaTheme="majorEastAsia" w:hAnsi="Times New Roman" w:cstheme="majorBidi"/>
      <w:b/>
      <w:bCs/>
      <w:sz w:val="28"/>
      <w:szCs w:val="28"/>
      <w:lang w:val="en-GB"/>
    </w:rPr>
  </w:style>
  <w:style w:type="character" w:customStyle="1" w:styleId="Titlu2Caracter">
    <w:name w:val="Titlu 2 Caracter"/>
    <w:basedOn w:val="Fontdeparagrafimplicit"/>
    <w:link w:val="Titlu2"/>
    <w:uiPriority w:val="9"/>
    <w:rsid w:val="00B84FE4"/>
    <w:rPr>
      <w:rFonts w:ascii="Times New Roman" w:eastAsiaTheme="majorEastAsia" w:hAnsi="Times New Roman" w:cstheme="majorBidi"/>
      <w:bCs/>
      <w:sz w:val="24"/>
      <w:szCs w:val="26"/>
      <w:u w:val="single"/>
      <w:lang w:val="en-GB"/>
    </w:rPr>
  </w:style>
  <w:style w:type="paragraph" w:styleId="Antet">
    <w:name w:val="header"/>
    <w:basedOn w:val="Normal"/>
    <w:link w:val="AntetCaracter"/>
    <w:uiPriority w:val="99"/>
    <w:semiHidden/>
    <w:unhideWhenUsed/>
    <w:rsid w:val="004974A3"/>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4974A3"/>
    <w:rPr>
      <w:rFonts w:ascii="Times New Roman" w:hAnsi="Times New Roman"/>
      <w:sz w:val="24"/>
      <w:lang w:val="en-GB"/>
    </w:rPr>
  </w:style>
  <w:style w:type="paragraph" w:styleId="Subsol">
    <w:name w:val="footer"/>
    <w:basedOn w:val="Normal"/>
    <w:link w:val="SubsolCaracter"/>
    <w:uiPriority w:val="99"/>
    <w:unhideWhenUsed/>
    <w:rsid w:val="004974A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974A3"/>
    <w:rPr>
      <w:rFonts w:ascii="Times New Roman" w:hAnsi="Times New Roman"/>
      <w:sz w:val="24"/>
      <w:lang w:val="en-GB"/>
    </w:rPr>
  </w:style>
  <w:style w:type="paragraph" w:styleId="Titlucuprins">
    <w:name w:val="TOC Heading"/>
    <w:basedOn w:val="Titlu1"/>
    <w:next w:val="Normal"/>
    <w:uiPriority w:val="39"/>
    <w:semiHidden/>
    <w:unhideWhenUsed/>
    <w:qFormat/>
    <w:rsid w:val="004974A3"/>
    <w:pPr>
      <w:spacing w:after="0" w:line="276" w:lineRule="auto"/>
      <w:jc w:val="left"/>
      <w:outlineLvl w:val="9"/>
    </w:pPr>
    <w:rPr>
      <w:rFonts w:asciiTheme="majorHAnsi" w:hAnsiTheme="majorHAnsi"/>
      <w:color w:val="365F91" w:themeColor="accent1" w:themeShade="BF"/>
      <w:lang w:val="en-US"/>
    </w:rPr>
  </w:style>
  <w:style w:type="paragraph" w:styleId="Cuprins1">
    <w:name w:val="toc 1"/>
    <w:basedOn w:val="Normal"/>
    <w:next w:val="Normal"/>
    <w:autoRedefine/>
    <w:uiPriority w:val="39"/>
    <w:unhideWhenUsed/>
    <w:rsid w:val="004974A3"/>
    <w:pPr>
      <w:spacing w:after="100"/>
    </w:pPr>
  </w:style>
  <w:style w:type="character" w:styleId="Hyperlink">
    <w:name w:val="Hyperlink"/>
    <w:basedOn w:val="Fontdeparagrafimplicit"/>
    <w:uiPriority w:val="99"/>
    <w:unhideWhenUsed/>
    <w:rsid w:val="004974A3"/>
    <w:rPr>
      <w:color w:val="0000FF" w:themeColor="hyperlink"/>
      <w:u w:val="single"/>
    </w:rPr>
  </w:style>
  <w:style w:type="paragraph" w:styleId="TextnBalon">
    <w:name w:val="Balloon Text"/>
    <w:basedOn w:val="Normal"/>
    <w:link w:val="TextnBalonCaracter"/>
    <w:uiPriority w:val="99"/>
    <w:semiHidden/>
    <w:unhideWhenUsed/>
    <w:rsid w:val="004974A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974A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B6837-BEE6-2640-9D31-6EB4D6FEE9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3195</Words>
  <Characters>18535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2022-08-26T10:27:00Z</dcterms:created>
  <dcterms:modified xsi:type="dcterms:W3CDTF">2022-08-26T10:27:00Z</dcterms:modified>
</cp:coreProperties>
</file>