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7006C" w14:textId="77777777" w:rsidR="00353637" w:rsidRDefault="00353637" w:rsidP="00353637">
      <w:pPr>
        <w:jc w:val="center"/>
      </w:pPr>
      <w:bookmarkStart w:id="0" w:name="_Hlk131363073"/>
      <w:bookmarkEnd w:id="0"/>
      <w:r>
        <w:rPr>
          <w:noProof/>
        </w:rPr>
        <w:drawing>
          <wp:inline distT="0" distB="0" distL="0" distR="0" wp14:anchorId="51DB1D0E" wp14:editId="5DF68A16">
            <wp:extent cx="3390900" cy="1352550"/>
            <wp:effectExtent l="0" t="0" r="0" b="0"/>
            <wp:docPr id="1" name="Picture 1" descr="UWTSD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a:extLst>
                        <a:ext uri="{C183D7F6-B498-43B3-948B-1728B52AA6E4}">
                          <adec:decorative xmlns:adec="http://schemas.microsoft.com/office/drawing/2017/decorative" val="0"/>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p w14:paraId="367298E4" w14:textId="5793BEFB" w:rsidR="00353637" w:rsidRDefault="00353637" w:rsidP="00353637"/>
    <w:p w14:paraId="5A129632" w14:textId="77777777" w:rsidR="006453BA" w:rsidRDefault="006453BA" w:rsidP="00353637"/>
    <w:p w14:paraId="58A1834C" w14:textId="77777777" w:rsidR="006453BA" w:rsidRDefault="006453BA" w:rsidP="000E1083">
      <w:pPr>
        <w:pStyle w:val="Title"/>
        <w:rPr>
          <w:sz w:val="40"/>
          <w:szCs w:val="40"/>
        </w:rPr>
      </w:pPr>
    </w:p>
    <w:p w14:paraId="3DBF4C6B" w14:textId="4736EFF2" w:rsidR="006453BA" w:rsidRPr="006453BA" w:rsidRDefault="006453BA" w:rsidP="000E1083">
      <w:pPr>
        <w:pStyle w:val="Title"/>
        <w:rPr>
          <w:sz w:val="40"/>
          <w:szCs w:val="40"/>
        </w:rPr>
      </w:pPr>
      <w:r w:rsidRPr="006453BA">
        <w:rPr>
          <w:sz w:val="40"/>
          <w:szCs w:val="40"/>
        </w:rPr>
        <w:t>Design of a Pollution Monitoring Station</w:t>
      </w:r>
    </w:p>
    <w:p w14:paraId="6EE3829B" w14:textId="77777777" w:rsidR="006453BA" w:rsidRPr="006453BA" w:rsidRDefault="006453BA" w:rsidP="000E1083">
      <w:pPr>
        <w:rPr>
          <w:sz w:val="32"/>
          <w:szCs w:val="32"/>
        </w:rPr>
      </w:pPr>
    </w:p>
    <w:p w14:paraId="29165711" w14:textId="3A94BF39" w:rsidR="006453BA" w:rsidRPr="006453BA" w:rsidRDefault="006453BA" w:rsidP="006453BA">
      <w:pPr>
        <w:pStyle w:val="Title"/>
        <w:rPr>
          <w:sz w:val="40"/>
          <w:szCs w:val="40"/>
        </w:rPr>
      </w:pPr>
      <w:r w:rsidRPr="006453BA">
        <w:rPr>
          <w:sz w:val="40"/>
          <w:szCs w:val="40"/>
        </w:rPr>
        <w:t>Final Report</w:t>
      </w:r>
    </w:p>
    <w:p w14:paraId="2155994C" w14:textId="6406C601" w:rsidR="00353637" w:rsidRDefault="00353637" w:rsidP="00353637"/>
    <w:p w14:paraId="72E70221" w14:textId="2349B02A" w:rsidR="006453BA" w:rsidRDefault="006453BA" w:rsidP="00353637"/>
    <w:p w14:paraId="5CF7FE9E" w14:textId="77777777" w:rsidR="006453BA" w:rsidRDefault="006453BA" w:rsidP="00353637"/>
    <w:p w14:paraId="6BE6B6B9" w14:textId="77777777" w:rsidR="00353637" w:rsidRPr="006453BA" w:rsidRDefault="00353637" w:rsidP="00353637">
      <w:pPr>
        <w:rPr>
          <w:sz w:val="32"/>
          <w:szCs w:val="32"/>
        </w:rPr>
      </w:pPr>
    </w:p>
    <w:p w14:paraId="6E4B3DEE" w14:textId="77777777" w:rsidR="006453BA" w:rsidRPr="006453BA" w:rsidRDefault="006453BA" w:rsidP="006453BA">
      <w:pPr>
        <w:pStyle w:val="Title"/>
        <w:rPr>
          <w:sz w:val="40"/>
          <w:szCs w:val="40"/>
        </w:rPr>
      </w:pPr>
      <w:r w:rsidRPr="006453BA">
        <w:rPr>
          <w:sz w:val="40"/>
          <w:szCs w:val="40"/>
        </w:rPr>
        <w:t>By Matthew Taylor</w:t>
      </w:r>
    </w:p>
    <w:p w14:paraId="5133C091" w14:textId="77777777" w:rsidR="006453BA" w:rsidRDefault="006453BA" w:rsidP="006453BA">
      <w:pPr>
        <w:pStyle w:val="Title"/>
      </w:pPr>
    </w:p>
    <w:p w14:paraId="4F57BA22" w14:textId="1618F567" w:rsidR="006453BA" w:rsidRDefault="006453BA" w:rsidP="006453BA">
      <w:pPr>
        <w:pStyle w:val="Title"/>
      </w:pPr>
    </w:p>
    <w:p w14:paraId="568B1FD9" w14:textId="3251A0D9" w:rsidR="006453BA" w:rsidRDefault="006453BA" w:rsidP="006453BA"/>
    <w:p w14:paraId="00947695" w14:textId="5A95EC1F" w:rsidR="006453BA" w:rsidRDefault="006453BA" w:rsidP="006453BA"/>
    <w:p w14:paraId="449051BB" w14:textId="6F9C4A86" w:rsidR="006453BA" w:rsidRDefault="006453BA" w:rsidP="006453BA"/>
    <w:p w14:paraId="4C760562" w14:textId="30EFD88E" w:rsidR="006453BA" w:rsidRDefault="006453BA" w:rsidP="006453BA"/>
    <w:p w14:paraId="7C537B4D" w14:textId="77777777" w:rsidR="006453BA" w:rsidRDefault="006453BA" w:rsidP="006453BA"/>
    <w:p w14:paraId="7208991D" w14:textId="4EE6E2F2" w:rsidR="006453BA" w:rsidRDefault="006453BA" w:rsidP="006453BA"/>
    <w:p w14:paraId="7C027C22" w14:textId="1279100B" w:rsidR="006453BA" w:rsidRDefault="006453BA" w:rsidP="006453BA"/>
    <w:p w14:paraId="49693443" w14:textId="77777777" w:rsidR="006453BA" w:rsidRPr="006453BA" w:rsidRDefault="006453BA" w:rsidP="006453BA"/>
    <w:p w14:paraId="2064E9AA" w14:textId="4EF55E3D" w:rsidR="006453BA" w:rsidRDefault="006453BA" w:rsidP="006453BA">
      <w:pPr>
        <w:pStyle w:val="Title"/>
      </w:pPr>
      <w:r>
        <w:t>Supervisor: Dr Stephen Mosey</w:t>
      </w:r>
    </w:p>
    <w:p w14:paraId="1EBE748C" w14:textId="1DD4C78D" w:rsidR="006453BA" w:rsidRDefault="006453BA" w:rsidP="006453BA">
      <w:pPr>
        <w:jc w:val="center"/>
        <w:rPr>
          <w:rFonts w:eastAsiaTheme="majorEastAsia" w:cstheme="majorBidi"/>
          <w:b/>
          <w:bCs/>
          <w:spacing w:val="-10"/>
          <w:kern w:val="28"/>
          <w:sz w:val="32"/>
          <w:szCs w:val="32"/>
        </w:rPr>
      </w:pPr>
      <w:r w:rsidRPr="006453BA">
        <w:rPr>
          <w:rFonts w:eastAsiaTheme="majorEastAsia" w:cstheme="majorBidi"/>
          <w:b/>
          <w:bCs/>
          <w:spacing w:val="-10"/>
          <w:kern w:val="28"/>
          <w:sz w:val="32"/>
          <w:szCs w:val="32"/>
        </w:rPr>
        <w:t>Second</w:t>
      </w:r>
      <w:r>
        <w:t xml:space="preserve"> </w:t>
      </w:r>
      <w:r w:rsidRPr="006453BA">
        <w:rPr>
          <w:rFonts w:eastAsiaTheme="majorEastAsia" w:cstheme="majorBidi"/>
          <w:b/>
          <w:bCs/>
          <w:spacing w:val="-10"/>
          <w:kern w:val="28"/>
          <w:sz w:val="32"/>
          <w:szCs w:val="32"/>
        </w:rPr>
        <w:t>Marke</w:t>
      </w:r>
      <w:r>
        <w:rPr>
          <w:rFonts w:eastAsiaTheme="majorEastAsia" w:cstheme="majorBidi"/>
          <w:b/>
          <w:bCs/>
          <w:spacing w:val="-10"/>
          <w:kern w:val="28"/>
          <w:sz w:val="32"/>
          <w:szCs w:val="32"/>
        </w:rPr>
        <w:t xml:space="preserve">r: </w:t>
      </w:r>
      <w:r w:rsidR="001F1265">
        <w:rPr>
          <w:rFonts w:eastAsiaTheme="majorEastAsia" w:cstheme="majorBidi"/>
          <w:b/>
          <w:bCs/>
          <w:spacing w:val="-10"/>
          <w:kern w:val="28"/>
          <w:sz w:val="32"/>
          <w:szCs w:val="32"/>
        </w:rPr>
        <w:t>Dr Gary Jones</w:t>
      </w:r>
    </w:p>
    <w:p w14:paraId="430BEB42" w14:textId="77777777" w:rsidR="006453BA" w:rsidRDefault="006453BA" w:rsidP="006453BA">
      <w:pPr>
        <w:jc w:val="center"/>
        <w:rPr>
          <w:rFonts w:eastAsiaTheme="majorEastAsia" w:cstheme="majorBidi"/>
          <w:b/>
          <w:bCs/>
          <w:spacing w:val="-10"/>
          <w:kern w:val="28"/>
          <w:sz w:val="32"/>
          <w:szCs w:val="32"/>
        </w:rPr>
      </w:pPr>
    </w:p>
    <w:p w14:paraId="66992155" w14:textId="77777777" w:rsidR="006453BA" w:rsidRPr="006453BA" w:rsidRDefault="006453BA" w:rsidP="006453BA">
      <w:pPr>
        <w:jc w:val="center"/>
        <w:rPr>
          <w:rFonts w:eastAsiaTheme="majorEastAsia" w:cstheme="majorBidi"/>
          <w:b/>
          <w:bCs/>
          <w:spacing w:val="-10"/>
          <w:kern w:val="28"/>
          <w:sz w:val="32"/>
          <w:szCs w:val="32"/>
        </w:rPr>
      </w:pPr>
      <w:r w:rsidRPr="006453BA">
        <w:rPr>
          <w:rFonts w:eastAsiaTheme="majorEastAsia" w:cstheme="majorBidi"/>
          <w:b/>
          <w:bCs/>
          <w:spacing w:val="-10"/>
          <w:kern w:val="28"/>
          <w:sz w:val="32"/>
          <w:szCs w:val="32"/>
        </w:rPr>
        <w:t xml:space="preserve">Project submitted as part of the requirements for the award of </w:t>
      </w:r>
    </w:p>
    <w:p w14:paraId="000409D3" w14:textId="77777777" w:rsidR="006453BA" w:rsidRPr="006453BA" w:rsidRDefault="006453BA" w:rsidP="006453BA">
      <w:pPr>
        <w:jc w:val="center"/>
        <w:rPr>
          <w:rFonts w:eastAsiaTheme="majorEastAsia" w:cstheme="majorBidi"/>
          <w:b/>
          <w:bCs/>
          <w:spacing w:val="-10"/>
          <w:kern w:val="28"/>
          <w:sz w:val="32"/>
          <w:szCs w:val="32"/>
        </w:rPr>
      </w:pPr>
      <w:r w:rsidRPr="006453BA">
        <w:rPr>
          <w:rFonts w:eastAsiaTheme="majorEastAsia" w:cstheme="majorBidi"/>
          <w:b/>
          <w:bCs/>
          <w:spacing w:val="-10"/>
          <w:kern w:val="28"/>
          <w:sz w:val="32"/>
          <w:szCs w:val="32"/>
        </w:rPr>
        <w:t>BEng (Hons) Electrical and Electronics Engineering</w:t>
      </w:r>
    </w:p>
    <w:p w14:paraId="360C359A" w14:textId="0B89DDBA" w:rsidR="006453BA" w:rsidRDefault="006453BA" w:rsidP="006453BA">
      <w:pPr>
        <w:jc w:val="center"/>
      </w:pPr>
      <w:r>
        <w:t xml:space="preserve"> </w:t>
      </w:r>
    </w:p>
    <w:p w14:paraId="133085A0" w14:textId="77777777" w:rsidR="006453BA" w:rsidRPr="006453BA" w:rsidRDefault="006453BA" w:rsidP="006453BA">
      <w:pPr>
        <w:jc w:val="center"/>
      </w:pPr>
    </w:p>
    <w:p w14:paraId="5876A49F" w14:textId="77777777" w:rsidR="00353637" w:rsidRDefault="00353637" w:rsidP="00353637"/>
    <w:p w14:paraId="5A9644D2" w14:textId="77777777" w:rsidR="00353637" w:rsidRDefault="00353637" w:rsidP="00353637"/>
    <w:p w14:paraId="40DDE1AA" w14:textId="25F54D1C" w:rsidR="00353637" w:rsidRDefault="00353637" w:rsidP="006453BA">
      <w:pPr>
        <w:spacing w:after="160"/>
        <w:jc w:val="left"/>
      </w:pPr>
      <w:r>
        <w:br w:type="page"/>
      </w:r>
    </w:p>
    <w:sdt>
      <w:sdtPr>
        <w:rPr>
          <w:rFonts w:eastAsiaTheme="minorHAnsi" w:cstheme="minorBidi"/>
          <w:b w:val="0"/>
          <w:bCs w:val="0"/>
          <w:caps w:val="0"/>
          <w:sz w:val="24"/>
          <w:szCs w:val="24"/>
        </w:rPr>
        <w:id w:val="-1666771771"/>
        <w:docPartObj>
          <w:docPartGallery w:val="Table of Contents"/>
          <w:docPartUnique/>
        </w:docPartObj>
      </w:sdtPr>
      <w:sdtEndPr>
        <w:rPr>
          <w:noProof/>
        </w:rPr>
      </w:sdtEndPr>
      <w:sdtContent>
        <w:p w14:paraId="2E4FC5BD" w14:textId="538271C9" w:rsidR="00353637" w:rsidRDefault="00353637">
          <w:pPr>
            <w:pStyle w:val="TOCHeading"/>
          </w:pPr>
          <w:r>
            <w:t>Table of Contents</w:t>
          </w:r>
        </w:p>
        <w:p w14:paraId="7BDFE158" w14:textId="77777777" w:rsidR="00B628AC" w:rsidRPr="00B628AC" w:rsidRDefault="00B628AC" w:rsidP="00B628AC"/>
        <w:p w14:paraId="739FD2EF" w14:textId="348AB275" w:rsidR="00902B89" w:rsidRDefault="00353637">
          <w:pPr>
            <w:pStyle w:val="TOC1"/>
            <w:tabs>
              <w:tab w:val="right" w:leader="dot" w:pos="9016"/>
            </w:tabs>
            <w:rPr>
              <w:rFonts w:asciiTheme="minorHAnsi" w:eastAsiaTheme="minorEastAsia" w:hAnsiTheme="minorHAnsi"/>
              <w:noProof/>
              <w:sz w:val="22"/>
              <w:szCs w:val="22"/>
              <w:lang w:eastAsia="en-GB"/>
            </w:rPr>
          </w:pPr>
          <w:r>
            <w:fldChar w:fldCharType="begin"/>
          </w:r>
          <w:r>
            <w:instrText>TOC \o "1-3" \h \z \u</w:instrText>
          </w:r>
          <w:r>
            <w:fldChar w:fldCharType="separate"/>
          </w:r>
          <w:hyperlink w:anchor="_Toc133335231" w:history="1">
            <w:r w:rsidR="00902B89" w:rsidRPr="00C20D82">
              <w:rPr>
                <w:rStyle w:val="Hyperlink"/>
                <w:noProof/>
              </w:rPr>
              <w:t>Table of Figures</w:t>
            </w:r>
            <w:r w:rsidR="00902B89">
              <w:rPr>
                <w:noProof/>
                <w:webHidden/>
              </w:rPr>
              <w:tab/>
            </w:r>
            <w:r w:rsidR="00902B89">
              <w:rPr>
                <w:noProof/>
                <w:webHidden/>
              </w:rPr>
              <w:fldChar w:fldCharType="begin"/>
            </w:r>
            <w:r w:rsidR="00902B89">
              <w:rPr>
                <w:noProof/>
                <w:webHidden/>
              </w:rPr>
              <w:instrText xml:space="preserve"> PAGEREF _Toc133335231 \h </w:instrText>
            </w:r>
            <w:r w:rsidR="00902B89">
              <w:rPr>
                <w:noProof/>
                <w:webHidden/>
              </w:rPr>
            </w:r>
            <w:r w:rsidR="00902B89">
              <w:rPr>
                <w:noProof/>
                <w:webHidden/>
              </w:rPr>
              <w:fldChar w:fldCharType="separate"/>
            </w:r>
            <w:r w:rsidR="00657099">
              <w:rPr>
                <w:noProof/>
                <w:webHidden/>
              </w:rPr>
              <w:t>3</w:t>
            </w:r>
            <w:r w:rsidR="00902B89">
              <w:rPr>
                <w:noProof/>
                <w:webHidden/>
              </w:rPr>
              <w:fldChar w:fldCharType="end"/>
            </w:r>
          </w:hyperlink>
        </w:p>
        <w:p w14:paraId="556C1B66" w14:textId="486D68F5"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32" w:history="1">
            <w:r w:rsidR="00902B89" w:rsidRPr="00C20D82">
              <w:rPr>
                <w:rStyle w:val="Hyperlink"/>
                <w:noProof/>
              </w:rPr>
              <w:t>Abstract</w:t>
            </w:r>
            <w:r w:rsidR="00902B89">
              <w:rPr>
                <w:noProof/>
                <w:webHidden/>
              </w:rPr>
              <w:tab/>
            </w:r>
            <w:r w:rsidR="00902B89">
              <w:rPr>
                <w:noProof/>
                <w:webHidden/>
              </w:rPr>
              <w:fldChar w:fldCharType="begin"/>
            </w:r>
            <w:r w:rsidR="00902B89">
              <w:rPr>
                <w:noProof/>
                <w:webHidden/>
              </w:rPr>
              <w:instrText xml:space="preserve"> PAGEREF _Toc133335232 \h </w:instrText>
            </w:r>
            <w:r w:rsidR="00902B89">
              <w:rPr>
                <w:noProof/>
                <w:webHidden/>
              </w:rPr>
            </w:r>
            <w:r w:rsidR="00902B89">
              <w:rPr>
                <w:noProof/>
                <w:webHidden/>
              </w:rPr>
              <w:fldChar w:fldCharType="separate"/>
            </w:r>
            <w:r w:rsidR="00657099">
              <w:rPr>
                <w:noProof/>
                <w:webHidden/>
              </w:rPr>
              <w:t>4</w:t>
            </w:r>
            <w:r w:rsidR="00902B89">
              <w:rPr>
                <w:noProof/>
                <w:webHidden/>
              </w:rPr>
              <w:fldChar w:fldCharType="end"/>
            </w:r>
          </w:hyperlink>
        </w:p>
        <w:p w14:paraId="2F640C92" w14:textId="14FAB419"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33" w:history="1">
            <w:r w:rsidR="00902B89" w:rsidRPr="00C20D82">
              <w:rPr>
                <w:rStyle w:val="Hyperlink"/>
                <w:noProof/>
              </w:rPr>
              <w:t>Introduction</w:t>
            </w:r>
            <w:r w:rsidR="00902B89">
              <w:rPr>
                <w:noProof/>
                <w:webHidden/>
              </w:rPr>
              <w:tab/>
            </w:r>
            <w:r w:rsidR="00902B89">
              <w:rPr>
                <w:noProof/>
                <w:webHidden/>
              </w:rPr>
              <w:fldChar w:fldCharType="begin"/>
            </w:r>
            <w:r w:rsidR="00902B89">
              <w:rPr>
                <w:noProof/>
                <w:webHidden/>
              </w:rPr>
              <w:instrText xml:space="preserve"> PAGEREF _Toc133335233 \h </w:instrText>
            </w:r>
            <w:r w:rsidR="00902B89">
              <w:rPr>
                <w:noProof/>
                <w:webHidden/>
              </w:rPr>
            </w:r>
            <w:r w:rsidR="00902B89">
              <w:rPr>
                <w:noProof/>
                <w:webHidden/>
              </w:rPr>
              <w:fldChar w:fldCharType="separate"/>
            </w:r>
            <w:r w:rsidR="00657099">
              <w:rPr>
                <w:noProof/>
                <w:webHidden/>
              </w:rPr>
              <w:t>4</w:t>
            </w:r>
            <w:r w:rsidR="00902B89">
              <w:rPr>
                <w:noProof/>
                <w:webHidden/>
              </w:rPr>
              <w:fldChar w:fldCharType="end"/>
            </w:r>
          </w:hyperlink>
        </w:p>
        <w:p w14:paraId="2C4301D3" w14:textId="3EB44740"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34" w:history="1">
            <w:r w:rsidR="00902B89" w:rsidRPr="00C20D82">
              <w:rPr>
                <w:rStyle w:val="Hyperlink"/>
                <w:noProof/>
              </w:rPr>
              <w:t>Aims and Objectives</w:t>
            </w:r>
            <w:r w:rsidR="00902B89">
              <w:rPr>
                <w:noProof/>
                <w:webHidden/>
              </w:rPr>
              <w:tab/>
            </w:r>
            <w:r w:rsidR="00902B89">
              <w:rPr>
                <w:noProof/>
                <w:webHidden/>
              </w:rPr>
              <w:fldChar w:fldCharType="begin"/>
            </w:r>
            <w:r w:rsidR="00902B89">
              <w:rPr>
                <w:noProof/>
                <w:webHidden/>
              </w:rPr>
              <w:instrText xml:space="preserve"> PAGEREF _Toc133335234 \h </w:instrText>
            </w:r>
            <w:r w:rsidR="00902B89">
              <w:rPr>
                <w:noProof/>
                <w:webHidden/>
              </w:rPr>
            </w:r>
            <w:r w:rsidR="00902B89">
              <w:rPr>
                <w:noProof/>
                <w:webHidden/>
              </w:rPr>
              <w:fldChar w:fldCharType="separate"/>
            </w:r>
            <w:r w:rsidR="00657099">
              <w:rPr>
                <w:noProof/>
                <w:webHidden/>
              </w:rPr>
              <w:t>4</w:t>
            </w:r>
            <w:r w:rsidR="00902B89">
              <w:rPr>
                <w:noProof/>
                <w:webHidden/>
              </w:rPr>
              <w:fldChar w:fldCharType="end"/>
            </w:r>
          </w:hyperlink>
        </w:p>
        <w:p w14:paraId="21A9CBC1" w14:textId="108A3758"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35" w:history="1">
            <w:r w:rsidR="00902B89" w:rsidRPr="00C20D82">
              <w:rPr>
                <w:rStyle w:val="Hyperlink"/>
                <w:rFonts w:eastAsia="Times New Roman"/>
                <w:noProof/>
              </w:rPr>
              <w:t>Literature Review</w:t>
            </w:r>
            <w:r w:rsidR="00902B89">
              <w:rPr>
                <w:noProof/>
                <w:webHidden/>
              </w:rPr>
              <w:tab/>
            </w:r>
            <w:r w:rsidR="00902B89">
              <w:rPr>
                <w:noProof/>
                <w:webHidden/>
              </w:rPr>
              <w:fldChar w:fldCharType="begin"/>
            </w:r>
            <w:r w:rsidR="00902B89">
              <w:rPr>
                <w:noProof/>
                <w:webHidden/>
              </w:rPr>
              <w:instrText xml:space="preserve"> PAGEREF _Toc133335235 \h </w:instrText>
            </w:r>
            <w:r w:rsidR="00902B89">
              <w:rPr>
                <w:noProof/>
                <w:webHidden/>
              </w:rPr>
            </w:r>
            <w:r w:rsidR="00902B89">
              <w:rPr>
                <w:noProof/>
                <w:webHidden/>
              </w:rPr>
              <w:fldChar w:fldCharType="separate"/>
            </w:r>
            <w:r w:rsidR="00657099">
              <w:rPr>
                <w:noProof/>
                <w:webHidden/>
              </w:rPr>
              <w:t>5</w:t>
            </w:r>
            <w:r w:rsidR="00902B89">
              <w:rPr>
                <w:noProof/>
                <w:webHidden/>
              </w:rPr>
              <w:fldChar w:fldCharType="end"/>
            </w:r>
          </w:hyperlink>
        </w:p>
        <w:p w14:paraId="09FA6543" w14:textId="5F0C2268"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36" w:history="1">
            <w:r w:rsidR="00902B89" w:rsidRPr="00C20D82">
              <w:rPr>
                <w:rStyle w:val="Hyperlink"/>
                <w:rFonts w:eastAsia="Times New Roman"/>
                <w:noProof/>
              </w:rPr>
              <w:t>Literature on Pollution</w:t>
            </w:r>
            <w:r w:rsidR="00902B89">
              <w:rPr>
                <w:noProof/>
                <w:webHidden/>
              </w:rPr>
              <w:tab/>
            </w:r>
            <w:r w:rsidR="00902B89">
              <w:rPr>
                <w:noProof/>
                <w:webHidden/>
              </w:rPr>
              <w:fldChar w:fldCharType="begin"/>
            </w:r>
            <w:r w:rsidR="00902B89">
              <w:rPr>
                <w:noProof/>
                <w:webHidden/>
              </w:rPr>
              <w:instrText xml:space="preserve"> PAGEREF _Toc133335236 \h </w:instrText>
            </w:r>
            <w:r w:rsidR="00902B89">
              <w:rPr>
                <w:noProof/>
                <w:webHidden/>
              </w:rPr>
            </w:r>
            <w:r w:rsidR="00902B89">
              <w:rPr>
                <w:noProof/>
                <w:webHidden/>
              </w:rPr>
              <w:fldChar w:fldCharType="separate"/>
            </w:r>
            <w:r w:rsidR="00657099">
              <w:rPr>
                <w:noProof/>
                <w:webHidden/>
              </w:rPr>
              <w:t>5</w:t>
            </w:r>
            <w:r w:rsidR="00902B89">
              <w:rPr>
                <w:noProof/>
                <w:webHidden/>
              </w:rPr>
              <w:fldChar w:fldCharType="end"/>
            </w:r>
          </w:hyperlink>
        </w:p>
        <w:p w14:paraId="660B6D04" w14:textId="23AD06BE"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37" w:history="1">
            <w:r w:rsidR="00902B89" w:rsidRPr="00C20D82">
              <w:rPr>
                <w:rStyle w:val="Hyperlink"/>
                <w:rFonts w:eastAsia="Times New Roman"/>
                <w:noProof/>
              </w:rPr>
              <w:t>Literature on Low-Cost Pollution Sensors</w:t>
            </w:r>
            <w:r w:rsidR="00902B89">
              <w:rPr>
                <w:noProof/>
                <w:webHidden/>
              </w:rPr>
              <w:tab/>
            </w:r>
            <w:r w:rsidR="00902B89">
              <w:rPr>
                <w:noProof/>
                <w:webHidden/>
              </w:rPr>
              <w:fldChar w:fldCharType="begin"/>
            </w:r>
            <w:r w:rsidR="00902B89">
              <w:rPr>
                <w:noProof/>
                <w:webHidden/>
              </w:rPr>
              <w:instrText xml:space="preserve"> PAGEREF _Toc133335237 \h </w:instrText>
            </w:r>
            <w:r w:rsidR="00902B89">
              <w:rPr>
                <w:noProof/>
                <w:webHidden/>
              </w:rPr>
            </w:r>
            <w:r w:rsidR="00902B89">
              <w:rPr>
                <w:noProof/>
                <w:webHidden/>
              </w:rPr>
              <w:fldChar w:fldCharType="separate"/>
            </w:r>
            <w:r w:rsidR="00657099">
              <w:rPr>
                <w:noProof/>
                <w:webHidden/>
              </w:rPr>
              <w:t>7</w:t>
            </w:r>
            <w:r w:rsidR="00902B89">
              <w:rPr>
                <w:noProof/>
                <w:webHidden/>
              </w:rPr>
              <w:fldChar w:fldCharType="end"/>
            </w:r>
          </w:hyperlink>
        </w:p>
        <w:p w14:paraId="5F621CB3" w14:textId="51DE9B69"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38" w:history="1">
            <w:r w:rsidR="00902B89" w:rsidRPr="00C20D82">
              <w:rPr>
                <w:rStyle w:val="Hyperlink"/>
                <w:noProof/>
              </w:rPr>
              <w:t>Current Market</w:t>
            </w:r>
            <w:r w:rsidR="00902B89">
              <w:rPr>
                <w:noProof/>
                <w:webHidden/>
              </w:rPr>
              <w:tab/>
            </w:r>
            <w:r w:rsidR="00902B89">
              <w:rPr>
                <w:noProof/>
                <w:webHidden/>
              </w:rPr>
              <w:fldChar w:fldCharType="begin"/>
            </w:r>
            <w:r w:rsidR="00902B89">
              <w:rPr>
                <w:noProof/>
                <w:webHidden/>
              </w:rPr>
              <w:instrText xml:space="preserve"> PAGEREF _Toc133335238 \h </w:instrText>
            </w:r>
            <w:r w:rsidR="00902B89">
              <w:rPr>
                <w:noProof/>
                <w:webHidden/>
              </w:rPr>
            </w:r>
            <w:r w:rsidR="00902B89">
              <w:rPr>
                <w:noProof/>
                <w:webHidden/>
              </w:rPr>
              <w:fldChar w:fldCharType="separate"/>
            </w:r>
            <w:r w:rsidR="00657099">
              <w:rPr>
                <w:noProof/>
                <w:webHidden/>
              </w:rPr>
              <w:t>8</w:t>
            </w:r>
            <w:r w:rsidR="00902B89">
              <w:rPr>
                <w:noProof/>
                <w:webHidden/>
              </w:rPr>
              <w:fldChar w:fldCharType="end"/>
            </w:r>
          </w:hyperlink>
        </w:p>
        <w:p w14:paraId="51F3EE98" w14:textId="786223C9"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39" w:history="1">
            <w:r w:rsidR="00902B89" w:rsidRPr="00C20D82">
              <w:rPr>
                <w:rStyle w:val="Hyperlink"/>
                <w:noProof/>
              </w:rPr>
              <w:t>Methodology</w:t>
            </w:r>
            <w:r w:rsidR="00902B89">
              <w:rPr>
                <w:noProof/>
                <w:webHidden/>
              </w:rPr>
              <w:tab/>
            </w:r>
            <w:r w:rsidR="00902B89">
              <w:rPr>
                <w:noProof/>
                <w:webHidden/>
              </w:rPr>
              <w:fldChar w:fldCharType="begin"/>
            </w:r>
            <w:r w:rsidR="00902B89">
              <w:rPr>
                <w:noProof/>
                <w:webHidden/>
              </w:rPr>
              <w:instrText xml:space="preserve"> PAGEREF _Toc133335239 \h </w:instrText>
            </w:r>
            <w:r w:rsidR="00902B89">
              <w:rPr>
                <w:noProof/>
                <w:webHidden/>
              </w:rPr>
            </w:r>
            <w:r w:rsidR="00902B89">
              <w:rPr>
                <w:noProof/>
                <w:webHidden/>
              </w:rPr>
              <w:fldChar w:fldCharType="separate"/>
            </w:r>
            <w:r w:rsidR="00657099">
              <w:rPr>
                <w:noProof/>
                <w:webHidden/>
              </w:rPr>
              <w:t>9</w:t>
            </w:r>
            <w:r w:rsidR="00902B89">
              <w:rPr>
                <w:noProof/>
                <w:webHidden/>
              </w:rPr>
              <w:fldChar w:fldCharType="end"/>
            </w:r>
          </w:hyperlink>
        </w:p>
        <w:p w14:paraId="161528D2" w14:textId="733BBD1C"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40" w:history="1">
            <w:r w:rsidR="00902B89" w:rsidRPr="00C20D82">
              <w:rPr>
                <w:rStyle w:val="Hyperlink"/>
                <w:noProof/>
              </w:rPr>
              <w:t>My Design</w:t>
            </w:r>
            <w:r w:rsidR="00902B89">
              <w:rPr>
                <w:noProof/>
                <w:webHidden/>
              </w:rPr>
              <w:tab/>
            </w:r>
            <w:r w:rsidR="00902B89">
              <w:rPr>
                <w:noProof/>
                <w:webHidden/>
              </w:rPr>
              <w:fldChar w:fldCharType="begin"/>
            </w:r>
            <w:r w:rsidR="00902B89">
              <w:rPr>
                <w:noProof/>
                <w:webHidden/>
              </w:rPr>
              <w:instrText xml:space="preserve"> PAGEREF _Toc133335240 \h </w:instrText>
            </w:r>
            <w:r w:rsidR="00902B89">
              <w:rPr>
                <w:noProof/>
                <w:webHidden/>
              </w:rPr>
            </w:r>
            <w:r w:rsidR="00902B89">
              <w:rPr>
                <w:noProof/>
                <w:webHidden/>
              </w:rPr>
              <w:fldChar w:fldCharType="separate"/>
            </w:r>
            <w:r w:rsidR="00657099">
              <w:rPr>
                <w:noProof/>
                <w:webHidden/>
              </w:rPr>
              <w:t>10</w:t>
            </w:r>
            <w:r w:rsidR="00902B89">
              <w:rPr>
                <w:noProof/>
                <w:webHidden/>
              </w:rPr>
              <w:fldChar w:fldCharType="end"/>
            </w:r>
          </w:hyperlink>
        </w:p>
        <w:p w14:paraId="44CBAD79" w14:textId="14FA666A"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41" w:history="1">
            <w:r w:rsidR="00902B89" w:rsidRPr="00C20D82">
              <w:rPr>
                <w:rStyle w:val="Hyperlink"/>
                <w:noProof/>
              </w:rPr>
              <w:t>My Features</w:t>
            </w:r>
            <w:r w:rsidR="00902B89">
              <w:rPr>
                <w:noProof/>
                <w:webHidden/>
              </w:rPr>
              <w:tab/>
            </w:r>
            <w:r w:rsidR="00902B89">
              <w:rPr>
                <w:noProof/>
                <w:webHidden/>
              </w:rPr>
              <w:fldChar w:fldCharType="begin"/>
            </w:r>
            <w:r w:rsidR="00902B89">
              <w:rPr>
                <w:noProof/>
                <w:webHidden/>
              </w:rPr>
              <w:instrText xml:space="preserve"> PAGEREF _Toc133335241 \h </w:instrText>
            </w:r>
            <w:r w:rsidR="00902B89">
              <w:rPr>
                <w:noProof/>
                <w:webHidden/>
              </w:rPr>
            </w:r>
            <w:r w:rsidR="00902B89">
              <w:rPr>
                <w:noProof/>
                <w:webHidden/>
              </w:rPr>
              <w:fldChar w:fldCharType="separate"/>
            </w:r>
            <w:r w:rsidR="00657099">
              <w:rPr>
                <w:noProof/>
                <w:webHidden/>
              </w:rPr>
              <w:t>10</w:t>
            </w:r>
            <w:r w:rsidR="00902B89">
              <w:rPr>
                <w:noProof/>
                <w:webHidden/>
              </w:rPr>
              <w:fldChar w:fldCharType="end"/>
            </w:r>
          </w:hyperlink>
        </w:p>
        <w:p w14:paraId="54CAC2BD" w14:textId="2618C400"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42" w:history="1">
            <w:r w:rsidR="00902B89" w:rsidRPr="00C20D82">
              <w:rPr>
                <w:rStyle w:val="Hyperlink"/>
                <w:noProof/>
              </w:rPr>
              <w:t>The Sensors</w:t>
            </w:r>
            <w:r w:rsidR="00902B89">
              <w:rPr>
                <w:noProof/>
                <w:webHidden/>
              </w:rPr>
              <w:tab/>
            </w:r>
            <w:r w:rsidR="00902B89">
              <w:rPr>
                <w:noProof/>
                <w:webHidden/>
              </w:rPr>
              <w:fldChar w:fldCharType="begin"/>
            </w:r>
            <w:r w:rsidR="00902B89">
              <w:rPr>
                <w:noProof/>
                <w:webHidden/>
              </w:rPr>
              <w:instrText xml:space="preserve"> PAGEREF _Toc133335242 \h </w:instrText>
            </w:r>
            <w:r w:rsidR="00902B89">
              <w:rPr>
                <w:noProof/>
                <w:webHidden/>
              </w:rPr>
            </w:r>
            <w:r w:rsidR="00902B89">
              <w:rPr>
                <w:noProof/>
                <w:webHidden/>
              </w:rPr>
              <w:fldChar w:fldCharType="separate"/>
            </w:r>
            <w:r w:rsidR="00657099">
              <w:rPr>
                <w:noProof/>
                <w:webHidden/>
              </w:rPr>
              <w:t>10</w:t>
            </w:r>
            <w:r w:rsidR="00902B89">
              <w:rPr>
                <w:noProof/>
                <w:webHidden/>
              </w:rPr>
              <w:fldChar w:fldCharType="end"/>
            </w:r>
          </w:hyperlink>
        </w:p>
        <w:p w14:paraId="019DA6F4" w14:textId="42C9BE95"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43" w:history="1">
            <w:r w:rsidR="00902B89" w:rsidRPr="00C20D82">
              <w:rPr>
                <w:rStyle w:val="Hyperlink"/>
                <w:noProof/>
              </w:rPr>
              <w:t>The Technology</w:t>
            </w:r>
            <w:r w:rsidR="00902B89">
              <w:rPr>
                <w:noProof/>
                <w:webHidden/>
              </w:rPr>
              <w:tab/>
            </w:r>
            <w:r w:rsidR="00902B89">
              <w:rPr>
                <w:noProof/>
                <w:webHidden/>
              </w:rPr>
              <w:fldChar w:fldCharType="begin"/>
            </w:r>
            <w:r w:rsidR="00902B89">
              <w:rPr>
                <w:noProof/>
                <w:webHidden/>
              </w:rPr>
              <w:instrText xml:space="preserve"> PAGEREF _Toc133335243 \h </w:instrText>
            </w:r>
            <w:r w:rsidR="00902B89">
              <w:rPr>
                <w:noProof/>
                <w:webHidden/>
              </w:rPr>
            </w:r>
            <w:r w:rsidR="00902B89">
              <w:rPr>
                <w:noProof/>
                <w:webHidden/>
              </w:rPr>
              <w:fldChar w:fldCharType="separate"/>
            </w:r>
            <w:r w:rsidR="00657099">
              <w:rPr>
                <w:noProof/>
                <w:webHidden/>
              </w:rPr>
              <w:t>11</w:t>
            </w:r>
            <w:r w:rsidR="00902B89">
              <w:rPr>
                <w:noProof/>
                <w:webHidden/>
              </w:rPr>
              <w:fldChar w:fldCharType="end"/>
            </w:r>
          </w:hyperlink>
        </w:p>
        <w:p w14:paraId="181A8D66" w14:textId="53CF1D34"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44" w:history="1">
            <w:r w:rsidR="00902B89" w:rsidRPr="00C20D82">
              <w:rPr>
                <w:rStyle w:val="Hyperlink"/>
                <w:noProof/>
              </w:rPr>
              <w:t>The Hardware</w:t>
            </w:r>
            <w:r w:rsidR="00902B89">
              <w:rPr>
                <w:noProof/>
                <w:webHidden/>
              </w:rPr>
              <w:tab/>
            </w:r>
            <w:r w:rsidR="00902B89">
              <w:rPr>
                <w:noProof/>
                <w:webHidden/>
              </w:rPr>
              <w:fldChar w:fldCharType="begin"/>
            </w:r>
            <w:r w:rsidR="00902B89">
              <w:rPr>
                <w:noProof/>
                <w:webHidden/>
              </w:rPr>
              <w:instrText xml:space="preserve"> PAGEREF _Toc133335244 \h </w:instrText>
            </w:r>
            <w:r w:rsidR="00902B89">
              <w:rPr>
                <w:noProof/>
                <w:webHidden/>
              </w:rPr>
            </w:r>
            <w:r w:rsidR="00902B89">
              <w:rPr>
                <w:noProof/>
                <w:webHidden/>
              </w:rPr>
              <w:fldChar w:fldCharType="separate"/>
            </w:r>
            <w:r w:rsidR="00657099">
              <w:rPr>
                <w:noProof/>
                <w:webHidden/>
              </w:rPr>
              <w:t>13</w:t>
            </w:r>
            <w:r w:rsidR="00902B89">
              <w:rPr>
                <w:noProof/>
                <w:webHidden/>
              </w:rPr>
              <w:fldChar w:fldCharType="end"/>
            </w:r>
          </w:hyperlink>
        </w:p>
        <w:p w14:paraId="4DAF42B8" w14:textId="5D267829" w:rsidR="00902B89" w:rsidRDefault="00000000">
          <w:pPr>
            <w:pStyle w:val="TOC2"/>
            <w:tabs>
              <w:tab w:val="right" w:leader="dot" w:pos="9016"/>
            </w:tabs>
            <w:rPr>
              <w:rFonts w:asciiTheme="minorHAnsi" w:eastAsiaTheme="minorEastAsia" w:hAnsiTheme="minorHAnsi"/>
              <w:noProof/>
              <w:sz w:val="22"/>
              <w:szCs w:val="22"/>
              <w:lang w:eastAsia="en-GB"/>
            </w:rPr>
          </w:pPr>
          <w:hyperlink w:anchor="_Toc133335245" w:history="1">
            <w:r w:rsidR="00902B89" w:rsidRPr="00C20D82">
              <w:rPr>
                <w:rStyle w:val="Hyperlink"/>
                <w:noProof/>
              </w:rPr>
              <w:t>The Software</w:t>
            </w:r>
            <w:r w:rsidR="00902B89">
              <w:rPr>
                <w:noProof/>
                <w:webHidden/>
              </w:rPr>
              <w:tab/>
            </w:r>
            <w:r w:rsidR="00902B89">
              <w:rPr>
                <w:noProof/>
                <w:webHidden/>
              </w:rPr>
              <w:fldChar w:fldCharType="begin"/>
            </w:r>
            <w:r w:rsidR="00902B89">
              <w:rPr>
                <w:noProof/>
                <w:webHidden/>
              </w:rPr>
              <w:instrText xml:space="preserve"> PAGEREF _Toc133335245 \h </w:instrText>
            </w:r>
            <w:r w:rsidR="00902B89">
              <w:rPr>
                <w:noProof/>
                <w:webHidden/>
              </w:rPr>
            </w:r>
            <w:r w:rsidR="00902B89">
              <w:rPr>
                <w:noProof/>
                <w:webHidden/>
              </w:rPr>
              <w:fldChar w:fldCharType="separate"/>
            </w:r>
            <w:r w:rsidR="00657099">
              <w:rPr>
                <w:noProof/>
                <w:webHidden/>
              </w:rPr>
              <w:t>14</w:t>
            </w:r>
            <w:r w:rsidR="00902B89">
              <w:rPr>
                <w:noProof/>
                <w:webHidden/>
              </w:rPr>
              <w:fldChar w:fldCharType="end"/>
            </w:r>
          </w:hyperlink>
        </w:p>
        <w:p w14:paraId="579F68D1" w14:textId="58806E93"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46" w:history="1">
            <w:r w:rsidR="00902B89" w:rsidRPr="00C20D82">
              <w:rPr>
                <w:rStyle w:val="Hyperlink"/>
                <w:noProof/>
              </w:rPr>
              <w:t>Results &amp; Discussions</w:t>
            </w:r>
            <w:r w:rsidR="00902B89">
              <w:rPr>
                <w:noProof/>
                <w:webHidden/>
              </w:rPr>
              <w:tab/>
            </w:r>
            <w:r w:rsidR="00902B89">
              <w:rPr>
                <w:noProof/>
                <w:webHidden/>
              </w:rPr>
              <w:fldChar w:fldCharType="begin"/>
            </w:r>
            <w:r w:rsidR="00902B89">
              <w:rPr>
                <w:noProof/>
                <w:webHidden/>
              </w:rPr>
              <w:instrText xml:space="preserve"> PAGEREF _Toc133335246 \h </w:instrText>
            </w:r>
            <w:r w:rsidR="00902B89">
              <w:rPr>
                <w:noProof/>
                <w:webHidden/>
              </w:rPr>
            </w:r>
            <w:r w:rsidR="00902B89">
              <w:rPr>
                <w:noProof/>
                <w:webHidden/>
              </w:rPr>
              <w:fldChar w:fldCharType="separate"/>
            </w:r>
            <w:r w:rsidR="00657099">
              <w:rPr>
                <w:noProof/>
                <w:webHidden/>
              </w:rPr>
              <w:t>19</w:t>
            </w:r>
            <w:r w:rsidR="00902B89">
              <w:rPr>
                <w:noProof/>
                <w:webHidden/>
              </w:rPr>
              <w:fldChar w:fldCharType="end"/>
            </w:r>
          </w:hyperlink>
        </w:p>
        <w:p w14:paraId="19850587" w14:textId="05D50472"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47" w:history="1">
            <w:r w:rsidR="00902B89" w:rsidRPr="00C20D82">
              <w:rPr>
                <w:rStyle w:val="Hyperlink"/>
                <w:noProof/>
              </w:rPr>
              <w:t>Conclusion</w:t>
            </w:r>
            <w:r w:rsidR="00902B89">
              <w:rPr>
                <w:noProof/>
                <w:webHidden/>
              </w:rPr>
              <w:tab/>
            </w:r>
            <w:r w:rsidR="00902B89">
              <w:rPr>
                <w:noProof/>
                <w:webHidden/>
              </w:rPr>
              <w:fldChar w:fldCharType="begin"/>
            </w:r>
            <w:r w:rsidR="00902B89">
              <w:rPr>
                <w:noProof/>
                <w:webHidden/>
              </w:rPr>
              <w:instrText xml:space="preserve"> PAGEREF _Toc133335247 \h </w:instrText>
            </w:r>
            <w:r w:rsidR="00902B89">
              <w:rPr>
                <w:noProof/>
                <w:webHidden/>
              </w:rPr>
            </w:r>
            <w:r w:rsidR="00902B89">
              <w:rPr>
                <w:noProof/>
                <w:webHidden/>
              </w:rPr>
              <w:fldChar w:fldCharType="separate"/>
            </w:r>
            <w:r w:rsidR="00657099">
              <w:rPr>
                <w:noProof/>
                <w:webHidden/>
              </w:rPr>
              <w:t>24</w:t>
            </w:r>
            <w:r w:rsidR="00902B89">
              <w:rPr>
                <w:noProof/>
                <w:webHidden/>
              </w:rPr>
              <w:fldChar w:fldCharType="end"/>
            </w:r>
          </w:hyperlink>
        </w:p>
        <w:p w14:paraId="1F31B93A" w14:textId="37434D37"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48" w:history="1">
            <w:r w:rsidR="00902B89" w:rsidRPr="00C20D82">
              <w:rPr>
                <w:rStyle w:val="Hyperlink"/>
                <w:noProof/>
              </w:rPr>
              <w:t>reflection</w:t>
            </w:r>
            <w:r w:rsidR="00902B89">
              <w:rPr>
                <w:noProof/>
                <w:webHidden/>
              </w:rPr>
              <w:tab/>
            </w:r>
            <w:r w:rsidR="00902B89">
              <w:rPr>
                <w:noProof/>
                <w:webHidden/>
              </w:rPr>
              <w:fldChar w:fldCharType="begin"/>
            </w:r>
            <w:r w:rsidR="00902B89">
              <w:rPr>
                <w:noProof/>
                <w:webHidden/>
              </w:rPr>
              <w:instrText xml:space="preserve"> PAGEREF _Toc133335248 \h </w:instrText>
            </w:r>
            <w:r w:rsidR="00902B89">
              <w:rPr>
                <w:noProof/>
                <w:webHidden/>
              </w:rPr>
            </w:r>
            <w:r w:rsidR="00902B89">
              <w:rPr>
                <w:noProof/>
                <w:webHidden/>
              </w:rPr>
              <w:fldChar w:fldCharType="separate"/>
            </w:r>
            <w:r w:rsidR="00657099">
              <w:rPr>
                <w:noProof/>
                <w:webHidden/>
              </w:rPr>
              <w:t>24</w:t>
            </w:r>
            <w:r w:rsidR="00902B89">
              <w:rPr>
                <w:noProof/>
                <w:webHidden/>
              </w:rPr>
              <w:fldChar w:fldCharType="end"/>
            </w:r>
          </w:hyperlink>
        </w:p>
        <w:p w14:paraId="519BADDA" w14:textId="160AA6D7" w:rsidR="00902B89" w:rsidRDefault="00000000">
          <w:pPr>
            <w:pStyle w:val="TOC1"/>
            <w:tabs>
              <w:tab w:val="right" w:leader="dot" w:pos="9016"/>
            </w:tabs>
            <w:rPr>
              <w:rFonts w:asciiTheme="minorHAnsi" w:eastAsiaTheme="minorEastAsia" w:hAnsiTheme="minorHAnsi"/>
              <w:noProof/>
              <w:sz w:val="22"/>
              <w:szCs w:val="22"/>
              <w:lang w:eastAsia="en-GB"/>
            </w:rPr>
          </w:pPr>
          <w:hyperlink w:anchor="_Toc133335249" w:history="1">
            <w:r w:rsidR="00902B89" w:rsidRPr="00C20D82">
              <w:rPr>
                <w:rStyle w:val="Hyperlink"/>
                <w:noProof/>
              </w:rPr>
              <w:t>References</w:t>
            </w:r>
            <w:r w:rsidR="00902B89">
              <w:rPr>
                <w:noProof/>
                <w:webHidden/>
              </w:rPr>
              <w:tab/>
            </w:r>
            <w:r w:rsidR="00902B89">
              <w:rPr>
                <w:noProof/>
                <w:webHidden/>
              </w:rPr>
              <w:fldChar w:fldCharType="begin"/>
            </w:r>
            <w:r w:rsidR="00902B89">
              <w:rPr>
                <w:noProof/>
                <w:webHidden/>
              </w:rPr>
              <w:instrText xml:space="preserve"> PAGEREF _Toc133335249 \h </w:instrText>
            </w:r>
            <w:r w:rsidR="00902B89">
              <w:rPr>
                <w:noProof/>
                <w:webHidden/>
              </w:rPr>
            </w:r>
            <w:r w:rsidR="00902B89">
              <w:rPr>
                <w:noProof/>
                <w:webHidden/>
              </w:rPr>
              <w:fldChar w:fldCharType="separate"/>
            </w:r>
            <w:r w:rsidR="00657099">
              <w:rPr>
                <w:noProof/>
                <w:webHidden/>
              </w:rPr>
              <w:t>25</w:t>
            </w:r>
            <w:r w:rsidR="00902B89">
              <w:rPr>
                <w:noProof/>
                <w:webHidden/>
              </w:rPr>
              <w:fldChar w:fldCharType="end"/>
            </w:r>
          </w:hyperlink>
        </w:p>
        <w:p w14:paraId="4561B794" w14:textId="2BC4E958" w:rsidR="00353637" w:rsidRPr="00A3348E" w:rsidRDefault="00000000" w:rsidP="00A3348E">
          <w:pPr>
            <w:pStyle w:val="TOC1"/>
            <w:tabs>
              <w:tab w:val="right" w:leader="dot" w:pos="9016"/>
            </w:tabs>
            <w:rPr>
              <w:rFonts w:asciiTheme="minorHAnsi" w:eastAsiaTheme="minorEastAsia" w:hAnsiTheme="minorHAnsi"/>
              <w:noProof/>
              <w:sz w:val="22"/>
              <w:szCs w:val="22"/>
              <w:lang w:eastAsia="en-GB"/>
            </w:rPr>
          </w:pPr>
          <w:hyperlink w:anchor="_Toc133335250" w:history="1">
            <w:r w:rsidR="00902B89" w:rsidRPr="00C20D82">
              <w:rPr>
                <w:rStyle w:val="Hyperlink"/>
                <w:noProof/>
              </w:rPr>
              <w:t>Appendix</w:t>
            </w:r>
            <w:r w:rsidR="00902B89">
              <w:rPr>
                <w:noProof/>
                <w:webHidden/>
              </w:rPr>
              <w:tab/>
            </w:r>
            <w:r w:rsidR="00902B89">
              <w:rPr>
                <w:noProof/>
                <w:webHidden/>
              </w:rPr>
              <w:fldChar w:fldCharType="begin"/>
            </w:r>
            <w:r w:rsidR="00902B89">
              <w:rPr>
                <w:noProof/>
                <w:webHidden/>
              </w:rPr>
              <w:instrText xml:space="preserve"> PAGEREF _Toc133335250 \h </w:instrText>
            </w:r>
            <w:r w:rsidR="00902B89">
              <w:rPr>
                <w:noProof/>
                <w:webHidden/>
              </w:rPr>
            </w:r>
            <w:r w:rsidR="00902B89">
              <w:rPr>
                <w:noProof/>
                <w:webHidden/>
              </w:rPr>
              <w:fldChar w:fldCharType="separate"/>
            </w:r>
            <w:r w:rsidR="00657099">
              <w:rPr>
                <w:noProof/>
                <w:webHidden/>
              </w:rPr>
              <w:t>27</w:t>
            </w:r>
            <w:r w:rsidR="00902B89">
              <w:rPr>
                <w:noProof/>
                <w:webHidden/>
              </w:rPr>
              <w:fldChar w:fldCharType="end"/>
            </w:r>
          </w:hyperlink>
          <w:r w:rsidR="00353637">
            <w:fldChar w:fldCharType="end"/>
          </w:r>
        </w:p>
      </w:sdtContent>
    </w:sdt>
    <w:p w14:paraId="2306EEE9" w14:textId="390DED31" w:rsidR="003576B7" w:rsidRDefault="003576B7">
      <w:pPr>
        <w:spacing w:after="160"/>
        <w:jc w:val="left"/>
      </w:pPr>
      <w:r>
        <w:br w:type="page"/>
      </w:r>
    </w:p>
    <w:p w14:paraId="5A73F050" w14:textId="62AF019A" w:rsidR="005839BC" w:rsidRDefault="005839BC" w:rsidP="005839BC">
      <w:pPr>
        <w:pStyle w:val="Heading1"/>
      </w:pPr>
      <w:bookmarkStart w:id="1" w:name="_Toc133335231"/>
      <w:r>
        <w:lastRenderedPageBreak/>
        <w:t>Table of Figures</w:t>
      </w:r>
      <w:bookmarkEnd w:id="1"/>
    </w:p>
    <w:p w14:paraId="3CACFA1F" w14:textId="77777777" w:rsidR="005839BC" w:rsidRPr="005839BC" w:rsidRDefault="005839BC" w:rsidP="005839BC"/>
    <w:p w14:paraId="061384B5" w14:textId="207939D3" w:rsidR="003D6C0B" w:rsidRDefault="00000000">
      <w:pPr>
        <w:pStyle w:val="TableofFigures"/>
        <w:tabs>
          <w:tab w:val="right" w:leader="dot" w:pos="9016"/>
        </w:tabs>
        <w:rPr>
          <w:rFonts w:asciiTheme="minorHAnsi" w:eastAsiaTheme="minorEastAsia" w:hAnsiTheme="minorHAnsi"/>
          <w:noProof/>
          <w:sz w:val="22"/>
          <w:szCs w:val="22"/>
          <w:lang w:eastAsia="en-GB"/>
        </w:rPr>
      </w:pPr>
      <w:r>
        <w:fldChar w:fldCharType="begin"/>
      </w:r>
      <w:r>
        <w:instrText xml:space="preserve"> TOC \h \z \c "Figure" </w:instrText>
      </w:r>
      <w:r>
        <w:fldChar w:fldCharType="separate"/>
      </w:r>
      <w:hyperlink w:anchor="_Toc133342739" w:history="1">
        <w:r w:rsidR="003D6C0B" w:rsidRPr="00C8447B">
          <w:rPr>
            <w:rStyle w:val="Hyperlink"/>
            <w:noProof/>
          </w:rPr>
          <w:t xml:space="preserve">Figure 1 - UK mean concentration of PM2.5 </w:t>
        </w:r>
        <w:r w:rsidR="003D6C0B">
          <w:rPr>
            <w:noProof/>
            <w:webHidden/>
          </w:rPr>
          <w:tab/>
        </w:r>
        <w:r w:rsidR="003D6C0B">
          <w:rPr>
            <w:noProof/>
            <w:webHidden/>
          </w:rPr>
          <w:fldChar w:fldCharType="begin"/>
        </w:r>
        <w:r w:rsidR="003D6C0B">
          <w:rPr>
            <w:noProof/>
            <w:webHidden/>
          </w:rPr>
          <w:instrText xml:space="preserve"> PAGEREF _Toc133342739 \h </w:instrText>
        </w:r>
        <w:r w:rsidR="003D6C0B">
          <w:rPr>
            <w:noProof/>
            <w:webHidden/>
          </w:rPr>
        </w:r>
        <w:r w:rsidR="003D6C0B">
          <w:rPr>
            <w:noProof/>
            <w:webHidden/>
          </w:rPr>
          <w:fldChar w:fldCharType="separate"/>
        </w:r>
        <w:r w:rsidR="003D6C0B">
          <w:rPr>
            <w:noProof/>
            <w:webHidden/>
          </w:rPr>
          <w:t>6</w:t>
        </w:r>
        <w:r w:rsidR="003D6C0B">
          <w:rPr>
            <w:noProof/>
            <w:webHidden/>
          </w:rPr>
          <w:fldChar w:fldCharType="end"/>
        </w:r>
      </w:hyperlink>
    </w:p>
    <w:p w14:paraId="35D6CBA7" w14:textId="5071DAE0"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0" w:history="1">
        <w:r w:rsidRPr="00C8447B">
          <w:rPr>
            <w:rStyle w:val="Hyperlink"/>
            <w:noProof/>
          </w:rPr>
          <w:t xml:space="preserve">Figure 2 - OPC Sensor </w:t>
        </w:r>
        <w:r>
          <w:rPr>
            <w:noProof/>
            <w:webHidden/>
          </w:rPr>
          <w:tab/>
        </w:r>
        <w:r>
          <w:rPr>
            <w:noProof/>
            <w:webHidden/>
          </w:rPr>
          <w:fldChar w:fldCharType="begin"/>
        </w:r>
        <w:r>
          <w:rPr>
            <w:noProof/>
            <w:webHidden/>
          </w:rPr>
          <w:instrText xml:space="preserve"> PAGEREF _Toc133342740 \h </w:instrText>
        </w:r>
        <w:r>
          <w:rPr>
            <w:noProof/>
            <w:webHidden/>
          </w:rPr>
        </w:r>
        <w:r>
          <w:rPr>
            <w:noProof/>
            <w:webHidden/>
          </w:rPr>
          <w:fldChar w:fldCharType="separate"/>
        </w:r>
        <w:r>
          <w:rPr>
            <w:noProof/>
            <w:webHidden/>
          </w:rPr>
          <w:t>11</w:t>
        </w:r>
        <w:r>
          <w:rPr>
            <w:noProof/>
            <w:webHidden/>
          </w:rPr>
          <w:fldChar w:fldCharType="end"/>
        </w:r>
      </w:hyperlink>
    </w:p>
    <w:p w14:paraId="0C4F8C7B" w14:textId="6B6EECD2"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1" w:history="1">
        <w:r w:rsidRPr="00C8447B">
          <w:rPr>
            <w:rStyle w:val="Hyperlink"/>
            <w:noProof/>
          </w:rPr>
          <w:t>Figure 3 - MOX Sensor</w:t>
        </w:r>
        <w:r>
          <w:rPr>
            <w:noProof/>
            <w:webHidden/>
          </w:rPr>
          <w:tab/>
        </w:r>
        <w:r>
          <w:rPr>
            <w:noProof/>
            <w:webHidden/>
          </w:rPr>
          <w:fldChar w:fldCharType="begin"/>
        </w:r>
        <w:r>
          <w:rPr>
            <w:noProof/>
            <w:webHidden/>
          </w:rPr>
          <w:instrText xml:space="preserve"> PAGEREF _Toc133342741 \h </w:instrText>
        </w:r>
        <w:r>
          <w:rPr>
            <w:noProof/>
            <w:webHidden/>
          </w:rPr>
        </w:r>
        <w:r>
          <w:rPr>
            <w:noProof/>
            <w:webHidden/>
          </w:rPr>
          <w:fldChar w:fldCharType="separate"/>
        </w:r>
        <w:r>
          <w:rPr>
            <w:noProof/>
            <w:webHidden/>
          </w:rPr>
          <w:t>12</w:t>
        </w:r>
        <w:r>
          <w:rPr>
            <w:noProof/>
            <w:webHidden/>
          </w:rPr>
          <w:fldChar w:fldCharType="end"/>
        </w:r>
      </w:hyperlink>
    </w:p>
    <w:p w14:paraId="62CCF0BF" w14:textId="6EDB43AB"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2" w:history="1">
        <w:r w:rsidRPr="00C8447B">
          <w:rPr>
            <w:rStyle w:val="Hyperlink"/>
            <w:noProof/>
          </w:rPr>
          <w:t>Figure 4 - Proteus Schematic</w:t>
        </w:r>
        <w:r>
          <w:rPr>
            <w:noProof/>
            <w:webHidden/>
          </w:rPr>
          <w:tab/>
        </w:r>
        <w:r>
          <w:rPr>
            <w:noProof/>
            <w:webHidden/>
          </w:rPr>
          <w:fldChar w:fldCharType="begin"/>
        </w:r>
        <w:r>
          <w:rPr>
            <w:noProof/>
            <w:webHidden/>
          </w:rPr>
          <w:instrText xml:space="preserve"> PAGEREF _Toc133342742 \h </w:instrText>
        </w:r>
        <w:r>
          <w:rPr>
            <w:noProof/>
            <w:webHidden/>
          </w:rPr>
        </w:r>
        <w:r>
          <w:rPr>
            <w:noProof/>
            <w:webHidden/>
          </w:rPr>
          <w:fldChar w:fldCharType="separate"/>
        </w:r>
        <w:r>
          <w:rPr>
            <w:noProof/>
            <w:webHidden/>
          </w:rPr>
          <w:t>13</w:t>
        </w:r>
        <w:r>
          <w:rPr>
            <w:noProof/>
            <w:webHidden/>
          </w:rPr>
          <w:fldChar w:fldCharType="end"/>
        </w:r>
      </w:hyperlink>
    </w:p>
    <w:p w14:paraId="6B3CB3B7" w14:textId="69395F62"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3" w:history="1">
        <w:r w:rsidRPr="00C8447B">
          <w:rPr>
            <w:rStyle w:val="Hyperlink"/>
            <w:noProof/>
          </w:rPr>
          <w:t>Figure 5 - Price of prototype</w:t>
        </w:r>
        <w:r>
          <w:rPr>
            <w:noProof/>
            <w:webHidden/>
          </w:rPr>
          <w:tab/>
        </w:r>
        <w:r>
          <w:rPr>
            <w:noProof/>
            <w:webHidden/>
          </w:rPr>
          <w:fldChar w:fldCharType="begin"/>
        </w:r>
        <w:r>
          <w:rPr>
            <w:noProof/>
            <w:webHidden/>
          </w:rPr>
          <w:instrText xml:space="preserve"> PAGEREF _Toc133342743 \h </w:instrText>
        </w:r>
        <w:r>
          <w:rPr>
            <w:noProof/>
            <w:webHidden/>
          </w:rPr>
        </w:r>
        <w:r>
          <w:rPr>
            <w:noProof/>
            <w:webHidden/>
          </w:rPr>
          <w:fldChar w:fldCharType="separate"/>
        </w:r>
        <w:r>
          <w:rPr>
            <w:noProof/>
            <w:webHidden/>
          </w:rPr>
          <w:t>13</w:t>
        </w:r>
        <w:r>
          <w:rPr>
            <w:noProof/>
            <w:webHidden/>
          </w:rPr>
          <w:fldChar w:fldCharType="end"/>
        </w:r>
      </w:hyperlink>
    </w:p>
    <w:p w14:paraId="12C755A4" w14:textId="36901A70"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4" w:history="1">
        <w:r w:rsidRPr="00C8447B">
          <w:rPr>
            <w:rStyle w:val="Hyperlink"/>
            <w:noProof/>
          </w:rPr>
          <w:t>Figure 6 - Initialising flowchart</w:t>
        </w:r>
        <w:r>
          <w:rPr>
            <w:noProof/>
            <w:webHidden/>
          </w:rPr>
          <w:tab/>
        </w:r>
        <w:r>
          <w:rPr>
            <w:noProof/>
            <w:webHidden/>
          </w:rPr>
          <w:fldChar w:fldCharType="begin"/>
        </w:r>
        <w:r>
          <w:rPr>
            <w:noProof/>
            <w:webHidden/>
          </w:rPr>
          <w:instrText xml:space="preserve"> PAGEREF _Toc133342744 \h </w:instrText>
        </w:r>
        <w:r>
          <w:rPr>
            <w:noProof/>
            <w:webHidden/>
          </w:rPr>
        </w:r>
        <w:r>
          <w:rPr>
            <w:noProof/>
            <w:webHidden/>
          </w:rPr>
          <w:fldChar w:fldCharType="separate"/>
        </w:r>
        <w:r>
          <w:rPr>
            <w:noProof/>
            <w:webHidden/>
          </w:rPr>
          <w:t>14</w:t>
        </w:r>
        <w:r>
          <w:rPr>
            <w:noProof/>
            <w:webHidden/>
          </w:rPr>
          <w:fldChar w:fldCharType="end"/>
        </w:r>
      </w:hyperlink>
    </w:p>
    <w:p w14:paraId="042D2642" w14:textId="3CCAABF7"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5" w:history="1">
        <w:r w:rsidRPr="00C8447B">
          <w:rPr>
            <w:rStyle w:val="Hyperlink"/>
            <w:noProof/>
          </w:rPr>
          <w:t>Figure 7 - BME680 getting ID</w:t>
        </w:r>
        <w:r>
          <w:rPr>
            <w:noProof/>
            <w:webHidden/>
          </w:rPr>
          <w:tab/>
        </w:r>
        <w:r>
          <w:rPr>
            <w:noProof/>
            <w:webHidden/>
          </w:rPr>
          <w:fldChar w:fldCharType="begin"/>
        </w:r>
        <w:r>
          <w:rPr>
            <w:noProof/>
            <w:webHidden/>
          </w:rPr>
          <w:instrText xml:space="preserve"> PAGEREF _Toc133342745 \h </w:instrText>
        </w:r>
        <w:r>
          <w:rPr>
            <w:noProof/>
            <w:webHidden/>
          </w:rPr>
        </w:r>
        <w:r>
          <w:rPr>
            <w:noProof/>
            <w:webHidden/>
          </w:rPr>
          <w:fldChar w:fldCharType="separate"/>
        </w:r>
        <w:r>
          <w:rPr>
            <w:noProof/>
            <w:webHidden/>
          </w:rPr>
          <w:t>14</w:t>
        </w:r>
        <w:r>
          <w:rPr>
            <w:noProof/>
            <w:webHidden/>
          </w:rPr>
          <w:fldChar w:fldCharType="end"/>
        </w:r>
      </w:hyperlink>
    </w:p>
    <w:p w14:paraId="532175DC" w14:textId="18F3A0D4"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6" w:history="1">
        <w:r w:rsidRPr="00C8447B">
          <w:rPr>
            <w:rStyle w:val="Hyperlink"/>
            <w:noProof/>
          </w:rPr>
          <w:t>Figure 8 - SEN55 getting ID</w:t>
        </w:r>
        <w:r>
          <w:rPr>
            <w:noProof/>
            <w:webHidden/>
          </w:rPr>
          <w:tab/>
        </w:r>
        <w:r>
          <w:rPr>
            <w:noProof/>
            <w:webHidden/>
          </w:rPr>
          <w:fldChar w:fldCharType="begin"/>
        </w:r>
        <w:r>
          <w:rPr>
            <w:noProof/>
            <w:webHidden/>
          </w:rPr>
          <w:instrText xml:space="preserve"> PAGEREF _Toc133342746 \h </w:instrText>
        </w:r>
        <w:r>
          <w:rPr>
            <w:noProof/>
            <w:webHidden/>
          </w:rPr>
        </w:r>
        <w:r>
          <w:rPr>
            <w:noProof/>
            <w:webHidden/>
          </w:rPr>
          <w:fldChar w:fldCharType="separate"/>
        </w:r>
        <w:r>
          <w:rPr>
            <w:noProof/>
            <w:webHidden/>
          </w:rPr>
          <w:t>14</w:t>
        </w:r>
        <w:r>
          <w:rPr>
            <w:noProof/>
            <w:webHidden/>
          </w:rPr>
          <w:fldChar w:fldCharType="end"/>
        </w:r>
      </w:hyperlink>
    </w:p>
    <w:p w14:paraId="45B3687D" w14:textId="148A5152"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7" w:history="1">
        <w:r w:rsidRPr="00C8447B">
          <w:rPr>
            <w:rStyle w:val="Hyperlink"/>
            <w:noProof/>
          </w:rPr>
          <w:t>Figure 9 - BME initialisation</w:t>
        </w:r>
        <w:r>
          <w:rPr>
            <w:noProof/>
            <w:webHidden/>
          </w:rPr>
          <w:tab/>
        </w:r>
        <w:r>
          <w:rPr>
            <w:noProof/>
            <w:webHidden/>
          </w:rPr>
          <w:fldChar w:fldCharType="begin"/>
        </w:r>
        <w:r>
          <w:rPr>
            <w:noProof/>
            <w:webHidden/>
          </w:rPr>
          <w:instrText xml:space="preserve"> PAGEREF _Toc133342747 \h </w:instrText>
        </w:r>
        <w:r>
          <w:rPr>
            <w:noProof/>
            <w:webHidden/>
          </w:rPr>
        </w:r>
        <w:r>
          <w:rPr>
            <w:noProof/>
            <w:webHidden/>
          </w:rPr>
          <w:fldChar w:fldCharType="separate"/>
        </w:r>
        <w:r>
          <w:rPr>
            <w:noProof/>
            <w:webHidden/>
          </w:rPr>
          <w:t>15</w:t>
        </w:r>
        <w:r>
          <w:rPr>
            <w:noProof/>
            <w:webHidden/>
          </w:rPr>
          <w:fldChar w:fldCharType="end"/>
        </w:r>
      </w:hyperlink>
    </w:p>
    <w:p w14:paraId="0EBC6F03" w14:textId="78B1ECCA"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8" w:history="1">
        <w:r w:rsidRPr="00C8447B">
          <w:rPr>
            <w:rStyle w:val="Hyperlink"/>
            <w:noProof/>
          </w:rPr>
          <w:t>Figure 10 - Proteus log</w:t>
        </w:r>
        <w:r>
          <w:rPr>
            <w:noProof/>
            <w:webHidden/>
          </w:rPr>
          <w:tab/>
        </w:r>
        <w:r>
          <w:rPr>
            <w:noProof/>
            <w:webHidden/>
          </w:rPr>
          <w:fldChar w:fldCharType="begin"/>
        </w:r>
        <w:r>
          <w:rPr>
            <w:noProof/>
            <w:webHidden/>
          </w:rPr>
          <w:instrText xml:space="preserve"> PAGEREF _Toc133342748 \h </w:instrText>
        </w:r>
        <w:r>
          <w:rPr>
            <w:noProof/>
            <w:webHidden/>
          </w:rPr>
        </w:r>
        <w:r>
          <w:rPr>
            <w:noProof/>
            <w:webHidden/>
          </w:rPr>
          <w:fldChar w:fldCharType="separate"/>
        </w:r>
        <w:r>
          <w:rPr>
            <w:noProof/>
            <w:webHidden/>
          </w:rPr>
          <w:t>15</w:t>
        </w:r>
        <w:r>
          <w:rPr>
            <w:noProof/>
            <w:webHidden/>
          </w:rPr>
          <w:fldChar w:fldCharType="end"/>
        </w:r>
      </w:hyperlink>
    </w:p>
    <w:p w14:paraId="6DFB7345" w14:textId="1EE3A300"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49" w:history="1">
        <w:r w:rsidRPr="00C8447B">
          <w:rPr>
            <w:rStyle w:val="Hyperlink"/>
            <w:noProof/>
          </w:rPr>
          <w:t>Figure 11 - Register addresses</w:t>
        </w:r>
        <w:r>
          <w:rPr>
            <w:noProof/>
            <w:webHidden/>
          </w:rPr>
          <w:tab/>
        </w:r>
        <w:r>
          <w:rPr>
            <w:noProof/>
            <w:webHidden/>
          </w:rPr>
          <w:fldChar w:fldCharType="begin"/>
        </w:r>
        <w:r>
          <w:rPr>
            <w:noProof/>
            <w:webHidden/>
          </w:rPr>
          <w:instrText xml:space="preserve"> PAGEREF _Toc133342749 \h </w:instrText>
        </w:r>
        <w:r>
          <w:rPr>
            <w:noProof/>
            <w:webHidden/>
          </w:rPr>
        </w:r>
        <w:r>
          <w:rPr>
            <w:noProof/>
            <w:webHidden/>
          </w:rPr>
          <w:fldChar w:fldCharType="separate"/>
        </w:r>
        <w:r>
          <w:rPr>
            <w:noProof/>
            <w:webHidden/>
          </w:rPr>
          <w:t>16</w:t>
        </w:r>
        <w:r>
          <w:rPr>
            <w:noProof/>
            <w:webHidden/>
          </w:rPr>
          <w:fldChar w:fldCharType="end"/>
        </w:r>
      </w:hyperlink>
    </w:p>
    <w:p w14:paraId="62820C36" w14:textId="5AACA3B2"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0" w:history="1">
        <w:r w:rsidRPr="00C8447B">
          <w:rPr>
            <w:rStyle w:val="Hyperlink"/>
            <w:noProof/>
          </w:rPr>
          <w:t>Figure 12 – Combining bytes</w:t>
        </w:r>
        <w:r>
          <w:rPr>
            <w:noProof/>
            <w:webHidden/>
          </w:rPr>
          <w:tab/>
        </w:r>
        <w:r>
          <w:rPr>
            <w:noProof/>
            <w:webHidden/>
          </w:rPr>
          <w:fldChar w:fldCharType="begin"/>
        </w:r>
        <w:r>
          <w:rPr>
            <w:noProof/>
            <w:webHidden/>
          </w:rPr>
          <w:instrText xml:space="preserve"> PAGEREF _Toc133342750 \h </w:instrText>
        </w:r>
        <w:r>
          <w:rPr>
            <w:noProof/>
            <w:webHidden/>
          </w:rPr>
        </w:r>
        <w:r>
          <w:rPr>
            <w:noProof/>
            <w:webHidden/>
          </w:rPr>
          <w:fldChar w:fldCharType="separate"/>
        </w:r>
        <w:r>
          <w:rPr>
            <w:noProof/>
            <w:webHidden/>
          </w:rPr>
          <w:t>16</w:t>
        </w:r>
        <w:r>
          <w:rPr>
            <w:noProof/>
            <w:webHidden/>
          </w:rPr>
          <w:fldChar w:fldCharType="end"/>
        </w:r>
      </w:hyperlink>
    </w:p>
    <w:p w14:paraId="321B4E0F" w14:textId="0B440E48"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1" w:history="1">
        <w:r w:rsidRPr="00C8447B">
          <w:rPr>
            <w:rStyle w:val="Hyperlink"/>
            <w:noProof/>
          </w:rPr>
          <w:t>Figure 13 - Setting heat plate</w:t>
        </w:r>
        <w:r>
          <w:rPr>
            <w:noProof/>
            <w:webHidden/>
          </w:rPr>
          <w:tab/>
        </w:r>
        <w:r>
          <w:rPr>
            <w:noProof/>
            <w:webHidden/>
          </w:rPr>
          <w:fldChar w:fldCharType="begin"/>
        </w:r>
        <w:r>
          <w:rPr>
            <w:noProof/>
            <w:webHidden/>
          </w:rPr>
          <w:instrText xml:space="preserve"> PAGEREF _Toc133342751 \h </w:instrText>
        </w:r>
        <w:r>
          <w:rPr>
            <w:noProof/>
            <w:webHidden/>
          </w:rPr>
        </w:r>
        <w:r>
          <w:rPr>
            <w:noProof/>
            <w:webHidden/>
          </w:rPr>
          <w:fldChar w:fldCharType="separate"/>
        </w:r>
        <w:r>
          <w:rPr>
            <w:noProof/>
            <w:webHidden/>
          </w:rPr>
          <w:t>16</w:t>
        </w:r>
        <w:r>
          <w:rPr>
            <w:noProof/>
            <w:webHidden/>
          </w:rPr>
          <w:fldChar w:fldCharType="end"/>
        </w:r>
      </w:hyperlink>
    </w:p>
    <w:p w14:paraId="5C8E5224" w14:textId="2090C693"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2" w:history="1">
        <w:r w:rsidRPr="00C8447B">
          <w:rPr>
            <w:rStyle w:val="Hyperlink"/>
            <w:noProof/>
          </w:rPr>
          <w:t>Figure 14 - Operational flowchart</w:t>
        </w:r>
        <w:r>
          <w:rPr>
            <w:noProof/>
            <w:webHidden/>
          </w:rPr>
          <w:tab/>
        </w:r>
        <w:r>
          <w:rPr>
            <w:noProof/>
            <w:webHidden/>
          </w:rPr>
          <w:fldChar w:fldCharType="begin"/>
        </w:r>
        <w:r>
          <w:rPr>
            <w:noProof/>
            <w:webHidden/>
          </w:rPr>
          <w:instrText xml:space="preserve"> PAGEREF _Toc133342752 \h </w:instrText>
        </w:r>
        <w:r>
          <w:rPr>
            <w:noProof/>
            <w:webHidden/>
          </w:rPr>
        </w:r>
        <w:r>
          <w:rPr>
            <w:noProof/>
            <w:webHidden/>
          </w:rPr>
          <w:fldChar w:fldCharType="separate"/>
        </w:r>
        <w:r>
          <w:rPr>
            <w:noProof/>
            <w:webHidden/>
          </w:rPr>
          <w:t>17</w:t>
        </w:r>
        <w:r>
          <w:rPr>
            <w:noProof/>
            <w:webHidden/>
          </w:rPr>
          <w:fldChar w:fldCharType="end"/>
        </w:r>
      </w:hyperlink>
    </w:p>
    <w:p w14:paraId="5AF20DDC" w14:textId="781F1AE3"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3" w:history="1">
        <w:r w:rsidRPr="00C8447B">
          <w:rPr>
            <w:rStyle w:val="Hyperlink"/>
            <w:noProof/>
          </w:rPr>
          <w:t>Figure 15 - Getting the time and measurements</w:t>
        </w:r>
        <w:r>
          <w:rPr>
            <w:noProof/>
            <w:webHidden/>
          </w:rPr>
          <w:tab/>
        </w:r>
        <w:r>
          <w:rPr>
            <w:noProof/>
            <w:webHidden/>
          </w:rPr>
          <w:fldChar w:fldCharType="begin"/>
        </w:r>
        <w:r>
          <w:rPr>
            <w:noProof/>
            <w:webHidden/>
          </w:rPr>
          <w:instrText xml:space="preserve"> PAGEREF _Toc133342753 \h </w:instrText>
        </w:r>
        <w:r>
          <w:rPr>
            <w:noProof/>
            <w:webHidden/>
          </w:rPr>
        </w:r>
        <w:r>
          <w:rPr>
            <w:noProof/>
            <w:webHidden/>
          </w:rPr>
          <w:fldChar w:fldCharType="separate"/>
        </w:r>
        <w:r>
          <w:rPr>
            <w:noProof/>
            <w:webHidden/>
          </w:rPr>
          <w:t>17</w:t>
        </w:r>
        <w:r>
          <w:rPr>
            <w:noProof/>
            <w:webHidden/>
          </w:rPr>
          <w:fldChar w:fldCharType="end"/>
        </w:r>
      </w:hyperlink>
    </w:p>
    <w:p w14:paraId="130AA883" w14:textId="02F07C8D"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4" w:history="1">
        <w:r w:rsidRPr="00C8447B">
          <w:rPr>
            <w:rStyle w:val="Hyperlink"/>
            <w:noProof/>
          </w:rPr>
          <w:t>Figure 16 - Storing data to EEPROM</w:t>
        </w:r>
        <w:r>
          <w:rPr>
            <w:noProof/>
            <w:webHidden/>
          </w:rPr>
          <w:tab/>
        </w:r>
        <w:r>
          <w:rPr>
            <w:noProof/>
            <w:webHidden/>
          </w:rPr>
          <w:fldChar w:fldCharType="begin"/>
        </w:r>
        <w:r>
          <w:rPr>
            <w:noProof/>
            <w:webHidden/>
          </w:rPr>
          <w:instrText xml:space="preserve"> PAGEREF _Toc133342754 \h </w:instrText>
        </w:r>
        <w:r>
          <w:rPr>
            <w:noProof/>
            <w:webHidden/>
          </w:rPr>
        </w:r>
        <w:r>
          <w:rPr>
            <w:noProof/>
            <w:webHidden/>
          </w:rPr>
          <w:fldChar w:fldCharType="separate"/>
        </w:r>
        <w:r>
          <w:rPr>
            <w:noProof/>
            <w:webHidden/>
          </w:rPr>
          <w:t>17</w:t>
        </w:r>
        <w:r>
          <w:rPr>
            <w:noProof/>
            <w:webHidden/>
          </w:rPr>
          <w:fldChar w:fldCharType="end"/>
        </w:r>
      </w:hyperlink>
    </w:p>
    <w:p w14:paraId="1AEF592C" w14:textId="759839C2" w:rsidR="003D6C0B" w:rsidRDefault="003D6C0B">
      <w:pPr>
        <w:pStyle w:val="TableofFigures"/>
        <w:tabs>
          <w:tab w:val="left" w:pos="2500"/>
          <w:tab w:val="right" w:leader="dot" w:pos="9016"/>
        </w:tabs>
        <w:rPr>
          <w:rFonts w:asciiTheme="minorHAnsi" w:eastAsiaTheme="minorEastAsia" w:hAnsiTheme="minorHAnsi"/>
          <w:noProof/>
          <w:sz w:val="22"/>
          <w:szCs w:val="22"/>
          <w:lang w:eastAsia="en-GB"/>
        </w:rPr>
      </w:pPr>
      <w:hyperlink w:anchor="_Toc133342755" w:history="1">
        <w:r w:rsidRPr="00C8447B">
          <w:rPr>
            <w:rStyle w:val="Hyperlink"/>
            <w:noProof/>
          </w:rPr>
          <w:t>Figure 17 - PC terminal</w:t>
        </w:r>
        <w:r>
          <w:rPr>
            <w:rFonts w:asciiTheme="minorHAnsi" w:eastAsiaTheme="minorEastAsia" w:hAnsiTheme="minorHAnsi"/>
            <w:noProof/>
            <w:sz w:val="22"/>
            <w:szCs w:val="22"/>
            <w:lang w:eastAsia="en-GB"/>
          </w:rPr>
          <w:tab/>
        </w:r>
        <w:r w:rsidRPr="00C8447B">
          <w:rPr>
            <w:rStyle w:val="Hyperlink"/>
            <w:noProof/>
          </w:rPr>
          <w:t xml:space="preserve">   Figure 18 - setting the terminal</w:t>
        </w:r>
        <w:r>
          <w:rPr>
            <w:noProof/>
            <w:webHidden/>
          </w:rPr>
          <w:tab/>
        </w:r>
        <w:r>
          <w:rPr>
            <w:noProof/>
            <w:webHidden/>
          </w:rPr>
          <w:fldChar w:fldCharType="begin"/>
        </w:r>
        <w:r>
          <w:rPr>
            <w:noProof/>
            <w:webHidden/>
          </w:rPr>
          <w:instrText xml:space="preserve"> PAGEREF _Toc133342755 \h </w:instrText>
        </w:r>
        <w:r>
          <w:rPr>
            <w:noProof/>
            <w:webHidden/>
          </w:rPr>
        </w:r>
        <w:r>
          <w:rPr>
            <w:noProof/>
            <w:webHidden/>
          </w:rPr>
          <w:fldChar w:fldCharType="separate"/>
        </w:r>
        <w:r>
          <w:rPr>
            <w:noProof/>
            <w:webHidden/>
          </w:rPr>
          <w:t>18</w:t>
        </w:r>
        <w:r>
          <w:rPr>
            <w:noProof/>
            <w:webHidden/>
          </w:rPr>
          <w:fldChar w:fldCharType="end"/>
        </w:r>
      </w:hyperlink>
    </w:p>
    <w:p w14:paraId="6B3CAD92" w14:textId="00235458"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6" w:history="1">
        <w:r w:rsidRPr="00C8447B">
          <w:rPr>
            <w:rStyle w:val="Hyperlink"/>
            <w:noProof/>
          </w:rPr>
          <w:t>Figure 19 - Temperature and Relative Humidity Baseline Comparison</w:t>
        </w:r>
        <w:r>
          <w:rPr>
            <w:noProof/>
            <w:webHidden/>
          </w:rPr>
          <w:tab/>
        </w:r>
        <w:r>
          <w:rPr>
            <w:noProof/>
            <w:webHidden/>
          </w:rPr>
          <w:fldChar w:fldCharType="begin"/>
        </w:r>
        <w:r>
          <w:rPr>
            <w:noProof/>
            <w:webHidden/>
          </w:rPr>
          <w:instrText xml:space="preserve"> PAGEREF _Toc133342756 \h </w:instrText>
        </w:r>
        <w:r>
          <w:rPr>
            <w:noProof/>
            <w:webHidden/>
          </w:rPr>
        </w:r>
        <w:r>
          <w:rPr>
            <w:noProof/>
            <w:webHidden/>
          </w:rPr>
          <w:fldChar w:fldCharType="separate"/>
        </w:r>
        <w:r>
          <w:rPr>
            <w:noProof/>
            <w:webHidden/>
          </w:rPr>
          <w:t>19</w:t>
        </w:r>
        <w:r>
          <w:rPr>
            <w:noProof/>
            <w:webHidden/>
          </w:rPr>
          <w:fldChar w:fldCharType="end"/>
        </w:r>
      </w:hyperlink>
    </w:p>
    <w:p w14:paraId="11DBA9E9" w14:textId="431A1BFE"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7" w:history="1">
        <w:r w:rsidRPr="00C8447B">
          <w:rPr>
            <w:rStyle w:val="Hyperlink"/>
            <w:noProof/>
          </w:rPr>
          <w:t>Figure 20 - BME680 VOC Baseline Comparison</w:t>
        </w:r>
        <w:r>
          <w:rPr>
            <w:noProof/>
            <w:webHidden/>
          </w:rPr>
          <w:tab/>
        </w:r>
        <w:r>
          <w:rPr>
            <w:noProof/>
            <w:webHidden/>
          </w:rPr>
          <w:fldChar w:fldCharType="begin"/>
        </w:r>
        <w:r>
          <w:rPr>
            <w:noProof/>
            <w:webHidden/>
          </w:rPr>
          <w:instrText xml:space="preserve"> PAGEREF _Toc133342757 \h </w:instrText>
        </w:r>
        <w:r>
          <w:rPr>
            <w:noProof/>
            <w:webHidden/>
          </w:rPr>
        </w:r>
        <w:r>
          <w:rPr>
            <w:noProof/>
            <w:webHidden/>
          </w:rPr>
          <w:fldChar w:fldCharType="separate"/>
        </w:r>
        <w:r>
          <w:rPr>
            <w:noProof/>
            <w:webHidden/>
          </w:rPr>
          <w:t>20</w:t>
        </w:r>
        <w:r>
          <w:rPr>
            <w:noProof/>
            <w:webHidden/>
          </w:rPr>
          <w:fldChar w:fldCharType="end"/>
        </w:r>
      </w:hyperlink>
    </w:p>
    <w:p w14:paraId="33120A77" w14:textId="781B86AF"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8" w:history="1">
        <w:r w:rsidRPr="00C8447B">
          <w:rPr>
            <w:rStyle w:val="Hyperlink"/>
            <w:noProof/>
          </w:rPr>
          <w:t>Figure 21 - SEN55 Baseline Comparison</w:t>
        </w:r>
        <w:r>
          <w:rPr>
            <w:noProof/>
            <w:webHidden/>
          </w:rPr>
          <w:tab/>
        </w:r>
        <w:r>
          <w:rPr>
            <w:noProof/>
            <w:webHidden/>
          </w:rPr>
          <w:fldChar w:fldCharType="begin"/>
        </w:r>
        <w:r>
          <w:rPr>
            <w:noProof/>
            <w:webHidden/>
          </w:rPr>
          <w:instrText xml:space="preserve"> PAGEREF _Toc133342758 \h </w:instrText>
        </w:r>
        <w:r>
          <w:rPr>
            <w:noProof/>
            <w:webHidden/>
          </w:rPr>
        </w:r>
        <w:r>
          <w:rPr>
            <w:noProof/>
            <w:webHidden/>
          </w:rPr>
          <w:fldChar w:fldCharType="separate"/>
        </w:r>
        <w:r>
          <w:rPr>
            <w:noProof/>
            <w:webHidden/>
          </w:rPr>
          <w:t>20</w:t>
        </w:r>
        <w:r>
          <w:rPr>
            <w:noProof/>
            <w:webHidden/>
          </w:rPr>
          <w:fldChar w:fldCharType="end"/>
        </w:r>
      </w:hyperlink>
    </w:p>
    <w:p w14:paraId="56284142" w14:textId="26491B2D"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59" w:history="1">
        <w:r w:rsidRPr="00C8447B">
          <w:rPr>
            <w:rStyle w:val="Hyperlink"/>
            <w:noProof/>
          </w:rPr>
          <w:t>Figure 22 – Dr Salimifard’s experiment</w:t>
        </w:r>
        <w:r>
          <w:rPr>
            <w:noProof/>
            <w:webHidden/>
          </w:rPr>
          <w:tab/>
        </w:r>
        <w:r>
          <w:rPr>
            <w:noProof/>
            <w:webHidden/>
          </w:rPr>
          <w:fldChar w:fldCharType="begin"/>
        </w:r>
        <w:r>
          <w:rPr>
            <w:noProof/>
            <w:webHidden/>
          </w:rPr>
          <w:instrText xml:space="preserve"> PAGEREF _Toc133342759 \h </w:instrText>
        </w:r>
        <w:r>
          <w:rPr>
            <w:noProof/>
            <w:webHidden/>
          </w:rPr>
        </w:r>
        <w:r>
          <w:rPr>
            <w:noProof/>
            <w:webHidden/>
          </w:rPr>
          <w:fldChar w:fldCharType="separate"/>
        </w:r>
        <w:r>
          <w:rPr>
            <w:noProof/>
            <w:webHidden/>
          </w:rPr>
          <w:t>21</w:t>
        </w:r>
        <w:r>
          <w:rPr>
            <w:noProof/>
            <w:webHidden/>
          </w:rPr>
          <w:fldChar w:fldCharType="end"/>
        </w:r>
      </w:hyperlink>
    </w:p>
    <w:p w14:paraId="615C6C7F" w14:textId="7C6ED573"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60" w:history="1">
        <w:r w:rsidRPr="00C8447B">
          <w:rPr>
            <w:rStyle w:val="Hyperlink"/>
            <w:noProof/>
          </w:rPr>
          <w:t>Figure 23 - Acetone BME680</w:t>
        </w:r>
        <w:r>
          <w:rPr>
            <w:noProof/>
            <w:webHidden/>
          </w:rPr>
          <w:tab/>
        </w:r>
        <w:r>
          <w:rPr>
            <w:noProof/>
            <w:webHidden/>
          </w:rPr>
          <w:fldChar w:fldCharType="begin"/>
        </w:r>
        <w:r>
          <w:rPr>
            <w:noProof/>
            <w:webHidden/>
          </w:rPr>
          <w:instrText xml:space="preserve"> PAGEREF _Toc133342760 \h </w:instrText>
        </w:r>
        <w:r>
          <w:rPr>
            <w:noProof/>
            <w:webHidden/>
          </w:rPr>
        </w:r>
        <w:r>
          <w:rPr>
            <w:noProof/>
            <w:webHidden/>
          </w:rPr>
          <w:fldChar w:fldCharType="separate"/>
        </w:r>
        <w:r>
          <w:rPr>
            <w:noProof/>
            <w:webHidden/>
          </w:rPr>
          <w:t>22</w:t>
        </w:r>
        <w:r>
          <w:rPr>
            <w:noProof/>
            <w:webHidden/>
          </w:rPr>
          <w:fldChar w:fldCharType="end"/>
        </w:r>
      </w:hyperlink>
    </w:p>
    <w:p w14:paraId="31BB3714" w14:textId="41759B97"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61" w:history="1">
        <w:r w:rsidRPr="00C8447B">
          <w:rPr>
            <w:rStyle w:val="Hyperlink"/>
            <w:noProof/>
          </w:rPr>
          <w:t>Figure 24 - Acetone SEN55</w:t>
        </w:r>
        <w:r>
          <w:rPr>
            <w:noProof/>
            <w:webHidden/>
          </w:rPr>
          <w:tab/>
        </w:r>
        <w:r>
          <w:rPr>
            <w:noProof/>
            <w:webHidden/>
          </w:rPr>
          <w:fldChar w:fldCharType="begin"/>
        </w:r>
        <w:r>
          <w:rPr>
            <w:noProof/>
            <w:webHidden/>
          </w:rPr>
          <w:instrText xml:space="preserve"> PAGEREF _Toc133342761 \h </w:instrText>
        </w:r>
        <w:r>
          <w:rPr>
            <w:noProof/>
            <w:webHidden/>
          </w:rPr>
        </w:r>
        <w:r>
          <w:rPr>
            <w:noProof/>
            <w:webHidden/>
          </w:rPr>
          <w:fldChar w:fldCharType="separate"/>
        </w:r>
        <w:r>
          <w:rPr>
            <w:noProof/>
            <w:webHidden/>
          </w:rPr>
          <w:t>22</w:t>
        </w:r>
        <w:r>
          <w:rPr>
            <w:noProof/>
            <w:webHidden/>
          </w:rPr>
          <w:fldChar w:fldCharType="end"/>
        </w:r>
      </w:hyperlink>
    </w:p>
    <w:p w14:paraId="763CC62A" w14:textId="03C21BD1" w:rsidR="003D6C0B" w:rsidRDefault="003D6C0B">
      <w:pPr>
        <w:pStyle w:val="TableofFigures"/>
        <w:tabs>
          <w:tab w:val="right" w:leader="dot" w:pos="9016"/>
        </w:tabs>
        <w:rPr>
          <w:rFonts w:asciiTheme="minorHAnsi" w:eastAsiaTheme="minorEastAsia" w:hAnsiTheme="minorHAnsi"/>
          <w:noProof/>
          <w:sz w:val="22"/>
          <w:szCs w:val="22"/>
          <w:lang w:eastAsia="en-GB"/>
        </w:rPr>
      </w:pPr>
      <w:hyperlink w:anchor="_Toc133342762" w:history="1">
        <w:r w:rsidRPr="00C8447B">
          <w:rPr>
            <w:rStyle w:val="Hyperlink"/>
            <w:noProof/>
          </w:rPr>
          <w:t>Figure 25 - Particulate Matter</w:t>
        </w:r>
        <w:r>
          <w:rPr>
            <w:noProof/>
            <w:webHidden/>
          </w:rPr>
          <w:tab/>
        </w:r>
        <w:r>
          <w:rPr>
            <w:noProof/>
            <w:webHidden/>
          </w:rPr>
          <w:fldChar w:fldCharType="begin"/>
        </w:r>
        <w:r>
          <w:rPr>
            <w:noProof/>
            <w:webHidden/>
          </w:rPr>
          <w:instrText xml:space="preserve"> PAGEREF _Toc133342762 \h </w:instrText>
        </w:r>
        <w:r>
          <w:rPr>
            <w:noProof/>
            <w:webHidden/>
          </w:rPr>
        </w:r>
        <w:r>
          <w:rPr>
            <w:noProof/>
            <w:webHidden/>
          </w:rPr>
          <w:fldChar w:fldCharType="separate"/>
        </w:r>
        <w:r>
          <w:rPr>
            <w:noProof/>
            <w:webHidden/>
          </w:rPr>
          <w:t>23</w:t>
        </w:r>
        <w:r>
          <w:rPr>
            <w:noProof/>
            <w:webHidden/>
          </w:rPr>
          <w:fldChar w:fldCharType="end"/>
        </w:r>
      </w:hyperlink>
    </w:p>
    <w:p w14:paraId="19802361" w14:textId="148B398A" w:rsidR="00291366" w:rsidRPr="00A3348E" w:rsidRDefault="00000000">
      <w:pPr>
        <w:spacing w:after="160"/>
        <w:jc w:val="left"/>
        <w:rPr>
          <w:b/>
          <w:bCs/>
          <w:noProof/>
          <w:lang w:val="en-US"/>
        </w:rPr>
      </w:pPr>
      <w:r>
        <w:rPr>
          <w:b/>
          <w:bCs/>
          <w:noProof/>
          <w:lang w:val="en-US"/>
        </w:rPr>
        <w:fldChar w:fldCharType="end"/>
      </w:r>
      <w:r w:rsidR="00291366">
        <w:br w:type="page"/>
      </w:r>
    </w:p>
    <w:p w14:paraId="4A6E9930" w14:textId="39574B79" w:rsidR="00F16181" w:rsidRDefault="00291366" w:rsidP="00291366">
      <w:pPr>
        <w:pStyle w:val="Heading1"/>
      </w:pPr>
      <w:bookmarkStart w:id="2" w:name="_Toc133335232"/>
      <w:r>
        <w:lastRenderedPageBreak/>
        <w:t>Abstract</w:t>
      </w:r>
      <w:bookmarkEnd w:id="2"/>
    </w:p>
    <w:p w14:paraId="08E5E5DA" w14:textId="77777777" w:rsidR="00FF2E81" w:rsidRPr="00FF2E81" w:rsidRDefault="00FF2E81" w:rsidP="00FF2E81"/>
    <w:p w14:paraId="01AC893F" w14:textId="5A4F508A" w:rsidR="00A57485" w:rsidRDefault="00750B01" w:rsidP="00880E02">
      <w:pPr>
        <w:ind w:firstLine="720"/>
      </w:pPr>
      <w:r>
        <w:t xml:space="preserve">I aimed to create a pollution monitoring station, which I completed, using a Microchip microcontroller, Bosch’s BME680, and </w:t>
      </w:r>
      <w:proofErr w:type="spellStart"/>
      <w:r>
        <w:t>sensirion’s</w:t>
      </w:r>
      <w:proofErr w:type="spellEnd"/>
      <w:r>
        <w:t xml:space="preserve"> SEN55</w:t>
      </w:r>
      <w:r w:rsidR="00880E02">
        <w:t xml:space="preserve">. I found that there is an existing market for devices </w:t>
      </w:r>
      <w:r w:rsidR="007A523C">
        <w:t>similar to</w:t>
      </w:r>
      <w:r w:rsidR="00880E02">
        <w:t xml:space="preserve"> my design, and that there is academic literature on the viability </w:t>
      </w:r>
      <w:r w:rsidR="00DE064A">
        <w:t xml:space="preserve">of low cost sensors as well as examples of them being deployed in government projects. I conclude </w:t>
      </w:r>
      <w:r w:rsidR="00CE0F75">
        <w:t xml:space="preserve">my report with an evaluation of my </w:t>
      </w:r>
      <w:r w:rsidR="00442979">
        <w:t xml:space="preserve">implementation and a discussion on possible future iterations. </w:t>
      </w:r>
    </w:p>
    <w:p w14:paraId="74D658C0" w14:textId="77777777" w:rsidR="00291366" w:rsidRPr="00291366" w:rsidRDefault="00291366" w:rsidP="00291366"/>
    <w:p w14:paraId="4B62BCC2" w14:textId="1FFE8EF5" w:rsidR="00291366" w:rsidRDefault="00291366" w:rsidP="00291366">
      <w:pPr>
        <w:pStyle w:val="Heading1"/>
      </w:pPr>
      <w:bookmarkStart w:id="3" w:name="_Toc133335233"/>
      <w:r>
        <w:t>Introduction</w:t>
      </w:r>
      <w:bookmarkEnd w:id="3"/>
    </w:p>
    <w:p w14:paraId="184E1C2D" w14:textId="77777777" w:rsidR="004D22B6" w:rsidRDefault="004D22B6" w:rsidP="00A5764C"/>
    <w:p w14:paraId="59E8E9E8" w14:textId="535A9A7B" w:rsidR="00A5764C" w:rsidRDefault="00A5764C" w:rsidP="00DB1CCE">
      <w:r>
        <w:tab/>
        <w:t xml:space="preserve">There is a pressing need for pollution monitoring to become more readily available at a more affordable price point. People’s health is adversely affected by pollution, increasing </w:t>
      </w:r>
      <w:r w:rsidR="00E40D54">
        <w:t>the</w:t>
      </w:r>
      <w:r>
        <w:t xml:space="preserve"> risk to health complications and is </w:t>
      </w:r>
      <w:r w:rsidR="00E40D54">
        <w:t>also</w:t>
      </w:r>
      <w:r>
        <w:t xml:space="preserve"> attributed to a sizable number of deaths in the UK and worldwide each year. </w:t>
      </w:r>
    </w:p>
    <w:p w14:paraId="3060CE10" w14:textId="77777777" w:rsidR="00442979" w:rsidRDefault="00442979" w:rsidP="00DB1CCE"/>
    <w:p w14:paraId="5762545A" w14:textId="732AE215" w:rsidR="00A5764C" w:rsidRDefault="00A5764C" w:rsidP="00A5764C">
      <w:pPr>
        <w:ind w:firstLine="720"/>
      </w:pPr>
      <w:r>
        <w:t xml:space="preserve">I propose to design a pollution monitoring station using low-cost sensors. There is an increasing discussion about the viability of using low-cost sensors instead of reference method devices, due to the large price </w:t>
      </w:r>
      <w:r w:rsidR="007A523C">
        <w:t>difference</w:t>
      </w:r>
      <w:r>
        <w:t xml:space="preserve"> between the two. My original intention for the product was that it could have a place in the museum and heritage sector, where I currently work. I could see museums with outdoor aspects or heritage site</w:t>
      </w:r>
      <w:r w:rsidR="00377644">
        <w:t>s</w:t>
      </w:r>
      <w:r>
        <w:t xml:space="preserve"> with large outdoor estates having an interest in the conditions of their environment. During my literature review I </w:t>
      </w:r>
      <w:r w:rsidR="007A523C">
        <w:t>also \</w:t>
      </w:r>
      <w:r>
        <w:t>found that there is a market demand for low-cost sensors for</w:t>
      </w:r>
      <w:r w:rsidR="00E40D54">
        <w:t xml:space="preserve"> both</w:t>
      </w:r>
      <w:r>
        <w:t xml:space="preserve"> citizen science</w:t>
      </w:r>
      <w:r w:rsidR="00643C20">
        <w:t xml:space="preserve"> and</w:t>
      </w:r>
      <w:r w:rsidR="007D4183">
        <w:t xml:space="preserve"> government projects</w:t>
      </w:r>
      <w:r w:rsidR="00643C20">
        <w:t>.</w:t>
      </w:r>
    </w:p>
    <w:p w14:paraId="57F686CA" w14:textId="77777777" w:rsidR="00442979" w:rsidRDefault="00442979" w:rsidP="00A5764C">
      <w:pPr>
        <w:ind w:firstLine="720"/>
      </w:pPr>
    </w:p>
    <w:p w14:paraId="724AF030" w14:textId="04F46F69" w:rsidR="00A5764C" w:rsidRDefault="00A5764C" w:rsidP="00A5764C">
      <w:pPr>
        <w:ind w:firstLine="720"/>
      </w:pPr>
      <w:r>
        <w:t xml:space="preserve">In this </w:t>
      </w:r>
      <w:r w:rsidR="00643C20">
        <w:t>report</w:t>
      </w:r>
      <w:r>
        <w:t xml:space="preserve"> I have discussed previous </w:t>
      </w:r>
      <w:r w:rsidR="00643C20">
        <w:t>works</w:t>
      </w:r>
      <w:r>
        <w:t xml:space="preserve"> on the topic</w:t>
      </w:r>
      <w:r w:rsidR="00E40D54">
        <w:t xml:space="preserve"> </w:t>
      </w:r>
      <w:r>
        <w:t xml:space="preserve">to determine the viability of my proposed product. I found that there will be limitations on the conditions in which the product will work, and I </w:t>
      </w:r>
      <w:r w:rsidR="00AF113C">
        <w:t>would</w:t>
      </w:r>
      <w:r>
        <w:t xml:space="preserve"> need to additionally monitor the conditions of temperature and relative humidity to know when the unit can accurately record data. I also found that the sensors accuracy</w:t>
      </w:r>
      <w:r w:rsidR="007A523C">
        <w:t>,</w:t>
      </w:r>
      <w:r>
        <w:t xml:space="preserve"> without further calibration</w:t>
      </w:r>
      <w:r w:rsidR="007A523C">
        <w:t>,</w:t>
      </w:r>
      <w:r w:rsidR="00AF113C">
        <w:t xml:space="preserve"> degrades after a year</w:t>
      </w:r>
      <w:r>
        <w:t>.</w:t>
      </w:r>
    </w:p>
    <w:p w14:paraId="54F519BA" w14:textId="77777777" w:rsidR="00A5764C" w:rsidRPr="00A5764C" w:rsidRDefault="00A5764C" w:rsidP="00A5764C"/>
    <w:p w14:paraId="3DF194E7" w14:textId="432440F9" w:rsidR="007D4183" w:rsidRDefault="007D4183" w:rsidP="007D4183">
      <w:pPr>
        <w:pStyle w:val="Heading1"/>
      </w:pPr>
      <w:bookmarkStart w:id="4" w:name="_Toc133335234"/>
      <w:r>
        <w:t>Aims and Objectives</w:t>
      </w:r>
      <w:bookmarkEnd w:id="4"/>
    </w:p>
    <w:p w14:paraId="3CFE29C1" w14:textId="77777777" w:rsidR="002A2E76" w:rsidRDefault="002A2E76" w:rsidP="007D4183"/>
    <w:p w14:paraId="6D1514E6" w14:textId="73E54111" w:rsidR="007D4183" w:rsidRDefault="007D4183" w:rsidP="007D4183">
      <w:r>
        <w:tab/>
        <w:t>My aim is to design a pollution monitoring Station, including its sensors, components, software and enclosure</w:t>
      </w:r>
      <w:r w:rsidR="006130A0">
        <w:t xml:space="preserve"> and</w:t>
      </w:r>
      <w:r>
        <w:t xml:space="preserve"> I will finish with producing a prototype. </w:t>
      </w:r>
    </w:p>
    <w:p w14:paraId="5CCFBCCE" w14:textId="77777777" w:rsidR="007D4183" w:rsidRDefault="007D4183" w:rsidP="007D4183"/>
    <w:p w14:paraId="288B116A" w14:textId="77777777" w:rsidR="007D4183" w:rsidRDefault="007D4183" w:rsidP="007D4183">
      <w:r>
        <w:t>My objectives are;</w:t>
      </w:r>
    </w:p>
    <w:p w14:paraId="7A27DC88" w14:textId="77777777" w:rsidR="007D4183" w:rsidRDefault="007D4183" w:rsidP="007D4183"/>
    <w:p w14:paraId="6644431E" w14:textId="77777777" w:rsidR="007D4183" w:rsidRDefault="007D4183" w:rsidP="007D4183">
      <w:pPr>
        <w:pStyle w:val="ListParagraph"/>
        <w:numPr>
          <w:ilvl w:val="0"/>
          <w:numId w:val="1"/>
        </w:numPr>
      </w:pPr>
      <w:r>
        <w:t xml:space="preserve">I will research the viability of low-cost sensors, and if they would be appropriate for my product. </w:t>
      </w:r>
    </w:p>
    <w:p w14:paraId="63CFBD86" w14:textId="77777777" w:rsidR="007D4183" w:rsidRDefault="007D4183" w:rsidP="007D4183">
      <w:pPr>
        <w:pStyle w:val="ListParagraph"/>
        <w:numPr>
          <w:ilvl w:val="0"/>
          <w:numId w:val="1"/>
        </w:numPr>
      </w:pPr>
      <w:r>
        <w:t>This will include their accuracy and their longevity without further calibration.</w:t>
      </w:r>
    </w:p>
    <w:p w14:paraId="33A69F8A" w14:textId="77777777" w:rsidR="007D4183" w:rsidRDefault="007D4183" w:rsidP="007D4183">
      <w:pPr>
        <w:pStyle w:val="ListParagraph"/>
        <w:numPr>
          <w:ilvl w:val="0"/>
          <w:numId w:val="1"/>
        </w:numPr>
      </w:pPr>
      <w:r>
        <w:t xml:space="preserve">Discuss the reasoning for designing such a product, its use case and its limitations. </w:t>
      </w:r>
    </w:p>
    <w:p w14:paraId="1A432D27" w14:textId="77777777" w:rsidR="007D4183" w:rsidRDefault="007D4183" w:rsidP="007D4183">
      <w:pPr>
        <w:pStyle w:val="ListParagraph"/>
        <w:numPr>
          <w:ilvl w:val="0"/>
          <w:numId w:val="1"/>
        </w:numPr>
      </w:pPr>
      <w:r>
        <w:t xml:space="preserve">Produce a prototype of the pollution monitoring station and rigorously test its functionality. </w:t>
      </w:r>
    </w:p>
    <w:p w14:paraId="42FE0D0A" w14:textId="77777777" w:rsidR="007D4183" w:rsidRDefault="007D4183" w:rsidP="007D4183">
      <w:pPr>
        <w:pStyle w:val="Heading1"/>
        <w:rPr>
          <w:rFonts w:eastAsia="Times New Roman"/>
        </w:rPr>
      </w:pPr>
      <w:bookmarkStart w:id="5" w:name="_Toc133335235"/>
      <w:r w:rsidRPr="70F8DC4B">
        <w:rPr>
          <w:rFonts w:eastAsia="Times New Roman"/>
        </w:rPr>
        <w:lastRenderedPageBreak/>
        <w:t>Literature Review</w:t>
      </w:r>
      <w:bookmarkEnd w:id="5"/>
    </w:p>
    <w:p w14:paraId="64A1C853" w14:textId="660E1162" w:rsidR="002A073D" w:rsidRDefault="00846F20" w:rsidP="007D4183">
      <w:pPr>
        <w:pStyle w:val="Heading2"/>
        <w:rPr>
          <w:rFonts w:eastAsia="Times New Roman"/>
        </w:rPr>
      </w:pPr>
      <w:bookmarkStart w:id="6" w:name="_Toc133335236"/>
      <w:r w:rsidRPr="70F8DC4B">
        <w:rPr>
          <w:rFonts w:eastAsia="Times New Roman"/>
        </w:rPr>
        <w:t xml:space="preserve">Literature </w:t>
      </w:r>
      <w:r>
        <w:rPr>
          <w:rFonts w:eastAsia="Times New Roman"/>
        </w:rPr>
        <w:t xml:space="preserve">on </w:t>
      </w:r>
      <w:r w:rsidR="007D4183">
        <w:rPr>
          <w:rFonts w:eastAsia="Times New Roman"/>
        </w:rPr>
        <w:t>Pollution</w:t>
      </w:r>
      <w:bookmarkEnd w:id="6"/>
    </w:p>
    <w:p w14:paraId="6ECC84BD" w14:textId="0B6D7A3E" w:rsidR="0014181E" w:rsidRPr="00A57485" w:rsidRDefault="0014181E" w:rsidP="00A57485"/>
    <w:p w14:paraId="1C9E3F91" w14:textId="65D6EB9D" w:rsidR="009E4A19" w:rsidRDefault="009E4A19" w:rsidP="009E4A19">
      <w:pPr>
        <w:ind w:firstLine="720"/>
      </w:pPr>
      <w:r>
        <w:t xml:space="preserve">Around 40,000 </w:t>
      </w:r>
      <w:r w:rsidRPr="00F311EE">
        <w:t xml:space="preserve">deaths </w:t>
      </w:r>
      <w:r w:rsidR="00AF113C">
        <w:t>were</w:t>
      </w:r>
      <w:r w:rsidRPr="00F311EE">
        <w:t xml:space="preserve"> </w:t>
      </w:r>
      <w:r w:rsidR="0014181E">
        <w:t>attributed</w:t>
      </w:r>
      <w:r w:rsidRPr="00F311EE">
        <w:t xml:space="preserve"> to exposure to outdoor air pollution</w:t>
      </w:r>
      <w:r>
        <w:t xml:space="preserve"> in the UK in 2016 </w:t>
      </w:r>
      <w:r>
        <w:fldChar w:fldCharType="begin"/>
      </w:r>
      <w:r>
        <w:instrText xml:space="preserve"> ADDIN ZOTERO_ITEM CSL_CITATION {"citationID":"X4iBGaHf","properties":{"formattedCitation":"[1]","plainCitation":"[1]","noteIndex":0},"citationItems":[{"id":115,"uris":["http://zotero.org/users/10518850/items/YQ52DKHD"],"itemData":{"id":115,"type":"webpage","abstract":"This report from the RCP and the RCPCH examines the impact of exposure to air pollution across the course of a lifetime.","container-title":"RCP London","title":"Every breath we take: the lifelong impact of air pollution","title-short":"Every breath we take","URL":"https://www.rcplondon.ac.uk/projects/outputs/every-breath-we-take-lifelong-impact-air-pollution","accessed":{"date-parts":[["2022",10,30]]},"issued":{"date-parts":[["2016",2,23]]}}}],"schema":"https://github.com/citation-style-language/schema/raw/master/csl-citation.json"} </w:instrText>
      </w:r>
      <w:r>
        <w:fldChar w:fldCharType="separate"/>
      </w:r>
      <w:r w:rsidRPr="00F311EE">
        <w:rPr>
          <w:rFonts w:cs="Times New Roman"/>
        </w:rPr>
        <w:t>[1]</w:t>
      </w:r>
      <w:r>
        <w:fldChar w:fldCharType="end"/>
      </w:r>
      <w:r w:rsidR="0014181E">
        <w:t>.</w:t>
      </w:r>
      <w:r>
        <w:t xml:space="preserve"> </w:t>
      </w:r>
      <w:r w:rsidR="0014181E">
        <w:t>A</w:t>
      </w:r>
      <w:r>
        <w:t xml:space="preserve">mbient pollution was shown to be detrimental to people’s health, with particulate matter causing the death of over 3 million people worldwide in 2010. </w:t>
      </w:r>
      <w:r>
        <w:fldChar w:fldCharType="begin"/>
      </w:r>
      <w:r>
        <w:instrText xml:space="preserve"> ADDIN ZOTERO_ITEM CSL_CITATION {"citationID":"bq0zDNYJ","properties":{"formattedCitation":"[2]","plainCitation":"[2]","noteIndex":0},"citationItems":[{"id":25,"uris":["http://zotero.org/users/10518850/items/TJQKLMMJ"],"itemData":{"id":25,"type":"article-journal","container-title":"The Lancet","DOI":"10.1016/S0140-6736(12)61766-8","ISSN":"0140-6736, 1474-547X","issue":"9859","journalAbbreviation":"The Lancet","language":"English","note":"publisher: Elsevier\nPMID: 23245609","page":"2224-2260","source":"www.thelancet.com","title":"A comparative risk assessment of burden of disease and injury attributable to 67 risk factors and risk factor clusters in 21 regions, 1990–2010: a systematic analysis for the Global Burden of Disease Study 2010","title-short":"A comparative risk assessment of burden of disease and injury attributable to 67 risk factors and risk factor clusters in 21 regions, 1990–2010","volume":"380","author":[{"family":"Lim","given":"Stephen S."},{"family":"Vos","given":"Theo"},{"family":"Flaxman","given":"Abraham D."},{"family":"Danaei","given":"Goodarz"},{"family":"Shibuya","given":"Kenji"},{"family":"Adair-Rohani","given":"Heather"},{"family":"AlMazroa","given":"Mohammad A."},{"family":"Amann","given":"Markus"},{"family":"Anderson","given":"H. Ross"},{"family":"Andrews","given":"Kathryn G."},{"family":"Aryee","given":"Martin"},{"family":"Atkinson","given":"Charles"},{"family":"Bacchus","given":"Loraine J."},{"family":"Bahalim","given":"Adil N."},{"family":"Balakrishnan","given":"Kalpana"},{"family":"Balmes","given":"John"},{"family":"Barker-Collo","given":"Suzanne"},{"family":"Baxter","given":"Amanda"},{"family":"Bell","given":"Michelle L."},{"family":"Blore","given":"Jed D."},{"family":"Blyth","given":"Fiona"},{"family":"Bonner","given":"Carissa"},{"family":"Borges","given":"Guilherme"},{"family":"Bourne","given":"Rupert"},{"family":"Boussinesq","given":"Michel"},{"family":"Brauer","given":"Michael"},{"family":"Brooks","given":"Peter"},{"family":"Bruce","given":"Nigel G."},{"family":"Brunekreef","given":"Bert"},{"family":"Bryan-Hancock","given":"Claire"},{"family":"Bucello","given":"Chiara"},{"family":"Buchbinder","given":"Rachelle"},{"family":"Bull","given":"Fiona"},{"family":"Burnett","given":"Richard T."},{"family":"Byers","given":"Tim E."},{"family":"Calabria","given":"Bianca"},{"family":"Carapetis","given":"Jonathan"},{"family":"Carnahan","given":"Emily"},{"family":"Chafe","given":"Zoe"},{"family":"Charlson","given":"Fiona"},{"family":"Chen","given":"Honglei"},{"family":"Chen","given":"Jian Shen"},{"family":"Cheng","given":"Andrew Tai-Ann"},{"family":"Child","given":"Jennifer Christine"},{"family":"Cohen","given":"Aaron"},{"family":"Colson","given":"K. Ellicott"},{"family":"Cowie","given":"Benjamin C."},{"family":"Darby","given":"Sarah"},{"family":"Darling","given":"Susan"},{"family":"Davis","given":"Adrian"},{"family":"Degenhardt","given":"Louisa"},{"family":"Dentener","given":"Frank"},{"family":"Jarlais","given":"Don C. Des"},{"family":"Devries","given":"Karen"},{"family":"Dherani","given":"Mukesh"},{"family":"Ding","given":"Eric L."},{"family":"Dorsey","given":"E. Ray"},{"family":"Driscoll","given":"Tim"},{"family":"Edmond","given":"Karen"},{"family":"Ali","given":"Suad Eltahir"},{"family":"Engell","given":"Rebecca E."},{"family":"Erwin","given":"Patricia J."},{"family":"Fahimi","given":"Saman"},{"family":"Falder","given":"Gail"},{"family":"Farzadfar","given":"Farshad"},{"family":"Ferrari","given":"Alize"},{"family":"Finucane","given":"Mariel M."},{"family":"Flaxman","given":"Seth"},{"family":"Fowkes","given":"Francis Gerry R."},{"family":"Freedman","given":"Greg"},{"family":"Freeman","given":"Michael K."},{"family":"Gakidou","given":"Emmanuela"},{"family":"Ghosh","given":"Santu"},{"family":"Giovannucci","given":"Edward"},{"family":"Gmel","given":"Gerhard"},{"family":"Graham","given":"Kathryn"},{"family":"Grainger","given":"Rebecca"},{"family":"Grant","given":"Bridget"},{"family":"Gunnell","given":"David"},{"family":"Gutierrez","given":"Hialy R."},{"family":"Hall","given":"Wayne"},{"family":"Hoek","given":"Hans W."},{"family":"Hogan","given":"Anthony"},{"family":"Hosgood","given":"H. Dean"},{"family":"Hoy","given":"Damian"},{"family":"Hu","given":"Howard"},{"family":"Hubbell","given":"Bryan J."},{"family":"Hutchings","given":"Sally J."},{"family":"Ibeanusi","given":"Sydney E."},{"family":"Jacklyn","given":"Gemma L."},{"family":"Jasrasaria","given":"Rashmi"},{"family":"Jonas","given":"Jost B."},{"family":"Kan","given":"Haidong"},{"family":"Kanis","given":"John A."},{"family":"Kassebaum","given":"Nicholas"},{"family":"Kawakami","given":"Norito"},{"family":"Khang","given":"Young-Ho"},{"family":"Khatibzadeh","given":"Shahab"},{"family":"Khoo","given":"Jon-Paul"},{"family":"Kok","given":"Cindy"},{"family":"Laden","given":"Francine"},{"family":"Lalloo","given":"Ratilal"},{"family":"Lan","given":"Qing"},{"family":"Lathlean","given":"Tim"},{"family":"Leasher","given":"Janet L."},{"family":"Leigh","given":"James"},{"family":"Li","given":"Yang"},{"family":"Lin","given":"John Kent"},{"family":"Lipshultz","given":"Steven E."},{"family":"London","given":"Stephanie"},{"family":"Lozano","given":"Rafael"},{"family":"Lu","given":"Yuan"},{"family":"Mak","given":"Joelle"},{"family":"Malekzadeh","given":"Reza"},{"family":"Mallinger","given":"Leslie"},{"family":"Marcenes","given":"Wagner"},{"family":"March","given":"Lyn"},{"family":"Marks","given":"Robin"},{"family":"Martin","given":"Randall"},{"family":"McGale","given":"Paul"},{"family":"McGrath","given":"John"},{"family":"Mehta","given":"Sumi"},{"family":"Memish","given":"Ziad A."},{"family":"Mensah","given":"George A."},{"family":"Merriman","given":"Tony R."},{"family":"Micha","given":"Renata"},{"family":"Michaud","given":"Catherine"},{"family":"Mishra","given":"Vinod"},{"family":"Hanafiah","given":"Khayriyyah Mohd"},{"family":"Mokdad","given":"Ali A."},{"family":"Morawska","given":"Lidia"},{"family":"Mozaffarian","given":"Dariush"},{"family":"Murphy","given":"Tasha"},{"family":"Naghavi","given":"Mohsen"},{"family":"Neal","given":"Bruce"},{"family":"Nelson","given":"Paul K."},{"family":"Nolla","given":"Joan Miquel"},{"family":"Norman","given":"Rosana"},{"family":"Olives","given":"Casey"},{"family":"Omer","given":"Saad B."},{"family":"Orchard","given":"Jessica"},{"family":"Osborne","given":"Richard"},{"family":"Ostro","given":"Bart"},{"family":"Page","given":"Andrew"},{"family":"Pandey","given":"Kiran D."},{"family":"Parry","given":"Charles DH"},{"family":"Passmore","given":"Erin"},{"family":"Patra","given":"Jayadeep"},{"family":"Pearce","given":"Neil"},{"family":"Pelizzari","given":"Pamela M."},{"family":"Petzold","given":"Max"},{"family":"Phillips","given":"Michael R."},{"family":"Pope","given":"Dan"},{"family":"Pope","given":"C. Arden"},{"family":"Powles","given":"John"},{"family":"Rao","given":"Mayuree"},{"family":"Razavi","given":"Homie"},{"family":"Rehfuess","given":"Eva A."},{"family":"Rehm","given":"Jürgen T."},{"family":"Ritz","given":"Beate"},{"family":"Rivara","given":"Frederick P."},{"family":"Roberts","given":"Thomas"},{"family":"Robinson","given":"Carolyn"},{"family":"Rodriguez-Portales","given":"Jose A."},{"family":"Romieu","given":"Isabelle"},{"family":"Room","given":"Robin"},{"family":"Rosenfeld","given":"Lisa C."},{"family":"Roy","given":"Ananya"},{"family":"Rushton","given":"Lesley"},{"family":"Salomon","given":"Joshua A."},{"family":"Sampson","given":"Uchechukwu"},{"family":"Sanchez-Riera","given":"Lidia"},{"family":"Sanman","given":"Ella"},{"family":"Sapkota","given":"Amir"},{"family":"Seedat","given":"Soraya"},{"family":"Shi","given":"Peilin"},{"family":"Shield","given":"Kevin"},{"family":"Shivakoti","given":"Rupak"},{"family":"Singh","given":"Gitanjali M."},{"family":"Sleet","given":"David A."},{"family":"Smith","given":"Emma"},{"family":"Smith","given":"Kirk R."},{"family":"Stapelberg","given":"Nicolas JC"},{"family":"Steenland","given":"Kyle"},{"family":"Stöckl","given":"Heidi"},{"family":"Stovner","given":"Lars Jacob"},{"family":"Straif","given":"Kurt"},{"family":"Straney","given":"Lahn"},{"family":"Thurston","given":"George D."},{"family":"Tran","given":"Jimmy H."},{"family":"Dingenen","given":"Rita Van"},{"family":"Donkelaar","given":"Aaron","dropping-particle":"van"},{"family":"Veerman","given":"J. Lennert"},{"family":"Vijayakumar","given":"Lakshmi"},{"family":"Weintraub","given":"Robert"},{"family":"Weissman","given":"Myrna M."},{"family":"White","given":"Richard A."},{"family":"Whiteford","given":"Harvey"},{"family":"Wiersma","given":"Steven T."},{"family":"Wilkinson","given":"James D."},{"family":"Williams","given":"Hywel C."},{"family":"Williams","given":"Warwick"},{"family":"Wilson","given":"Nicholas"},{"family":"Woolf","given":"Anthony D."},{"family":"Yip","given":"Paul"},{"family":"Zielinski","given":"Jan M."},{"family":"Lopez","given":"Alan D."},{"family":"Murray","given":"Christopher JL"},{"family":"Ezzati","given":"Majid"}],"issued":{"date-parts":[["2012",12,15]]}}}],"schema":"https://github.com/citation-style-language/schema/raw/master/csl-citation.json"} </w:instrText>
      </w:r>
      <w:r>
        <w:fldChar w:fldCharType="separate"/>
      </w:r>
      <w:r w:rsidRPr="00F311EE">
        <w:rPr>
          <w:rFonts w:cs="Times New Roman"/>
        </w:rPr>
        <w:t>[2]</w:t>
      </w:r>
      <w:r>
        <w:fldChar w:fldCharType="end"/>
      </w:r>
      <w:r w:rsidRPr="003D0641">
        <w:t xml:space="preserve"> </w:t>
      </w:r>
    </w:p>
    <w:p w14:paraId="63A9639F" w14:textId="78020834" w:rsidR="002A073D" w:rsidRDefault="002A073D" w:rsidP="70F8DC4B">
      <w:pPr>
        <w:spacing w:line="257" w:lineRule="auto"/>
        <w:rPr>
          <w:rFonts w:eastAsia="Times New Roman" w:cs="Times New Roman"/>
        </w:rPr>
      </w:pPr>
    </w:p>
    <w:p w14:paraId="7A21B2EC" w14:textId="46E97B61" w:rsidR="00B475A3" w:rsidRDefault="00952742" w:rsidP="70F8DC4B">
      <w:pPr>
        <w:spacing w:line="257" w:lineRule="auto"/>
        <w:rPr>
          <w:rFonts w:eastAsia="Times New Roman" w:cs="Times New Roman"/>
        </w:rPr>
      </w:pPr>
      <w:r>
        <w:rPr>
          <w:rFonts w:eastAsia="Times New Roman" w:cs="Times New Roman"/>
        </w:rPr>
        <w:tab/>
      </w:r>
      <w:r w:rsidRPr="00952742">
        <w:rPr>
          <w:rFonts w:eastAsia="Times New Roman" w:cs="Times New Roman"/>
        </w:rPr>
        <w:t>Pope</w:t>
      </w:r>
      <w:r>
        <w:rPr>
          <w:rFonts w:eastAsia="Times New Roman" w:cs="Times New Roman"/>
        </w:rPr>
        <w:t xml:space="preserve"> and his co-authors</w:t>
      </w:r>
      <w:r w:rsidR="00E50C05">
        <w:rPr>
          <w:rFonts w:eastAsia="Times New Roman" w:cs="Times New Roman"/>
        </w:rPr>
        <w:t xml:space="preserve"> </w:t>
      </w:r>
      <w:r w:rsidR="00E50C05">
        <w:rPr>
          <w:rFonts w:eastAsia="Times New Roman" w:cs="Times New Roman"/>
        </w:rPr>
        <w:fldChar w:fldCharType="begin"/>
      </w:r>
      <w:r w:rsidR="00E50C05">
        <w:rPr>
          <w:rFonts w:eastAsia="Times New Roman" w:cs="Times New Roman"/>
        </w:rPr>
        <w:instrText xml:space="preserve"> ADDIN ZOTERO_ITEM CSL_CITATION {"citationID":"0LcCq3bQ","properties":{"formattedCitation":"[3]","plainCitation":"[3]","noteIndex":0},"citationItems":[{"id":182,"uris":["http://zotero.org/users/10518850/items/BULYQ7VS"],"itemData":{"id":182,"type":"article-journal","abstract":"BACKGROUND: Lung cancer and cardiovascular disease (CVD) mortality risks increase with smoking, secondhand smoke (SHS), and exposure to fine particulate matter &lt; 2.5 μm in diameter (PM₂.₅) from ambient air pollution. Recent research indicates that the exposure-response relationship for CVD is nonlinear, with a steep increase in risk at low exposures and flattening out at higher exposures. Comparable estimates of the exposure-response relationship for lung cancer are required for disease burden estimates and related public health policy assessments.\nOBJECTIVES: We compared exposure-response relationships of PM₂.₅ with lung cancer and cardiovascular mortality and considered the implications of the observed differences for efforts to estimate the disease burden of PM2.5.\nMETHODS: Prospective cohort data for 1.2 million adults were collected by the American Cancer Society as part of the Cancer Prevention Study II. We estimated relative risks (RRs) for increments of cigarette smoking, adjusting for various individual risk factors. RRs were plotted against estimated daily dose of PM₂.₅ from smoking along with comparison estimates for ambient air pollution and SHS.\nRESULTS: For lung cancer mortality, excess risk rose nearly linearly, reaching maximum RRs &gt; 40 among long-term heavy smokers. Excess risks for CVD mortality increased steeply at low exposure levels and leveled off at higher exposures, reaching RRs of approximately 2-3 for cigarette smoking.\nCONCLUSIONS: The exposure-response relationship associated with PM₂.₅ is qualitatively different for lung cancer versus cardiovascular mortality. At low exposure levels, cardiovascular deaths are projected to account for most of the burden of disease, whereas at high levels of PM₂.₅, lung cancer becomes proportionately more important.","container-title":"Environmental Health Perspectives","DOI":"10.1289/ehp.1103639","ISSN":"1552-9924","issue":"11","journalAbbreviation":"Environ Health Perspect","language":"eng","note":"PMID: 21768054\nPMCID: PMC3226505","page":"1616-1621","source":"PubMed","title":"Lung cancer and cardiovascular disease mortality associated with ambient air pollution and cigarette smoke: shape of the exposure-response relationships","title-short":"Lung cancer and cardiovascular disease mortality associated with ambient air pollution and cigarette smoke","volume":"119","author":[{"family":"Pope","given":"C. Arden"},{"family":"Burnett","given":"Richard T."},{"family":"Turner","given":"Michelle C."},{"family":"Cohen","given":"Aaron"},{"family":"Krewski","given":"Daniel"},{"family":"Jerrett","given":"Michael"},{"family":"Gapstur","given":"Susan M."},{"family":"Thun","given":"Michael J."}],"issued":{"date-parts":[["2011",11]]}}}],"schema":"https://github.com/citation-style-language/schema/raw/master/csl-citation.json"} </w:instrText>
      </w:r>
      <w:r w:rsidR="00E50C05">
        <w:rPr>
          <w:rFonts w:eastAsia="Times New Roman" w:cs="Times New Roman"/>
        </w:rPr>
        <w:fldChar w:fldCharType="separate"/>
      </w:r>
      <w:r w:rsidR="00E50C05" w:rsidRPr="00E50C05">
        <w:rPr>
          <w:rFonts w:cs="Times New Roman"/>
        </w:rPr>
        <w:t>[3]</w:t>
      </w:r>
      <w:r w:rsidR="00E50C05">
        <w:rPr>
          <w:rFonts w:eastAsia="Times New Roman" w:cs="Times New Roman"/>
        </w:rPr>
        <w:fldChar w:fldCharType="end"/>
      </w:r>
      <w:r w:rsidRPr="00952742">
        <w:rPr>
          <w:rFonts w:eastAsia="Times New Roman" w:cs="Times New Roman"/>
        </w:rPr>
        <w:t xml:space="preserve"> set out</w:t>
      </w:r>
      <w:r>
        <w:rPr>
          <w:rFonts w:eastAsia="Times New Roman" w:cs="Times New Roman"/>
        </w:rPr>
        <w:t xml:space="preserve"> to </w:t>
      </w:r>
      <w:r w:rsidRPr="00952742">
        <w:rPr>
          <w:rFonts w:eastAsia="Times New Roman" w:cs="Times New Roman"/>
        </w:rPr>
        <w:t>compar</w:t>
      </w:r>
      <w:r w:rsidR="00AF113C">
        <w:rPr>
          <w:rFonts w:eastAsia="Times New Roman" w:cs="Times New Roman"/>
        </w:rPr>
        <w:t>e</w:t>
      </w:r>
      <w:r w:rsidRPr="00952742">
        <w:rPr>
          <w:rFonts w:eastAsia="Times New Roman" w:cs="Times New Roman"/>
        </w:rPr>
        <w:t xml:space="preserve"> exposure–response relationships of </w:t>
      </w:r>
      <w:r w:rsidR="004728DE">
        <w:rPr>
          <w:rFonts w:eastAsia="Times New Roman" w:cs="Times New Roman"/>
        </w:rPr>
        <w:t>particulate matter smaller than 2.5 µm (</w:t>
      </w:r>
      <w:r w:rsidRPr="00952742">
        <w:rPr>
          <w:rFonts w:eastAsia="Times New Roman" w:cs="Times New Roman"/>
        </w:rPr>
        <w:t>PM2.5</w:t>
      </w:r>
      <w:r w:rsidR="004728DE">
        <w:rPr>
          <w:rFonts w:eastAsia="Times New Roman" w:cs="Times New Roman"/>
        </w:rPr>
        <w:t>)</w:t>
      </w:r>
      <w:r w:rsidRPr="00952742">
        <w:rPr>
          <w:rFonts w:eastAsia="Times New Roman" w:cs="Times New Roman"/>
        </w:rPr>
        <w:t xml:space="preserve"> with lung cancer</w:t>
      </w:r>
      <w:r>
        <w:rPr>
          <w:rFonts w:eastAsia="Times New Roman" w:cs="Times New Roman"/>
        </w:rPr>
        <w:t xml:space="preserve"> and </w:t>
      </w:r>
      <w:r w:rsidRPr="00952742">
        <w:rPr>
          <w:rFonts w:eastAsia="Times New Roman" w:cs="Times New Roman"/>
        </w:rPr>
        <w:t>cardiovascular mortality and</w:t>
      </w:r>
      <w:r>
        <w:rPr>
          <w:rFonts w:eastAsia="Times New Roman" w:cs="Times New Roman"/>
        </w:rPr>
        <w:t xml:space="preserve"> discussed the implications of exposure to PM2.5 through </w:t>
      </w:r>
      <w:r w:rsidR="00AF113C">
        <w:rPr>
          <w:rFonts w:eastAsia="Times New Roman" w:cs="Times New Roman"/>
        </w:rPr>
        <w:t>s</w:t>
      </w:r>
      <w:r>
        <w:rPr>
          <w:rFonts w:eastAsia="Times New Roman" w:cs="Times New Roman"/>
        </w:rPr>
        <w:t xml:space="preserve">moking, </w:t>
      </w:r>
      <w:r w:rsidR="00AF113C">
        <w:rPr>
          <w:rFonts w:eastAsia="Times New Roman" w:cs="Times New Roman"/>
        </w:rPr>
        <w:t>s</w:t>
      </w:r>
      <w:r>
        <w:rPr>
          <w:rFonts w:eastAsia="Times New Roman" w:cs="Times New Roman"/>
        </w:rPr>
        <w:t xml:space="preserve">econd-hand smoke and ambient PM2.5 pollution. The study was a </w:t>
      </w:r>
      <w:r w:rsidR="003D003A">
        <w:rPr>
          <w:rFonts w:eastAsia="Times New Roman" w:cs="Times New Roman"/>
        </w:rPr>
        <w:t>p</w:t>
      </w:r>
      <w:r w:rsidRPr="00952742">
        <w:rPr>
          <w:rFonts w:eastAsia="Times New Roman" w:cs="Times New Roman"/>
        </w:rPr>
        <w:t xml:space="preserve">rospective cohort </w:t>
      </w:r>
      <w:r>
        <w:rPr>
          <w:rFonts w:eastAsia="Times New Roman" w:cs="Times New Roman"/>
        </w:rPr>
        <w:t>with</w:t>
      </w:r>
      <w:r w:rsidRPr="00952742">
        <w:rPr>
          <w:rFonts w:eastAsia="Times New Roman" w:cs="Times New Roman"/>
        </w:rPr>
        <w:t xml:space="preserve"> 1.2 million </w:t>
      </w:r>
      <w:r>
        <w:rPr>
          <w:rFonts w:eastAsia="Times New Roman" w:cs="Times New Roman"/>
        </w:rPr>
        <w:t xml:space="preserve">US </w:t>
      </w:r>
      <w:r w:rsidRPr="00952742">
        <w:rPr>
          <w:rFonts w:eastAsia="Times New Roman" w:cs="Times New Roman"/>
        </w:rPr>
        <w:t>adults</w:t>
      </w:r>
      <w:r>
        <w:rPr>
          <w:rFonts w:eastAsia="Times New Roman" w:cs="Times New Roman"/>
        </w:rPr>
        <w:t xml:space="preserve"> c</w:t>
      </w:r>
      <w:r w:rsidRPr="00952742">
        <w:rPr>
          <w:rFonts w:eastAsia="Times New Roman" w:cs="Times New Roman"/>
        </w:rPr>
        <w:t>ollected by the American Cancer Society</w:t>
      </w:r>
      <w:r>
        <w:rPr>
          <w:rFonts w:eastAsia="Times New Roman" w:cs="Times New Roman"/>
        </w:rPr>
        <w:t xml:space="preserve">. They were able to plot the relative risk (RR) of the </w:t>
      </w:r>
      <w:r w:rsidRPr="00952742">
        <w:rPr>
          <w:rFonts w:eastAsia="Times New Roman" w:cs="Times New Roman"/>
        </w:rPr>
        <w:t>estimated daily dose of PM2.5 from smoking</w:t>
      </w:r>
      <w:r>
        <w:rPr>
          <w:rFonts w:eastAsia="Times New Roman" w:cs="Times New Roman"/>
        </w:rPr>
        <w:t xml:space="preserve">, second hand smoke and </w:t>
      </w:r>
      <w:r w:rsidRPr="00952742">
        <w:rPr>
          <w:rFonts w:eastAsia="Times New Roman" w:cs="Times New Roman"/>
        </w:rPr>
        <w:t>ambient air pollution</w:t>
      </w:r>
      <w:r>
        <w:rPr>
          <w:rFonts w:eastAsia="Times New Roman" w:cs="Times New Roman"/>
        </w:rPr>
        <w:t xml:space="preserve">. </w:t>
      </w:r>
      <w:r w:rsidR="00E50C05">
        <w:rPr>
          <w:rFonts w:eastAsia="Times New Roman" w:cs="Times New Roman"/>
        </w:rPr>
        <w:t xml:space="preserve">The RR of lung cancer from </w:t>
      </w:r>
      <w:r w:rsidR="00E50C05" w:rsidRPr="00E50C05">
        <w:rPr>
          <w:rFonts w:eastAsia="Times New Roman" w:cs="Times New Roman"/>
        </w:rPr>
        <w:t>10 μg/m</w:t>
      </w:r>
      <w:r w:rsidR="00E50C05">
        <w:rPr>
          <w:rFonts w:eastAsia="Times New Roman" w:cs="Times New Roman"/>
          <w:vertAlign w:val="superscript"/>
        </w:rPr>
        <w:t>3</w:t>
      </w:r>
      <w:r w:rsidR="00E50C05" w:rsidRPr="00E50C05">
        <w:rPr>
          <w:rFonts w:eastAsia="Times New Roman" w:cs="Times New Roman"/>
        </w:rPr>
        <w:t xml:space="preserve"> </w:t>
      </w:r>
      <w:r w:rsidR="00E50C05">
        <w:rPr>
          <w:rFonts w:eastAsia="Times New Roman" w:cs="Times New Roman"/>
        </w:rPr>
        <w:t>of</w:t>
      </w:r>
      <w:r w:rsidR="00E50C05" w:rsidRPr="00E50C05">
        <w:rPr>
          <w:rFonts w:eastAsia="Times New Roman" w:cs="Times New Roman"/>
        </w:rPr>
        <w:t xml:space="preserve"> PM2.5</w:t>
      </w:r>
      <w:r w:rsidR="00E50C05">
        <w:rPr>
          <w:rFonts w:eastAsia="Times New Roman" w:cs="Times New Roman"/>
        </w:rPr>
        <w:t xml:space="preserve"> exposure was </w:t>
      </w:r>
      <w:r w:rsidR="00E50C05" w:rsidRPr="00E50C05">
        <w:rPr>
          <w:rFonts w:eastAsia="Times New Roman" w:cs="Times New Roman"/>
        </w:rPr>
        <w:t>1.21</w:t>
      </w:r>
      <w:r w:rsidR="00E50C05">
        <w:rPr>
          <w:rFonts w:eastAsia="Times New Roman" w:cs="Times New Roman"/>
        </w:rPr>
        <w:t xml:space="preserve">, the same as living with a smoking </w:t>
      </w:r>
      <w:r w:rsidR="0014181E">
        <w:rPr>
          <w:rFonts w:eastAsia="Times New Roman" w:cs="Times New Roman"/>
        </w:rPr>
        <w:t>partner</w:t>
      </w:r>
      <w:r w:rsidR="00E50C05">
        <w:rPr>
          <w:rFonts w:eastAsia="Times New Roman" w:cs="Times New Roman"/>
        </w:rPr>
        <w:t xml:space="preserve">. </w:t>
      </w:r>
    </w:p>
    <w:p w14:paraId="63A65011" w14:textId="7E5A7962" w:rsidR="00935FD6" w:rsidRDefault="00935FD6" w:rsidP="70F8DC4B">
      <w:pPr>
        <w:spacing w:line="257" w:lineRule="auto"/>
        <w:rPr>
          <w:rFonts w:eastAsia="Times New Roman" w:cs="Times New Roman"/>
        </w:rPr>
      </w:pPr>
    </w:p>
    <w:p w14:paraId="123103ED" w14:textId="1E58BC12" w:rsidR="00935FD6" w:rsidRDefault="00935FD6" w:rsidP="00935FD6">
      <w:pPr>
        <w:spacing w:line="257" w:lineRule="auto"/>
        <w:ind w:firstLine="720"/>
        <w:rPr>
          <w:rFonts w:eastAsia="Times New Roman" w:cs="Times New Roman"/>
        </w:rPr>
      </w:pPr>
      <w:r>
        <w:rPr>
          <w:rFonts w:eastAsia="Times New Roman" w:cs="Times New Roman"/>
        </w:rPr>
        <w:t>Brook and his co-</w:t>
      </w:r>
      <w:r w:rsidR="001C2C9B">
        <w:rPr>
          <w:rFonts w:eastAsia="Times New Roman" w:cs="Times New Roman"/>
        </w:rPr>
        <w:t>authors</w:t>
      </w:r>
      <w:r>
        <w:rPr>
          <w:rFonts w:eastAsia="Times New Roman" w:cs="Times New Roman"/>
        </w:rPr>
        <w:t xml:space="preserve"> </w:t>
      </w:r>
      <w:r>
        <w:rPr>
          <w:rFonts w:eastAsia="Times New Roman" w:cs="Times New Roman"/>
        </w:rPr>
        <w:fldChar w:fldCharType="begin"/>
      </w:r>
      <w:r>
        <w:rPr>
          <w:rFonts w:eastAsia="Times New Roman" w:cs="Times New Roman"/>
        </w:rPr>
        <w:instrText xml:space="preserve"> ADDIN ZOTERO_ITEM CSL_CITATION {"citationID":"wrlu8pAH","properties":{"formattedCitation":"[4]","plainCitation":"[4]","noteIndex":0},"citationItems":[{"id":200,"uris":["http://zotero.org/users/10518850/items/IA4FLZAQ"],"itemData":{"id":200,"type":"article-journal","abstract":"In 2004, the first American Heart Association scientific statement on \"Air Pollution and Cardiovascular Disease\" concluded that exposure to particulate matter (PM) air pollution contributes to cardiovascular morbidity and mortality. In the interim, numerous studies have expanded our understanding of this association and further elucidated the physiological and molecular mechanisms involved. The main objective of this updated American Heart Association scientific statement is to provide a comprehensive review of the new evidence linking PM exposure with cardiovascular disease, with a specific focus on highlighting the clinical implications for researchers and healthcare providers. The writing group also sought to provide expert consensus opinions on many aspects of the current state of science and updated suggestions for areas of future research. On the basis of the findings of this review, several new conclusions were reached, including the following: Exposure to PM &lt;2.5 microm in diameter (PM(2.5)) over a few hours to weeks can trigger cardiovascular disease-related mortality and nonfatal events; longer-term exposure (eg, a few years) increases the risk for cardiovascular mortality to an even greater extent than exposures over a few days and reduces life expectancy within more highly exposed segments of the population by several months to a few years; reductions in PM levels are associated with decreases in cardiovascular mortality within a time frame as short as a few years; and many credible pathological mechanisms have been elucidated that lend biological plausibility to these findings. It is the opinion of the writing group that the overall evidence is consistent with a causal relationship between PM(2.5) exposure and cardiovascular morbidity and mortality. This body of evidence has grown and been strengthened substantially since the first American Heart Association scientific statement was published. Finally, PM(2.5) exposure is deemed a modifiable factor that contributes to cardiovascular morbidity and mortality.","container-title":"Circulation","DOI":"10.1161/CIR.0b013e3181dbece1","ISSN":"1524-4539","issue":"21","journalAbbreviation":"Circulation","language":"eng","note":"PMID: 20458016","page":"2331-2378","source":"PubMed","title":"Particulate matter air pollution and cardiovascular disease: An update to the scientific statement from the American Heart Association","title-short":"Particulate matter air pollution and cardiovascular disease","volume":"121","author":[{"family":"Brook","given":"Robert D."},{"family":"Rajagopalan","given":"Sanjay"},{"family":"Pope","given":"C. Arden"},{"family":"Brook","given":"Jeffrey R."},{"family":"Bhatnagar","given":"Aruni"},{"family":"Diez-Roux","given":"Ana V."},{"family":"Holguin","given":"Fernando"},{"family":"Hong","given":"Yuling"},{"family":"Luepker","given":"Russell V."},{"family":"Mittleman","given":"Murray A."},{"family":"Peters","given":"Annette"},{"family":"Siscovick","given":"David"},{"family":"Smith","given":"Sidney C."},{"family":"Whitsel","given":"Laurie"},{"family":"Kaufman","given":"Joel D."},{"literal":"American Heart Association Council on Epidemiology and Prevention, Council on the Kidney in Cardiovascular Disease, and Council on Nutrition, Physical Activity and Metabolism"}],"issued":{"date-parts":[["2010",6,1]]}}}],"schema":"https://github.com/citation-style-language/schema/raw/master/csl-citation.json"} </w:instrText>
      </w:r>
      <w:r>
        <w:rPr>
          <w:rFonts w:eastAsia="Times New Roman" w:cs="Times New Roman"/>
        </w:rPr>
        <w:fldChar w:fldCharType="separate"/>
      </w:r>
      <w:r w:rsidRPr="00B475A3">
        <w:rPr>
          <w:rFonts w:cs="Times New Roman"/>
        </w:rPr>
        <w:t>[4]</w:t>
      </w:r>
      <w:r>
        <w:rPr>
          <w:rFonts w:eastAsia="Times New Roman" w:cs="Times New Roman"/>
        </w:rPr>
        <w:fldChar w:fldCharType="end"/>
      </w:r>
      <w:r>
        <w:rPr>
          <w:rFonts w:eastAsia="Times New Roman" w:cs="Times New Roman"/>
        </w:rPr>
        <w:t xml:space="preserve"> including Pope, in their 2010 study concluded “</w:t>
      </w:r>
      <w:r w:rsidR="00B475A3" w:rsidRPr="00B475A3">
        <w:rPr>
          <w:rFonts w:eastAsia="Times New Roman" w:cs="Times New Roman"/>
        </w:rPr>
        <w:t>Exposure to PM2.5 over a few hours to weeks can trigger cardiovascular disease-related mortality and nonfatal events</w:t>
      </w:r>
      <w:r>
        <w:rPr>
          <w:rFonts w:eastAsia="Times New Roman" w:cs="Times New Roman"/>
        </w:rPr>
        <w:t>.” and “</w:t>
      </w:r>
      <w:r w:rsidR="00B475A3" w:rsidRPr="00B475A3">
        <w:rPr>
          <w:rFonts w:eastAsia="Times New Roman" w:cs="Times New Roman"/>
        </w:rPr>
        <w:t>longer-term exposure (e</w:t>
      </w:r>
      <w:r w:rsidR="001F1265">
        <w:rPr>
          <w:rFonts w:eastAsia="Times New Roman" w:cs="Times New Roman"/>
        </w:rPr>
        <w:t>.</w:t>
      </w:r>
      <w:r w:rsidR="00B475A3" w:rsidRPr="00B475A3">
        <w:rPr>
          <w:rFonts w:eastAsia="Times New Roman" w:cs="Times New Roman"/>
        </w:rPr>
        <w:t>g</w:t>
      </w:r>
      <w:r w:rsidR="001F1265">
        <w:rPr>
          <w:rFonts w:eastAsia="Times New Roman" w:cs="Times New Roman"/>
        </w:rPr>
        <w:t>.</w:t>
      </w:r>
      <w:r w:rsidR="00B475A3" w:rsidRPr="00B475A3">
        <w:rPr>
          <w:rFonts w:eastAsia="Times New Roman" w:cs="Times New Roman"/>
        </w:rPr>
        <w:t xml:space="preserve"> a few years) increases the risk for cardiovascular mortality to an even greater extent and reduces life expectancy within more highly exposed segments of the population by several months to a few years</w:t>
      </w:r>
      <w:r>
        <w:rPr>
          <w:rFonts w:eastAsia="Times New Roman" w:cs="Times New Roman"/>
        </w:rPr>
        <w:t>.” They went on to state that “</w:t>
      </w:r>
      <w:r w:rsidR="00B475A3" w:rsidRPr="00B475A3">
        <w:rPr>
          <w:rFonts w:eastAsia="Times New Roman" w:cs="Times New Roman"/>
        </w:rPr>
        <w:t>reductions in PM levels are associated with decreases in cardiovascular mortality within a time frame as short as a few years</w:t>
      </w:r>
      <w:r>
        <w:rPr>
          <w:rFonts w:eastAsia="Times New Roman" w:cs="Times New Roman"/>
        </w:rPr>
        <w:t>.”</w:t>
      </w:r>
    </w:p>
    <w:p w14:paraId="7A939877" w14:textId="57CB375A" w:rsidR="00B475A3" w:rsidRDefault="00B475A3" w:rsidP="00935FD6">
      <w:pPr>
        <w:spacing w:line="257" w:lineRule="auto"/>
        <w:rPr>
          <w:rFonts w:eastAsia="Times New Roman" w:cs="Times New Roman"/>
        </w:rPr>
      </w:pPr>
    </w:p>
    <w:p w14:paraId="25136846" w14:textId="5A3B09D3" w:rsidR="00094120" w:rsidRDefault="001C2C9B" w:rsidP="00643C20">
      <w:pPr>
        <w:spacing w:line="257" w:lineRule="auto"/>
        <w:ind w:firstLine="720"/>
        <w:rPr>
          <w:rFonts w:eastAsia="Times New Roman" w:cs="Times New Roman"/>
        </w:rPr>
      </w:pPr>
      <w:r>
        <w:rPr>
          <w:rFonts w:eastAsia="Times New Roman" w:cs="Times New Roman"/>
        </w:rPr>
        <w:t xml:space="preserve">Dockery </w:t>
      </w:r>
      <w:r w:rsidR="00EB0D4C">
        <w:rPr>
          <w:rFonts w:eastAsia="Times New Roman" w:cs="Times New Roman"/>
        </w:rPr>
        <w:fldChar w:fldCharType="begin"/>
      </w:r>
      <w:r w:rsidR="00EB0D4C">
        <w:rPr>
          <w:rFonts w:eastAsia="Times New Roman" w:cs="Times New Roman"/>
        </w:rPr>
        <w:instrText xml:space="preserve"> ADDIN ZOTERO_ITEM CSL_CITATION {"citationID":"mnoSIysM","properties":{"formattedCitation":"[5]","plainCitation":"[5]","noteIndex":0},"citationItems":[{"id":203,"uris":["http://zotero.org/users/10518850/items/JNS5SR3V"],"itemData":{"id":203,"type":"article-journal","abstract":"BACKGROUND: Recent studies have reported associations between particulate air pollution and daily mortality rates. Population-based, cross-sectional studies of metropolitan areas in the United States have also found associations between particulate air pollution and annual mortality rates, but these studies have been criticized, in part because they did not directly control for cigarette smoking and other health risks.\nMETHODS: In this prospective cohort study, we estimated the effects of air pollution on mortality, while controlling for individual risk factors. Survival analysis, including Cox proportional-hazards regression modeling, was conducted with data from a 14-to-16-year mortality follow-up of 8111 adults in six U.S. cities.\nRESULTS: Mortality rates were most strongly associated with cigarette smoking. After adjusting for smoking and other risk factors, we observed statistically significant and robust associations between air pollution and mortality. The adjusted mortality-rate ratio for the most polluted of the cities as compared with the least polluted was 1.26 (95 percent confidence interval, 1.08 to 1.47). Air pollution was positively associated with death from lung cancer and cardiopulmonary disease but not with death from other causes considered together. Mortality was most strongly associated with air pollution with fine particulates, including sulfates.\nCONCLUSIONS: Although the effects of other, unmeasured risk factors cannot be excluded with certainty, these results suggest that fine-particulate air pollution, or a more complex pollution mixture associated with fine particulate matter, contributes to excess mortality in certain U.S. cities.","container-title":"The New England Journal of Medicine","DOI":"10.1056/NEJM199312093292401","ISSN":"0028-4793","issue":"24","journalAbbreviation":"N Engl J Med","language":"eng","note":"PMID: 8179653","page":"1753-1759","source":"PubMed","title":"An association between air pollution and mortality in six U.S. cities","volume":"329","author":[{"family":"Dockery","given":"D. W."},{"family":"Pope","given":"C. A."},{"family":"Xu","given":"X."},{"family":"Spengler","given":"J. D."},{"family":"Ware","given":"J. H."},{"family":"Fay","given":"M. E."},{"family":"Ferris","given":"B. G."},{"family":"Speizer","given":"F. E."}],"issued":{"date-parts":[["1993",12,9]]}}}],"schema":"https://github.com/citation-style-language/schema/raw/master/csl-citation.json"} </w:instrText>
      </w:r>
      <w:r w:rsidR="00EB0D4C">
        <w:rPr>
          <w:rFonts w:eastAsia="Times New Roman" w:cs="Times New Roman"/>
        </w:rPr>
        <w:fldChar w:fldCharType="separate"/>
      </w:r>
      <w:r w:rsidR="00EB0D4C" w:rsidRPr="00EB0D4C">
        <w:rPr>
          <w:rFonts w:cs="Times New Roman"/>
        </w:rPr>
        <w:t>[5]</w:t>
      </w:r>
      <w:r w:rsidR="00EB0D4C">
        <w:rPr>
          <w:rFonts w:eastAsia="Times New Roman" w:cs="Times New Roman"/>
        </w:rPr>
        <w:fldChar w:fldCharType="end"/>
      </w:r>
      <w:r w:rsidR="00EB0D4C">
        <w:rPr>
          <w:rFonts w:eastAsia="Times New Roman" w:cs="Times New Roman"/>
        </w:rPr>
        <w:t xml:space="preserve"> conducted a study with his co-authors of the data of  </w:t>
      </w:r>
      <w:r w:rsidR="00EB0D4C" w:rsidRPr="00EB0D4C">
        <w:rPr>
          <w:rFonts w:eastAsia="Times New Roman" w:cs="Times New Roman"/>
        </w:rPr>
        <w:t>8</w:t>
      </w:r>
      <w:r w:rsidR="00AF55E4">
        <w:rPr>
          <w:rFonts w:eastAsia="Times New Roman" w:cs="Times New Roman"/>
        </w:rPr>
        <w:t>,</w:t>
      </w:r>
      <w:r w:rsidR="00EB0D4C" w:rsidRPr="00EB0D4C">
        <w:rPr>
          <w:rFonts w:eastAsia="Times New Roman" w:cs="Times New Roman"/>
        </w:rPr>
        <w:t>111 adults in six U.S. cities</w:t>
      </w:r>
      <w:r w:rsidR="00EB0D4C">
        <w:rPr>
          <w:rFonts w:eastAsia="Times New Roman" w:cs="Times New Roman"/>
        </w:rPr>
        <w:t xml:space="preserve"> with a </w:t>
      </w:r>
      <w:r w:rsidR="00EB0D4C" w:rsidRPr="00EB0D4C">
        <w:rPr>
          <w:rFonts w:eastAsia="Times New Roman" w:cs="Times New Roman"/>
        </w:rPr>
        <w:t>14-to-16-year</w:t>
      </w:r>
      <w:r w:rsidR="00EB0D4C">
        <w:rPr>
          <w:rFonts w:eastAsia="Times New Roman" w:cs="Times New Roman"/>
        </w:rPr>
        <w:t xml:space="preserve"> </w:t>
      </w:r>
      <w:r w:rsidR="00EB0D4C" w:rsidRPr="00EB0D4C">
        <w:rPr>
          <w:rFonts w:eastAsia="Times New Roman" w:cs="Times New Roman"/>
        </w:rPr>
        <w:t>mortality follow-up</w:t>
      </w:r>
      <w:r w:rsidR="00EB0D4C">
        <w:rPr>
          <w:rFonts w:eastAsia="Times New Roman" w:cs="Times New Roman"/>
        </w:rPr>
        <w:t>. The</w:t>
      </w:r>
      <w:r w:rsidR="008E4D74">
        <w:rPr>
          <w:rFonts w:eastAsia="Times New Roman" w:cs="Times New Roman"/>
        </w:rPr>
        <w:t>y</w:t>
      </w:r>
      <w:r w:rsidR="00EB0D4C">
        <w:rPr>
          <w:rFonts w:eastAsia="Times New Roman" w:cs="Times New Roman"/>
        </w:rPr>
        <w:t xml:space="preserve"> found </w:t>
      </w:r>
      <w:r w:rsidR="008E4D74">
        <w:rPr>
          <w:rFonts w:eastAsia="Times New Roman" w:cs="Times New Roman"/>
        </w:rPr>
        <w:t>the</w:t>
      </w:r>
      <w:r w:rsidR="00EB0D4C">
        <w:rPr>
          <w:rFonts w:eastAsia="Times New Roman" w:cs="Times New Roman"/>
        </w:rPr>
        <w:t xml:space="preserve"> </w:t>
      </w:r>
      <w:r w:rsidR="00EB0D4C" w:rsidRPr="00EB0D4C">
        <w:rPr>
          <w:rFonts w:eastAsia="Times New Roman" w:cs="Times New Roman"/>
        </w:rPr>
        <w:t>adjusted mortality-rate ratio for the most polluted of the cities as compared with the least polluted was 1.26</w:t>
      </w:r>
      <w:r w:rsidR="00EB0D4C">
        <w:rPr>
          <w:rFonts w:eastAsia="Times New Roman" w:cs="Times New Roman"/>
        </w:rPr>
        <w:t xml:space="preserve">. This demonstrates that even a reduction in PM2.5 ambient pollution to match a lesser polluted US city, could reduce </w:t>
      </w:r>
      <w:r w:rsidR="00D86ABF">
        <w:rPr>
          <w:rFonts w:eastAsia="Times New Roman" w:cs="Times New Roman"/>
        </w:rPr>
        <w:t xml:space="preserve">PM2.5 </w:t>
      </w:r>
      <w:r w:rsidR="00D86ABF" w:rsidRPr="00EB0D4C">
        <w:rPr>
          <w:rFonts w:eastAsia="Times New Roman" w:cs="Times New Roman"/>
        </w:rPr>
        <w:t>mortality</w:t>
      </w:r>
      <w:r w:rsidR="00EB0D4C">
        <w:rPr>
          <w:rFonts w:eastAsia="Times New Roman" w:cs="Times New Roman"/>
        </w:rPr>
        <w:t xml:space="preserve"> by 2</w:t>
      </w:r>
      <w:r w:rsidR="00D86ABF">
        <w:rPr>
          <w:rFonts w:eastAsia="Times New Roman" w:cs="Times New Roman"/>
        </w:rPr>
        <w:t>3</w:t>
      </w:r>
      <w:r w:rsidR="00EB0D4C">
        <w:rPr>
          <w:rFonts w:eastAsia="Times New Roman" w:cs="Times New Roman"/>
        </w:rPr>
        <w:t xml:space="preserve"> percent.  </w:t>
      </w:r>
      <w:r w:rsidR="00D86ABF">
        <w:rPr>
          <w:rFonts w:eastAsia="Times New Roman" w:cs="Times New Roman"/>
        </w:rPr>
        <w:t xml:space="preserve">They did control for smoking which is a major source of PM2.5 </w:t>
      </w:r>
      <w:r w:rsidR="003D003A">
        <w:rPr>
          <w:rFonts w:eastAsia="Times New Roman" w:cs="Times New Roman"/>
        </w:rPr>
        <w:t>although</w:t>
      </w:r>
      <w:r w:rsidR="00D86ABF">
        <w:rPr>
          <w:rFonts w:eastAsia="Times New Roman" w:cs="Times New Roman"/>
        </w:rPr>
        <w:t xml:space="preserve"> they stated that “</w:t>
      </w:r>
      <w:r w:rsidR="00094120" w:rsidRPr="00094120">
        <w:rPr>
          <w:rFonts w:eastAsia="Times New Roman" w:cs="Times New Roman"/>
        </w:rPr>
        <w:t>the effects of other, unmeasured risk factors cannot be excluded with certainty</w:t>
      </w:r>
      <w:r w:rsidR="00D86ABF">
        <w:rPr>
          <w:rFonts w:eastAsia="Times New Roman" w:cs="Times New Roman"/>
        </w:rPr>
        <w:t>.”</w:t>
      </w:r>
    </w:p>
    <w:p w14:paraId="70F66123" w14:textId="4D10F4EA" w:rsidR="00852585" w:rsidRDefault="00852585" w:rsidP="70F8DC4B">
      <w:pPr>
        <w:spacing w:line="257" w:lineRule="auto"/>
        <w:rPr>
          <w:rFonts w:eastAsia="Times New Roman" w:cs="Times New Roman"/>
        </w:rPr>
      </w:pPr>
    </w:p>
    <w:p w14:paraId="1E90A447" w14:textId="555AE9B2" w:rsidR="00874D94" w:rsidRPr="00874D94" w:rsidRDefault="00874D94" w:rsidP="70F8DC4B">
      <w:pPr>
        <w:spacing w:line="257" w:lineRule="auto"/>
        <w:rPr>
          <w:rFonts w:eastAsia="Times New Roman" w:cs="Times New Roman"/>
        </w:rPr>
      </w:pPr>
      <w:r>
        <w:rPr>
          <w:rFonts w:eastAsia="Times New Roman" w:cs="Times New Roman"/>
        </w:rPr>
        <w:tab/>
      </w:r>
      <w:r w:rsidRPr="00874D94">
        <w:rPr>
          <w:rFonts w:eastAsia="Times New Roman" w:cs="Times New Roman"/>
        </w:rPr>
        <w:t>Laden</w:t>
      </w:r>
      <w:r>
        <w:rPr>
          <w:rFonts w:eastAsia="Times New Roman" w:cs="Times New Roman"/>
        </w:rPr>
        <w:t xml:space="preserve"> and her co-authors </w:t>
      </w:r>
      <w:r>
        <w:rPr>
          <w:rFonts w:eastAsia="Times New Roman" w:cs="Times New Roman"/>
        </w:rPr>
        <w:fldChar w:fldCharType="begin"/>
      </w:r>
      <w:r w:rsidR="009D4BD2">
        <w:rPr>
          <w:rFonts w:eastAsia="Times New Roman" w:cs="Times New Roman"/>
        </w:rPr>
        <w:instrText xml:space="preserve"> ADDIN ZOTERO_ITEM CSL_CITATION {"citationID":"otJdxHer","properties":{"formattedCitation":"[6]","plainCitation":"[6]","noteIndex":0},"citationItems":[{"id":207,"uris":["http://zotero.org/users/10518850/items/V64I5TIY"],"itemData":{"id":207,"type":"article-journal","abstract":"RATIONALE: A large body of epidemiologic literature has found an association of increased fine particulate air pollution (PM2.5) with acute and chronic mortality. The effect of improvements in particle exposure is less clear.\nOBJECTIVES: Earlier analysis of the Harvard Six Cities adult cohort study showed an association between long-term ambient PM2.5 and mortality between enrollment in the mid-1970s and follow-up until 1990. We extended mortality follow-up for 8 yr in a period of reduced air pollution concentrations.\nMETHODS: Annual city-specific PM2.5 concentrations were measured between 1979 and 1988, and estimated for later years from publicly available data. Exposure was defined as (1) city-specific mean PM2.5 during the two follow-up periods, (2) mean PM2.5 in the first period and change between these periods, (3) overall mean PM2.5 across the entire follow-up, and (4) year-specific mean PM2.5. Mortality rate ratios were estimated with Cox proportional hazards regression controlling for individual risk factors.\nMEASUREMENTS AND MAIN RESULTS: We found an increase in overall mortality associated with each 10 microg/m3 increase in PM2.5 modeled either as the overall mean (rate ratio [RR], 1.16; 95% confidence interval [CI], 1.07-1.26) or as exposure in the year of death (RR, 1.14; 95% CI, 1.06-1.22). PM2.5 exposure was associated with lung cancer (RR, 1.27; 95% CI, 0.96-1.69) and cardiovascular deaths (RR, 1.28; 95% CI, 1.13-1.44). Improved overall mortality was associated with decreased mean PM2.5 (10 microg/m3) between periods (RR, 0.73; 95% CI, 0.57-0.95).\nCONCLUSION: Total, cardiovascular, and lung cancer mortality were each positively associated with ambient PM2.5 concentrations. Reduced PM2.5 concentrations were associated with reduced mortality risk.","container-title":"American Journal of Respiratory and Critical Care Medicine","DOI":"10.1164/rccm.200503-443OC","ISSN":"1073-449X","issue":"6","journalAbbreviation":"Am J Respir Crit Care Med","language":"eng","note":"PMID: 16424447\nPMCID: PMC2662950","page":"667-672","source":"PubMed","title":"Reduction in fine particulate air pollution and mortality: Extended follow-up of the Harvard Six Cities study","title-short":"Reduction in fine particulate air pollution and mortality","volume":"173","author":[{"family":"Laden","given":"Francine"},{"family":"Schwartz","given":"Joel"},{"family":"Speizer","given":"Frank E."},{"family":"Dockery","given":"Douglas W."}],"issued":{"date-parts":[["2006",3,15]]}}}],"schema":"https://github.com/citation-style-language/schema/raw/master/csl-citation.json"} </w:instrText>
      </w:r>
      <w:r>
        <w:rPr>
          <w:rFonts w:eastAsia="Times New Roman" w:cs="Times New Roman"/>
        </w:rPr>
        <w:fldChar w:fldCharType="separate"/>
      </w:r>
      <w:r w:rsidR="009D4BD2" w:rsidRPr="009D4BD2">
        <w:rPr>
          <w:rFonts w:cs="Times New Roman"/>
        </w:rPr>
        <w:t>[6]</w:t>
      </w:r>
      <w:r>
        <w:rPr>
          <w:rFonts w:eastAsia="Times New Roman" w:cs="Times New Roman"/>
        </w:rPr>
        <w:fldChar w:fldCharType="end"/>
      </w:r>
      <w:r>
        <w:rPr>
          <w:rFonts w:eastAsia="Times New Roman" w:cs="Times New Roman"/>
        </w:rPr>
        <w:t xml:space="preserve"> also found the link between PM2.5 ambient pollution exposure and </w:t>
      </w:r>
      <w:r w:rsidRPr="00874D94">
        <w:rPr>
          <w:rFonts w:eastAsia="Times New Roman" w:cs="Times New Roman"/>
        </w:rPr>
        <w:t>acute and chronic mortality</w:t>
      </w:r>
      <w:r>
        <w:rPr>
          <w:rFonts w:eastAsia="Times New Roman" w:cs="Times New Roman"/>
        </w:rPr>
        <w:t>. Using the same dataset as Dockery, they found that “</w:t>
      </w:r>
      <w:r w:rsidRPr="00874D94">
        <w:rPr>
          <w:rFonts w:eastAsia="Times New Roman" w:cs="Times New Roman"/>
        </w:rPr>
        <w:t>PM2.5 exposure was associated with lung cancer (RR 1.27) and cardiovascular deaths (RR</w:t>
      </w:r>
      <w:r>
        <w:rPr>
          <w:rFonts w:eastAsia="Times New Roman" w:cs="Times New Roman"/>
        </w:rPr>
        <w:t xml:space="preserve"> </w:t>
      </w:r>
      <w:r w:rsidRPr="00874D94">
        <w:rPr>
          <w:rFonts w:eastAsia="Times New Roman" w:cs="Times New Roman"/>
        </w:rPr>
        <w:t>1.28</w:t>
      </w:r>
      <w:r>
        <w:rPr>
          <w:rFonts w:eastAsia="Times New Roman" w:cs="Times New Roman"/>
        </w:rPr>
        <w:t>)”. They also found that a reduction of the mean PM2.5 by 10</w:t>
      </w:r>
      <w:r w:rsidRPr="00874D94">
        <w:t xml:space="preserve"> </w:t>
      </w:r>
      <w:r w:rsidRPr="00513662">
        <w:t>μ</w:t>
      </w:r>
      <w:r>
        <w:t>g/m</w:t>
      </w:r>
      <w:r>
        <w:rPr>
          <w:vertAlign w:val="superscript"/>
        </w:rPr>
        <w:t>3</w:t>
      </w:r>
      <w:r>
        <w:t xml:space="preserve"> </w:t>
      </w:r>
      <w:r w:rsidR="00EB08DE">
        <w:t xml:space="preserve">improved the health outcome over an 8 year period (RR 0.73). </w:t>
      </w:r>
    </w:p>
    <w:p w14:paraId="3ECC7326" w14:textId="446A5EDB" w:rsidR="00852585" w:rsidRDefault="00852585" w:rsidP="00852585">
      <w:pPr>
        <w:spacing w:line="257" w:lineRule="auto"/>
        <w:rPr>
          <w:rFonts w:eastAsia="Times New Roman" w:cs="Times New Roman"/>
        </w:rPr>
      </w:pPr>
    </w:p>
    <w:p w14:paraId="04CD08CD" w14:textId="77777777" w:rsidR="00B11EAF" w:rsidRDefault="00EB08DE" w:rsidP="004565BD">
      <w:pPr>
        <w:spacing w:line="257" w:lineRule="auto"/>
        <w:rPr>
          <w:rFonts w:eastAsia="Times New Roman" w:cs="Times New Roman"/>
        </w:rPr>
      </w:pPr>
      <w:r>
        <w:rPr>
          <w:rFonts w:eastAsia="Times New Roman" w:cs="Times New Roman"/>
        </w:rPr>
        <w:tab/>
        <w:t xml:space="preserve">Miller </w:t>
      </w:r>
      <w:r w:rsidR="009D4BD2">
        <w:rPr>
          <w:rFonts w:eastAsia="Times New Roman" w:cs="Times New Roman"/>
        </w:rPr>
        <w:t xml:space="preserve">studied </w:t>
      </w:r>
      <w:r w:rsidR="009D4BD2" w:rsidRPr="009D4BD2">
        <w:rPr>
          <w:rFonts w:eastAsia="Times New Roman" w:cs="Times New Roman"/>
        </w:rPr>
        <w:t>65,893 postmenopausal women</w:t>
      </w:r>
      <w:r w:rsidR="009D4BD2" w:rsidRPr="009D4BD2">
        <w:t xml:space="preserve"> </w:t>
      </w:r>
      <w:r w:rsidR="009D4BD2" w:rsidRPr="009D4BD2">
        <w:rPr>
          <w:rFonts w:eastAsia="Times New Roman" w:cs="Times New Roman"/>
        </w:rPr>
        <w:t>without previous cardiovascular disease in 36 U.S. metropolitan areas from 1994 to 1998</w:t>
      </w:r>
      <w:r w:rsidR="009D4BD2" w:rsidRPr="009D4BD2">
        <w:t xml:space="preserve"> </w:t>
      </w:r>
      <w:r w:rsidR="009D4BD2">
        <w:t xml:space="preserve">with a </w:t>
      </w:r>
      <w:r w:rsidR="009D4BD2" w:rsidRPr="009D4BD2">
        <w:rPr>
          <w:rFonts w:eastAsia="Times New Roman" w:cs="Times New Roman"/>
        </w:rPr>
        <w:t>median follow-up of 6 years</w:t>
      </w:r>
      <w:r w:rsidR="009D4BD2">
        <w:rPr>
          <w:rFonts w:eastAsia="Times New Roman" w:cs="Times New Roman"/>
        </w:rPr>
        <w:t xml:space="preserve"> and their PM2.5 exposure by taking the measurements from a </w:t>
      </w:r>
      <w:r w:rsidR="009D4BD2" w:rsidRPr="009D4BD2">
        <w:rPr>
          <w:rFonts w:eastAsia="Times New Roman" w:cs="Times New Roman"/>
        </w:rPr>
        <w:t>monitor located nearest to each woman's residence</w:t>
      </w:r>
      <w:r w:rsidR="00B11EAF">
        <w:rPr>
          <w:rFonts w:eastAsia="Times New Roman" w:cs="Times New Roman"/>
        </w:rPr>
        <w:t xml:space="preserve"> </w:t>
      </w:r>
      <w:r w:rsidR="00B11EAF">
        <w:rPr>
          <w:rFonts w:eastAsia="Times New Roman" w:cs="Times New Roman"/>
        </w:rPr>
        <w:fldChar w:fldCharType="begin"/>
      </w:r>
      <w:r w:rsidR="00B11EAF">
        <w:rPr>
          <w:rFonts w:eastAsia="Times New Roman" w:cs="Times New Roman"/>
        </w:rPr>
        <w:instrText xml:space="preserve"> ADDIN ZOTERO_ITEM CSL_CITATION {"citationID":"sxg9ab1E","properties":{"formattedCitation":"[7]","plainCitation":"[7]","noteIndex":0},"citationItems":[{"id":210,"uris":["http://zotero.org/users/10518850/items/RKUN73TS"],"itemData":{"id":210,"type":"article-journal","abstract":"BACKGROUND: Fine particulate air pollution has been linked to cardiovascular disease, but previous studies have assessed only mortality and differences in exposure between cities. We examined the association of long-term exposure to particulate matter of less than 2.5 microm in aerodynamic diameter (PM2.5) with cardiovascular events.\nMETHODS: We studied 65,893 postmenopausal women without previous cardiovascular disease in 36 U.S. metropolitan areas from 1994 to 1998, with a median follow-up of 6 years. We assessed the women's exposure to air pollutants using the monitor located nearest to each woman's residence. Hazard ratios were estimated for the first cardiovascular event, adjusting for age, race or ethnic group, smoking status, educational level, household income, body-mass index, and presence or absence of diabetes, hypertension, or hypercholesterolemia.\nRESULTS: A total of 1816 women had one or more fatal or nonfatal cardiovascular events, as confirmed by a review of medical records, including death from coronary heart disease or cerebrovascular disease, coronary revascularization, myocardial infarction, and stroke. In 2000, levels of PM2.5 exposure varied from 3.4 to 28.3 microg per cubic meter (mean, 13.5). Each increase of 10 microg per cubic meter was associated with a 24% increase in the risk of a cardiovascular event (hazard ratio, 1.24; 95% confidence interval [CI], 1.09 to 1.41) and a 76% increase in the risk of death from cardiovascular disease (hazard ratio, 1.76; 95% CI, 1.25 to 2.47). For cardiovascular events, the between-city effect appeared to be smaller than the within-city effect. The risk of cerebrovascular events was also associated with increased levels of PM2.5 (hazard ratio, 1.35; 95% CI, 1.08 to 1.68).\nCONCLUSIONS: Long-term exposure to fine particulate air pollution is associated with the incidence of cardiovascular disease and death among postmenopausal women. Exposure differences within cities are associated with the risk of cardiovascular disease.","container-title":"The New England Journal of Medicine","DOI":"10.1056/NEJMoa054409","ISSN":"1533-4406","issue":"5","journalAbbreviation":"N Engl J Med","language":"eng","note":"PMID: 17267905","page":"447-458","source":"PubMed","title":"Long-term exposure to air pollution and incidence of cardiovascular events in women","volume":"356","author":[{"family":"Miller","given":"Kristin A."},{"family":"Siscovick","given":"David S."},{"family":"Sheppard","given":"Lianne"},{"family":"Shepherd","given":"Kristen"},{"family":"Sullivan","given":"Jeffrey H."},{"family":"Anderson","given":"Garnet L."},{"family":"Kaufman","given":"Joel D."}],"issued":{"date-parts":[["2007",2,1]]}}}],"schema":"https://github.com/citation-style-language/schema/raw/master/csl-citation.json"} </w:instrText>
      </w:r>
      <w:r w:rsidR="00B11EAF">
        <w:rPr>
          <w:rFonts w:eastAsia="Times New Roman" w:cs="Times New Roman"/>
        </w:rPr>
        <w:fldChar w:fldCharType="separate"/>
      </w:r>
      <w:r w:rsidR="00B11EAF" w:rsidRPr="009D4BD2">
        <w:rPr>
          <w:rFonts w:cs="Times New Roman"/>
        </w:rPr>
        <w:t>[7]</w:t>
      </w:r>
      <w:r w:rsidR="00B11EAF">
        <w:rPr>
          <w:rFonts w:eastAsia="Times New Roman" w:cs="Times New Roman"/>
        </w:rPr>
        <w:fldChar w:fldCharType="end"/>
      </w:r>
      <w:r w:rsidR="009D4BD2">
        <w:rPr>
          <w:rFonts w:eastAsia="Times New Roman" w:cs="Times New Roman"/>
        </w:rPr>
        <w:t>. They found that</w:t>
      </w:r>
      <w:r w:rsidR="009D4BD2" w:rsidRPr="009D4BD2">
        <w:t xml:space="preserve"> </w:t>
      </w:r>
      <w:r w:rsidR="009D4BD2">
        <w:t>“</w:t>
      </w:r>
      <w:r w:rsidR="009D4BD2">
        <w:rPr>
          <w:rFonts w:eastAsia="Times New Roman" w:cs="Times New Roman"/>
        </w:rPr>
        <w:t>e</w:t>
      </w:r>
      <w:r w:rsidR="009D4BD2" w:rsidRPr="009D4BD2">
        <w:rPr>
          <w:rFonts w:eastAsia="Times New Roman" w:cs="Times New Roman"/>
        </w:rPr>
        <w:t>ach increase of 10</w:t>
      </w:r>
      <w:r w:rsidR="009D4BD2" w:rsidRPr="009D4BD2">
        <w:t xml:space="preserve"> </w:t>
      </w:r>
      <w:r w:rsidR="009D4BD2" w:rsidRPr="00513662">
        <w:t>μ</w:t>
      </w:r>
      <w:r w:rsidR="009D4BD2">
        <w:t>g/m</w:t>
      </w:r>
      <w:r w:rsidR="009D4BD2">
        <w:rPr>
          <w:vertAlign w:val="superscript"/>
        </w:rPr>
        <w:t>3</w:t>
      </w:r>
      <w:r w:rsidR="009D4BD2" w:rsidRPr="009D4BD2">
        <w:rPr>
          <w:rFonts w:eastAsia="Times New Roman" w:cs="Times New Roman"/>
        </w:rPr>
        <w:t xml:space="preserve"> was associated with a 24% increase</w:t>
      </w:r>
      <w:r w:rsidR="009D4BD2">
        <w:rPr>
          <w:rFonts w:eastAsia="Times New Roman" w:cs="Times New Roman"/>
        </w:rPr>
        <w:t xml:space="preserve"> </w:t>
      </w:r>
      <w:r w:rsidR="009D4BD2" w:rsidRPr="009D4BD2">
        <w:rPr>
          <w:rFonts w:eastAsia="Times New Roman" w:cs="Times New Roman"/>
        </w:rPr>
        <w:t>in the risk of a cardiovascular event</w:t>
      </w:r>
      <w:r w:rsidR="009D4BD2">
        <w:rPr>
          <w:rFonts w:eastAsia="Times New Roman" w:cs="Times New Roman"/>
        </w:rPr>
        <w:t xml:space="preserve"> </w:t>
      </w:r>
      <w:r w:rsidR="009D4BD2" w:rsidRPr="009D4BD2">
        <w:rPr>
          <w:rFonts w:eastAsia="Times New Roman" w:cs="Times New Roman"/>
        </w:rPr>
        <w:t>and a 76% increase in the risk of death from cardiovascular disease</w:t>
      </w:r>
      <w:r w:rsidR="009D4BD2">
        <w:rPr>
          <w:rFonts w:eastAsia="Times New Roman" w:cs="Times New Roman"/>
        </w:rPr>
        <w:t>.”</w:t>
      </w:r>
      <w:r w:rsidR="00B11EAF">
        <w:rPr>
          <w:rFonts w:eastAsia="Times New Roman" w:cs="Times New Roman"/>
        </w:rPr>
        <w:t xml:space="preserve"> </w:t>
      </w:r>
    </w:p>
    <w:p w14:paraId="64C36124" w14:textId="77777777" w:rsidR="00066A69" w:rsidRDefault="00066A69" w:rsidP="004565BD">
      <w:pPr>
        <w:spacing w:line="257" w:lineRule="auto"/>
        <w:rPr>
          <w:rFonts w:eastAsia="Times New Roman" w:cs="Times New Roman"/>
        </w:rPr>
      </w:pPr>
    </w:p>
    <w:p w14:paraId="48D9153F" w14:textId="4B10EA14" w:rsidR="00B11EAF" w:rsidRDefault="00B11EAF" w:rsidP="004565BD">
      <w:pPr>
        <w:spacing w:line="257" w:lineRule="auto"/>
        <w:rPr>
          <w:rFonts w:eastAsia="Times New Roman" w:cs="Times New Roman"/>
        </w:rPr>
      </w:pPr>
    </w:p>
    <w:p w14:paraId="55FD0811" w14:textId="191FDFA7" w:rsidR="00B11EAF" w:rsidRDefault="00B11EAF" w:rsidP="00EB08DE">
      <w:pPr>
        <w:spacing w:line="257" w:lineRule="auto"/>
        <w:rPr>
          <w:rFonts w:eastAsia="Times New Roman" w:cs="Times New Roman"/>
        </w:rPr>
      </w:pPr>
      <w:r>
        <w:rPr>
          <w:rFonts w:eastAsia="Times New Roman" w:cs="Times New Roman"/>
        </w:rPr>
        <w:lastRenderedPageBreak/>
        <w:tab/>
      </w:r>
      <w:r w:rsidR="00C31F2C">
        <w:rPr>
          <w:rFonts w:eastAsia="Times New Roman" w:cs="Times New Roman"/>
        </w:rPr>
        <w:t xml:space="preserve">These studies show a strong and consistent link between exposure to ambient PM2.5 pollution and lung and </w:t>
      </w:r>
      <w:r w:rsidR="00C31F2C" w:rsidRPr="00B475A3">
        <w:rPr>
          <w:rFonts w:eastAsia="Times New Roman" w:cs="Times New Roman"/>
        </w:rPr>
        <w:t>cardiovascular</w:t>
      </w:r>
      <w:r w:rsidR="00C31F2C">
        <w:rPr>
          <w:rFonts w:eastAsia="Times New Roman" w:cs="Times New Roman"/>
        </w:rPr>
        <w:t xml:space="preserve"> disease. </w:t>
      </w:r>
      <w:r w:rsidR="003503E3">
        <w:rPr>
          <w:rFonts w:eastAsia="Times New Roman" w:cs="Times New Roman"/>
        </w:rPr>
        <w:t>They have controlled well for smoking</w:t>
      </w:r>
      <w:r w:rsidR="002F3E5C">
        <w:rPr>
          <w:rFonts w:eastAsia="Times New Roman" w:cs="Times New Roman"/>
        </w:rPr>
        <w:t xml:space="preserve">, </w:t>
      </w:r>
      <w:r w:rsidR="003503E3">
        <w:rPr>
          <w:rFonts w:eastAsia="Times New Roman" w:cs="Times New Roman"/>
        </w:rPr>
        <w:t xml:space="preserve">second hand smoke, and </w:t>
      </w:r>
      <w:r w:rsidR="002F3E5C">
        <w:rPr>
          <w:rFonts w:eastAsia="Times New Roman" w:cs="Times New Roman"/>
        </w:rPr>
        <w:t>other factors</w:t>
      </w:r>
      <w:r w:rsidR="003503E3">
        <w:rPr>
          <w:rFonts w:eastAsia="Times New Roman" w:cs="Times New Roman"/>
        </w:rPr>
        <w:t xml:space="preserve">, with Miller stating that they </w:t>
      </w:r>
      <w:r w:rsidR="003503E3" w:rsidRPr="003503E3">
        <w:rPr>
          <w:rFonts w:eastAsia="Times New Roman" w:cs="Times New Roman"/>
        </w:rPr>
        <w:t>adjust</w:t>
      </w:r>
      <w:r w:rsidR="003503E3">
        <w:rPr>
          <w:rFonts w:eastAsia="Times New Roman" w:cs="Times New Roman"/>
        </w:rPr>
        <w:t>ed</w:t>
      </w:r>
      <w:r w:rsidR="003503E3" w:rsidRPr="003503E3">
        <w:rPr>
          <w:rFonts w:eastAsia="Times New Roman" w:cs="Times New Roman"/>
        </w:rPr>
        <w:t xml:space="preserve"> for age, race or ethnic group, smoking status, educational level, household income, body-mass index, and presence or absence of diabetes, hypertension, or hypercholesterolemia.</w:t>
      </w:r>
      <w:r w:rsidR="003503E3">
        <w:rPr>
          <w:rFonts w:eastAsia="Times New Roman" w:cs="Times New Roman"/>
        </w:rPr>
        <w:t xml:space="preserve"> </w:t>
      </w:r>
      <w:r w:rsidR="003503E3">
        <w:rPr>
          <w:rFonts w:eastAsia="Times New Roman" w:cs="Times New Roman"/>
        </w:rPr>
        <w:fldChar w:fldCharType="begin"/>
      </w:r>
      <w:r w:rsidR="003503E3">
        <w:rPr>
          <w:rFonts w:eastAsia="Times New Roman" w:cs="Times New Roman"/>
        </w:rPr>
        <w:instrText xml:space="preserve"> ADDIN ZOTERO_ITEM CSL_CITATION {"citationID":"DK9aRAYy","properties":{"formattedCitation":"[7]","plainCitation":"[7]","noteIndex":0},"citationItems":[{"id":210,"uris":["http://zotero.org/users/10518850/items/RKUN73TS"],"itemData":{"id":210,"type":"article-journal","abstract":"BACKGROUND: Fine particulate air pollution has been linked to cardiovascular disease, but previous studies have assessed only mortality and differences in exposure between cities. We examined the association of long-term exposure to particulate matter of less than 2.5 microm in aerodynamic diameter (PM2.5) with cardiovascular events.\nMETHODS: We studied 65,893 postmenopausal women without previous cardiovascular disease in 36 U.S. metropolitan areas from 1994 to 1998, with a median follow-up of 6 years. We assessed the women's exposure to air pollutants using the monitor located nearest to each woman's residence. Hazard ratios were estimated for the first cardiovascular event, adjusting for age, race or ethnic group, smoking status, educational level, household income, body-mass index, and presence or absence of diabetes, hypertension, or hypercholesterolemia.\nRESULTS: A total of 1816 women had one or more fatal or nonfatal cardiovascular events, as confirmed by a review of medical records, including death from coronary heart disease or cerebrovascular disease, coronary revascularization, myocardial infarction, and stroke. In 2000, levels of PM2.5 exposure varied from 3.4 to 28.3 microg per cubic meter (mean, 13.5). Each increase of 10 microg per cubic meter was associated with a 24% increase in the risk of a cardiovascular event (hazard ratio, 1.24; 95% confidence interval [CI], 1.09 to 1.41) and a 76% increase in the risk of death from cardiovascular disease (hazard ratio, 1.76; 95% CI, 1.25 to 2.47). For cardiovascular events, the between-city effect appeared to be smaller than the within-city effect. The risk of cerebrovascular events was also associated with increased levels of PM2.5 (hazard ratio, 1.35; 95% CI, 1.08 to 1.68).\nCONCLUSIONS: Long-term exposure to fine particulate air pollution is associated with the incidence of cardiovascular disease and death among postmenopausal women. Exposure differences within cities are associated with the risk of cardiovascular disease.","container-title":"The New England Journal of Medicine","DOI":"10.1056/NEJMoa054409","ISSN":"1533-4406","issue":"5","journalAbbreviation":"N Engl J Med","language":"eng","note":"PMID: 17267905","page":"447-458","source":"PubMed","title":"Long-term exposure to air pollution and incidence of cardiovascular events in women","volume":"356","author":[{"family":"Miller","given":"Kristin A."},{"family":"Siscovick","given":"David S."},{"family":"Sheppard","given":"Lianne"},{"family":"Shepherd","given":"Kristen"},{"family":"Sullivan","given":"Jeffrey H."},{"family":"Anderson","given":"Garnet L."},{"family":"Kaufman","given":"Joel D."}],"issued":{"date-parts":[["2007",2,1]]}}}],"schema":"https://github.com/citation-style-language/schema/raw/master/csl-citation.json"} </w:instrText>
      </w:r>
      <w:r w:rsidR="003503E3">
        <w:rPr>
          <w:rFonts w:eastAsia="Times New Roman" w:cs="Times New Roman"/>
        </w:rPr>
        <w:fldChar w:fldCharType="separate"/>
      </w:r>
      <w:r w:rsidR="003503E3" w:rsidRPr="003503E3">
        <w:rPr>
          <w:rFonts w:cs="Times New Roman"/>
        </w:rPr>
        <w:t>[7]</w:t>
      </w:r>
      <w:r w:rsidR="003503E3">
        <w:rPr>
          <w:rFonts w:eastAsia="Times New Roman" w:cs="Times New Roman"/>
        </w:rPr>
        <w:fldChar w:fldCharType="end"/>
      </w:r>
    </w:p>
    <w:p w14:paraId="61FA442E" w14:textId="77777777" w:rsidR="00066A69" w:rsidRDefault="00066A69" w:rsidP="00EB08DE">
      <w:pPr>
        <w:spacing w:line="257" w:lineRule="auto"/>
        <w:rPr>
          <w:rFonts w:eastAsia="Times New Roman" w:cs="Times New Roman"/>
        </w:rPr>
      </w:pPr>
    </w:p>
    <w:p w14:paraId="41E54A3F" w14:textId="271FB9DF" w:rsidR="003503E3" w:rsidRDefault="003503E3" w:rsidP="00EB08DE">
      <w:pPr>
        <w:spacing w:line="257" w:lineRule="auto"/>
        <w:rPr>
          <w:rFonts w:eastAsia="Times New Roman" w:cs="Times New Roman"/>
        </w:rPr>
      </w:pPr>
      <w:r>
        <w:rPr>
          <w:rFonts w:eastAsia="Times New Roman" w:cs="Times New Roman"/>
        </w:rPr>
        <w:tab/>
        <w:t xml:space="preserve">By the nature of these longitudinal </w:t>
      </w:r>
      <w:r w:rsidR="00D37573">
        <w:rPr>
          <w:rFonts w:eastAsia="Times New Roman" w:cs="Times New Roman"/>
        </w:rPr>
        <w:t>studies with follow-up periods of several years</w:t>
      </w:r>
      <w:r w:rsidR="00A3614D">
        <w:rPr>
          <w:rFonts w:eastAsia="Times New Roman" w:cs="Times New Roman"/>
        </w:rPr>
        <w:t>,</w:t>
      </w:r>
      <w:r w:rsidR="00D37573">
        <w:rPr>
          <w:rFonts w:eastAsia="Times New Roman" w:cs="Times New Roman"/>
        </w:rPr>
        <w:t xml:space="preserve"> these studies and more-so their data-sets are aged</w:t>
      </w:r>
      <w:r w:rsidR="005631DE">
        <w:rPr>
          <w:rFonts w:eastAsia="Times New Roman" w:cs="Times New Roman"/>
        </w:rPr>
        <w:t>,</w:t>
      </w:r>
      <w:r w:rsidR="00723224">
        <w:rPr>
          <w:rFonts w:eastAsia="Times New Roman" w:cs="Times New Roman"/>
        </w:rPr>
        <w:t xml:space="preserve"> although the UK government </w:t>
      </w:r>
      <w:r w:rsidR="00A845EE">
        <w:rPr>
          <w:rFonts w:eastAsia="Times New Roman" w:cs="Times New Roman"/>
        </w:rPr>
        <w:t>has published the a</w:t>
      </w:r>
      <w:r w:rsidR="00A845EE" w:rsidRPr="00A845EE">
        <w:rPr>
          <w:rFonts w:eastAsia="Times New Roman" w:cs="Times New Roman"/>
        </w:rPr>
        <w:t>nnual mean concentrations of PM2.5</w:t>
      </w:r>
      <w:r w:rsidR="00A845EE">
        <w:rPr>
          <w:rFonts w:eastAsia="Times New Roman" w:cs="Times New Roman"/>
        </w:rPr>
        <w:t xml:space="preserve"> from 2009 to 2021</w:t>
      </w:r>
      <w:r w:rsidR="005631DE">
        <w:rPr>
          <w:rFonts w:eastAsia="Times New Roman" w:cs="Times New Roman"/>
        </w:rPr>
        <w:t xml:space="preserve"> showing that roadside and urban environments still experience levels</w:t>
      </w:r>
      <w:r w:rsidR="004728DE">
        <w:rPr>
          <w:rFonts w:eastAsia="Times New Roman" w:cs="Times New Roman"/>
        </w:rPr>
        <w:t xml:space="preserve"> as</w:t>
      </w:r>
      <w:r w:rsidR="005631DE">
        <w:rPr>
          <w:rFonts w:eastAsia="Times New Roman" w:cs="Times New Roman"/>
        </w:rPr>
        <w:t xml:space="preserve"> seen in Millers study (</w:t>
      </w:r>
      <w:r w:rsidR="005631DE" w:rsidRPr="009D4BD2">
        <w:rPr>
          <w:rFonts w:eastAsia="Times New Roman" w:cs="Times New Roman"/>
        </w:rPr>
        <w:t xml:space="preserve">3.4 to 28.3 </w:t>
      </w:r>
      <w:proofErr w:type="spellStart"/>
      <w:r w:rsidR="005631DE" w:rsidRPr="00513662">
        <w:t>μ</w:t>
      </w:r>
      <w:r w:rsidR="005631DE">
        <w:t>g</w:t>
      </w:r>
      <w:proofErr w:type="spellEnd"/>
      <w:r w:rsidR="005631DE">
        <w:t>/m</w:t>
      </w:r>
      <w:r w:rsidR="005631DE">
        <w:rPr>
          <w:vertAlign w:val="superscript"/>
        </w:rPr>
        <w:t>3</w:t>
      </w:r>
      <w:r w:rsidR="005631DE" w:rsidRPr="009D4BD2">
        <w:rPr>
          <w:rFonts w:eastAsia="Times New Roman" w:cs="Times New Roman"/>
        </w:rPr>
        <w:t xml:space="preserve"> </w:t>
      </w:r>
      <w:r w:rsidR="005631DE">
        <w:rPr>
          <w:rFonts w:eastAsia="Times New Roman" w:cs="Times New Roman"/>
        </w:rPr>
        <w:t xml:space="preserve">with a </w:t>
      </w:r>
      <w:r w:rsidR="005631DE" w:rsidRPr="009D4BD2">
        <w:rPr>
          <w:rFonts w:eastAsia="Times New Roman" w:cs="Times New Roman"/>
        </w:rPr>
        <w:t>mean</w:t>
      </w:r>
      <w:r w:rsidR="005631DE">
        <w:rPr>
          <w:rFonts w:eastAsia="Times New Roman" w:cs="Times New Roman"/>
        </w:rPr>
        <w:t xml:space="preserve"> of</w:t>
      </w:r>
      <w:r w:rsidR="005631DE" w:rsidRPr="009D4BD2">
        <w:rPr>
          <w:rFonts w:eastAsia="Times New Roman" w:cs="Times New Roman"/>
        </w:rPr>
        <w:t xml:space="preserve"> 13.5</w:t>
      </w:r>
      <w:r w:rsidR="005631DE">
        <w:rPr>
          <w:rFonts w:eastAsia="Times New Roman" w:cs="Times New Roman"/>
        </w:rPr>
        <w:t xml:space="preserve"> </w:t>
      </w:r>
      <w:r w:rsidR="004728DE">
        <w:rPr>
          <w:rFonts w:eastAsia="Times New Roman" w:cs="Times New Roman"/>
        </w:rPr>
        <w:fldChar w:fldCharType="begin"/>
      </w:r>
      <w:r w:rsidR="004728DE">
        <w:rPr>
          <w:rFonts w:eastAsia="Times New Roman" w:cs="Times New Roman"/>
        </w:rPr>
        <w:instrText xml:space="preserve"> ADDIN ZOTERO_ITEM CSL_CITATION {"citationID":"XHrY6JuM","properties":{"formattedCitation":"[7]","plainCitation":"[7]","noteIndex":0},"citationItems":[{"id":210,"uris":["http://zotero.org/users/10518850/items/RKUN73TS"],"itemData":{"id":210,"type":"article-journal","abstract":"BACKGROUND: Fine particulate air pollution has been linked to cardiovascular disease, but previous studies have assessed only mortality and differences in exposure between cities. We examined the association of long-term exposure to particulate matter of less than 2.5 microm in aerodynamic diameter (PM2.5) with cardiovascular events.\nMETHODS: We studied 65,893 postmenopausal women without previous cardiovascular disease in 36 U.S. metropolitan areas from 1994 to 1998, with a median follow-up of 6 years. We assessed the women's exposure to air pollutants using the monitor located nearest to each woman's residence. Hazard ratios were estimated for the first cardiovascular event, adjusting for age, race or ethnic group, smoking status, educational level, household income, body-mass index, and presence or absence of diabetes, hypertension, or hypercholesterolemia.\nRESULTS: A total of 1816 women had one or more fatal or nonfatal cardiovascular events, as confirmed by a review of medical records, including death from coronary heart disease or cerebrovascular disease, coronary revascularization, myocardial infarction, and stroke. In 2000, levels of PM2.5 exposure varied from 3.4 to 28.3 microg per cubic meter (mean, 13.5). Each increase of 10 microg per cubic meter was associated with a 24% increase in the risk of a cardiovascular event (hazard ratio, 1.24; 95% confidence interval [CI], 1.09 to 1.41) and a 76% increase in the risk of death from cardiovascular disease (hazard ratio, 1.76; 95% CI, 1.25 to 2.47). For cardiovascular events, the between-city effect appeared to be smaller than the within-city effect. The risk of cerebrovascular events was also associated with increased levels of PM2.5 (hazard ratio, 1.35; 95% CI, 1.08 to 1.68).\nCONCLUSIONS: Long-term exposure to fine particulate air pollution is associated with the incidence of cardiovascular disease and death among postmenopausal women. Exposure differences within cities are associated with the risk of cardiovascular disease.","container-title":"The New England Journal of Medicine","DOI":"10.1056/NEJMoa054409","ISSN":"1533-4406","issue":"5","journalAbbreviation":"N Engl J Med","language":"eng","note":"PMID: 17267905","page":"447-458","source":"PubMed","title":"Long-term exposure to air pollution and incidence of cardiovascular events in women","volume":"356","author":[{"family":"Miller","given":"Kristin A."},{"family":"Siscovick","given":"David S."},{"family":"Sheppard","given":"Lianne"},{"family":"Shepherd","given":"Kristen"},{"family":"Sullivan","given":"Jeffrey H."},{"family":"Anderson","given":"Garnet L."},{"family":"Kaufman","given":"Joel D."}],"issued":{"date-parts":[["2007",2,1]]}}}],"schema":"https://github.com/citation-style-language/schema/raw/master/csl-citation.json"} </w:instrText>
      </w:r>
      <w:r w:rsidR="004728DE">
        <w:rPr>
          <w:rFonts w:eastAsia="Times New Roman" w:cs="Times New Roman"/>
        </w:rPr>
        <w:fldChar w:fldCharType="separate"/>
      </w:r>
      <w:r w:rsidR="004728DE" w:rsidRPr="004728DE">
        <w:rPr>
          <w:rFonts w:cs="Times New Roman"/>
        </w:rPr>
        <w:t>[7]</w:t>
      </w:r>
      <w:r w:rsidR="004728DE">
        <w:rPr>
          <w:rFonts w:eastAsia="Times New Roman" w:cs="Times New Roman"/>
        </w:rPr>
        <w:fldChar w:fldCharType="end"/>
      </w:r>
      <w:r w:rsidR="005631DE">
        <w:rPr>
          <w:rFonts w:eastAsia="Times New Roman" w:cs="Times New Roman"/>
        </w:rPr>
        <w:t>).</w:t>
      </w:r>
      <w:r w:rsidR="004D22B6">
        <w:rPr>
          <w:rStyle w:val="CommentReference"/>
        </w:rPr>
        <w:t xml:space="preserve"> </w:t>
      </w:r>
      <w:r w:rsidR="00723224">
        <w:rPr>
          <w:rFonts w:eastAsia="Times New Roman" w:cs="Times New Roman"/>
        </w:rPr>
        <w:t>Additionally,</w:t>
      </w:r>
      <w:r w:rsidR="00D37573">
        <w:rPr>
          <w:rFonts w:eastAsia="Times New Roman" w:cs="Times New Roman"/>
        </w:rPr>
        <w:t xml:space="preserve"> some of them use the same data-set</w:t>
      </w:r>
      <w:r w:rsidR="002F3E5C">
        <w:rPr>
          <w:rFonts w:eastAsia="Times New Roman" w:cs="Times New Roman"/>
        </w:rPr>
        <w:t>. For example</w:t>
      </w:r>
      <w:r w:rsidR="00D37573">
        <w:rPr>
          <w:rFonts w:eastAsia="Times New Roman" w:cs="Times New Roman"/>
        </w:rPr>
        <w:t xml:space="preserve"> Pope </w:t>
      </w:r>
      <w:r w:rsidR="00D37573">
        <w:rPr>
          <w:rFonts w:eastAsia="Times New Roman" w:cs="Times New Roman"/>
        </w:rPr>
        <w:fldChar w:fldCharType="begin"/>
      </w:r>
      <w:r w:rsidR="00D37573">
        <w:rPr>
          <w:rFonts w:eastAsia="Times New Roman" w:cs="Times New Roman"/>
        </w:rPr>
        <w:instrText xml:space="preserve"> ADDIN ZOTERO_ITEM CSL_CITATION {"citationID":"o9Lrawyk","properties":{"formattedCitation":"[3]","plainCitation":"[3]","noteIndex":0},"citationItems":[{"id":182,"uris":["http://zotero.org/users/10518850/items/BULYQ7VS"],"itemData":{"id":182,"type":"article-journal","abstract":"BACKGROUND: Lung cancer and cardiovascular disease (CVD) mortality risks increase with smoking, secondhand smoke (SHS), and exposure to fine particulate matter &lt; 2.5 μm in diameter (PM₂.₅) from ambient air pollution. Recent research indicates that the exposure-response relationship for CVD is nonlinear, with a steep increase in risk at low exposures and flattening out at higher exposures. Comparable estimates of the exposure-response relationship for lung cancer are required for disease burden estimates and related public health policy assessments.\nOBJECTIVES: We compared exposure-response relationships of PM₂.₅ with lung cancer and cardiovascular mortality and considered the implications of the observed differences for efforts to estimate the disease burden of PM2.5.\nMETHODS: Prospective cohort data for 1.2 million adults were collected by the American Cancer Society as part of the Cancer Prevention Study II. We estimated relative risks (RRs) for increments of cigarette smoking, adjusting for various individual risk factors. RRs were plotted against estimated daily dose of PM₂.₅ from smoking along with comparison estimates for ambient air pollution and SHS.\nRESULTS: For lung cancer mortality, excess risk rose nearly linearly, reaching maximum RRs &gt; 40 among long-term heavy smokers. Excess risks for CVD mortality increased steeply at low exposure levels and leveled off at higher exposures, reaching RRs of approximately 2-3 for cigarette smoking.\nCONCLUSIONS: The exposure-response relationship associated with PM₂.₅ is qualitatively different for lung cancer versus cardiovascular mortality. At low exposure levels, cardiovascular deaths are projected to account for most of the burden of disease, whereas at high levels of PM₂.₅, lung cancer becomes proportionately more important.","container-title":"Environmental Health Perspectives","DOI":"10.1289/ehp.1103639","ISSN":"1552-9924","issue":"11","journalAbbreviation":"Environ Health Perspect","language":"eng","note":"PMID: 21768054\nPMCID: PMC3226505","page":"1616-1621","source":"PubMed","title":"Lung cancer and cardiovascular disease mortality associated with ambient air pollution and cigarette smoke: shape of the exposure-response relationships","title-short":"Lung cancer and cardiovascular disease mortality associated with ambient air pollution and cigarette smoke","volume":"119","author":[{"family":"Pope","given":"C. Arden"},{"family":"Burnett","given":"Richard T."},{"family":"Turner","given":"Michelle C."},{"family":"Cohen","given":"Aaron"},{"family":"Krewski","given":"Daniel"},{"family":"Jerrett","given":"Michael"},{"family":"Gapstur","given":"Susan M."},{"family":"Thun","given":"Michael J."}],"issued":{"date-parts":[["2011",11]]}}}],"schema":"https://github.com/citation-style-language/schema/raw/master/csl-citation.json"} </w:instrText>
      </w:r>
      <w:r w:rsidR="00D37573">
        <w:rPr>
          <w:rFonts w:eastAsia="Times New Roman" w:cs="Times New Roman"/>
        </w:rPr>
        <w:fldChar w:fldCharType="separate"/>
      </w:r>
      <w:r w:rsidR="00D37573" w:rsidRPr="00D37573">
        <w:rPr>
          <w:rFonts w:cs="Times New Roman"/>
        </w:rPr>
        <w:t>[3]</w:t>
      </w:r>
      <w:r w:rsidR="00D37573">
        <w:rPr>
          <w:rFonts w:eastAsia="Times New Roman" w:cs="Times New Roman"/>
        </w:rPr>
        <w:fldChar w:fldCharType="end"/>
      </w:r>
      <w:r w:rsidR="00D37573">
        <w:rPr>
          <w:rFonts w:eastAsia="Times New Roman" w:cs="Times New Roman"/>
        </w:rPr>
        <w:t xml:space="preserve"> and Brook </w:t>
      </w:r>
      <w:r w:rsidR="00D37573">
        <w:rPr>
          <w:rFonts w:eastAsia="Times New Roman" w:cs="Times New Roman"/>
        </w:rPr>
        <w:fldChar w:fldCharType="begin"/>
      </w:r>
      <w:r w:rsidR="00D37573">
        <w:rPr>
          <w:rFonts w:eastAsia="Times New Roman" w:cs="Times New Roman"/>
        </w:rPr>
        <w:instrText xml:space="preserve"> ADDIN ZOTERO_ITEM CSL_CITATION {"citationID":"E1BI7455","properties":{"formattedCitation":"[4]","plainCitation":"[4]","noteIndex":0},"citationItems":[{"id":200,"uris":["http://zotero.org/users/10518850/items/IA4FLZAQ"],"itemData":{"id":200,"type":"article-journal","abstract":"In 2004, the first American Heart Association scientific statement on \"Air Pollution and Cardiovascular Disease\" concluded that exposure to particulate matter (PM) air pollution contributes to cardiovascular morbidity and mortality. In the interim, numerous studies have expanded our understanding of this association and further elucidated the physiological and molecular mechanisms involved. The main objective of this updated American Heart Association scientific statement is to provide a comprehensive review of the new evidence linking PM exposure with cardiovascular disease, with a specific focus on highlighting the clinical implications for researchers and healthcare providers. The writing group also sought to provide expert consensus opinions on many aspects of the current state of science and updated suggestions for areas of future research. On the basis of the findings of this review, several new conclusions were reached, including the following: Exposure to PM &lt;2.5 microm in diameter (PM(2.5)) over a few hours to weeks can trigger cardiovascular disease-related mortality and nonfatal events; longer-term exposure (eg, a few years) increases the risk for cardiovascular mortality to an even greater extent than exposures over a few days and reduces life expectancy within more highly exposed segments of the population by several months to a few years; reductions in PM levels are associated with decreases in cardiovascular mortality within a time frame as short as a few years; and many credible pathological mechanisms have been elucidated that lend biological plausibility to these findings. It is the opinion of the writing group that the overall evidence is consistent with a causal relationship between PM(2.5) exposure and cardiovascular morbidity and mortality. This body of evidence has grown and been strengthened substantially since the first American Heart Association scientific statement was published. Finally, PM(2.5) exposure is deemed a modifiable factor that contributes to cardiovascular morbidity and mortality.","container-title":"Circulation","DOI":"10.1161/CIR.0b013e3181dbece1","ISSN":"1524-4539","issue":"21","journalAbbreviation":"Circulation","language":"eng","note":"PMID: 20458016","page":"2331-2378","source":"PubMed","title":"Particulate matter air pollution and cardiovascular disease: An update to the scientific statement from the American Heart Association","title-short":"Particulate matter air pollution and cardiovascular disease","volume":"121","author":[{"family":"Brook","given":"Robert D."},{"family":"Rajagopalan","given":"Sanjay"},{"family":"Pope","given":"C. Arden"},{"family":"Brook","given":"Jeffrey R."},{"family":"Bhatnagar","given":"Aruni"},{"family":"Diez-Roux","given":"Ana V."},{"family":"Holguin","given":"Fernando"},{"family":"Hong","given":"Yuling"},{"family":"Luepker","given":"Russell V."},{"family":"Mittleman","given":"Murray A."},{"family":"Peters","given":"Annette"},{"family":"Siscovick","given":"David"},{"family":"Smith","given":"Sidney C."},{"family":"Whitsel","given":"Laurie"},{"family":"Kaufman","given":"Joel D."},{"literal":"American Heart Association Council on Epidemiology and Prevention, Council on the Kidney in Cardiovascular Disease, and Council on Nutrition, Physical Activity and Metabolism"}],"issued":{"date-parts":[["2010",6,1]]}}}],"schema":"https://github.com/citation-style-language/schema/raw/master/csl-citation.json"} </w:instrText>
      </w:r>
      <w:r w:rsidR="00D37573">
        <w:rPr>
          <w:rFonts w:eastAsia="Times New Roman" w:cs="Times New Roman"/>
        </w:rPr>
        <w:fldChar w:fldCharType="separate"/>
      </w:r>
      <w:r w:rsidR="00D37573" w:rsidRPr="00D37573">
        <w:rPr>
          <w:rFonts w:cs="Times New Roman"/>
        </w:rPr>
        <w:t>[4]</w:t>
      </w:r>
      <w:r w:rsidR="00D37573">
        <w:rPr>
          <w:rFonts w:eastAsia="Times New Roman" w:cs="Times New Roman"/>
        </w:rPr>
        <w:fldChar w:fldCharType="end"/>
      </w:r>
      <w:r w:rsidR="002F3E5C">
        <w:rPr>
          <w:rFonts w:eastAsia="Times New Roman" w:cs="Times New Roman"/>
        </w:rPr>
        <w:t xml:space="preserve">, from the </w:t>
      </w:r>
      <w:r w:rsidR="002F3E5C" w:rsidRPr="00094120">
        <w:rPr>
          <w:rFonts w:eastAsia="Times New Roman" w:cs="Times New Roman"/>
        </w:rPr>
        <w:t>American Cancer Society Cancer Prevention Study II cohor</w:t>
      </w:r>
      <w:r w:rsidR="002F3E5C">
        <w:rPr>
          <w:rFonts w:eastAsia="Times New Roman" w:cs="Times New Roman"/>
        </w:rPr>
        <w:t>t</w:t>
      </w:r>
      <w:r w:rsidR="00D37573">
        <w:rPr>
          <w:rFonts w:eastAsia="Times New Roman" w:cs="Times New Roman"/>
        </w:rPr>
        <w:t xml:space="preserve">, but Dockery </w:t>
      </w:r>
      <w:r w:rsidR="00D37573">
        <w:rPr>
          <w:rFonts w:eastAsia="Times New Roman" w:cs="Times New Roman"/>
        </w:rPr>
        <w:fldChar w:fldCharType="begin"/>
      </w:r>
      <w:r w:rsidR="00D37573">
        <w:rPr>
          <w:rFonts w:eastAsia="Times New Roman" w:cs="Times New Roman"/>
        </w:rPr>
        <w:instrText xml:space="preserve"> ADDIN ZOTERO_ITEM CSL_CITATION {"citationID":"nqUIReyn","properties":{"formattedCitation":"[5]","plainCitation":"[5]","noteIndex":0},"citationItems":[{"id":203,"uris":["http://zotero.org/users/10518850/items/JNS5SR3V"],"itemData":{"id":203,"type":"article-journal","abstract":"BACKGROUND: Recent studies have reported associations between particulate air pollution and daily mortality rates. Population-based, cross-sectional studies of metropolitan areas in the United States have also found associations between particulate air pollution and annual mortality rates, but these studies have been criticized, in part because they did not directly control for cigarette smoking and other health risks.\nMETHODS: In this prospective cohort study, we estimated the effects of air pollution on mortality, while controlling for individual risk factors. Survival analysis, including Cox proportional-hazards regression modeling, was conducted with data from a 14-to-16-year mortality follow-up of 8111 adults in six U.S. cities.\nRESULTS: Mortality rates were most strongly associated with cigarette smoking. After adjusting for smoking and other risk factors, we observed statistically significant and robust associations between air pollution and mortality. The adjusted mortality-rate ratio for the most polluted of the cities as compared with the least polluted was 1.26 (95 percent confidence interval, 1.08 to 1.47). Air pollution was positively associated with death from lung cancer and cardiopulmonary disease but not with death from other causes considered together. Mortality was most strongly associated with air pollution with fine particulates, including sulfates.\nCONCLUSIONS: Although the effects of other, unmeasured risk factors cannot be excluded with certainty, these results suggest that fine-particulate air pollution, or a more complex pollution mixture associated with fine particulate matter, contributes to excess mortality in certain U.S. cities.","container-title":"The New England Journal of Medicine","DOI":"10.1056/NEJM199312093292401","ISSN":"0028-4793","issue":"24","journalAbbreviation":"N Engl J Med","language":"eng","note":"PMID: 8179653","page":"1753-1759","source":"PubMed","title":"An association between air pollution and mortality in six U.S. cities","volume":"329","author":[{"family":"Dockery","given":"D. W."},{"family":"Pope","given":"C. A."},{"family":"Xu","given":"X."},{"family":"Spengler","given":"J. D."},{"family":"Ware","given":"J. H."},{"family":"Fay","given":"M. E."},{"family":"Ferris","given":"B. G."},{"family":"Speizer","given":"F. E."}],"issued":{"date-parts":[["1993",12,9]]}}}],"schema":"https://github.com/citation-style-language/schema/raw/master/csl-citation.json"} </w:instrText>
      </w:r>
      <w:r w:rsidR="00D37573">
        <w:rPr>
          <w:rFonts w:eastAsia="Times New Roman" w:cs="Times New Roman"/>
        </w:rPr>
        <w:fldChar w:fldCharType="separate"/>
      </w:r>
      <w:r w:rsidR="00D37573" w:rsidRPr="00D37573">
        <w:rPr>
          <w:rFonts w:cs="Times New Roman"/>
        </w:rPr>
        <w:t>[5]</w:t>
      </w:r>
      <w:r w:rsidR="00D37573">
        <w:rPr>
          <w:rFonts w:eastAsia="Times New Roman" w:cs="Times New Roman"/>
        </w:rPr>
        <w:fldChar w:fldCharType="end"/>
      </w:r>
      <w:r w:rsidR="00D37573">
        <w:rPr>
          <w:rFonts w:eastAsia="Times New Roman" w:cs="Times New Roman"/>
        </w:rPr>
        <w:t xml:space="preserve"> and Laden </w:t>
      </w:r>
      <w:r w:rsidR="00D37573">
        <w:rPr>
          <w:rFonts w:eastAsia="Times New Roman" w:cs="Times New Roman"/>
        </w:rPr>
        <w:fldChar w:fldCharType="begin"/>
      </w:r>
      <w:r w:rsidR="00D37573">
        <w:rPr>
          <w:rFonts w:eastAsia="Times New Roman" w:cs="Times New Roman"/>
        </w:rPr>
        <w:instrText xml:space="preserve"> ADDIN ZOTERO_ITEM CSL_CITATION {"citationID":"Qt8ouCuA","properties":{"formattedCitation":"[6]","plainCitation":"[6]","noteIndex":0},"citationItems":[{"id":207,"uris":["http://zotero.org/users/10518850/items/V64I5TIY"],"itemData":{"id":207,"type":"article-journal","abstract":"RATIONALE: A large body of epidemiologic literature has found an association of increased fine particulate air pollution (PM2.5) with acute and chronic mortality. The effect of improvements in particle exposure is less clear.\nOBJECTIVES: Earlier analysis of the Harvard Six Cities adult cohort study showed an association between long-term ambient PM2.5 and mortality between enrollment in the mid-1970s and follow-up until 1990. We extended mortality follow-up for 8 yr in a period of reduced air pollution concentrations.\nMETHODS: Annual city-specific PM2.5 concentrations were measured between 1979 and 1988, and estimated for later years from publicly available data. Exposure was defined as (1) city-specific mean PM2.5 during the two follow-up periods, (2) mean PM2.5 in the first period and change between these periods, (3) overall mean PM2.5 across the entire follow-up, and (4) year-specific mean PM2.5. Mortality rate ratios were estimated with Cox proportional hazards regression controlling for individual risk factors.\nMEASUREMENTS AND MAIN RESULTS: We found an increase in overall mortality associated with each 10 microg/m3 increase in PM2.5 modeled either as the overall mean (rate ratio [RR], 1.16; 95% confidence interval [CI], 1.07-1.26) or as exposure in the year of death (RR, 1.14; 95% CI, 1.06-1.22). PM2.5 exposure was associated with lung cancer (RR, 1.27; 95% CI, 0.96-1.69) and cardiovascular deaths (RR, 1.28; 95% CI, 1.13-1.44). Improved overall mortality was associated with decreased mean PM2.5 (10 microg/m3) between periods (RR, 0.73; 95% CI, 0.57-0.95).\nCONCLUSION: Total, cardiovascular, and lung cancer mortality were each positively associated with ambient PM2.5 concentrations. Reduced PM2.5 concentrations were associated with reduced mortality risk.","container-title":"American Journal of Respiratory and Critical Care Medicine","DOI":"10.1164/rccm.200503-443OC","ISSN":"1073-449X","issue":"6","journalAbbreviation":"Am J Respir Crit Care Med","language":"eng","note":"PMID: 16424447\nPMCID: PMC2662950","page":"667-672","source":"PubMed","title":"Reduction in fine particulate air pollution and mortality: Extended follow-up of the Harvard Six Cities study","title-short":"Reduction in fine particulate air pollution and mortality","volume":"173","author":[{"family":"Laden","given":"Francine"},{"family":"Schwartz","given":"Joel"},{"family":"Speizer","given":"Frank E."},{"family":"Dockery","given":"Douglas W."}],"issued":{"date-parts":[["2006",3,15]]}}}],"schema":"https://github.com/citation-style-language/schema/raw/master/csl-citation.json"} </w:instrText>
      </w:r>
      <w:r w:rsidR="00D37573">
        <w:rPr>
          <w:rFonts w:eastAsia="Times New Roman" w:cs="Times New Roman"/>
        </w:rPr>
        <w:fldChar w:fldCharType="separate"/>
      </w:r>
      <w:r w:rsidR="00D37573" w:rsidRPr="00D37573">
        <w:rPr>
          <w:rFonts w:cs="Times New Roman"/>
        </w:rPr>
        <w:t>[6]</w:t>
      </w:r>
      <w:r w:rsidR="00D37573">
        <w:rPr>
          <w:rFonts w:eastAsia="Times New Roman" w:cs="Times New Roman"/>
        </w:rPr>
        <w:fldChar w:fldCharType="end"/>
      </w:r>
      <w:r w:rsidR="00D37573">
        <w:rPr>
          <w:rFonts w:eastAsia="Times New Roman" w:cs="Times New Roman"/>
        </w:rPr>
        <w:t xml:space="preserve"> used the data from the ‘</w:t>
      </w:r>
      <w:r w:rsidR="00D37573" w:rsidRPr="00D37573">
        <w:rPr>
          <w:rFonts w:eastAsia="Times New Roman" w:cs="Times New Roman"/>
        </w:rPr>
        <w:t>Harvard Six Cities study</w:t>
      </w:r>
      <w:r w:rsidR="00D37573">
        <w:rPr>
          <w:rFonts w:eastAsia="Times New Roman" w:cs="Times New Roman"/>
        </w:rPr>
        <w:t>’</w:t>
      </w:r>
      <w:r w:rsidR="00A3614D">
        <w:rPr>
          <w:rFonts w:eastAsia="Times New Roman" w:cs="Times New Roman"/>
        </w:rPr>
        <w:t xml:space="preserve"> and</w:t>
      </w:r>
      <w:r w:rsidR="00D37573">
        <w:rPr>
          <w:rFonts w:eastAsia="Times New Roman" w:cs="Times New Roman"/>
        </w:rPr>
        <w:t xml:space="preserve"> </w:t>
      </w:r>
      <w:r w:rsidR="00A3614D">
        <w:rPr>
          <w:rFonts w:eastAsia="Times New Roman" w:cs="Times New Roman"/>
        </w:rPr>
        <w:t xml:space="preserve">Miller </w:t>
      </w:r>
      <w:r w:rsidR="00A3614D">
        <w:rPr>
          <w:rFonts w:eastAsia="Times New Roman" w:cs="Times New Roman"/>
        </w:rPr>
        <w:fldChar w:fldCharType="begin"/>
      </w:r>
      <w:r w:rsidR="00A3614D">
        <w:rPr>
          <w:rFonts w:eastAsia="Times New Roman" w:cs="Times New Roman"/>
        </w:rPr>
        <w:instrText xml:space="preserve"> ADDIN ZOTERO_ITEM CSL_CITATION {"citationID":"20iH6c0J","properties":{"formattedCitation":"[7]","plainCitation":"[7]","noteIndex":0},"citationItems":[{"id":210,"uris":["http://zotero.org/users/10518850/items/RKUN73TS"],"itemData":{"id":210,"type":"article-journal","abstract":"BACKGROUND: Fine particulate air pollution has been linked to cardiovascular disease, but previous studies have assessed only mortality and differences in exposure between cities. We examined the association of long-term exposure to particulate matter of less than 2.5 microm in aerodynamic diameter (PM2.5) with cardiovascular events.\nMETHODS: We studied 65,893 postmenopausal women without previous cardiovascular disease in 36 U.S. metropolitan areas from 1994 to 1998, with a median follow-up of 6 years. We assessed the women's exposure to air pollutants using the monitor located nearest to each woman's residence. Hazard ratios were estimated for the first cardiovascular event, adjusting for age, race or ethnic group, smoking status, educational level, household income, body-mass index, and presence or absence of diabetes, hypertension, or hypercholesterolemia.\nRESULTS: A total of 1816 women had one or more fatal or nonfatal cardiovascular events, as confirmed by a review of medical records, including death from coronary heart disease or cerebrovascular disease, coronary revascularization, myocardial infarction, and stroke. In 2000, levels of PM2.5 exposure varied from 3.4 to 28.3 microg per cubic meter (mean, 13.5). Each increase of 10 microg per cubic meter was associated with a 24% increase in the risk of a cardiovascular event (hazard ratio, 1.24; 95% confidence interval [CI], 1.09 to 1.41) and a 76% increase in the risk of death from cardiovascular disease (hazard ratio, 1.76; 95% CI, 1.25 to 2.47). For cardiovascular events, the between-city effect appeared to be smaller than the within-city effect. The risk of cerebrovascular events was also associated with increased levels of PM2.5 (hazard ratio, 1.35; 95% CI, 1.08 to 1.68).\nCONCLUSIONS: Long-term exposure to fine particulate air pollution is associated with the incidence of cardiovascular disease and death among postmenopausal women. Exposure differences within cities are associated with the risk of cardiovascular disease.","container-title":"The New England Journal of Medicine","DOI":"10.1056/NEJMoa054409","ISSN":"1533-4406","issue":"5","journalAbbreviation":"N Engl J Med","language":"eng","note":"PMID: 17267905","page":"447-458","source":"PubMed","title":"Long-term exposure to air pollution and incidence of cardiovascular events in women","volume":"356","author":[{"family":"Miller","given":"Kristin A."},{"family":"Siscovick","given":"David S."},{"family":"Sheppard","given":"Lianne"},{"family":"Shepherd","given":"Kristen"},{"family":"Sullivan","given":"Jeffrey H."},{"family":"Anderson","given":"Garnet L."},{"family":"Kaufman","given":"Joel D."}],"issued":{"date-parts":[["2007",2,1]]}}}],"schema":"https://github.com/citation-style-language/schema/raw/master/csl-citation.json"} </w:instrText>
      </w:r>
      <w:r w:rsidR="00A3614D">
        <w:rPr>
          <w:rFonts w:eastAsia="Times New Roman" w:cs="Times New Roman"/>
        </w:rPr>
        <w:fldChar w:fldCharType="separate"/>
      </w:r>
      <w:r w:rsidR="00A3614D" w:rsidRPr="00A3614D">
        <w:rPr>
          <w:rFonts w:cs="Times New Roman"/>
        </w:rPr>
        <w:t>[7]</w:t>
      </w:r>
      <w:r w:rsidR="00A3614D">
        <w:rPr>
          <w:rFonts w:eastAsia="Times New Roman" w:cs="Times New Roman"/>
        </w:rPr>
        <w:fldChar w:fldCharType="end"/>
      </w:r>
      <w:r w:rsidR="00A3614D">
        <w:rPr>
          <w:rFonts w:eastAsia="Times New Roman" w:cs="Times New Roman"/>
        </w:rPr>
        <w:t xml:space="preserve"> used data from The </w:t>
      </w:r>
      <w:r w:rsidR="00A3614D" w:rsidRPr="00A3614D">
        <w:rPr>
          <w:rFonts w:eastAsia="Times New Roman" w:cs="Times New Roman"/>
        </w:rPr>
        <w:t>Women's Health Initiative Observational Study</w:t>
      </w:r>
      <w:r w:rsidR="00A3614D">
        <w:rPr>
          <w:rFonts w:eastAsia="Times New Roman" w:cs="Times New Roman"/>
        </w:rPr>
        <w:t xml:space="preserve">. </w:t>
      </w:r>
    </w:p>
    <w:p w14:paraId="29E5CF84" w14:textId="77777777" w:rsidR="001F1265" w:rsidRDefault="001F1265" w:rsidP="00EB08DE">
      <w:pPr>
        <w:spacing w:line="257" w:lineRule="auto"/>
        <w:rPr>
          <w:rFonts w:eastAsia="Times New Roman" w:cs="Times New Roman"/>
        </w:rPr>
      </w:pPr>
    </w:p>
    <w:p w14:paraId="4E4DEB7F" w14:textId="77777777" w:rsidR="001F1265" w:rsidRDefault="001F1265" w:rsidP="00EB08DE">
      <w:pPr>
        <w:spacing w:line="257" w:lineRule="auto"/>
        <w:rPr>
          <w:rFonts w:eastAsia="Times New Roman" w:cs="Times New Roman"/>
        </w:rPr>
      </w:pPr>
    </w:p>
    <w:p w14:paraId="08F33BD2" w14:textId="77777777" w:rsidR="001F1265" w:rsidRDefault="001F1265" w:rsidP="00EB08DE">
      <w:pPr>
        <w:spacing w:line="257" w:lineRule="auto"/>
        <w:rPr>
          <w:rFonts w:eastAsia="Times New Roman" w:cs="Times New Roman"/>
        </w:rPr>
      </w:pPr>
    </w:p>
    <w:p w14:paraId="29C6845B" w14:textId="77777777" w:rsidR="001F1265" w:rsidRDefault="001F1265" w:rsidP="00EB08DE">
      <w:pPr>
        <w:spacing w:line="257" w:lineRule="auto"/>
        <w:rPr>
          <w:rFonts w:eastAsia="Times New Roman" w:cs="Times New Roman"/>
        </w:rPr>
      </w:pPr>
    </w:p>
    <w:p w14:paraId="38771106" w14:textId="77777777" w:rsidR="001F1265" w:rsidRDefault="001F1265" w:rsidP="00EB08DE">
      <w:pPr>
        <w:spacing w:line="257" w:lineRule="auto"/>
        <w:rPr>
          <w:rFonts w:eastAsia="Times New Roman" w:cs="Times New Roman"/>
        </w:rPr>
      </w:pPr>
    </w:p>
    <w:p w14:paraId="1D114B27" w14:textId="77777777" w:rsidR="001F1265" w:rsidRDefault="001F1265" w:rsidP="00EB08DE">
      <w:pPr>
        <w:spacing w:line="257" w:lineRule="auto"/>
        <w:rPr>
          <w:rFonts w:eastAsia="Times New Roman" w:cs="Times New Roman"/>
        </w:rPr>
      </w:pPr>
    </w:p>
    <w:p w14:paraId="3EA1E02A" w14:textId="77777777" w:rsidR="001F1265" w:rsidRDefault="001F1265" w:rsidP="00EB08DE">
      <w:pPr>
        <w:spacing w:line="257" w:lineRule="auto"/>
        <w:rPr>
          <w:rFonts w:eastAsia="Times New Roman" w:cs="Times New Roman"/>
        </w:rPr>
      </w:pPr>
    </w:p>
    <w:p w14:paraId="16EDADEA" w14:textId="77777777" w:rsidR="001F1265" w:rsidRDefault="001F1265" w:rsidP="00EB08DE">
      <w:pPr>
        <w:spacing w:line="257" w:lineRule="auto"/>
        <w:rPr>
          <w:rFonts w:eastAsia="Times New Roman" w:cs="Times New Roman"/>
        </w:rPr>
      </w:pPr>
    </w:p>
    <w:p w14:paraId="65939EA1" w14:textId="77777777" w:rsidR="005631DE" w:rsidRDefault="005631DE" w:rsidP="00EB08DE">
      <w:pPr>
        <w:spacing w:line="257" w:lineRule="auto"/>
        <w:rPr>
          <w:rFonts w:eastAsia="Times New Roman" w:cs="Times New Roman"/>
        </w:rPr>
      </w:pPr>
    </w:p>
    <w:p w14:paraId="5AD24776" w14:textId="77777777" w:rsidR="004728DE" w:rsidRDefault="00A845EE" w:rsidP="001F1265">
      <w:pPr>
        <w:keepNext/>
        <w:spacing w:line="257" w:lineRule="auto"/>
        <w:jc w:val="center"/>
      </w:pPr>
      <w:r w:rsidRPr="00A845EE">
        <w:rPr>
          <w:rFonts w:eastAsia="Times New Roman" w:cs="Times New Roman"/>
          <w:noProof/>
        </w:rPr>
        <w:drawing>
          <wp:inline distT="0" distB="0" distL="0" distR="0" wp14:anchorId="5C5E41BF" wp14:editId="36CD6A2F">
            <wp:extent cx="4781550" cy="3111769"/>
            <wp:effectExtent l="0" t="0" r="0" b="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9"/>
                    <a:stretch>
                      <a:fillRect/>
                    </a:stretch>
                  </pic:blipFill>
                  <pic:spPr>
                    <a:xfrm>
                      <a:off x="0" y="0"/>
                      <a:ext cx="4810915" cy="3130880"/>
                    </a:xfrm>
                    <a:prstGeom prst="rect">
                      <a:avLst/>
                    </a:prstGeom>
                  </pic:spPr>
                </pic:pic>
              </a:graphicData>
            </a:graphic>
          </wp:inline>
        </w:drawing>
      </w:r>
    </w:p>
    <w:p w14:paraId="350F85E2" w14:textId="25549352" w:rsidR="00A845EE" w:rsidRPr="002A2E76" w:rsidRDefault="004728DE" w:rsidP="002A2E76">
      <w:pPr>
        <w:pStyle w:val="Caption"/>
        <w:ind w:firstLine="720"/>
        <w:rPr>
          <w:rFonts w:eastAsia="Times New Roman"/>
          <w:color w:val="auto"/>
          <w:sz w:val="20"/>
          <w:szCs w:val="20"/>
        </w:rPr>
      </w:pPr>
      <w:bookmarkStart w:id="7" w:name="_Toc133342739"/>
      <w:r w:rsidRPr="002A2E76">
        <w:rPr>
          <w:color w:val="auto"/>
          <w:sz w:val="20"/>
          <w:szCs w:val="20"/>
        </w:rPr>
        <w:t xml:space="preserve">Figure </w:t>
      </w:r>
      <w:r w:rsidRPr="002A2E76">
        <w:rPr>
          <w:color w:val="auto"/>
          <w:sz w:val="20"/>
          <w:szCs w:val="20"/>
        </w:rPr>
        <w:fldChar w:fldCharType="begin"/>
      </w:r>
      <w:r w:rsidRPr="002A2E76">
        <w:rPr>
          <w:color w:val="auto"/>
          <w:sz w:val="20"/>
          <w:szCs w:val="20"/>
        </w:rPr>
        <w:instrText xml:space="preserve"> SEQ Figure \* ARABIC </w:instrText>
      </w:r>
      <w:r w:rsidRPr="002A2E76">
        <w:rPr>
          <w:color w:val="auto"/>
          <w:sz w:val="20"/>
          <w:szCs w:val="20"/>
        </w:rPr>
        <w:fldChar w:fldCharType="separate"/>
      </w:r>
      <w:r w:rsidR="00657099">
        <w:rPr>
          <w:noProof/>
          <w:color w:val="auto"/>
          <w:sz w:val="20"/>
          <w:szCs w:val="20"/>
        </w:rPr>
        <w:t>1</w:t>
      </w:r>
      <w:r w:rsidRPr="002A2E76">
        <w:rPr>
          <w:color w:val="auto"/>
          <w:sz w:val="20"/>
          <w:szCs w:val="20"/>
        </w:rPr>
        <w:fldChar w:fldCharType="end"/>
      </w:r>
      <w:r w:rsidRPr="002A2E76">
        <w:rPr>
          <w:color w:val="auto"/>
          <w:sz w:val="20"/>
          <w:szCs w:val="20"/>
        </w:rPr>
        <w:t xml:space="preserve"> - UK mean concentration of PM2.5 </w:t>
      </w:r>
      <w:r w:rsidRPr="002A2E76">
        <w:rPr>
          <w:color w:val="auto"/>
          <w:sz w:val="20"/>
          <w:szCs w:val="20"/>
        </w:rPr>
        <w:fldChar w:fldCharType="begin"/>
      </w:r>
      <w:r w:rsidR="002A2E76" w:rsidRPr="002A2E76">
        <w:rPr>
          <w:color w:val="auto"/>
          <w:sz w:val="20"/>
          <w:szCs w:val="20"/>
        </w:rPr>
        <w:instrText xml:space="preserve"> ADDIN ZOTERO_ITEM CSL_CITATION {"citationID":"3bLN6PRp","properties":{"formattedCitation":"[8]","plainCitation":"[8]","noteIndex":0},"citationItems":[{"id":150,"uris":["http://zotero.org/users/10518850/items/UTDHVBWG"],"itemData":{"id":150,"type":"webpage","container-title":"GOV.UK","language":"en","title":"Concentrations of particulate matter (PM10 and PM2.5)","URL":"https://www.gov.uk/government/statistics/air-quality-statistics/concentrations-of-particulate-matter-pm10-and-pm25","accessed":{"date-parts":[["2022",12,29]]}}}],"schema":"https://github.com/citation-style-language/schema/raw/master/csl-citation.json"} </w:instrText>
      </w:r>
      <w:r w:rsidRPr="002A2E76">
        <w:rPr>
          <w:color w:val="auto"/>
          <w:sz w:val="20"/>
          <w:szCs w:val="20"/>
        </w:rPr>
        <w:fldChar w:fldCharType="separate"/>
      </w:r>
      <w:r w:rsidR="002A2E76" w:rsidRPr="002A2E76">
        <w:rPr>
          <w:color w:val="auto"/>
          <w:sz w:val="20"/>
          <w:szCs w:val="20"/>
        </w:rPr>
        <w:t>[8]</w:t>
      </w:r>
      <w:bookmarkEnd w:id="7"/>
      <w:r w:rsidRPr="002A2E76">
        <w:rPr>
          <w:color w:val="auto"/>
          <w:sz w:val="20"/>
          <w:szCs w:val="20"/>
        </w:rPr>
        <w:fldChar w:fldCharType="end"/>
      </w:r>
    </w:p>
    <w:p w14:paraId="3A43081C" w14:textId="73F48DFC" w:rsidR="005631DE" w:rsidRDefault="005631DE" w:rsidP="00EB08DE">
      <w:pPr>
        <w:spacing w:line="257" w:lineRule="auto"/>
        <w:rPr>
          <w:rFonts w:eastAsia="Times New Roman" w:cs="Times New Roman"/>
        </w:rPr>
      </w:pPr>
    </w:p>
    <w:p w14:paraId="5181B348" w14:textId="77777777" w:rsidR="002A2E76" w:rsidRDefault="002A2E76">
      <w:pPr>
        <w:spacing w:after="160"/>
        <w:jc w:val="left"/>
        <w:rPr>
          <w:rFonts w:eastAsia="Times New Roman" w:cs="Times New Roman"/>
          <w:b/>
          <w:bCs/>
          <w:caps/>
        </w:rPr>
      </w:pPr>
      <w:r>
        <w:rPr>
          <w:rFonts w:eastAsia="Times New Roman"/>
        </w:rPr>
        <w:br w:type="page"/>
      </w:r>
    </w:p>
    <w:p w14:paraId="4518218B" w14:textId="708FA389" w:rsidR="70F8DC4B" w:rsidRDefault="00846F20" w:rsidP="00846F20">
      <w:pPr>
        <w:pStyle w:val="Heading2"/>
        <w:rPr>
          <w:rFonts w:eastAsia="Times New Roman"/>
        </w:rPr>
      </w:pPr>
      <w:bookmarkStart w:id="8" w:name="_Toc133335237"/>
      <w:r w:rsidRPr="70F8DC4B">
        <w:rPr>
          <w:rFonts w:eastAsia="Times New Roman"/>
        </w:rPr>
        <w:lastRenderedPageBreak/>
        <w:t xml:space="preserve">Literature </w:t>
      </w:r>
      <w:r>
        <w:rPr>
          <w:rFonts w:eastAsia="Times New Roman"/>
        </w:rPr>
        <w:t>on Low-Cost Pollution Sensors</w:t>
      </w:r>
      <w:bookmarkEnd w:id="8"/>
    </w:p>
    <w:p w14:paraId="291F3452" w14:textId="77777777" w:rsidR="00846F20" w:rsidRPr="00846F20" w:rsidRDefault="00846F20" w:rsidP="00846F20"/>
    <w:p w14:paraId="7215FA8E" w14:textId="77C7BC60" w:rsidR="00E377A8" w:rsidRDefault="00E377A8" w:rsidP="00066A69">
      <w:pPr>
        <w:ind w:firstLine="720"/>
      </w:pPr>
      <w:r w:rsidRPr="00554C15">
        <w:t xml:space="preserve">Venkatraman </w:t>
      </w:r>
      <w:proofErr w:type="spellStart"/>
      <w:r w:rsidRPr="00554C15">
        <w:t>Jagatha</w:t>
      </w:r>
      <w:proofErr w:type="spellEnd"/>
      <w:r>
        <w:t xml:space="preserve"> and her co-</w:t>
      </w:r>
      <w:r w:rsidR="00CE0E9B">
        <w:t>authors wrote</w:t>
      </w:r>
      <w:r>
        <w:t xml:space="preserve"> </w:t>
      </w:r>
      <w:r w:rsidR="00CE0E9B">
        <w:fldChar w:fldCharType="begin"/>
      </w:r>
      <w:r w:rsidR="002A2E76">
        <w:instrText xml:space="preserve"> ADDIN ZOTERO_ITEM CSL_CITATION {"citationID":"CzDqixzM","properties":{"formattedCitation":"[9]","plainCitation":"[9]","noteIndex":0},"citationItems":[{"id":63,"uris":["http://zotero.org/users/10518850/items/FS9XM829"],"itemData":{"id":63,"type":"article-journal","abstract":"Over the last decade, manufacturers have come forth with cost-effective sensors for measuring ambient and indoor particulate matter concentration. What these sensors make up for in cost efﬁciency, they lack in reliability of the measured data due to their sensitivities to temperature and relative humidity. These weaknesses are especially evident when it comes to portable or mobile measurement setups. In recent years many studies have been conducted to assess the possibilities and limitations of these sensors, however mostly restricted to stationary measurements. This study reviews the published literature until 2020 on cost-effective sensors, summarizes the recommendations of experts in the ﬁeld based on their experiences, and outlines the quantile-mapping methodology to calibrate low-cost sensors in mobile applications. Compared to the commonly used linear regression method, quantile mapping retains the spatial characteristics of the measurements, although a common correction factor cannot be determined. We conclude that quantile mapping can be a useful calibration methodology for mobile measurements given a well-elaborated measurement plan assures providing the necessary data.","container-title":"Sensors","DOI":"10.3390/s21123960","ISSN":"1424-8220","issue":"12","journalAbbreviation":"Sensors","language":"en","page":"3960","source":"DOI.org (Crossref)","title":"Calibration Method for Particulate Matter Low-Cost Sensors Used in Ambient Air Quality Monitoring and Research","volume":"21","author":[{"family":"Venkatraman Jagatha","given":"Janani"},{"family":"Klausnitzer","given":"André"},{"family":"Chacón-Mateos","given":"Miriam"},{"family":"Laquai","given":"Bernd"},{"family":"Nieuwkoop","given":"Evert"},{"family":"Mark","given":"Peter","non-dropping-particle":"van der"},{"family":"Vogt","given":"Ulrich"},{"family":"Schneider","given":"Christoph"}],"issued":{"date-parts":[["2021",6,8]]}}}],"schema":"https://github.com/citation-style-language/schema/raw/master/csl-citation.json"} </w:instrText>
      </w:r>
      <w:r w:rsidR="00CE0E9B">
        <w:fldChar w:fldCharType="separate"/>
      </w:r>
      <w:r w:rsidR="002A2E76" w:rsidRPr="002A2E76">
        <w:rPr>
          <w:rFonts w:cs="Times New Roman"/>
        </w:rPr>
        <w:t>[9]</w:t>
      </w:r>
      <w:r w:rsidR="00CE0E9B">
        <w:fldChar w:fldCharType="end"/>
      </w:r>
      <w:r w:rsidR="00CE0E9B">
        <w:t xml:space="preserve"> </w:t>
      </w:r>
      <w:r>
        <w:t xml:space="preserve">a review into low-cost pollution sensors and highlighted that the current spatial measurements of outdoor air pollution is limited by the high cost of reference devices. She argues that there is a paradigm shift towards using low cost sensors due to the high price as well as advancements in micro-sensing technologies. She points to </w:t>
      </w:r>
      <w:r w:rsidRPr="007728B0">
        <w:t>Purple-Air</w:t>
      </w:r>
      <w:r w:rsidR="00066A69">
        <w:t>,</w:t>
      </w:r>
      <w:r w:rsidRPr="007728B0">
        <w:t xml:space="preserve"> </w:t>
      </w:r>
      <w:r>
        <w:t xml:space="preserve">a </w:t>
      </w:r>
      <w:r w:rsidRPr="007728B0">
        <w:t xml:space="preserve">company </w:t>
      </w:r>
      <w:r>
        <w:t xml:space="preserve">who manufacture low-cost </w:t>
      </w:r>
      <w:r w:rsidR="00066A69">
        <w:t>devices</w:t>
      </w:r>
      <w:r w:rsidRPr="007728B0">
        <w:t xml:space="preserve"> work</w:t>
      </w:r>
      <w:r>
        <w:t>ing</w:t>
      </w:r>
      <w:r w:rsidRPr="007728B0">
        <w:t xml:space="preserve"> together with the Environmental Protection Agency of the </w:t>
      </w:r>
      <w:r>
        <w:t>USA</w:t>
      </w:r>
      <w:r w:rsidRPr="007728B0">
        <w:t xml:space="preserve"> (EPA) in its project</w:t>
      </w:r>
      <w:r w:rsidR="00CE0E9B">
        <w:t>s</w:t>
      </w:r>
      <w:r w:rsidR="00CE0E9B">
        <w:fldChar w:fldCharType="begin"/>
      </w:r>
      <w:r w:rsidR="002A2E76">
        <w:instrText xml:space="preserve"> ADDIN ZOTERO_ITEM CSL_CITATION {"citationID":"oDr2gh4c","properties":{"formattedCitation":"[10]","plainCitation":"[10]","noteIndex":0},"citationItems":[{"id":129,"uris":["http://zotero.org/users/10518850/items/9QYNBSPW"],"itemData":{"id":129,"type":"webpage","abstract":"PurpleAir particulate matter (PM) sensors are increasingly used in the United States and other countries by a variety of individuals and organizations for continuous monitoring of ambient air pollutant conditions, with additional sensors often deployed for monitoring during wildfire smoke episodes. The performance of these sensors must be evaluated during smoke impacted times, and nominally corrected for bias if necessary, to ensure accurate data are reported to inform appropriate health protective actions. Here, we use data from PurpleAir sensors collocated with regulatory-grade monitors across the United States to develop quality assurance checks and a multilinear correction equation (including temperature and relative humidity) for PurpleAir PM2.5 data. A secondary data set was included to test the data correction scheme for wildland fire smoke conditions (including wildfires and prescribed burns) – a series of research field deployments of PurpleAir sensors collocated with temporary smoke monitors that are of near-regulatory grade quality (EBAMs and E-Samplers). Results suggest that the PurpleAir raw PM2.5 data overestimate PM2.5 by ~60% in most states under various conditions. Hourly NowCast Air Quality Index (AQI) categories are calculated using the raw and corrected PurpleAir PM2.5 concentrations, as well as for the collocated reference monitor. For the national data set of sensors collocated with regulatory-grade monitors, results show that PurpleAir sensors, when corrected, accurately report NowCast AQI categories 90% of the time as opposed to uncorrected PurpleAir data, which are accurate only 75% of the time.  Testing the correction scheme for the research data set of wildland fire smoke events revealed that the corrected data compared closely with the reference monitors and produced similar NowCast AQI categories. Interest and concern about air quality has grown in recent years. Simultaneously, growth in the popularity and use of air sensors across the US has also occurred especially during wildfires. However, adoption of this technology is limited due to uncertainty and variation in the quality of the data provided. This work evaluates the performance of a popular low-cost PM2.5 sensor (PurpleAir) across the U.S.. It seeks to inform sensor users of potential data accuracy issues and potential correction methods applicable to both this sensor and other similar low-cost sensors during typical ambient and smoke impacted events. This presentation will be given to the U.S EPA AirNow team and the U.S. Forest Service on February 3rd to allow them to better understand how to use PurpleAir sensors to understand wildfire smoke impacts.","language":"en","title":"PurpleAir PM2.5 performance across the U.S.#2","URL":"https://cfpub.epa.gov/si/si_public_record_Report.cfm?Lab=CEMM&amp;dirEntryId=348236","author":[{"literal":"Karoline Johnson"},{"literal":"Brett Gantt"},{"literal":"Ian VonWald"},{"literal":"Andrea L. Clements"}],"accessed":{"date-parts":[["2022",11,6]]}}}],"schema":"https://github.com/citation-style-language/schema/raw/master/csl-citation.json"} </w:instrText>
      </w:r>
      <w:r w:rsidR="00CE0E9B">
        <w:fldChar w:fldCharType="separate"/>
      </w:r>
      <w:r w:rsidR="002A2E76" w:rsidRPr="002A2E76">
        <w:rPr>
          <w:rFonts w:cs="Times New Roman"/>
        </w:rPr>
        <w:t>[10]</w:t>
      </w:r>
      <w:r w:rsidR="00CE0E9B">
        <w:fldChar w:fldCharType="end"/>
      </w:r>
      <w:r>
        <w:t xml:space="preserve">; and the draft roadmap of the EPA’s next generation of air quality monitoring includes low-cost sensors. </w:t>
      </w:r>
      <w:r w:rsidRPr="007728B0">
        <w:t xml:space="preserve">In Germany, Breeze Technologies </w:t>
      </w:r>
      <w:r w:rsidR="00066A69">
        <w:t xml:space="preserve">are </w:t>
      </w:r>
      <w:r w:rsidRPr="007728B0">
        <w:t>work</w:t>
      </w:r>
      <w:r w:rsidR="00066A69">
        <w:t>ing</w:t>
      </w:r>
      <w:r w:rsidRPr="007728B0">
        <w:t xml:space="preserve"> on projects together with different state governments</w:t>
      </w:r>
      <w:r w:rsidR="00066A69">
        <w:t xml:space="preserve"> </w:t>
      </w:r>
      <w:r w:rsidR="00CE0E9B">
        <w:fldChar w:fldCharType="begin"/>
      </w:r>
      <w:r w:rsidR="002A2E76">
        <w:instrText xml:space="preserve"> ADDIN ZOTERO_ITEM CSL_CITATION {"citationID":"ceuEMs5H","properties":{"formattedCitation":"[11]","plainCitation":"[11]","noteIndex":0},"citationItems":[{"id":132,"uris":["http://zotero.org/users/10518850/items/VUJN32E4"],"itemData":{"id":132,"type":"post-weblog","abstract":"Unsere Umweltdatenplattform liefert dank künstlicher Intelligenz hochlokale urbane Luftqualitätsdaten, -auswertungen und Empfehlungen in Echtzeit.","container-title":"Breeze Technologies","language":"en","title":"Urbane Luftqualitätsüberwachung: Luftqualitätssensoren, -daten und -analysen","title-short":"Urbane Luftqualitätsüberwachung","URL":"https://www.breeze-technologies.de/de/loesungen/urbane-luftqualitaet/","accessed":{"date-parts":[["2022",11,6]]}}}],"schema":"https://github.com/citation-style-language/schema/raw/master/csl-citation.json"} </w:instrText>
      </w:r>
      <w:r w:rsidR="00CE0E9B">
        <w:fldChar w:fldCharType="separate"/>
      </w:r>
      <w:r w:rsidR="002A2E76" w:rsidRPr="002A2E76">
        <w:rPr>
          <w:rFonts w:cs="Times New Roman"/>
        </w:rPr>
        <w:t>[11]</w:t>
      </w:r>
      <w:r w:rsidR="00CE0E9B">
        <w:fldChar w:fldCharType="end"/>
      </w:r>
      <w:r>
        <w:t xml:space="preserve">, and </w:t>
      </w:r>
      <w:r w:rsidR="00066A69">
        <w:t xml:space="preserve">the </w:t>
      </w:r>
      <w:r w:rsidRPr="00BE7F11">
        <w:t>Sense-Box project</w:t>
      </w:r>
      <w:r w:rsidR="00066A69">
        <w:t xml:space="preserve"> is</w:t>
      </w:r>
      <w:r w:rsidRPr="00BE7F11">
        <w:t xml:space="preserve"> supported by the</w:t>
      </w:r>
      <w:r>
        <w:t xml:space="preserve"> German</w:t>
      </w:r>
      <w:r w:rsidRPr="00BE7F11">
        <w:t xml:space="preserve"> Federal Ministry of Education and Research</w:t>
      </w:r>
      <w:r>
        <w:t>. Expanding to the European Union, the Joint Research Centre (JRC) “</w:t>
      </w:r>
      <w:r w:rsidRPr="007728B0">
        <w:t xml:space="preserve">welcomes the frequent use of </w:t>
      </w:r>
      <w:r>
        <w:t>low-cost sensors</w:t>
      </w:r>
      <w:r w:rsidRPr="007728B0">
        <w:t xml:space="preserve"> by citizens, researchers, and institutions despite their drawbacks</w:t>
      </w:r>
      <w:r>
        <w:t>.”</w:t>
      </w:r>
      <w:r w:rsidR="00CE0E9B">
        <w:fldChar w:fldCharType="begin"/>
      </w:r>
      <w:r w:rsidR="002A2E76">
        <w:instrText xml:space="preserve"> ADDIN ZOTERO_ITEM CSL_CITATION {"citationID":"Xwsb3yEt","properties":{"formattedCitation":"[9]","plainCitation":"[9]","noteIndex":0},"citationItems":[{"id":63,"uris":["http://zotero.org/users/10518850/items/FS9XM829"],"itemData":{"id":63,"type":"article-journal","abstract":"Over the last decade, manufacturers have come forth with cost-effective sensors for measuring ambient and indoor particulate matter concentration. What these sensors make up for in cost efﬁciency, they lack in reliability of the measured data due to their sensitivities to temperature and relative humidity. These weaknesses are especially evident when it comes to portable or mobile measurement setups. In recent years many studies have been conducted to assess the possibilities and limitations of these sensors, however mostly restricted to stationary measurements. This study reviews the published literature until 2020 on cost-effective sensors, summarizes the recommendations of experts in the ﬁeld based on their experiences, and outlines the quantile-mapping methodology to calibrate low-cost sensors in mobile applications. Compared to the commonly used linear regression method, quantile mapping retains the spatial characteristics of the measurements, although a common correction factor cannot be determined. We conclude that quantile mapping can be a useful calibration methodology for mobile measurements given a well-elaborated measurement plan assures providing the necessary data.","container-title":"Sensors","DOI":"10.3390/s21123960","ISSN":"1424-8220","issue":"12","journalAbbreviation":"Sensors","language":"en","page":"3960","source":"DOI.org (Crossref)","title":"Calibration Method for Particulate Matter Low-Cost Sensors Used in Ambient Air Quality Monitoring and Research","volume":"21","author":[{"family":"Venkatraman Jagatha","given":"Janani"},{"family":"Klausnitzer","given":"André"},{"family":"Chacón-Mateos","given":"Miriam"},{"family":"Laquai","given":"Bernd"},{"family":"Nieuwkoop","given":"Evert"},{"family":"Mark","given":"Peter","non-dropping-particle":"van der"},{"family":"Vogt","given":"Ulrich"},{"family":"Schneider","given":"Christoph"}],"issued":{"date-parts":[["2021",6,8]]}}}],"schema":"https://github.com/citation-style-language/schema/raw/master/csl-citation.json"} </w:instrText>
      </w:r>
      <w:r w:rsidR="00CE0E9B">
        <w:fldChar w:fldCharType="separate"/>
      </w:r>
      <w:r w:rsidR="002A2E76" w:rsidRPr="002A2E76">
        <w:rPr>
          <w:rFonts w:cs="Times New Roman"/>
        </w:rPr>
        <w:t>[9]</w:t>
      </w:r>
      <w:r w:rsidR="00CE0E9B">
        <w:fldChar w:fldCharType="end"/>
      </w:r>
      <w:r>
        <w:t xml:space="preserve"> The JRC used low-cost sensors in their  </w:t>
      </w:r>
      <w:proofErr w:type="spellStart"/>
      <w:r w:rsidRPr="008A6612">
        <w:t>AirSensEUR</w:t>
      </w:r>
      <w:proofErr w:type="spellEnd"/>
      <w:r w:rsidRPr="008A6612">
        <w:t xml:space="preserve"> </w:t>
      </w:r>
      <w:r>
        <w:t xml:space="preserve">project and are testing low-cost sensors to </w:t>
      </w:r>
      <w:r w:rsidRPr="007728B0">
        <w:t>classify them according to their probable applications</w:t>
      </w:r>
      <w:r w:rsidR="002A2E76">
        <w:t xml:space="preserve"> </w:t>
      </w:r>
      <w:r w:rsidR="00CE0E9B">
        <w:fldChar w:fldCharType="begin"/>
      </w:r>
      <w:r w:rsidR="002A2E76">
        <w:instrText xml:space="preserve"> ADDIN ZOTERO_ITEM CSL_CITATION {"citationID":"QFsnWav9","properties":{"formattedCitation":"[12]","plainCitation":"[12]","noteIndex":0},"citationItems":[{"id":134,"uris":["http://zotero.org/users/10518850/items/85HBGUWX"],"itemData":{"id":134,"type":"webpage","abstract":"The use of mobile low cost sensors for regulatory purposes or citizen observatory projects is quickly developing.  Although several sensor systems have appeared the last years, generally developers cannot tackle the whole set of open problems regarding their use and the accuracy of the information they provide. Currently air pollution using low cost sensors involves fast growing private companies and/or public institutes specialized in digital technologies. Unfortunately, a great deal of effort is wasted by repeating the same research by several private companies/public institutes or within several European projects. Moreover, when a technological solution is found, it is generally subjected to confidentiality aspects of the intellectual property right. In order to facilitate the use of sensors by diminishing the operational and development costs, the Joint Research Centre is developing a multi-sensor platform, called AirSensEUR, for the monitoring of air pollution at low concentration levels. All development aspects owned by JRC about AirSensEUR is made available to all stockholders though the use of public licenses. AirSensEUR is developed as an open software/open hardware object that has the capacity to behave as a node within a network of multi sensors assuring interoperability and compliance with the INSPIRE Directive.","container-title":"JRC Publications Repository","language":"en","note":"ISBN: 9789279518966\nISSN: 1831-9424\nDOI: 10.2788/30927","title":"AirSensEUR: an open data/software/hardware multi-sensor platform for air quality monitoring. Part A: sensor shield","title-short":"AirSensEUR","URL":"https://publications.jrc.ec.europa.eu/repository/handle/JRC97581","author":[{"family":"Gerboles","given":"Michel"},{"family":"Spinelle","given":"Laurent"},{"family":"Signorini","given":"Marco"}],"accessed":{"date-parts":[["2022",11,6]]},"issued":{"date-parts":[["2015",10,21]]}}}],"schema":"https://github.com/citation-style-language/schema/raw/master/csl-citation.json"} </w:instrText>
      </w:r>
      <w:r w:rsidR="00CE0E9B">
        <w:fldChar w:fldCharType="separate"/>
      </w:r>
      <w:r w:rsidR="002A2E76" w:rsidRPr="002A2E76">
        <w:rPr>
          <w:rFonts w:cs="Times New Roman"/>
        </w:rPr>
        <w:t>[12]</w:t>
      </w:r>
      <w:r w:rsidR="00CE0E9B">
        <w:fldChar w:fldCharType="end"/>
      </w:r>
      <w:r>
        <w:t xml:space="preserve">. </w:t>
      </w:r>
    </w:p>
    <w:p w14:paraId="5C393761" w14:textId="659DA0C7" w:rsidR="00E377A8" w:rsidRDefault="00E377A8" w:rsidP="00E377A8">
      <w:pPr>
        <w:ind w:firstLine="720"/>
        <w:rPr>
          <w:b/>
          <w:bCs/>
        </w:rPr>
      </w:pPr>
    </w:p>
    <w:p w14:paraId="1CCA45F4" w14:textId="3FDECB91" w:rsidR="00E377A8" w:rsidRDefault="00E377A8" w:rsidP="00421D91">
      <w:r>
        <w:tab/>
      </w:r>
      <w:r w:rsidRPr="00F00408">
        <w:t>Jiří</w:t>
      </w:r>
      <w:r>
        <w:t xml:space="preserve"> </w:t>
      </w:r>
      <w:r w:rsidRPr="00F00408">
        <w:t>Bílek</w:t>
      </w:r>
      <w:r>
        <w:t xml:space="preserve"> and his co-A</w:t>
      </w:r>
      <w:r w:rsidR="00654EEE">
        <w:t>uthor</w:t>
      </w:r>
      <w:r>
        <w:t xml:space="preserve">s </w:t>
      </w:r>
      <w:r w:rsidR="00CE0E9B">
        <w:fldChar w:fldCharType="begin"/>
      </w:r>
      <w:r w:rsidR="002A2E76">
        <w:instrText xml:space="preserve"> ADDIN ZOTERO_ITEM CSL_CITATION {"citationID":"kO0E7pa5","properties":{"formattedCitation":"[13]","plainCitation":"[13]","noteIndex":0},"citationItems":[{"id":68,"uris":["http://zotero.org/users/10518850/items/9ESAN4IZ"],"itemData":{"id":68,"type":"article-journal","abstract":"Sensor technology is attractive to the public due to its availability and ease of use. However, its usage raises numerous questions. The general trustworthiness of sensor data is widely discussed, especially with regard to accuracy, precision, and long-term signal stability. The VSB-Technical University of Ostrava has operated an air quality sensor network for more than two years, and its large sets of valid results can help in understanding the limitations of sensory measurement. Monitoring is focused on the concentrations of dust particles, NO2, and ozone to verify the impact of newly planted greenery on the reduction in air pollution. The sensor network currently covers an open ﬁeld on the outskirts of Ostrava, between Liberty Ironworks and the nearby ISKO1650 monitoring station, where some of the worst air pollution levels in the Czech Republic are regularly measured. In the future, trees should be allowed to grow over the sensors, enabling assessment of the green barrier effect on air pollution. As expected, the service life of the sensors varies from 1 to 3 years; therefore, checks are necessary both prior to the measurement and regularly during operation, verifying output stability and overall performance. Results of the PMx sensory measurements correlated well with the reference method. Concentration values measured by NO2 sensors correlated poorly with the reference method, although timeline plots of concentration changes were in accordance. We suggest that a comparison of timelines should be used for air quality evaluations, rather than particular values. The results showed that the sensor measurements are not yet suitable to replace the reference methods, and dense sensor networks proved useful and robust tools for indicative air quality measurements (AQM).","container-title":"Environments","DOI":"10.3390/environments8110114","ISSN":"2076-3298","issue":"11","journalAbbreviation":"Environments","language":"en","page":"114","source":"DOI.org (Crossref)","title":"Ambient Air Quality Measurement with Low-Cost Optical and Electrochemical Sensors: An Evaluation of Continuous Year-Long Operation","title-short":"Ambient Air Quality Measurement with Low-Cost Optical and Electrochemical Sensors","volume":"8","author":[{"family":"Bílek","given":"Jiří"},{"family":"Bílek","given":"Ondřej"},{"family":"Maršolek","given":"Petr"},{"family":"Buček","given":"Pavel"}],"issued":{"date-parts":[["2021",10,27]]}}}],"schema":"https://github.com/citation-style-language/schema/raw/master/csl-citation.json"} </w:instrText>
      </w:r>
      <w:r w:rsidR="00CE0E9B">
        <w:fldChar w:fldCharType="separate"/>
      </w:r>
      <w:r w:rsidR="002A2E76" w:rsidRPr="002A2E76">
        <w:rPr>
          <w:rFonts w:cs="Times New Roman"/>
        </w:rPr>
        <w:t>[13]</w:t>
      </w:r>
      <w:r w:rsidR="00CE0E9B">
        <w:fldChar w:fldCharType="end"/>
      </w:r>
      <w:r w:rsidR="00CE0E9B">
        <w:t xml:space="preserve"> </w:t>
      </w:r>
      <w:r>
        <w:t xml:space="preserve">ran a study for over 2 years near an </w:t>
      </w:r>
      <w:r w:rsidR="00421D91">
        <w:t>i</w:t>
      </w:r>
      <w:r>
        <w:t xml:space="preserve">ronworks in </w:t>
      </w:r>
      <w:r w:rsidRPr="00F00408">
        <w:t>the Czech Republic</w:t>
      </w:r>
      <w:r>
        <w:t xml:space="preserve">, using a network of </w:t>
      </w:r>
      <w:r w:rsidR="002A2E76">
        <w:t>particulate matter (</w:t>
      </w:r>
      <w:proofErr w:type="spellStart"/>
      <w:r>
        <w:t>PMx</w:t>
      </w:r>
      <w:proofErr w:type="spellEnd"/>
      <w:r w:rsidR="002A2E76">
        <w:t>)</w:t>
      </w:r>
      <w:r>
        <w:t xml:space="preserve">, </w:t>
      </w:r>
      <w:r w:rsidR="002A2E76">
        <w:t>nitrogen dioxide (</w:t>
      </w:r>
      <w:r>
        <w:t>NO</w:t>
      </w:r>
      <w:r>
        <w:rPr>
          <w:vertAlign w:val="subscript"/>
        </w:rPr>
        <w:t>2</w:t>
      </w:r>
      <w:r w:rsidR="002A2E76">
        <w:t xml:space="preserve">) </w:t>
      </w:r>
      <w:r>
        <w:t>and ozone sensors to evaluate the use of l</w:t>
      </w:r>
      <w:r w:rsidRPr="004766A1">
        <w:t>ow-</w:t>
      </w:r>
      <w:r>
        <w:t>c</w:t>
      </w:r>
      <w:r w:rsidRPr="004766A1">
        <w:t xml:space="preserve">ost </w:t>
      </w:r>
      <w:r>
        <w:t>o</w:t>
      </w:r>
      <w:r w:rsidRPr="004766A1">
        <w:t xml:space="preserve">ptical and </w:t>
      </w:r>
      <w:r>
        <w:t>e</w:t>
      </w:r>
      <w:r w:rsidRPr="004766A1">
        <w:t xml:space="preserve">lectrochemical </w:t>
      </w:r>
      <w:r>
        <w:t>s</w:t>
      </w:r>
      <w:r w:rsidRPr="004766A1">
        <w:t>ensors</w:t>
      </w:r>
      <w:r>
        <w:t xml:space="preserve"> over a continuous year-long operation. They found that the PMx measurements corresponded well with the reference method, and that the sensor they used, the </w:t>
      </w:r>
      <w:r w:rsidRPr="00B457A5">
        <w:t>Alphasense OPC-N3</w:t>
      </w:r>
      <w:r>
        <w:t>, could be used accurately individually or as part of a cluster. They found that the NO</w:t>
      </w:r>
      <w:r>
        <w:rPr>
          <w:vertAlign w:val="subscript"/>
        </w:rPr>
        <w:t>2</w:t>
      </w:r>
      <w:r w:rsidR="00421D91">
        <w:t>’</w:t>
      </w:r>
      <w:r>
        <w:t>s sensory measurements were poor when using linear regression methods, although the data could be improved with corrective functions, and more advanced data analysis methods.</w:t>
      </w:r>
      <w:r w:rsidR="00421D91">
        <w:t xml:space="preserve"> </w:t>
      </w:r>
      <w:r>
        <w:t xml:space="preserve">The authors concluded that the sensors are not suitable replacements for reference method devices, but are suitable for monitoring trends and concentration, and when deployed in a cluster have a high spatial and temporal resolution. They also concluded that they had proved the long term usability with their annual measurements. </w:t>
      </w:r>
    </w:p>
    <w:p w14:paraId="37AADF24" w14:textId="313F2705" w:rsidR="0065288E" w:rsidRDefault="0065288E" w:rsidP="0065288E">
      <w:pPr>
        <w:ind w:firstLine="720"/>
      </w:pPr>
    </w:p>
    <w:p w14:paraId="4FA67724" w14:textId="6285C088" w:rsidR="006E1398" w:rsidRDefault="006E1398" w:rsidP="00421D91">
      <w:pPr>
        <w:ind w:firstLine="720"/>
      </w:pPr>
      <w:r>
        <w:t xml:space="preserve">The </w:t>
      </w:r>
      <w:r w:rsidR="0065288E">
        <w:t>Breath</w:t>
      </w:r>
      <w:r>
        <w:t>e</w:t>
      </w:r>
      <w:r w:rsidR="0065288E">
        <w:t xml:space="preserve"> London </w:t>
      </w:r>
      <w:r>
        <w:t xml:space="preserve">Project </w:t>
      </w:r>
      <w:r w:rsidR="00393B8F">
        <w:fldChar w:fldCharType="begin"/>
      </w:r>
      <w:r w:rsidR="002A2E76">
        <w:instrText xml:space="preserve"> ADDIN ZOTERO_ITEM CSL_CITATION {"citationID":"Yp4W4s4W","properties":{"formattedCitation":"[14]","plainCitation":"[14]","noteIndex":0},"citationItems":[{"id":214,"uris":["http://zotero.org/users/10518850/items/YIEC3BDZ"],"itemData":{"id":214,"type":"webpage","abstract":"Breathe London combined state-of-the-art technology with new data analytics to better understand Londoners’ exposure to air pollution.","container-title":"Breathe London","language":"en-GB","title":"Breathe London Map","URL":"https://breathelondon.edf.org/","accessed":{"date-parts":[["2023",1,31]]}}}],"schema":"https://github.com/citation-style-language/schema/raw/master/csl-citation.json"} </w:instrText>
      </w:r>
      <w:r w:rsidR="00393B8F">
        <w:fldChar w:fldCharType="separate"/>
      </w:r>
      <w:r w:rsidR="002A2E76" w:rsidRPr="002A2E76">
        <w:rPr>
          <w:rFonts w:cs="Times New Roman"/>
        </w:rPr>
        <w:t>[14]</w:t>
      </w:r>
      <w:r w:rsidR="00393B8F">
        <w:fldChar w:fldCharType="end"/>
      </w:r>
      <w:r>
        <w:t xml:space="preserve"> is a great example of lower-cost pollution monitoring stations being deployed. They deployed 100 sensors around London measuring fine particulate matter PM10, and PM2.5, as well as nitrogen oxide, nitrogen dioxide, and carbon dioxide. They concluded that their pilot project “</w:t>
      </w:r>
      <w:r w:rsidRPr="00891068">
        <w:t>successfully demonstrated that lower-cost sensors and mobile monitoring can be a useful tool for your city to tackle local air pollution and protect people’s health.</w:t>
      </w:r>
      <w:r>
        <w:t>”</w:t>
      </w:r>
      <w:r w:rsidR="00997EF1">
        <w:fldChar w:fldCharType="begin"/>
      </w:r>
      <w:r w:rsidR="002A2E76">
        <w:instrText xml:space="preserve"> ADDIN ZOTERO_ITEM CSL_CITATION {"citationID":"5PabYYYi","properties":{"formattedCitation":"[14]","plainCitation":"[14]","noteIndex":0},"citationItems":[{"id":214,"uris":["http://zotero.org/users/10518850/items/YIEC3BDZ"],"itemData":{"id":214,"type":"webpage","abstract":"Breathe London combined state-of-the-art technology with new data analytics to better understand Londoners’ exposure to air pollution.","container-title":"Breathe London","language":"en-GB","title":"Breathe London Map","URL":"https://breathelondon.edf.org/","accessed":{"date-parts":[["2023",1,31]]}}}],"schema":"https://github.com/citation-style-language/schema/raw/master/csl-citation.json"} </w:instrText>
      </w:r>
      <w:r w:rsidR="00997EF1">
        <w:fldChar w:fldCharType="separate"/>
      </w:r>
      <w:r w:rsidR="002A2E76" w:rsidRPr="002A2E76">
        <w:rPr>
          <w:rFonts w:cs="Times New Roman"/>
        </w:rPr>
        <w:t>[14]</w:t>
      </w:r>
      <w:r w:rsidR="00997EF1">
        <w:fldChar w:fldCharType="end"/>
      </w:r>
    </w:p>
    <w:p w14:paraId="10567E3C" w14:textId="77777777" w:rsidR="002720F7" w:rsidRDefault="002720F7" w:rsidP="006E1398"/>
    <w:p w14:paraId="4E0CB938" w14:textId="07923DB8" w:rsidR="006E1398" w:rsidRDefault="00C21C5A" w:rsidP="006E1398">
      <w:r>
        <w:tab/>
        <w:t xml:space="preserve">The literature is generally positive about the use of low cost sensors, although their limitations would need to be considered when planning </w:t>
      </w:r>
      <w:r w:rsidR="002720F7">
        <w:t xml:space="preserve">a monitoring project, but Breathe London demonstrates their feasibility. </w:t>
      </w:r>
    </w:p>
    <w:p w14:paraId="0DB96856" w14:textId="77777777" w:rsidR="00E34967" w:rsidRDefault="00E34967">
      <w:pPr>
        <w:spacing w:after="160"/>
        <w:jc w:val="left"/>
        <w:rPr>
          <w:rFonts w:eastAsiaTheme="majorEastAsia" w:cs="Times New Roman"/>
          <w:b/>
          <w:bCs/>
          <w:caps/>
        </w:rPr>
      </w:pPr>
      <w:r>
        <w:br w:type="page"/>
      </w:r>
    </w:p>
    <w:p w14:paraId="43B14BB0" w14:textId="1B5B041C" w:rsidR="002A073D" w:rsidRDefault="002A073D" w:rsidP="00846F20">
      <w:pPr>
        <w:pStyle w:val="Heading2"/>
      </w:pPr>
      <w:bookmarkStart w:id="9" w:name="_Toc133335238"/>
      <w:r>
        <w:lastRenderedPageBreak/>
        <w:t>Current Market</w:t>
      </w:r>
      <w:bookmarkEnd w:id="9"/>
    </w:p>
    <w:p w14:paraId="1540A415" w14:textId="77777777" w:rsidR="000E598E" w:rsidRDefault="000E598E" w:rsidP="0065288E">
      <w:pPr>
        <w:rPr>
          <w:rFonts w:eastAsia="Calibri"/>
        </w:rPr>
      </w:pPr>
    </w:p>
    <w:p w14:paraId="1053DAAC" w14:textId="55136BAC" w:rsidR="002518E2" w:rsidRDefault="002518E2" w:rsidP="0065288E">
      <w:r>
        <w:tab/>
        <w:t xml:space="preserve">I extensively compared six </w:t>
      </w:r>
      <w:r w:rsidR="00846F20">
        <w:t>products</w:t>
      </w:r>
      <w:r>
        <w:t xml:space="preserve"> on the market ranging from under £200 and increasing into the thousands</w:t>
      </w:r>
      <w:r w:rsidR="003E69EB">
        <w:t xml:space="preserve"> (</w:t>
      </w:r>
      <w:r w:rsidR="002A4017">
        <w:t>A</w:t>
      </w:r>
      <w:r w:rsidR="003E69EB">
        <w:t xml:space="preserve">ppendix </w:t>
      </w:r>
      <w:r w:rsidR="000E598E">
        <w:t>1</w:t>
      </w:r>
      <w:r w:rsidR="003E69EB">
        <w:t>)</w:t>
      </w:r>
      <w:r>
        <w:t>. At their core they will measure a selection of particulate matter diameters and some environmental conditions, and as the cost increases the number of size classifications of PM and number o</w:t>
      </w:r>
      <w:r w:rsidR="00846F20">
        <w:t>f</w:t>
      </w:r>
      <w:r>
        <w:t xml:space="preserve"> environment</w:t>
      </w:r>
      <w:r w:rsidR="003E69EB">
        <w:t>al</w:t>
      </w:r>
      <w:r>
        <w:t xml:space="preserve"> conditions generally increase as well as the inclusion of sensors for gaseous pollutants. </w:t>
      </w:r>
    </w:p>
    <w:p w14:paraId="2ECAE1C6" w14:textId="77777777" w:rsidR="000E598E" w:rsidRDefault="000E598E" w:rsidP="0065288E"/>
    <w:p w14:paraId="41679D4C" w14:textId="3F510D3A" w:rsidR="002518E2" w:rsidRDefault="002518E2" w:rsidP="0065288E">
      <w:r>
        <w:tab/>
        <w:t xml:space="preserve">Starting </w:t>
      </w:r>
      <w:r w:rsidR="00846F20">
        <w:t>with</w:t>
      </w:r>
      <w:r>
        <w:t xml:space="preserve"> the Gaia A12 </w:t>
      </w:r>
      <w:r w:rsidR="001F1265">
        <w:t>(</w:t>
      </w:r>
      <w:r w:rsidR="002A4017">
        <w:t>A</w:t>
      </w:r>
      <w:r w:rsidR="001F1265">
        <w:t>ppendix 2)</w:t>
      </w:r>
      <w:r w:rsidR="001F1265" w:rsidRPr="001F1265">
        <w:t xml:space="preserve"> </w:t>
      </w:r>
      <w:r>
        <w:t xml:space="preserve">which retails for £162 and includes the most limited suite of sensors. The A12 only measures PM2.5 and PM10, </w:t>
      </w:r>
      <w:r w:rsidR="008E1D1C">
        <w:t xml:space="preserve">and like all the following devices also temperature and relative humidity. </w:t>
      </w:r>
      <w:r w:rsidR="008E1D1C" w:rsidRPr="008E1D1C">
        <w:t>It requires a Wi-Fi connection, and the data can be freely accessed via their web app or an API</w:t>
      </w:r>
      <w:r w:rsidR="001F1265">
        <w:t xml:space="preserve">. </w:t>
      </w:r>
      <w:r w:rsidR="001F1265">
        <w:fldChar w:fldCharType="begin"/>
      </w:r>
      <w:r w:rsidR="001F1265">
        <w:instrText xml:space="preserve"> ADDIN ZOTERO_ITEM CSL_CITATION {"citationID":"ABzS9xHS","properties":{"formattedCitation":"[15]","plainCitation":"[15]","noteIndex":0},"citationItems":[{"id":140,"uris":["http://zotero.org/users/10518850/items/PXXN7M4A"],"itemData":{"id":140,"type":"webpage","abstract":"How polluted is the air today? Check out the real-time air pollution map, for more than 100 countries.","container-title":"aqicn.org","title":"Chất lượng không khí trên toàn thế giới: AirNet Sensor Network","title-short":"Chất lượng không khí trên toàn thế giới","URL":"https://aqicn.org/gaia/","author":[{"family":"project","given":"The World Air Quality Index"}],"accessed":{"date-parts":[["2022",11,9]]}}}],"schema":"https://github.com/citation-style-language/schema/raw/master/csl-citation.json"} </w:instrText>
      </w:r>
      <w:r w:rsidR="001F1265">
        <w:fldChar w:fldCharType="separate"/>
      </w:r>
      <w:r w:rsidR="001F1265" w:rsidRPr="002A2E76">
        <w:rPr>
          <w:rFonts w:cs="Times New Roman"/>
        </w:rPr>
        <w:t>[15]</w:t>
      </w:r>
      <w:r w:rsidR="001F1265">
        <w:fldChar w:fldCharType="end"/>
      </w:r>
    </w:p>
    <w:p w14:paraId="2D6095A3" w14:textId="77777777" w:rsidR="000E598E" w:rsidRDefault="000E598E" w:rsidP="0065288E"/>
    <w:p w14:paraId="2665B94E" w14:textId="6405FB76" w:rsidR="008E1D1C" w:rsidRDefault="008E1D1C" w:rsidP="0065288E">
      <w:r>
        <w:tab/>
      </w:r>
      <w:proofErr w:type="spellStart"/>
      <w:r w:rsidRPr="008E1D1C">
        <w:t>PurpleAir’s</w:t>
      </w:r>
      <w:proofErr w:type="spellEnd"/>
      <w:r w:rsidRPr="008E1D1C">
        <w:t xml:space="preserve"> Flex</w:t>
      </w:r>
      <w:r>
        <w:t xml:space="preserve"> </w:t>
      </w:r>
      <w:r w:rsidR="001F1265">
        <w:t>(</w:t>
      </w:r>
      <w:r w:rsidR="002A4017">
        <w:t>A</w:t>
      </w:r>
      <w:r w:rsidR="001F1265">
        <w:t xml:space="preserve">ppendix 3) </w:t>
      </w:r>
      <w:r>
        <w:t>costs £217 and includes additional features than the A12</w:t>
      </w:r>
      <w:r w:rsidR="003E69EB">
        <w:t>,</w:t>
      </w:r>
      <w:r>
        <w:t xml:space="preserve"> like PM1, and a gaseous sensor that measures total</w:t>
      </w:r>
      <w:r w:rsidR="000E598E">
        <w:t xml:space="preserve"> volatile organic compounds</w:t>
      </w:r>
      <w:r>
        <w:t xml:space="preserve"> </w:t>
      </w:r>
      <w:r w:rsidR="000E598E">
        <w:t>(</w:t>
      </w:r>
      <w:r>
        <w:t>VOCs</w:t>
      </w:r>
      <w:r w:rsidR="000E598E">
        <w:t>)</w:t>
      </w:r>
      <w:r>
        <w:t xml:space="preserve">, but this VOC measurement is only an index </w:t>
      </w:r>
      <w:r w:rsidRPr="008E1D1C">
        <w:t>from 0 – 50, representing Excellent to Extremely polluted</w:t>
      </w:r>
      <w:r>
        <w:t>, n</w:t>
      </w:r>
      <w:r w:rsidRPr="008E1D1C">
        <w:t xml:space="preserve">ot the standard </w:t>
      </w:r>
      <w:r>
        <w:t xml:space="preserve">unit of </w:t>
      </w:r>
      <w:r w:rsidR="00846F20">
        <w:t>‘</w:t>
      </w:r>
      <w:r w:rsidRPr="008E1D1C">
        <w:t>parts per million</w:t>
      </w:r>
      <w:r w:rsidR="00846F20">
        <w:t>’</w:t>
      </w:r>
      <w:r>
        <w:t xml:space="preserve">. </w:t>
      </w:r>
      <w:r w:rsidR="005B29CF">
        <w:t xml:space="preserve">This device also requires Wi-Fi and the data is made available from their web app. </w:t>
      </w:r>
      <w:r w:rsidR="001F1265">
        <w:fldChar w:fldCharType="begin"/>
      </w:r>
      <w:r w:rsidR="001F1265">
        <w:instrText xml:space="preserve"> ADDIN ZOTERO_ITEM CSL_CITATION {"citationID":"TI0SjITD","properties":{"formattedCitation":"[16]","plainCitation":"[16]","noteIndex":0},"citationItems":[{"id":217,"uris":["http://zotero.org/users/10518850/items/Q5UI7MT2"],"itemData":{"id":217,"type":"webpage","abstract":"The PurpleAir Flex is the latest air quality monitor from PurpleAir, measuring real-time PM2.5 concentrations for residential, commercial, or industrial use. Containing a full-color LED, the resulting glow indicates real-time air quality at a glance and can be installed indoors or outdoors.","container-title":"PurpleAir, Inc.","language":"en","title":"PurpleAir Flex Air Quality Monitor","URL":"https://www2.purpleair.com/products/purpleair-flex","accessed":{"date-parts":[["2023",2,5]]}}}],"schema":"https://github.com/citation-style-language/schema/raw/master/csl-citation.json"} </w:instrText>
      </w:r>
      <w:r w:rsidR="001F1265">
        <w:fldChar w:fldCharType="separate"/>
      </w:r>
      <w:r w:rsidR="001F1265" w:rsidRPr="002A2E76">
        <w:rPr>
          <w:rFonts w:cs="Times New Roman"/>
        </w:rPr>
        <w:t>[16]</w:t>
      </w:r>
      <w:r w:rsidR="001F1265">
        <w:fldChar w:fldCharType="end"/>
      </w:r>
    </w:p>
    <w:p w14:paraId="17E8CA8E" w14:textId="77777777" w:rsidR="000E598E" w:rsidRDefault="000E598E" w:rsidP="0065288E"/>
    <w:p w14:paraId="75EC2ACC" w14:textId="39C8DA61" w:rsidR="008E1D1C" w:rsidRDefault="008E1D1C" w:rsidP="0065288E">
      <w:r>
        <w:tab/>
        <w:t xml:space="preserve">The </w:t>
      </w:r>
      <w:r w:rsidRPr="008E1D1C">
        <w:t>Clarity Node-</w:t>
      </w:r>
      <w:r w:rsidR="001F1265" w:rsidRPr="008E1D1C">
        <w:t>S</w:t>
      </w:r>
      <w:r w:rsidR="001F1265">
        <w:t xml:space="preserve"> (</w:t>
      </w:r>
      <w:r w:rsidR="002A4017">
        <w:t>A</w:t>
      </w:r>
      <w:r w:rsidR="001F1265">
        <w:t>ppendix 4)</w:t>
      </w:r>
      <w:r w:rsidRPr="008E1D1C">
        <w:t xml:space="preserve"> includes</w:t>
      </w:r>
      <w:r>
        <w:t xml:space="preserve"> the common PM2.5 and PM10, </w:t>
      </w:r>
      <w:r w:rsidR="002720F7">
        <w:t>and</w:t>
      </w:r>
      <w:r>
        <w:t xml:space="preserve"> a </w:t>
      </w:r>
      <w:r w:rsidR="000F595A">
        <w:t xml:space="preserve">sensor for nitrogen dioxide. Clarity also sell an add-on module that adds a range of environmental sensors as well as sensors for the pollutants ozone and VOC. Unlike the previous two units which were powered by a DC transformer, this unit is powered by a solar panel and an internal battery. </w:t>
      </w:r>
      <w:r w:rsidR="005B29CF">
        <w:t xml:space="preserve">This unit also includes a </w:t>
      </w:r>
      <w:r w:rsidR="00B52362">
        <w:t>s</w:t>
      </w:r>
      <w:r w:rsidR="005B29CF">
        <w:t xml:space="preserve">im card and cellular for data access through a web app or API. </w:t>
      </w:r>
      <w:r w:rsidR="000F595A">
        <w:t xml:space="preserve">This is the device now deployed in the Breathe London Project and can be bought in the UK for £2400 from </w:t>
      </w:r>
      <w:r w:rsidR="00872DE8">
        <w:t>Imperial College London</w:t>
      </w:r>
      <w:r w:rsidR="000F595A">
        <w:t xml:space="preserve">. </w:t>
      </w:r>
      <w:r w:rsidR="00872DE8">
        <w:fldChar w:fldCharType="begin"/>
      </w:r>
      <w:r w:rsidR="002A2E76">
        <w:instrText xml:space="preserve"> ADDIN ZOTERO_ITEM CSL_CITATION {"citationID":"CgpCSnOE","properties":{"formattedCitation":"[17]","plainCitation":"[17]","noteIndex":0},"citationItems":[{"id":236,"uris":["http://zotero.org/users/10518850/items/2WSRMAGD"],"itemData":{"id":236,"type":"webpage","title":"Breathe London Node | Imperial College London Online Store","URL":"https://estore.imperial.ac.uk/product-catalogue/faculty-of-medicine/school-of-public-health/breathe-london-node","accessed":{"date-parts":[["2023",3,5]]}}}],"schema":"https://github.com/citation-style-language/schema/raw/master/csl-citation.json"} </w:instrText>
      </w:r>
      <w:r w:rsidR="00872DE8">
        <w:fldChar w:fldCharType="separate"/>
      </w:r>
      <w:r w:rsidR="002A2E76" w:rsidRPr="002A2E76">
        <w:rPr>
          <w:rFonts w:cs="Times New Roman"/>
        </w:rPr>
        <w:t>[17]</w:t>
      </w:r>
      <w:r w:rsidR="00872DE8">
        <w:fldChar w:fldCharType="end"/>
      </w:r>
    </w:p>
    <w:p w14:paraId="5EED4E4E" w14:textId="77777777" w:rsidR="000E598E" w:rsidRDefault="000E598E" w:rsidP="0065288E"/>
    <w:p w14:paraId="0758ED9B" w14:textId="3F28185D" w:rsidR="005B29CF" w:rsidRDefault="005B29CF" w:rsidP="00D86C46">
      <w:pPr>
        <w:ind w:firstLine="720"/>
      </w:pPr>
      <w:r>
        <w:t>The Pod by AQ Mesh</w:t>
      </w:r>
      <w:r w:rsidR="001F1265">
        <w:t xml:space="preserve"> (</w:t>
      </w:r>
      <w:r w:rsidR="002A4017">
        <w:t>A</w:t>
      </w:r>
      <w:r w:rsidR="001F1265">
        <w:t>ppendix 5)</w:t>
      </w:r>
      <w:r w:rsidR="00872DE8">
        <w:t xml:space="preserve"> </w:t>
      </w:r>
      <w:r>
        <w:t>includes the greatest range of pollution sensors including the sizing of PM 1, 2.5, 4 and 10, and seven gaseous pollutants including, nitrogen</w:t>
      </w:r>
      <w:r w:rsidRPr="005B29CF">
        <w:t xml:space="preserve"> oxide, nitrogen dioxide, and general nitrogen oxides, cardon oxide, cardon dioxide, sulphur dioxide, O-zone, and Hydrogen sulphide</w:t>
      </w:r>
      <w:r>
        <w:t>. This is the only devi</w:t>
      </w:r>
      <w:r w:rsidR="002A4017">
        <w:t>c</w:t>
      </w:r>
      <w:r>
        <w:t xml:space="preserve">e I have </w:t>
      </w:r>
      <w:r w:rsidR="00872DE8">
        <w:t>compared</w:t>
      </w:r>
      <w:r>
        <w:t xml:space="preserve"> </w:t>
      </w:r>
      <w:r w:rsidR="00B52362">
        <w:t>that</w:t>
      </w:r>
      <w:r>
        <w:t xml:space="preserve"> measures VOCs in parts per million. The Pod is manufactured to order in the UK and the number of sensors can</w:t>
      </w:r>
      <w:r w:rsidR="003E69EB">
        <w:t xml:space="preserve"> be</w:t>
      </w:r>
      <w:r>
        <w:t xml:space="preserve"> customised. This was the device originally deployed in the Breathe London Project with a selection of the total sensors they offer. </w:t>
      </w:r>
      <w:r w:rsidR="001F1265">
        <w:fldChar w:fldCharType="begin"/>
      </w:r>
      <w:r w:rsidR="001F1265">
        <w:instrText xml:space="preserve"> ADDIN ZOTERO_ITEM CSL_CITATION {"citationID":"UgFqhZzS","properties":{"formattedCitation":"[18]","plainCitation":"[18]","noteIndex":0},"citationItems":[{"id":221,"uris":["http://zotero.org/users/10518850/items/LP6LW782"],"itemData":{"id":221,"type":"webpage","abstract":"AQMesh is the proven small sensor air quality monitoring system ideal for fenceline monitoring, perimeter monitoring and boundary monitoring. It is a multi sensor low cost outdoor air quality monitor that allows you to create local air quality monitoring networks. Buy or rent this smart air quality monitor today and benefit from unbeatable accuracy and performance.","container-title":"AQMesh","language":"en-US","title":"AQMesh","URL":"https://www.aqmesh.com/products/aqmesh/","accessed":{"date-parts":[["2023",2,5]]}}}],"schema":"https://github.com/citation-style-language/schema/raw/master/csl-citation.json"} </w:instrText>
      </w:r>
      <w:r w:rsidR="001F1265">
        <w:fldChar w:fldCharType="separate"/>
      </w:r>
      <w:r w:rsidR="001F1265" w:rsidRPr="002A2E76">
        <w:rPr>
          <w:rFonts w:cs="Times New Roman"/>
        </w:rPr>
        <w:t>[18]</w:t>
      </w:r>
      <w:r w:rsidR="001F1265">
        <w:fldChar w:fldCharType="end"/>
      </w:r>
    </w:p>
    <w:p w14:paraId="6A8789C9" w14:textId="6CBDD097" w:rsidR="00872DE8" w:rsidRDefault="00872DE8" w:rsidP="005B29CF"/>
    <w:p w14:paraId="19043D45" w14:textId="77777777" w:rsidR="00B862CC" w:rsidRDefault="00B862CC">
      <w:pPr>
        <w:spacing w:after="160"/>
        <w:jc w:val="left"/>
        <w:rPr>
          <w:rFonts w:eastAsiaTheme="majorEastAsia" w:cstheme="majorBidi"/>
          <w:b/>
          <w:bCs/>
          <w:caps/>
          <w:sz w:val="28"/>
          <w:szCs w:val="28"/>
        </w:rPr>
      </w:pPr>
      <w:r>
        <w:br w:type="page"/>
      </w:r>
    </w:p>
    <w:p w14:paraId="3F99D352" w14:textId="68BF96AC" w:rsidR="00393B8F" w:rsidRDefault="006B1A7D" w:rsidP="006B1A7D">
      <w:pPr>
        <w:pStyle w:val="Heading1"/>
      </w:pPr>
      <w:bookmarkStart w:id="10" w:name="_Toc133335239"/>
      <w:r>
        <w:lastRenderedPageBreak/>
        <w:t>Methodology</w:t>
      </w:r>
      <w:bookmarkEnd w:id="10"/>
    </w:p>
    <w:p w14:paraId="30E25895" w14:textId="77777777" w:rsidR="002F3E5C" w:rsidRPr="00D86C46" w:rsidRDefault="002F3E5C" w:rsidP="002F3E5C"/>
    <w:p w14:paraId="3F81F780" w14:textId="61BD7F7F" w:rsidR="00454E3D" w:rsidRDefault="00D86C46" w:rsidP="00D86C46">
      <w:r>
        <w:tab/>
      </w:r>
      <w:r w:rsidRPr="00D86C46">
        <w:t xml:space="preserve">I have chosen to design my product using a microcontroller manufactured by Microchip. </w:t>
      </w:r>
      <w:r w:rsidR="00454E3D">
        <w:t>I chose to use the Microchip hardware and environment as the programming and debugging hardware could be made available to me through the university. I used microchip</w:t>
      </w:r>
      <w:r w:rsidR="004F6F0D">
        <w:t>’</w:t>
      </w:r>
      <w:r w:rsidR="00454E3D">
        <w:t xml:space="preserve">s MPLAB X IDE and XC8 compiler as they are freely available and </w:t>
      </w:r>
      <w:r w:rsidR="00E60611">
        <w:t>sufficiently</w:t>
      </w:r>
      <w:r w:rsidR="00454E3D">
        <w:t xml:space="preserve"> documented by the manufactu</w:t>
      </w:r>
      <w:r w:rsidR="00E60611">
        <w:t>rer. Importantly MPLAB X includes a suite of debugging features, like hardware breakpoints, single s</w:t>
      </w:r>
      <w:r w:rsidR="00E60611" w:rsidRPr="00E60611">
        <w:t>tepping through code</w:t>
      </w:r>
      <w:r w:rsidR="00E60611">
        <w:t xml:space="preserve">, access to the current register values and variables in memory, as well as GIT integration for version control. </w:t>
      </w:r>
    </w:p>
    <w:p w14:paraId="020446D0" w14:textId="77777777" w:rsidR="009B7558" w:rsidRDefault="009B7558" w:rsidP="00D86C46"/>
    <w:p w14:paraId="5B33E0F4" w14:textId="11E4AB14" w:rsidR="00317E5E" w:rsidRDefault="00317E5E" w:rsidP="00D86C46">
      <w:r>
        <w:tab/>
        <w:t>Other brands of microcontrollers are available, like NXP and ST microelectronics who both licence an ARM core</w:t>
      </w:r>
      <w:r w:rsidR="00130BB9">
        <w:fldChar w:fldCharType="begin"/>
      </w:r>
      <w:r w:rsidR="00130BB9">
        <w:instrText xml:space="preserve"> ADDIN ZOTERO_ITEM CSL_CITATION {"citationID":"vTjZclv3","properties":{"formattedCitation":"[19], [20]","plainCitation":"[19], [20]","noteIndex":0},"citationItems":[{"id":261,"uris":["http://zotero.org/users/10518850/items/AFUXTQLZ"],"itemData":{"id":261,"type":"webpage","abstract":"NXP Arm-based microcontrollers portfolio offers the high level of integration, comprehensive software and hardware enablement, and a broad range of performance","title":"Arm Microcontrollers","URL":"https://www.nxp.com/products/processors-and-microcontrollers/arm-microcontrollers:ARM-MICROCONTROLLERS","accessed":{"date-parts":[["2023",4,25]]}}},{"id":263,"uris":["http://zotero.org/users/10518850/items/4UUXUQCY"],"itemData":{"id":263,"type":"webpage","abstract":"Widely used in Arm-based microcontrollers, Cortex-M cores are optimized for power efficiency and deterministic operation. They are also found embedded into multi-core microprocessors (MPUs).","language":"en","title":"Arm Microcontrollers - 32-bit MCUs - STMicroelectronics","URL":"https://www.st.com/content/st_com/en/arm-32-bit-microcontrollers.html","accessed":{"date-parts":[["2023",4,25]]}}}],"schema":"https://github.com/citation-style-language/schema/raw/master/csl-citation.json"} </w:instrText>
      </w:r>
      <w:r w:rsidR="00130BB9">
        <w:fldChar w:fldCharType="separate"/>
      </w:r>
      <w:r w:rsidR="00130BB9" w:rsidRPr="00130BB9">
        <w:rPr>
          <w:rFonts w:cs="Times New Roman"/>
        </w:rPr>
        <w:t>[19][20]</w:t>
      </w:r>
      <w:r w:rsidR="00130BB9">
        <w:fldChar w:fldCharType="end"/>
      </w:r>
      <w:r>
        <w:t>. They can offer better unit prices when buying in bulk but are more costly individually</w:t>
      </w:r>
      <w:r w:rsidR="004F6F0D">
        <w:t>.</w:t>
      </w:r>
      <w:r>
        <w:t xml:space="preserve"> I would </w:t>
      </w:r>
      <w:r w:rsidR="004F6F0D">
        <w:t xml:space="preserve">also </w:t>
      </w:r>
      <w:r w:rsidR="002720F7">
        <w:t>need</w:t>
      </w:r>
      <w:r>
        <w:t xml:space="preserve"> to invest in the debugging tools</w:t>
      </w:r>
      <w:r w:rsidR="004502D8">
        <w:t xml:space="preserve">, and </w:t>
      </w:r>
      <w:r w:rsidR="004F6F0D">
        <w:t xml:space="preserve">they </w:t>
      </w:r>
      <w:r w:rsidR="004502D8">
        <w:t>do</w:t>
      </w:r>
      <w:r w:rsidR="002720F7">
        <w:t xml:space="preserve"> not</w:t>
      </w:r>
      <w:r w:rsidR="004502D8">
        <w:t xml:space="preserve"> manufacture any of their processors in DIP packaging. </w:t>
      </w:r>
    </w:p>
    <w:p w14:paraId="5FE6E24F" w14:textId="77777777" w:rsidR="009B7558" w:rsidRDefault="009B7558" w:rsidP="00D86C46"/>
    <w:p w14:paraId="2D46E5EE" w14:textId="501F35EE" w:rsidR="00D86C46" w:rsidRDefault="00D86C46" w:rsidP="004F6F0D">
      <w:pPr>
        <w:ind w:firstLine="720"/>
      </w:pPr>
      <w:r w:rsidRPr="00D86C46">
        <w:t xml:space="preserve">I </w:t>
      </w:r>
      <w:r w:rsidR="00E60611">
        <w:t xml:space="preserve">specifically </w:t>
      </w:r>
      <w:r w:rsidRPr="00D86C46">
        <w:t>chose the PIC18F</w:t>
      </w:r>
      <w:r w:rsidR="004F6F0D">
        <w:t>2</w:t>
      </w:r>
      <w:r w:rsidRPr="00D86C46">
        <w:t>6K80</w:t>
      </w:r>
      <w:r>
        <w:t xml:space="preserve"> as it </w:t>
      </w:r>
      <w:r w:rsidR="00454E3D">
        <w:t>has the largest EEPROM from the range, a</w:t>
      </w:r>
      <w:r w:rsidR="004F6F0D">
        <w:t>nd</w:t>
      </w:r>
      <w:r w:rsidR="00454E3D">
        <w:t xml:space="preserve"> is </w:t>
      </w:r>
      <w:r w:rsidR="002720F7">
        <w:t>reasonably</w:t>
      </w:r>
      <w:r w:rsidR="00454E3D">
        <w:t xml:space="preserve"> price</w:t>
      </w:r>
      <w:r w:rsidR="002720F7">
        <w:t>d</w:t>
      </w:r>
      <w:r w:rsidR="00454E3D">
        <w:t xml:space="preserve"> </w:t>
      </w:r>
      <w:r w:rsidR="002720F7">
        <w:t>at</w:t>
      </w:r>
      <w:r w:rsidR="00454E3D">
        <w:t xml:space="preserve"> </w:t>
      </w:r>
      <w:r w:rsidR="004F6F0D">
        <w:t xml:space="preserve">£4.40 </w:t>
      </w:r>
      <w:r w:rsidR="004F6F0D">
        <w:fldChar w:fldCharType="begin"/>
      </w:r>
      <w:r w:rsidR="00130BB9">
        <w:instrText xml:space="preserve"> ADDIN ZOTERO_ITEM CSL_CITATION {"citationID":"hi3feIZD","properties":{"formattedCitation":"[21]","plainCitation":"[21]","noteIndex":0},"citationItems":[{"id":250,"uris":["http://zotero.org/users/10518850/items/SRJTB585"],"itemData":{"id":250,"type":"webpage","abstract":"The PIC18F26K80-I/SP is a baseline PIC18 family 8-bit powerful (200 nanosecond instruction execution) yet easy-to-program CMOS flash based Microcontroller packs powerful PIC®(RISC) architecture. This product utilize a 12-bit program word and provide the right amount of features including 64kB of addressable program memory size, 3648bytes of data memory size, 24 general-purpose I/O pins, two comparators and 8-channel 12-bit analog-to-digital (A/D) converter. This device operates at a maximum frequency of 64MHz wide operating voltage of 1.8 to 5.5V.","language":"en","title":"PIC18F26K80-I/SP - 8 Bit MCU, Flash, PIC18 Family PIC18F K8x Series Microcontrollers, PIC18, 64 MHz, 64 KB, 28 Pins","URL":"https://uk.farnell.com/microchip/pic18f26k80-i-sp/mcu-8bit-pic18-64mhz-dip-28/dp/1823165","accessed":{"date-parts":[["2023",4,7]]}}}],"schema":"https://github.com/citation-style-language/schema/raw/master/csl-citation.json"} </w:instrText>
      </w:r>
      <w:r w:rsidR="004F6F0D">
        <w:fldChar w:fldCharType="separate"/>
      </w:r>
      <w:r w:rsidR="00130BB9" w:rsidRPr="00130BB9">
        <w:rPr>
          <w:rFonts w:cs="Times New Roman"/>
        </w:rPr>
        <w:t>[21]</w:t>
      </w:r>
      <w:r w:rsidR="004F6F0D">
        <w:fldChar w:fldCharType="end"/>
      </w:r>
      <w:r w:rsidR="00454E3D">
        <w:t xml:space="preserve"> </w:t>
      </w:r>
      <w:r w:rsidR="004F6F0D">
        <w:t>in a</w:t>
      </w:r>
      <w:r w:rsidR="00454E3D">
        <w:t xml:space="preserve"> DIP package which is convenient for prototyping. </w:t>
      </w:r>
      <w:r w:rsidR="00E60611">
        <w:t xml:space="preserve">For future iterations, a surface mount </w:t>
      </w:r>
      <w:r w:rsidR="004F6F0D">
        <w:t xml:space="preserve">microcontroller like the </w:t>
      </w:r>
      <w:r w:rsidR="004F6F0D" w:rsidRPr="004F6F0D">
        <w:t>PIC16F15214</w:t>
      </w:r>
      <w:r w:rsidR="004F6F0D">
        <w:t xml:space="preserve"> </w:t>
      </w:r>
      <w:r w:rsidR="00E60611">
        <w:t>with a smaller number of pins would be more appropriate as well as cheaper</w:t>
      </w:r>
      <w:r w:rsidR="004F6F0D">
        <w:t xml:space="preserve"> at £0.65 per unit </w:t>
      </w:r>
      <w:r w:rsidR="004F6F0D">
        <w:fldChar w:fldCharType="begin"/>
      </w:r>
      <w:r w:rsidR="00130BB9">
        <w:instrText xml:space="preserve"> ADDIN ZOTERO_ITEM CSL_CITATION {"citationID":"fxFDFAv2","properties":{"formattedCitation":"[22]","plainCitation":"[22]","noteIndex":0},"citationItems":[{"id":254,"uris":["http://zotero.org/users/10518850/items/I9HVMBIA"],"itemData":{"id":254,"type":"webpage","abstract":"PIC16F15214-I/SN - 8 Bit MCU, PIC16 Family PIC16F152xx Series Microcontrollers, PIC16, 32 MHz, 7 KB, 8 Pins, NSOIC","language":"en","title":"PIC16F15214-I/SN - 8 Bit MCU, PIC16 Family PIC16F152xx Series Microcontrollers, PIC16, 32 MHz, 7 KB, 8 Pins, NSOIC","URL":"https://uk.farnell.com/microchip/pic16f15214-i-sn/mcu-8bit-32mhz-nsoic-8/dp/3628081","accessed":{"date-parts":[["2023",4,7]]}}}],"schema":"https://github.com/citation-style-language/schema/raw/master/csl-citation.json"} </w:instrText>
      </w:r>
      <w:r w:rsidR="004F6F0D">
        <w:fldChar w:fldCharType="separate"/>
      </w:r>
      <w:r w:rsidR="00130BB9" w:rsidRPr="00130BB9">
        <w:rPr>
          <w:rFonts w:cs="Times New Roman"/>
        </w:rPr>
        <w:t>[22]</w:t>
      </w:r>
      <w:r w:rsidR="004F6F0D">
        <w:fldChar w:fldCharType="end"/>
      </w:r>
      <w:r w:rsidR="004F6F0D">
        <w:t>.</w:t>
      </w:r>
    </w:p>
    <w:p w14:paraId="3974E224" w14:textId="7B2AF69B" w:rsidR="0063281F" w:rsidRDefault="0063281F" w:rsidP="004F6F0D">
      <w:pPr>
        <w:ind w:firstLine="720"/>
      </w:pPr>
    </w:p>
    <w:p w14:paraId="2DD2A1ED" w14:textId="049AB9BF" w:rsidR="002A073D" w:rsidRDefault="002A073D" w:rsidP="002A073D"/>
    <w:p w14:paraId="2AF977E3" w14:textId="77777777" w:rsidR="00B862CC" w:rsidRDefault="00B862CC">
      <w:pPr>
        <w:spacing w:after="160"/>
        <w:jc w:val="left"/>
        <w:rPr>
          <w:rFonts w:eastAsiaTheme="majorEastAsia" w:cstheme="majorBidi"/>
          <w:b/>
          <w:bCs/>
          <w:caps/>
          <w:sz w:val="28"/>
          <w:szCs w:val="28"/>
        </w:rPr>
      </w:pPr>
      <w:r>
        <w:br w:type="page"/>
      </w:r>
    </w:p>
    <w:p w14:paraId="5EAFF173" w14:textId="479593A9" w:rsidR="00B862CC" w:rsidRPr="007655A4" w:rsidRDefault="002A073D" w:rsidP="007655A4">
      <w:pPr>
        <w:pStyle w:val="Heading1"/>
      </w:pPr>
      <w:bookmarkStart w:id="11" w:name="_Toc133335240"/>
      <w:r>
        <w:lastRenderedPageBreak/>
        <w:t>My Design</w:t>
      </w:r>
      <w:bookmarkEnd w:id="11"/>
    </w:p>
    <w:p w14:paraId="6CC9E898" w14:textId="3A50CAD0" w:rsidR="00E377A8" w:rsidRDefault="00C31D18" w:rsidP="00377644">
      <w:pPr>
        <w:pStyle w:val="Heading2"/>
      </w:pPr>
      <w:bookmarkStart w:id="12" w:name="_Toc133335241"/>
      <w:r>
        <w:t xml:space="preserve">My </w:t>
      </w:r>
      <w:r w:rsidR="00430B24">
        <w:t>F</w:t>
      </w:r>
      <w:r>
        <w:t>eatures</w:t>
      </w:r>
      <w:bookmarkEnd w:id="12"/>
    </w:p>
    <w:p w14:paraId="475BFDE3" w14:textId="77777777" w:rsidR="00B862CC" w:rsidRDefault="00B862CC" w:rsidP="00E377A8"/>
    <w:p w14:paraId="25633E02" w14:textId="027B9EFD" w:rsidR="00B862CC" w:rsidRDefault="00B862CC" w:rsidP="00E377A8">
      <w:r>
        <w:tab/>
      </w:r>
      <w:r w:rsidR="007655A4">
        <w:t xml:space="preserve">I formulated a plan for my design, using the knowledge I gained through my research into the current market as well as my reading of the current literature. Pope stated that </w:t>
      </w:r>
      <w:r w:rsidR="007655A4" w:rsidRPr="007655A4">
        <w:t>Particulate matter smaller than 2.5μm</w:t>
      </w:r>
      <w:r w:rsidR="007655A4">
        <w:t xml:space="preserve"> is a good proxy for overall pollution levels, including </w:t>
      </w:r>
      <w:r w:rsidR="007655A4" w:rsidRPr="00513662">
        <w:t>ambient particulate matter pollution from transportation, wind-blown dust, burning of biomass, and industrial sources</w:t>
      </w:r>
      <w:r w:rsidR="007655A4">
        <w:t xml:space="preserve"> </w:t>
      </w:r>
      <w:r w:rsidR="007655A4">
        <w:fldChar w:fldCharType="begin"/>
      </w:r>
      <w:r w:rsidR="007655A4">
        <w:instrText xml:space="preserve"> ADDIN ZOTERO_ITEM CSL_CITATION {"citationID":"qBTSkzw5","properties":{"formattedCitation":"[3]","plainCitation":"[3]","noteIndex":0},"citationItems":[{"id":182,"uris":["http://zotero.org/users/10518850/items/BULYQ7VS"],"itemData":{"id":182,"type":"article-journal","abstract":"BACKGROUND: Lung cancer and cardiovascular disease (CVD) mortality risks increase with smoking, secondhand smoke (SHS), and exposure to fine particulate matter &lt; 2.5 μm in diameter (PM₂.₅) from ambient air pollution. Recent research indicates that the exposure-response relationship for CVD is nonlinear, with a steep increase in risk at low exposures and flattening out at higher exposures. Comparable estimates of the exposure-response relationship for lung cancer are required for disease burden estimates and related public health policy assessments.\nOBJECTIVES: We compared exposure-response relationships of PM₂.₅ with lung cancer and cardiovascular mortality and considered the implications of the observed differences for efforts to estimate the disease burden of PM2.5.\nMETHODS: Prospective cohort data for 1.2 million adults were collected by the American Cancer Society as part of the Cancer Prevention Study II. We estimated relative risks (RRs) for increments of cigarette smoking, adjusting for various individual risk factors. RRs were plotted against estimated daily dose of PM₂.₅ from smoking along with comparison estimates for ambient air pollution and SHS.\nRESULTS: For lung cancer mortality, excess risk rose nearly linearly, reaching maximum RRs &gt; 40 among long-term heavy smokers. Excess risks for CVD mortality increased steeply at low exposure levels and leveled off at higher exposures, reaching RRs of approximately 2-3 for cigarette smoking.\nCONCLUSIONS: The exposure-response relationship associated with PM₂.₅ is qualitatively different for lung cancer versus cardiovascular mortality. At low exposure levels, cardiovascular deaths are projected to account for most of the burden of disease, whereas at high levels of PM₂.₅, lung cancer becomes proportionately more important.","container-title":"Environmental Health Perspectives","DOI":"10.1289/ehp.1103639","ISSN":"1552-9924","issue":"11","journalAbbreviation":"Environ Health Perspect","language":"eng","note":"PMID: 21768054\nPMCID: PMC3226505","page":"1616-1621","source":"PubMed","title":"Lung cancer and cardiovascular disease mortality associated with ambient air pollution and cigarette smoke: shape of the exposure-response relationships","title-short":"Lung cancer and cardiovascular disease mortality associated with ambient air pollution and cigarette smoke","volume":"119","author":[{"family":"Pope","given":"C. Arden"},{"family":"Burnett","given":"Richard T."},{"family":"Turner","given":"Michelle C."},{"family":"Cohen","given":"Aaron"},{"family":"Krewski","given":"Daniel"},{"family":"Jerrett","given":"Michael"},{"family":"Gapstur","given":"Susan M."},{"family":"Thun","given":"Michael J."}],"issued":{"date-parts":[["2011",11]]}}}],"schema":"https://github.com/citation-style-language/schema/raw/master/csl-citation.json"} </w:instrText>
      </w:r>
      <w:r w:rsidR="007655A4">
        <w:fldChar w:fldCharType="separate"/>
      </w:r>
      <w:r w:rsidR="007655A4" w:rsidRPr="007655A4">
        <w:rPr>
          <w:rFonts w:cs="Times New Roman"/>
        </w:rPr>
        <w:t>[3]</w:t>
      </w:r>
      <w:r w:rsidR="007655A4">
        <w:fldChar w:fldCharType="end"/>
      </w:r>
      <w:r w:rsidR="007655A4">
        <w:t xml:space="preserve">. </w:t>
      </w:r>
      <w:r w:rsidR="0034317E">
        <w:t>PM2.5 and PM10 are both regulated by the UK government, and PM10 i</w:t>
      </w:r>
      <w:r w:rsidR="00E83656">
        <w:t>s</w:t>
      </w:r>
      <w:r w:rsidR="0034317E">
        <w:t xml:space="preserve"> often included in </w:t>
      </w:r>
      <w:r w:rsidR="00E83656">
        <w:t>PM</w:t>
      </w:r>
      <w:r w:rsidR="0034317E">
        <w:t xml:space="preserve"> sensors, so I chose to specify a sensor that covers both as a minimum. All but the cheapest device in my market research included some level of gaseous pollutant sensing,</w:t>
      </w:r>
      <w:r w:rsidR="008849C9">
        <w:t xml:space="preserve"> and I found </w:t>
      </w:r>
      <w:r w:rsidR="00BA358E">
        <w:t xml:space="preserve">accessibly </w:t>
      </w:r>
      <w:r w:rsidR="009A2800">
        <w:t xml:space="preserve">priced </w:t>
      </w:r>
      <w:r w:rsidR="008849C9">
        <w:t xml:space="preserve">sensors for VOCs and nitrogen dioxide, but due to the conclusion </w:t>
      </w:r>
      <w:r w:rsidR="000B5129">
        <w:t xml:space="preserve">in </w:t>
      </w:r>
      <w:r w:rsidR="008849C9" w:rsidRPr="008849C9">
        <w:t xml:space="preserve">Jiří </w:t>
      </w:r>
      <w:proofErr w:type="spellStart"/>
      <w:r w:rsidR="008849C9" w:rsidRPr="008849C9">
        <w:t>Bílek</w:t>
      </w:r>
      <w:r w:rsidR="008849C9">
        <w:t>’s</w:t>
      </w:r>
      <w:proofErr w:type="spellEnd"/>
      <w:r w:rsidR="008849C9">
        <w:t xml:space="preserve"> study </w:t>
      </w:r>
      <w:r w:rsidR="008849C9">
        <w:fldChar w:fldCharType="begin"/>
      </w:r>
      <w:r w:rsidR="002A2E76">
        <w:instrText xml:space="preserve"> ADDIN ZOTERO_ITEM CSL_CITATION {"citationID":"LW9ET4QF","properties":{"formattedCitation":"[13]","plainCitation":"[13]","noteIndex":0},"citationItems":[{"id":68,"uris":["http://zotero.org/users/10518850/items/9ESAN4IZ"],"itemData":{"id":68,"type":"article-journal","abstract":"Sensor technology is attractive to the public due to its availability and ease of use. However, its usage raises numerous questions. The general trustworthiness of sensor data is widely discussed, especially with regard to accuracy, precision, and long-term signal stability. The VSB-Technical University of Ostrava has operated an air quality sensor network for more than two years, and its large sets of valid results can help in understanding the limitations of sensory measurement. Monitoring is focused on the concentrations of dust particles, NO2, and ozone to verify the impact of newly planted greenery on the reduction in air pollution. The sensor network currently covers an open ﬁeld on the outskirts of Ostrava, between Liberty Ironworks and the nearby ISKO1650 monitoring station, where some of the worst air pollution levels in the Czech Republic are regularly measured. In the future, trees should be allowed to grow over the sensors, enabling assessment of the green barrier effect on air pollution. As expected, the service life of the sensors varies from 1 to 3 years; therefore, checks are necessary both prior to the measurement and regularly during operation, verifying output stability and overall performance. Results of the PMx sensory measurements correlated well with the reference method. Concentration values measured by NO2 sensors correlated poorly with the reference method, although timeline plots of concentration changes were in accordance. We suggest that a comparison of timelines should be used for air quality evaluations, rather than particular values. The results showed that the sensor measurements are not yet suitable to replace the reference methods, and dense sensor networks proved useful and robust tools for indicative air quality measurements (AQM).","container-title":"Environments","DOI":"10.3390/environments8110114","ISSN":"2076-3298","issue":"11","journalAbbreviation":"Environments","language":"en","page":"114","source":"DOI.org (Crossref)","title":"Ambient Air Quality Measurement with Low-Cost Optical and Electrochemical Sensors: An Evaluation of Continuous Year-Long Operation","title-short":"Ambient Air Quality Measurement with Low-Cost Optical and Electrochemical Sensors","volume":"8","author":[{"family":"Bílek","given":"Jiří"},{"family":"Bílek","given":"Ondřej"},{"family":"Maršolek","given":"Petr"},{"family":"Buček","given":"Pavel"}],"issued":{"date-parts":[["2021",10,27]]}}}],"schema":"https://github.com/citation-style-language/schema/raw/master/csl-citation.json"} </w:instrText>
      </w:r>
      <w:r w:rsidR="008849C9">
        <w:fldChar w:fldCharType="separate"/>
      </w:r>
      <w:r w:rsidR="002A2E76" w:rsidRPr="002A2E76">
        <w:rPr>
          <w:rFonts w:cs="Times New Roman"/>
        </w:rPr>
        <w:t>[13]</w:t>
      </w:r>
      <w:r w:rsidR="008849C9">
        <w:fldChar w:fldCharType="end"/>
      </w:r>
      <w:r w:rsidR="008849C9">
        <w:t>,</w:t>
      </w:r>
      <w:r w:rsidR="0034317E">
        <w:t xml:space="preserve"> I have specified for VOC</w:t>
      </w:r>
      <w:r w:rsidR="008849C9">
        <w:t xml:space="preserve">s which are often a component of </w:t>
      </w:r>
      <w:r w:rsidR="008849C9" w:rsidRPr="002200C4">
        <w:t>petroleum fuels, paint thinners, and are common ground-water contaminants.</w:t>
      </w:r>
    </w:p>
    <w:p w14:paraId="7E7FE91A" w14:textId="77777777" w:rsidR="009B7558" w:rsidRDefault="009B7558" w:rsidP="00E377A8"/>
    <w:p w14:paraId="3BA54402" w14:textId="5CA43204" w:rsidR="008849C9" w:rsidRDefault="008849C9" w:rsidP="008849C9">
      <w:pPr>
        <w:ind w:firstLine="720"/>
      </w:pPr>
      <w:r>
        <w:t>I also track</w:t>
      </w:r>
      <w:r w:rsidR="000B5129">
        <w:t>ed</w:t>
      </w:r>
      <w:r>
        <w:t xml:space="preserve"> temperature and relative humidity, as these variables can affect the efficacy of the sensor, and if either of these variables go out of </w:t>
      </w:r>
      <w:r w:rsidR="000B5129">
        <w:t xml:space="preserve">the </w:t>
      </w:r>
      <w:r>
        <w:t>sensor</w:t>
      </w:r>
      <w:r w:rsidR="000B5129">
        <w:t>’</w:t>
      </w:r>
      <w:r>
        <w:t xml:space="preserve">s range of operation, then the data needs to be disregarded during those events. I have also specified to include local storage like Purple Air’s unit, which can store up to two years of data or </w:t>
      </w:r>
      <w:proofErr w:type="spellStart"/>
      <w:r>
        <w:t>Aeroqual’s</w:t>
      </w:r>
      <w:proofErr w:type="spellEnd"/>
      <w:r>
        <w:t xml:space="preserve"> AQY R, which can store up to five years of data. </w:t>
      </w:r>
      <w:r w:rsidRPr="008849C9">
        <w:t xml:space="preserve">For the prototype I will use the internal EEPROM, but for a full product it would need to include a larger capacity </w:t>
      </w:r>
      <w:r w:rsidR="000B5129">
        <w:t>such as</w:t>
      </w:r>
      <w:r w:rsidRPr="008849C9">
        <w:t xml:space="preserve"> an SD card or flash storage.  </w:t>
      </w:r>
    </w:p>
    <w:p w14:paraId="07AED707" w14:textId="77777777" w:rsidR="009B7558" w:rsidRDefault="009B7558" w:rsidP="008849C9">
      <w:pPr>
        <w:ind w:firstLine="720"/>
      </w:pPr>
    </w:p>
    <w:p w14:paraId="6D97BB50" w14:textId="14D3585F" w:rsidR="008849C9" w:rsidRDefault="008849C9" w:rsidP="00E377A8">
      <w:r>
        <w:tab/>
        <w:t xml:space="preserve">All of the devices that I compared include live data transmission over Wi-Fi or cellular, so I have specified for the data to be transmitted live with a </w:t>
      </w:r>
      <w:r w:rsidRPr="008849C9">
        <w:t>wired connection</w:t>
      </w:r>
      <w:r>
        <w:t xml:space="preserve"> and</w:t>
      </w:r>
      <w:r w:rsidRPr="008849C9">
        <w:t xml:space="preserve"> </w:t>
      </w:r>
      <w:r>
        <w:t xml:space="preserve">using the </w:t>
      </w:r>
      <w:r w:rsidRPr="008849C9">
        <w:t>UART protocol and RS232 to increase the range.</w:t>
      </w:r>
      <w:r>
        <w:t xml:space="preserve"> I have also specified that the device is low powered so that future iterations can incorporate solar charging </w:t>
      </w:r>
      <w:r w:rsidRPr="008849C9">
        <w:t xml:space="preserve">and an internal battery.  </w:t>
      </w:r>
    </w:p>
    <w:p w14:paraId="418767A5" w14:textId="77777777" w:rsidR="00B862CC" w:rsidRDefault="00B862CC" w:rsidP="00E377A8"/>
    <w:p w14:paraId="7D43F228" w14:textId="77777777" w:rsidR="00C31D18" w:rsidRDefault="00C31D18" w:rsidP="00E377A8">
      <w:pPr>
        <w:ind w:firstLine="720"/>
      </w:pPr>
    </w:p>
    <w:p w14:paraId="5525A5A4" w14:textId="336CB3D6" w:rsidR="00E377A8" w:rsidRDefault="00C31D18" w:rsidP="00377644">
      <w:pPr>
        <w:pStyle w:val="Heading2"/>
      </w:pPr>
      <w:bookmarkStart w:id="13" w:name="_Toc133335242"/>
      <w:r>
        <w:t>The Sensors</w:t>
      </w:r>
      <w:bookmarkEnd w:id="13"/>
    </w:p>
    <w:p w14:paraId="6A53B024" w14:textId="34721F24" w:rsidR="00E83656" w:rsidRDefault="00E83656" w:rsidP="00C31D18"/>
    <w:p w14:paraId="0D45F38B" w14:textId="7DF1E827" w:rsidR="00C31D18" w:rsidRDefault="00C31D18" w:rsidP="00A57485">
      <w:pPr>
        <w:ind w:firstLine="720"/>
      </w:pPr>
      <w:r>
        <w:t xml:space="preserve">The </w:t>
      </w:r>
      <w:r w:rsidRPr="00C31D18">
        <w:t>Sen</w:t>
      </w:r>
      <w:r>
        <w:t>sirion</w:t>
      </w:r>
      <w:r w:rsidRPr="00C31D18">
        <w:t xml:space="preserve"> SEN55-SDN-T</w:t>
      </w:r>
      <w:r w:rsidR="000013CD">
        <w:t xml:space="preserve"> (£28.90)</w:t>
      </w:r>
      <w:r>
        <w:t xml:space="preserve"> measures PM1, PM2.5, PM4 and PM10 as well as nitrogen oxides and VOCs. The </w:t>
      </w:r>
      <w:r w:rsidRPr="00C31D18">
        <w:t>SEN55</w:t>
      </w:r>
      <w:r>
        <w:t xml:space="preserve">’s measurement </w:t>
      </w:r>
      <w:r w:rsidR="00DD049F">
        <w:t>of nitrogen</w:t>
      </w:r>
      <w:r>
        <w:t xml:space="preserve"> oxides and VOCs is very limited </w:t>
      </w:r>
      <w:r w:rsidR="00DD049F">
        <w:t>as</w:t>
      </w:r>
      <w:r>
        <w:t xml:space="preserve"> the unit does not </w:t>
      </w:r>
      <w:r w:rsidR="00DD049F">
        <w:t>output an absolute value and only a</w:t>
      </w:r>
      <w:r w:rsidR="00E83656">
        <w:t>n</w:t>
      </w:r>
      <w:r w:rsidR="00DD049F">
        <w:t xml:space="preserve"> </w:t>
      </w:r>
      <w:r w:rsidR="00E83656">
        <w:t>index c</w:t>
      </w:r>
      <w:r w:rsidR="007C4E08">
        <w:t>alculated from a running average</w:t>
      </w:r>
      <w:r w:rsidR="00DD049F">
        <w:t xml:space="preserve">. </w:t>
      </w:r>
      <w:r>
        <w:t xml:space="preserve">I will also use Bosch’s BME680 </w:t>
      </w:r>
      <w:r w:rsidR="000013CD">
        <w:t xml:space="preserve">(£9.07) </w:t>
      </w:r>
      <w:r>
        <w:t xml:space="preserve">which measures total VOCs as an index.  Both of these sensors also measure temperature and humidity. </w:t>
      </w:r>
    </w:p>
    <w:p w14:paraId="0020B9E6" w14:textId="77777777" w:rsidR="009B7558" w:rsidRDefault="009B7558">
      <w:pPr>
        <w:spacing w:after="160"/>
        <w:jc w:val="left"/>
        <w:rPr>
          <w:rFonts w:eastAsiaTheme="majorEastAsia" w:cs="Times New Roman"/>
          <w:b/>
          <w:bCs/>
          <w:caps/>
        </w:rPr>
      </w:pPr>
      <w:r>
        <w:br w:type="page"/>
      </w:r>
    </w:p>
    <w:p w14:paraId="35F26065" w14:textId="597BDED7" w:rsidR="00AA55D4" w:rsidRDefault="00AA55D4" w:rsidP="00377644">
      <w:pPr>
        <w:pStyle w:val="Heading2"/>
      </w:pPr>
      <w:bookmarkStart w:id="14" w:name="_Toc133335243"/>
      <w:r>
        <w:lastRenderedPageBreak/>
        <w:t>The Technology</w:t>
      </w:r>
      <w:bookmarkEnd w:id="14"/>
    </w:p>
    <w:p w14:paraId="6E3E7EDD" w14:textId="7D0A31C2" w:rsidR="00CA7E66" w:rsidRDefault="00CA7E66" w:rsidP="00CA7E66"/>
    <w:p w14:paraId="7CB84FA0" w14:textId="3015F601" w:rsidR="00FB5659" w:rsidRDefault="00FB5659" w:rsidP="00FB5659">
      <w:pPr>
        <w:ind w:firstLine="720"/>
      </w:pPr>
      <w:r>
        <w:t>Electronic particulate matter sensors are ‘optical particle counters’(OPCs) and they utilise a laser and photo diode and operate on either the scattering or obscuration</w:t>
      </w:r>
      <w:r>
        <w:rPr>
          <w:rStyle w:val="CommentReference"/>
        </w:rPr>
        <w:t xml:space="preserve"> </w:t>
      </w:r>
      <w:r>
        <w:t>principle but all optical particle counters operate by guiding the ambient air and particulate through the laser. The internal microcontroller then read</w:t>
      </w:r>
      <w:r w:rsidR="005D2108">
        <w:t>s</w:t>
      </w:r>
      <w:r>
        <w:t xml:space="preserve"> the output from a photo diode and measure</w:t>
      </w:r>
      <w:r w:rsidR="005D2108">
        <w:t>s</w:t>
      </w:r>
      <w:r>
        <w:t xml:space="preserve"> the quantity and diameter of the particulate matter, and the mass per </w:t>
      </w:r>
      <w:r w:rsidR="00E83656">
        <w:t>volume</w:t>
      </w:r>
      <w:r w:rsidR="00E83656">
        <w:rPr>
          <w:vertAlign w:val="superscript"/>
        </w:rPr>
        <w:t xml:space="preserve"> </w:t>
      </w:r>
      <w:r w:rsidR="00E83656">
        <w:t>(</w:t>
      </w:r>
      <w:r w:rsidR="00E83656" w:rsidRPr="00F12F02">
        <w:rPr>
          <w:lang w:val="el-GR"/>
        </w:rPr>
        <w:t>μ</w:t>
      </w:r>
      <w:r w:rsidR="00E83656" w:rsidRPr="00F12F02">
        <w:t>g/m³</w:t>
      </w:r>
      <w:r w:rsidR="00E83656">
        <w:t xml:space="preserve">) </w:t>
      </w:r>
      <w:r>
        <w:t>can be calculated.</w:t>
      </w:r>
    </w:p>
    <w:p w14:paraId="6E565BA8" w14:textId="77777777" w:rsidR="009B7558" w:rsidRDefault="009B7558" w:rsidP="00FB5659">
      <w:pPr>
        <w:ind w:firstLine="720"/>
      </w:pPr>
    </w:p>
    <w:p w14:paraId="3117D3E4" w14:textId="4EC11A91" w:rsidR="00840E87" w:rsidRDefault="00FB5659" w:rsidP="00BB7623">
      <w:pPr>
        <w:ind w:firstLine="720"/>
      </w:pPr>
      <w:r>
        <w:t>Sensirion state that “</w:t>
      </w:r>
      <w:r w:rsidRPr="00CA4C22">
        <w:t>Although OPCs are fairly comparable in performance when counting particles, the algorithm converting the measured signal into a mass concentration is a real performance differentiator among different sensor manufacturers.</w:t>
      </w:r>
      <w:r>
        <w:t>”</w:t>
      </w:r>
      <w:r w:rsidR="00130BB9">
        <w:t xml:space="preserve"> </w:t>
      </w:r>
      <w:r>
        <w:t xml:space="preserve">This becomes more apparent when digging deeper at how manufacturers design their sensors and algorithms. For example, Sensirion state their sensor is only able to measure </w:t>
      </w:r>
      <w:r w:rsidRPr="002B38DC">
        <w:t xml:space="preserve">3-5% </w:t>
      </w:r>
      <w:r>
        <w:t xml:space="preserve">of </w:t>
      </w:r>
      <w:r w:rsidRPr="002B38DC">
        <w:t xml:space="preserve">aerosol </w:t>
      </w:r>
      <w:r w:rsidR="001C0242" w:rsidRPr="002B38DC">
        <w:t>particles</w:t>
      </w:r>
      <w:r w:rsidR="001C0242">
        <w:t xml:space="preserve"> and</w:t>
      </w:r>
      <w:r>
        <w:t xml:space="preserve"> rely on </w:t>
      </w:r>
      <w:r w:rsidRPr="002B38DC">
        <w:t>statistics and extrapolation</w:t>
      </w:r>
      <w:r>
        <w:t xml:space="preserve"> to calculate the mass concentration of </w:t>
      </w:r>
      <w:r w:rsidRPr="002B38DC">
        <w:t>PM0.5, PM1.0 and PM2.5</w:t>
      </w:r>
      <w:r>
        <w:t xml:space="preserve">. Because the OPC sensors estimate the mass concentration by counting the number of particles, and far fewer number of particles are required to have the same mass concentration, manufactures may choose to estimate larger particle </w:t>
      </w:r>
      <w:r w:rsidR="00840E87">
        <w:t>sizes</w:t>
      </w:r>
      <w:r>
        <w:t xml:space="preserve"> like </w:t>
      </w:r>
      <w:r w:rsidR="00840E87">
        <w:t>Sensirion</w:t>
      </w:r>
      <w:r>
        <w:t xml:space="preserve"> has with their PM4, and PM10 output. </w:t>
      </w:r>
      <w:r w:rsidR="00840E87">
        <w:t xml:space="preserve">This is a limitation of low-cost sensors, as </w:t>
      </w:r>
      <w:proofErr w:type="spellStart"/>
      <w:r w:rsidR="00993C70" w:rsidRPr="00993C70">
        <w:t>Alphasense</w:t>
      </w:r>
      <w:proofErr w:type="spellEnd"/>
      <w:r w:rsidR="00993C70">
        <w:t xml:space="preserve"> produce two sensors which measures up to PM10, but cost from £185 to £365. </w:t>
      </w:r>
    </w:p>
    <w:p w14:paraId="2F409E78" w14:textId="77777777" w:rsidR="00FB5659" w:rsidRDefault="00FB5659" w:rsidP="00FB5659"/>
    <w:p w14:paraId="0CCE6D2A" w14:textId="77777777" w:rsidR="00130BB9" w:rsidRDefault="00130BB9" w:rsidP="00FB5659"/>
    <w:p w14:paraId="0D0499CE" w14:textId="77777777" w:rsidR="00130BB9" w:rsidRDefault="00130BB9" w:rsidP="00FB5659"/>
    <w:p w14:paraId="36BC9324" w14:textId="77777777" w:rsidR="00130BB9" w:rsidRDefault="00130BB9" w:rsidP="00FB5659"/>
    <w:p w14:paraId="02C97A82" w14:textId="77777777" w:rsidR="00130BB9" w:rsidRDefault="00130BB9" w:rsidP="00FB5659"/>
    <w:p w14:paraId="31AA4E2B" w14:textId="77777777" w:rsidR="00130BB9" w:rsidRDefault="00130BB9" w:rsidP="00FB5659"/>
    <w:p w14:paraId="3B83F693" w14:textId="77777777" w:rsidR="00130BB9" w:rsidRDefault="00130BB9" w:rsidP="00FB5659"/>
    <w:p w14:paraId="07BFC527" w14:textId="77777777" w:rsidR="00FA2D4B" w:rsidRDefault="00732895" w:rsidP="00130BB9">
      <w:pPr>
        <w:keepNext/>
        <w:jc w:val="center"/>
      </w:pPr>
      <w:r w:rsidRPr="00732895">
        <w:rPr>
          <w:noProof/>
        </w:rPr>
        <w:drawing>
          <wp:inline distT="0" distB="0" distL="0" distR="0" wp14:anchorId="1540C515" wp14:editId="741D3077">
            <wp:extent cx="4869873" cy="317896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4893341" cy="3194280"/>
                    </a:xfrm>
                    <a:prstGeom prst="rect">
                      <a:avLst/>
                    </a:prstGeom>
                  </pic:spPr>
                </pic:pic>
              </a:graphicData>
            </a:graphic>
          </wp:inline>
        </w:drawing>
      </w:r>
    </w:p>
    <w:p w14:paraId="2F4E4DF2" w14:textId="1AA23F20" w:rsidR="00732895" w:rsidRPr="00E83656" w:rsidRDefault="00FA2D4B" w:rsidP="00130BB9">
      <w:pPr>
        <w:pStyle w:val="Caption"/>
        <w:ind w:left="720"/>
        <w:rPr>
          <w:color w:val="000000" w:themeColor="text1"/>
          <w:sz w:val="20"/>
          <w:szCs w:val="20"/>
        </w:rPr>
      </w:pPr>
      <w:bookmarkStart w:id="15" w:name="_Toc133342740"/>
      <w:r w:rsidRPr="00E83656">
        <w:rPr>
          <w:color w:val="000000" w:themeColor="text1"/>
          <w:sz w:val="20"/>
          <w:szCs w:val="20"/>
        </w:rPr>
        <w:t xml:space="preserve">Figure </w:t>
      </w:r>
      <w:r w:rsidRPr="00E83656">
        <w:rPr>
          <w:color w:val="000000" w:themeColor="text1"/>
          <w:sz w:val="20"/>
          <w:szCs w:val="20"/>
        </w:rPr>
        <w:fldChar w:fldCharType="begin"/>
      </w:r>
      <w:r w:rsidRPr="00E83656">
        <w:rPr>
          <w:color w:val="000000" w:themeColor="text1"/>
          <w:sz w:val="20"/>
          <w:szCs w:val="20"/>
        </w:rPr>
        <w:instrText xml:space="preserve"> SEQ Figure \* ARABIC </w:instrText>
      </w:r>
      <w:r w:rsidRPr="00E83656">
        <w:rPr>
          <w:color w:val="000000" w:themeColor="text1"/>
          <w:sz w:val="20"/>
          <w:szCs w:val="20"/>
        </w:rPr>
        <w:fldChar w:fldCharType="separate"/>
      </w:r>
      <w:r w:rsidR="00657099">
        <w:rPr>
          <w:noProof/>
          <w:color w:val="000000" w:themeColor="text1"/>
          <w:sz w:val="20"/>
          <w:szCs w:val="20"/>
        </w:rPr>
        <w:t>2</w:t>
      </w:r>
      <w:r w:rsidRPr="00E83656">
        <w:rPr>
          <w:noProof/>
          <w:color w:val="000000" w:themeColor="text1"/>
          <w:sz w:val="20"/>
          <w:szCs w:val="20"/>
        </w:rPr>
        <w:fldChar w:fldCharType="end"/>
      </w:r>
      <w:r w:rsidRPr="00E83656">
        <w:rPr>
          <w:color w:val="000000" w:themeColor="text1"/>
          <w:sz w:val="20"/>
          <w:szCs w:val="20"/>
        </w:rPr>
        <w:t xml:space="preserve"> - OPC Sensor</w:t>
      </w:r>
      <w:r w:rsidR="00E83656" w:rsidRPr="00E83656">
        <w:rPr>
          <w:color w:val="000000" w:themeColor="text1"/>
          <w:sz w:val="20"/>
          <w:szCs w:val="20"/>
        </w:rPr>
        <w:t xml:space="preserve"> </w:t>
      </w:r>
      <w:r w:rsidR="00E83656" w:rsidRPr="00E83656">
        <w:rPr>
          <w:color w:val="000000" w:themeColor="text1"/>
          <w:sz w:val="20"/>
          <w:szCs w:val="20"/>
        </w:rPr>
        <w:fldChar w:fldCharType="begin"/>
      </w:r>
      <w:r w:rsidR="00130BB9">
        <w:rPr>
          <w:color w:val="000000" w:themeColor="text1"/>
          <w:sz w:val="20"/>
          <w:szCs w:val="20"/>
        </w:rPr>
        <w:instrText xml:space="preserve"> ADDIN ZOTERO_ITEM CSL_CITATION {"citationID":"h0TukHfe","properties":{"formattedCitation":"[23]","plainCitation":"[23]","noteIndex":0},"citationItems":[{"id":152,"uris":["http://zotero.org/users/10518850/items/4W8A83EM"],"itemData":{"id":152,"type":"webpage","title":"Particulate matter sensing for air quality measurements","URL":"https://sensirion.com/products/product-insights/specialist-articles/particulate-matter-sensing-for-air-quality-measurements/","accessed":{"date-parts":[["2022",12,30]]}}}],"schema":"https://github.com/citation-style-language/schema/raw/master/csl-citation.json"} </w:instrText>
      </w:r>
      <w:r w:rsidR="00E83656" w:rsidRPr="00E83656">
        <w:rPr>
          <w:color w:val="000000" w:themeColor="text1"/>
          <w:sz w:val="20"/>
          <w:szCs w:val="20"/>
        </w:rPr>
        <w:fldChar w:fldCharType="separate"/>
      </w:r>
      <w:r w:rsidR="00130BB9" w:rsidRPr="00130BB9">
        <w:rPr>
          <w:sz w:val="20"/>
        </w:rPr>
        <w:t>[23]</w:t>
      </w:r>
      <w:bookmarkEnd w:id="15"/>
      <w:r w:rsidR="00E83656" w:rsidRPr="00E83656">
        <w:rPr>
          <w:color w:val="000000" w:themeColor="text1"/>
          <w:sz w:val="20"/>
          <w:szCs w:val="20"/>
        </w:rPr>
        <w:fldChar w:fldCharType="end"/>
      </w:r>
    </w:p>
    <w:p w14:paraId="2329DBA0" w14:textId="77777777" w:rsidR="00967CAB" w:rsidRDefault="00967CAB" w:rsidP="00326077"/>
    <w:p w14:paraId="4B9972AE" w14:textId="31F34780" w:rsidR="00A86EE0" w:rsidRDefault="00A67ABC" w:rsidP="006B1FFA">
      <w:pPr>
        <w:ind w:firstLine="720"/>
      </w:pPr>
      <w:r>
        <w:lastRenderedPageBreak/>
        <w:t xml:space="preserve">The Metal Oxide </w:t>
      </w:r>
      <w:r w:rsidR="00326077">
        <w:t xml:space="preserve">(MOX) </w:t>
      </w:r>
      <w:r>
        <w:t>Sensor</w:t>
      </w:r>
      <w:r w:rsidR="00326077">
        <w:t xml:space="preserve"> </w:t>
      </w:r>
      <w:r>
        <w:t xml:space="preserve">is an electrochemical </w:t>
      </w:r>
      <w:r w:rsidR="00326077">
        <w:t>sensor,</w:t>
      </w:r>
      <w:r>
        <w:t xml:space="preserve"> and it is constructed of a metal oxide surface that </w:t>
      </w:r>
      <w:r w:rsidR="00326077">
        <w:t>can</w:t>
      </w:r>
      <w:r>
        <w:t xml:space="preserve"> be heated by a hotplate. The resistance of the metal oxide layer can be measured to determine a change in surrounding</w:t>
      </w:r>
      <w:r w:rsidR="00326077">
        <w:t xml:space="preserve"> concentration in</w:t>
      </w:r>
      <w:r>
        <w:t xml:space="preserve"> </w:t>
      </w:r>
      <w:r w:rsidR="009B7558">
        <w:t xml:space="preserve">oxidising </w:t>
      </w:r>
      <w:r>
        <w:t xml:space="preserve">or reducing gases. </w:t>
      </w:r>
      <w:r w:rsidR="006B1FFA">
        <w:t>The metal oxide surface can be designed to be selective to oxidising or reducing gases and even selective to specific compounds, but they are more generally broadband</w:t>
      </w:r>
      <w:r w:rsidR="003373B2">
        <w:t>-</w:t>
      </w:r>
      <w:r w:rsidR="006B1FFA">
        <w:t>sensitive, leaving them affected by a range of either oxidising or reducing gases.</w:t>
      </w:r>
    </w:p>
    <w:p w14:paraId="3ACA2D04" w14:textId="77777777" w:rsidR="009B7558" w:rsidRDefault="009B7558" w:rsidP="00C31D18"/>
    <w:p w14:paraId="772351EA" w14:textId="69894DCA" w:rsidR="00F9564A" w:rsidRDefault="006B1FFA" w:rsidP="00A86EE0">
      <w:pPr>
        <w:ind w:firstLine="720"/>
      </w:pPr>
      <w:r>
        <w:t>O</w:t>
      </w:r>
      <w:r w:rsidR="006A2E0E">
        <w:t>xi</w:t>
      </w:r>
      <w:r>
        <w:t xml:space="preserve">dising gases include gases like nitrogen oxides (NOx) and ozone. </w:t>
      </w:r>
      <w:r w:rsidR="005D2108">
        <w:t>N</w:t>
      </w:r>
      <w:r w:rsidR="007A6883">
        <w:t xml:space="preserve">itrogen oxides are </w:t>
      </w:r>
      <w:r w:rsidR="00A86EE0">
        <w:t xml:space="preserve">mostly formed from the combustion of fossil fuels </w:t>
      </w:r>
      <w:r w:rsidR="00477769">
        <w:t xml:space="preserve">and the UK department for Environment, Food &amp; Rural Affairs stated that an estimated average of 70% of NOx concentrations at the roadside originate from road transport emissions </w:t>
      </w:r>
      <w:r w:rsidR="00477769">
        <w:fldChar w:fldCharType="begin"/>
      </w:r>
      <w:r w:rsidR="00130BB9">
        <w:instrText xml:space="preserve"> ADDIN ZOTERO_ITEM CSL_CITATION {"citationID":"u8Icgaiq","properties":{"formattedCitation":"[24]","plainCitation":"[24]","noteIndex":0},"citationItems":[{"id":242,"uris":["http://zotero.org/users/10518850/items/I5Z6ZZ86"],"itemData":{"id":242,"type":"webpage","container-title":"GOV.UK","language":"en","title":"Emissions of air pollutants in the UK – Nitrogen oxides (NOx)","URL":"https://www.gov.uk/government/statistics/emissions-of-air-pollutants/emissions-of-air-pollutants-in-the-uk-nitrogen-oxides-nox","accessed":{"date-parts":[["2023",4,2]]}}}],"schema":"https://github.com/citation-style-language/schema/raw/master/csl-citation.json"} </w:instrText>
      </w:r>
      <w:r w:rsidR="00477769">
        <w:fldChar w:fldCharType="separate"/>
      </w:r>
      <w:r w:rsidR="00130BB9" w:rsidRPr="00130BB9">
        <w:rPr>
          <w:rFonts w:cs="Times New Roman"/>
        </w:rPr>
        <w:t>[24]</w:t>
      </w:r>
      <w:r w:rsidR="00477769">
        <w:fldChar w:fldCharType="end"/>
      </w:r>
      <w:r w:rsidR="007A6883">
        <w:t xml:space="preserve">. </w:t>
      </w:r>
      <w:r w:rsidR="00B07BEF">
        <w:t xml:space="preserve">Ozone doesn’t have any major emission </w:t>
      </w:r>
      <w:r w:rsidR="00CC53A1">
        <w:t>source but</w:t>
      </w:r>
      <w:r w:rsidR="00B07BEF">
        <w:t xml:space="preserve"> is rather generated by a reaction between </w:t>
      </w:r>
      <w:r w:rsidR="00CC53A1">
        <w:t xml:space="preserve">ultraviolet radiation from the sun and </w:t>
      </w:r>
      <w:r w:rsidR="00B07BEF">
        <w:t>nitrogen</w:t>
      </w:r>
      <w:r w:rsidR="00CC53A1">
        <w:t xml:space="preserve"> oxides, or also from </w:t>
      </w:r>
      <w:r w:rsidR="00CC53A1" w:rsidRPr="00CC53A1">
        <w:t>non-methane organic volatile compounds</w:t>
      </w:r>
      <w:r w:rsidR="00502CD6">
        <w:fldChar w:fldCharType="begin"/>
      </w:r>
      <w:r w:rsidR="00130BB9">
        <w:instrText xml:space="preserve"> ADDIN ZOTERO_ITEM CSL_CITATION {"citationID":"T8L1Q70m","properties":{"formattedCitation":"[25], [26]","plainCitation":"[25], [26]","noteIndex":0},"citationItems":[{"id":238,"uris":["http://zotero.org/users/10518850/items/TDBAVX7E"],"itemData":{"id":238,"type":"article-journal","abstract":"The recent reduction in ambient air quality has been related to anthropogenic activity. This anthropogenic activity played a big role in polluting the atmosphere. Ozone (O3) is one of the air pollutants that is not emitted directly from the source at ground level. Anthropogenic activities like industrial and mobile sources, on the other hand, may produce O3 pollutant precursors directly. Human health, the environment, materials, and crops have all been found to be negatively affected by this O3 pollutant. As a result, this study investigated the causal relationship between O3 and particulate matter, gaseous pollutants, and meteorological circumstances. Three monitoring stations, each representing a different geographic region, were chosen. The three sampling monitoring stations are in Negeri Sembilan, Kelantan, and Perlis, and represent industrial, urban, and sub-urban areas, respectively. Sulfur dioxide (SO2), nitrogen dioxide (NO2), and wind speed (WS) are all causally related to O3 in Nilai, as are SO2 and carbon monoxide (CO) in Kota Bharu, and NO2 and CO in Kangar. In the meantime, it was discovered that the causal relationship between the causative parameter and O3 is only one-way. The O3 considers this to be a secondary contaminant that may require this parameter in order to form in ambient air. However, none of the primary parameters have a directional relationship to the others, except for O3. As a result, this discovery may be useful in future research to increase our understanding of air quality, particularly the O3 pollutant.","container-title":"Journal of Engineering Research","DOI":"10.36909/jer.17233","ISSN":"23071877, 23071885","journalAbbreviation":"JER is an international, peer-reviewed journal that publishes full-length original research papers, reviews, case studies in all areas of Engineering","source":"Semantic Scholar","title":"The cause-and-effect analysis of ground level ozone (O3), air pollutants and meteorological parameters using the causal relationship approach","URL":"https://kuwaitjournals.org/jer/index.php/JER/article/view/17233","author":[{"literal":"Cluster of Water and Environment, Department of Civil Engineering, Faculty of Civil Engineering and Built Environment, Universiti Tun Hussein Onn, 86400 Batu Pahat, Johor, Malaysia."},{"family":"Raffee","given":"Ahmad Fauzi"},{"family":"Hamid","given":"Hazrul Abdul"},{"literal":"School of Distance Education, Universiti Sains Malaysia, 11800 USM, Pulau Pinang, Malaysia."},{"family":"Rahmat","given":"Siti Nazahiyah"},{"literal":"Cluster of Water and Environment, Department of Civil Engineering, Faculty of Civil Engineering and Built Environment, Universiti Tun Hussein Onn, 86400 Batu Pahat, Johor, Malaysia."},{"family":"Jaffar","given":"Muhammad Ismail"},{"literal":"Cluster of Water and Environment, Department of Civil Engineering, Faculty of Civil Engineering and Built Environment, Universiti Tun Hussein Onn, 86400 Batu Pahat, Johor, Malaysia."}],"accessed":{"date-parts":[["2023",3,28]]},"issued":{"date-parts":[["2022",5,22]]}}},{"id":240,"uris":["http://zotero.org/users/10518850/items/E9A65TTN"],"itemData":{"id":240,"type":"webpage","container-title":"GOV.UK","language":"en","title":"Concentrations of ozone","URL":"https://www.gov.uk/government/statistics/air-quality-statistics/concentrations-of-ozone","accessed":{"date-parts":[["2023",3,28]]}}}],"schema":"https://github.com/citation-style-language/schema/raw/master/csl-citation.json"} </w:instrText>
      </w:r>
      <w:r w:rsidR="00502CD6">
        <w:fldChar w:fldCharType="separate"/>
      </w:r>
      <w:r w:rsidR="00130BB9" w:rsidRPr="00130BB9">
        <w:rPr>
          <w:rFonts w:cs="Times New Roman"/>
        </w:rPr>
        <w:t>[25], [26]</w:t>
      </w:r>
      <w:r w:rsidR="00502CD6">
        <w:fldChar w:fldCharType="end"/>
      </w:r>
      <w:r w:rsidR="00CC53A1">
        <w:t xml:space="preserve">. </w:t>
      </w:r>
      <w:r w:rsidR="009B7558">
        <w:t xml:space="preserve">oxidising </w:t>
      </w:r>
      <w:r w:rsidR="007A6883">
        <w:t>gases are highly reactive which means they are powerful irritants and are harmful to the lungs even at low concentrations</w:t>
      </w:r>
      <w:r w:rsidR="00AB2855">
        <w:t xml:space="preserve"> </w:t>
      </w:r>
      <w:r w:rsidR="00AB2855">
        <w:fldChar w:fldCharType="begin"/>
      </w:r>
      <w:r w:rsidR="00130BB9">
        <w:instrText xml:space="preserve"> ADDIN ZOTERO_ITEM CSL_CITATION {"citationID":"AkXsZDWu","properties":{"formattedCitation":"[27]","plainCitation":"[27]","noteIndex":0},"citationItems":[{"id":244,"uris":["http://zotero.org/users/10518850/items/XPDUBV5T"],"itemData":{"id":244,"type":"article-journal","abstract":"Studies suggest that long-term chronic exposure to fine particulate matter air pollution can increase lung cancer mortality. We analyzed the association between long term PM2.5 and ozone exposure and mortality due to lung cancer, ischemic heart disease, and chronic obstructive pulmonary disease, accounting for geographic location, socioeconomic status, and residential mobility. Subjects in the 1991 Canadian Census Health and Environment Cohort (CanCHEC) were followed for 20years, and assigned to regions across Canada based on spatial synoptic classification weather types. Hazard ratios (HR) for mortality, were related to PM2.5 and ozone using Cox proportional hazards survival models, adjusting for socioeconomic characteristics and individual confounders. An increase of 10μg/m3 in long term PM2.5 exposure resulted in an HR for lung cancer mortality of 1.26 (95% CI 1.04, 1.53); the inclusion in the model of SSC zone as a stratum increased the risk estimate to HR 1.29 (95% CI 1.06, 1.57). After adjusting for ozone, HRs increased to 1.49 (95% CI 1.23, 1.88), and HR 1.54 (95% CI 1.27, 1.87), with and without zone as a model stratum. HRs for ischemic heart disease fell from 1.25 (95% CI 1.21, 1.29) for exposure to PM2.5, to 1.13 (95% CI 1.08, 1.19) when PM2.5 was adjusted for ozone. For COPD, the 95% confidence limits included 1.0 when climate zone was included in the model. HRs for all causes of death showed spatial differences when compared to zone 3, the most populated climate zone. Exposure to PM2.5 was related to an increased risk of mortality from lung cancer, and both ozone and PM2.5 exposure were related to risk of mortality from ischemic heart disease, and the risk varied spatially by climate zone.","container-title":"Environment International","DOI":"10.1016/j.envint.2017.11.030","ISSN":"1873-6750","journalAbbreviation":"Environ Int","language":"eng","note":"PMID: 29227849","page":"200-211","source":"PubMed","title":"Associations between long-term PM2.5 and ozone exposure and mortality in the Canadian Census Health and Environment Cohort (CANCHEC), by spatial synoptic classification zone","volume":"111","author":[{"family":"Cakmak","given":"Sabit"},{"family":"Hebbern","given":"Chris"},{"family":"Pinault","given":"Lauren"},{"family":"Lavigne","given":"Eric"},{"family":"Vanos","given":"Jennifer"},{"family":"Crouse","given":"Dan Lawson"},{"family":"Tjepkema","given":"Michael"}],"issued":{"date-parts":[["2018",2]]}}}],"schema":"https://github.com/citation-style-language/schema/raw/master/csl-citation.json"} </w:instrText>
      </w:r>
      <w:r w:rsidR="00AB2855">
        <w:fldChar w:fldCharType="separate"/>
      </w:r>
      <w:r w:rsidR="00130BB9" w:rsidRPr="00130BB9">
        <w:rPr>
          <w:rFonts w:cs="Times New Roman"/>
        </w:rPr>
        <w:t>[27]</w:t>
      </w:r>
      <w:r w:rsidR="00AB2855">
        <w:fldChar w:fldCharType="end"/>
      </w:r>
      <w:r w:rsidR="007A6883">
        <w:t>.</w:t>
      </w:r>
    </w:p>
    <w:p w14:paraId="2B95FCAD" w14:textId="77777777" w:rsidR="006B1FFA" w:rsidRDefault="006B1FFA" w:rsidP="00C31D18"/>
    <w:p w14:paraId="5C475C3A" w14:textId="7A33AD8D" w:rsidR="00652F01" w:rsidRDefault="00652F01" w:rsidP="006B1FFA">
      <w:pPr>
        <w:ind w:firstLine="720"/>
      </w:pPr>
      <w:r>
        <w:t>The SEN55 includes two MOX sensors, one selective to oxidising gases like</w:t>
      </w:r>
      <w:r w:rsidR="00A36A0D">
        <w:t xml:space="preserve"> nitrogen</w:t>
      </w:r>
      <w:r w:rsidR="00AB2855">
        <w:t xml:space="preserve"> </w:t>
      </w:r>
      <w:r w:rsidR="00A36A0D">
        <w:t>oxides</w:t>
      </w:r>
      <w:r w:rsidR="00AB2855">
        <w:t xml:space="preserve"> and ozone</w:t>
      </w:r>
      <w:r>
        <w:t xml:space="preserve"> and the other selective to reducing gases like VOCs and hydrogen</w:t>
      </w:r>
      <w:r w:rsidR="00A36A0D">
        <w:t xml:space="preserve">. </w:t>
      </w:r>
    </w:p>
    <w:p w14:paraId="694AF5BC" w14:textId="77777777" w:rsidR="009B7558" w:rsidRDefault="009B7558" w:rsidP="00C31D18"/>
    <w:p w14:paraId="7E33121B" w14:textId="6A69D0BA" w:rsidR="00A36A0D" w:rsidRDefault="00AB2855" w:rsidP="00C31D18">
      <w:r>
        <w:tab/>
        <w:t>MOX sensors have several drawbacks compared to reference method devices, for example, they are</w:t>
      </w:r>
      <w:r w:rsidR="00A36A0D">
        <w:t xml:space="preserve"> inadequate at taking absolute measurements as they require a well-define</w:t>
      </w:r>
      <w:r w:rsidR="00797F05">
        <w:t>d</w:t>
      </w:r>
      <w:r w:rsidR="00A36A0D">
        <w:t xml:space="preserve"> baseline </w:t>
      </w:r>
      <w:r>
        <w:t>and</w:t>
      </w:r>
      <w:r w:rsidR="00A36A0D">
        <w:t xml:space="preserve"> the </w:t>
      </w:r>
      <w:r>
        <w:t>measurement</w:t>
      </w:r>
      <w:r w:rsidR="00A36A0D">
        <w:t xml:space="preserve"> from MOX sensor</w:t>
      </w:r>
      <w:r w:rsidR="00D80FB9">
        <w:t>s</w:t>
      </w:r>
      <w:r w:rsidR="00A36A0D">
        <w:t xml:space="preserve"> drift</w:t>
      </w:r>
      <w:r>
        <w:t>s</w:t>
      </w:r>
      <w:r w:rsidR="00A36A0D">
        <w:t xml:space="preserve"> over time. They are also hampered by the fact they are broadband-sensitive. </w:t>
      </w:r>
    </w:p>
    <w:p w14:paraId="3E1DE101" w14:textId="77777777" w:rsidR="006B1FFA" w:rsidRDefault="006B1FFA" w:rsidP="00C31D18"/>
    <w:p w14:paraId="46CE19CD" w14:textId="77777777" w:rsidR="006B1FFA" w:rsidRDefault="006B1FFA" w:rsidP="00C31D18"/>
    <w:p w14:paraId="086D84B8" w14:textId="77777777" w:rsidR="006B1FFA" w:rsidRDefault="006B1FFA" w:rsidP="00C31D18"/>
    <w:p w14:paraId="5824A224" w14:textId="77777777" w:rsidR="006B1FFA" w:rsidRDefault="006B1FFA" w:rsidP="00C31D18"/>
    <w:p w14:paraId="443982DB" w14:textId="77777777" w:rsidR="006B1FFA" w:rsidRDefault="006B1FFA" w:rsidP="00C31D18"/>
    <w:p w14:paraId="55D0B19D" w14:textId="77777777" w:rsidR="006B1FFA" w:rsidRDefault="006B1FFA" w:rsidP="00C31D18"/>
    <w:p w14:paraId="4D64574B" w14:textId="373B4E18" w:rsidR="00FA2D4B" w:rsidRDefault="00A67ABC" w:rsidP="006B1FFA">
      <w:pPr>
        <w:keepNext/>
        <w:jc w:val="center"/>
      </w:pPr>
      <w:r w:rsidRPr="00A67ABC">
        <w:rPr>
          <w:noProof/>
        </w:rPr>
        <w:drawing>
          <wp:inline distT="0" distB="0" distL="0" distR="0" wp14:anchorId="57EF0850" wp14:editId="18E5A563">
            <wp:extent cx="4676775" cy="2619739"/>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4687754" cy="2625889"/>
                    </a:xfrm>
                    <a:prstGeom prst="rect">
                      <a:avLst/>
                    </a:prstGeom>
                  </pic:spPr>
                </pic:pic>
              </a:graphicData>
            </a:graphic>
          </wp:inline>
        </w:drawing>
      </w:r>
    </w:p>
    <w:p w14:paraId="0E13148C" w14:textId="4D3F4C02" w:rsidR="00AA55D4" w:rsidRPr="009B7558" w:rsidRDefault="00FA2D4B" w:rsidP="006B1FFA">
      <w:pPr>
        <w:pStyle w:val="Caption"/>
        <w:ind w:firstLine="720"/>
        <w:rPr>
          <w:color w:val="000000" w:themeColor="text1"/>
          <w:sz w:val="20"/>
          <w:szCs w:val="20"/>
        </w:rPr>
      </w:pPr>
      <w:bookmarkStart w:id="16" w:name="_Toc133342741"/>
      <w:r w:rsidRPr="009B7558">
        <w:rPr>
          <w:color w:val="000000" w:themeColor="text1"/>
          <w:sz w:val="20"/>
          <w:szCs w:val="20"/>
        </w:rPr>
        <w:t xml:space="preserve">Figure </w:t>
      </w:r>
      <w:r w:rsidRPr="009B7558">
        <w:rPr>
          <w:color w:val="000000" w:themeColor="text1"/>
          <w:sz w:val="20"/>
          <w:szCs w:val="20"/>
        </w:rPr>
        <w:fldChar w:fldCharType="begin"/>
      </w:r>
      <w:r w:rsidRPr="009B7558">
        <w:rPr>
          <w:color w:val="000000" w:themeColor="text1"/>
          <w:sz w:val="20"/>
          <w:szCs w:val="20"/>
        </w:rPr>
        <w:instrText xml:space="preserve"> SEQ Figure \* ARABIC </w:instrText>
      </w:r>
      <w:r w:rsidRPr="009B7558">
        <w:rPr>
          <w:color w:val="000000" w:themeColor="text1"/>
          <w:sz w:val="20"/>
          <w:szCs w:val="20"/>
        </w:rPr>
        <w:fldChar w:fldCharType="separate"/>
      </w:r>
      <w:r w:rsidR="00657099">
        <w:rPr>
          <w:noProof/>
          <w:color w:val="000000" w:themeColor="text1"/>
          <w:sz w:val="20"/>
          <w:szCs w:val="20"/>
        </w:rPr>
        <w:t>3</w:t>
      </w:r>
      <w:r w:rsidRPr="009B7558">
        <w:rPr>
          <w:noProof/>
          <w:color w:val="000000" w:themeColor="text1"/>
          <w:sz w:val="20"/>
          <w:szCs w:val="20"/>
        </w:rPr>
        <w:fldChar w:fldCharType="end"/>
      </w:r>
      <w:r w:rsidRPr="009B7558">
        <w:rPr>
          <w:color w:val="000000" w:themeColor="text1"/>
          <w:sz w:val="20"/>
          <w:szCs w:val="20"/>
        </w:rPr>
        <w:t xml:space="preserve"> - MOX Sensor</w:t>
      </w:r>
      <w:r w:rsidR="009B7558" w:rsidRPr="009B7558">
        <w:rPr>
          <w:color w:val="000000" w:themeColor="text1"/>
          <w:sz w:val="20"/>
          <w:szCs w:val="20"/>
        </w:rPr>
        <w:t xml:space="preserve"> </w:t>
      </w:r>
      <w:r w:rsidR="009B7558" w:rsidRPr="009B7558">
        <w:rPr>
          <w:color w:val="000000" w:themeColor="text1"/>
          <w:sz w:val="20"/>
          <w:szCs w:val="20"/>
        </w:rPr>
        <w:fldChar w:fldCharType="begin"/>
      </w:r>
      <w:r w:rsidR="00130BB9">
        <w:rPr>
          <w:color w:val="000000" w:themeColor="text1"/>
          <w:sz w:val="20"/>
          <w:szCs w:val="20"/>
        </w:rPr>
        <w:instrText xml:space="preserve"> ADDIN ZOTERO_ITEM CSL_CITATION {"citationID":"ART6aeju","properties":{"formattedCitation":"[28]","plainCitation":"[28]","noteIndex":0},"citationItems":[{"id":259,"uris":["http://zotero.org/users/10518850/items/6VXJZWFC"],"itemData":{"id":259,"type":"webpage","abstract":"Increase health, improve energy-efficiency, ensure safety &amp; comfort - for a better tomorrow.","language":"en","title":"Smart sensor solutions","URL":"https://sensirion.com/products/catalog/SGP41/","accessed":{"date-parts":[["2023",4,23]]}}}],"schema":"https://github.com/citation-style-language/schema/raw/master/csl-citation.json"} </w:instrText>
      </w:r>
      <w:r w:rsidR="009B7558" w:rsidRPr="009B7558">
        <w:rPr>
          <w:color w:val="000000" w:themeColor="text1"/>
          <w:sz w:val="20"/>
          <w:szCs w:val="20"/>
        </w:rPr>
        <w:fldChar w:fldCharType="separate"/>
      </w:r>
      <w:r w:rsidR="00130BB9" w:rsidRPr="00130BB9">
        <w:rPr>
          <w:sz w:val="20"/>
        </w:rPr>
        <w:t>[28]</w:t>
      </w:r>
      <w:bookmarkEnd w:id="16"/>
      <w:r w:rsidR="009B7558" w:rsidRPr="009B7558">
        <w:rPr>
          <w:color w:val="000000" w:themeColor="text1"/>
          <w:sz w:val="20"/>
          <w:szCs w:val="20"/>
        </w:rPr>
        <w:fldChar w:fldCharType="end"/>
      </w:r>
    </w:p>
    <w:p w14:paraId="274EF18D" w14:textId="77777777" w:rsidR="009B7558" w:rsidRDefault="009B7558">
      <w:pPr>
        <w:spacing w:after="160"/>
        <w:jc w:val="left"/>
        <w:rPr>
          <w:rFonts w:eastAsiaTheme="majorEastAsia" w:cs="Times New Roman"/>
          <w:b/>
          <w:bCs/>
          <w:caps/>
        </w:rPr>
      </w:pPr>
      <w:r>
        <w:br w:type="page"/>
      </w:r>
    </w:p>
    <w:p w14:paraId="19A05C21" w14:textId="27349543" w:rsidR="0063281F" w:rsidRDefault="0063281F" w:rsidP="0063281F">
      <w:pPr>
        <w:pStyle w:val="Heading2"/>
      </w:pPr>
      <w:bookmarkStart w:id="17" w:name="_Toc133335244"/>
      <w:r>
        <w:lastRenderedPageBreak/>
        <w:t>The Hardware</w:t>
      </w:r>
      <w:bookmarkEnd w:id="17"/>
    </w:p>
    <w:p w14:paraId="32273B61" w14:textId="28AD9B89" w:rsidR="0063281F" w:rsidRDefault="0063281F" w:rsidP="0063281F"/>
    <w:p w14:paraId="56B9454A" w14:textId="47666536" w:rsidR="0063281F" w:rsidRDefault="0063281F" w:rsidP="0063281F">
      <w:pPr>
        <w:ind w:firstLine="720"/>
      </w:pPr>
      <w:r>
        <w:t>I started the development process by drawing the schematic with the software Proteus</w:t>
      </w:r>
      <w:r w:rsidR="008720D4">
        <w:t>-</w:t>
      </w:r>
      <w:r>
        <w:t xml:space="preserve">8. </w:t>
      </w:r>
      <w:r w:rsidR="00C73871">
        <w:t xml:space="preserve">For the purpose of simulation, </w:t>
      </w:r>
      <w:r>
        <w:t xml:space="preserve">I included the BME280, which is similar to the BME680, including temperature, humidity, and pressure but excludes the VOC sensor. </w:t>
      </w:r>
      <w:r w:rsidR="00E66F1B">
        <w:t>I also included the DS3231 real time clock.</w:t>
      </w:r>
    </w:p>
    <w:p w14:paraId="583BB56F" w14:textId="77777777" w:rsidR="00E66F1B" w:rsidRDefault="00E66F1B" w:rsidP="0063281F">
      <w:pPr>
        <w:ind w:firstLine="720"/>
      </w:pPr>
    </w:p>
    <w:p w14:paraId="4AB1FC49" w14:textId="13C1E9BB" w:rsidR="0063281F" w:rsidRDefault="0063281F" w:rsidP="0063281F">
      <w:pPr>
        <w:ind w:firstLine="720"/>
      </w:pPr>
      <w:r>
        <w:t>I connected the LEDs to PORTA through current limiting resistors, and I connected pull-up resistors to the two I2C lines. I also included Proteus’ visual instruments, the oscilloscope, I2C debugger, and UART terminal</w:t>
      </w:r>
      <w:r w:rsidR="008720D4">
        <w:t xml:space="preserve"> for debugging</w:t>
      </w:r>
      <w:r>
        <w:t>. Not includ</w:t>
      </w:r>
      <w:r w:rsidR="00797F05">
        <w:t>ed</w:t>
      </w:r>
      <w:r>
        <w:t xml:space="preserve"> in the schematic is the decoupling capacitor on the DC power pins. </w:t>
      </w:r>
    </w:p>
    <w:p w14:paraId="0F737FD2" w14:textId="77777777" w:rsidR="00C73871" w:rsidRDefault="00C73871" w:rsidP="0063281F">
      <w:pPr>
        <w:ind w:firstLine="720"/>
      </w:pPr>
    </w:p>
    <w:p w14:paraId="2E0F9DA3" w14:textId="049BE15E" w:rsidR="00C73871" w:rsidRDefault="00C73871" w:rsidP="0063281F">
      <w:pPr>
        <w:ind w:firstLine="720"/>
      </w:pPr>
      <w:r>
        <w:t>After getting the basics of the system operating in the simulation I assembled it on a breadboard.</w:t>
      </w:r>
    </w:p>
    <w:p w14:paraId="00505039" w14:textId="77777777" w:rsidR="0064456F" w:rsidRPr="0063281F" w:rsidRDefault="0064456F" w:rsidP="0063281F"/>
    <w:p w14:paraId="167DA300" w14:textId="6CE2F6FD" w:rsidR="0063281F" w:rsidRDefault="0063281F" w:rsidP="0063281F"/>
    <w:p w14:paraId="44D3B961" w14:textId="366B4A5E" w:rsidR="00FA2D4B" w:rsidRDefault="00E66F1B" w:rsidP="00FA2D4B">
      <w:pPr>
        <w:keepNext/>
      </w:pPr>
      <w:r w:rsidRPr="00E66F1B">
        <w:rPr>
          <w:noProof/>
        </w:rPr>
        <w:drawing>
          <wp:inline distT="0" distB="0" distL="0" distR="0" wp14:anchorId="4D10D07D" wp14:editId="5F1CEE19">
            <wp:extent cx="5731510" cy="27158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15895"/>
                    </a:xfrm>
                    <a:prstGeom prst="rect">
                      <a:avLst/>
                    </a:prstGeom>
                  </pic:spPr>
                </pic:pic>
              </a:graphicData>
            </a:graphic>
          </wp:inline>
        </w:drawing>
      </w:r>
    </w:p>
    <w:p w14:paraId="5A2A2665" w14:textId="6667334F" w:rsidR="0063281F" w:rsidRPr="00E66F1B" w:rsidRDefault="00FA2D4B" w:rsidP="00FA2D4B">
      <w:pPr>
        <w:pStyle w:val="Caption"/>
        <w:rPr>
          <w:color w:val="000000" w:themeColor="text1"/>
          <w:sz w:val="20"/>
          <w:szCs w:val="20"/>
        </w:rPr>
      </w:pPr>
      <w:bookmarkStart w:id="18" w:name="_Toc133342742"/>
      <w:r w:rsidRPr="00E66F1B">
        <w:rPr>
          <w:color w:val="000000" w:themeColor="text1"/>
          <w:sz w:val="20"/>
          <w:szCs w:val="20"/>
        </w:rPr>
        <w:t xml:space="preserve">Figure </w:t>
      </w:r>
      <w:r w:rsidRPr="00E66F1B">
        <w:rPr>
          <w:color w:val="000000" w:themeColor="text1"/>
          <w:sz w:val="20"/>
          <w:szCs w:val="20"/>
        </w:rPr>
        <w:fldChar w:fldCharType="begin"/>
      </w:r>
      <w:r w:rsidRPr="00E66F1B">
        <w:rPr>
          <w:color w:val="000000" w:themeColor="text1"/>
          <w:sz w:val="20"/>
          <w:szCs w:val="20"/>
        </w:rPr>
        <w:instrText xml:space="preserve"> SEQ Figure \* ARABIC </w:instrText>
      </w:r>
      <w:r w:rsidRPr="00E66F1B">
        <w:rPr>
          <w:color w:val="000000" w:themeColor="text1"/>
          <w:sz w:val="20"/>
          <w:szCs w:val="20"/>
        </w:rPr>
        <w:fldChar w:fldCharType="separate"/>
      </w:r>
      <w:r w:rsidR="00657099">
        <w:rPr>
          <w:noProof/>
          <w:color w:val="000000" w:themeColor="text1"/>
          <w:sz w:val="20"/>
          <w:szCs w:val="20"/>
        </w:rPr>
        <w:t>4</w:t>
      </w:r>
      <w:r w:rsidRPr="00E66F1B">
        <w:rPr>
          <w:noProof/>
          <w:color w:val="000000" w:themeColor="text1"/>
          <w:sz w:val="20"/>
          <w:szCs w:val="20"/>
        </w:rPr>
        <w:fldChar w:fldCharType="end"/>
      </w:r>
      <w:r w:rsidRPr="00E66F1B">
        <w:rPr>
          <w:color w:val="000000" w:themeColor="text1"/>
          <w:sz w:val="20"/>
          <w:szCs w:val="20"/>
        </w:rPr>
        <w:t xml:space="preserve"> - Proteus Schematic</w:t>
      </w:r>
      <w:bookmarkEnd w:id="18"/>
    </w:p>
    <w:p w14:paraId="484630EE" w14:textId="77777777" w:rsidR="0064456F" w:rsidRDefault="0064456F" w:rsidP="0064456F"/>
    <w:p w14:paraId="47D00562" w14:textId="77777777" w:rsidR="0064456F" w:rsidRDefault="0064456F" w:rsidP="0064456F"/>
    <w:tbl>
      <w:tblPr>
        <w:tblStyle w:val="TableGrid"/>
        <w:tblW w:w="0" w:type="auto"/>
        <w:tblLook w:val="04A0" w:firstRow="1" w:lastRow="0" w:firstColumn="1" w:lastColumn="0" w:noHBand="0" w:noVBand="1"/>
      </w:tblPr>
      <w:tblGrid>
        <w:gridCol w:w="4621"/>
        <w:gridCol w:w="4621"/>
      </w:tblGrid>
      <w:tr w:rsidR="0064456F" w14:paraId="1B879756" w14:textId="77777777" w:rsidTr="004C3C0D">
        <w:tc>
          <w:tcPr>
            <w:tcW w:w="4621" w:type="dxa"/>
          </w:tcPr>
          <w:p w14:paraId="126B6229" w14:textId="77777777" w:rsidR="0064456F" w:rsidRDefault="0064456F" w:rsidP="004C3C0D">
            <w:r w:rsidRPr="00D86C46">
              <w:t>PIC18F</w:t>
            </w:r>
            <w:r>
              <w:t>2</w:t>
            </w:r>
            <w:r w:rsidRPr="00D86C46">
              <w:t>6K80</w:t>
            </w:r>
          </w:p>
        </w:tc>
        <w:tc>
          <w:tcPr>
            <w:tcW w:w="4621" w:type="dxa"/>
          </w:tcPr>
          <w:p w14:paraId="3CA18567" w14:textId="77777777" w:rsidR="0064456F" w:rsidRDefault="0064456F" w:rsidP="004C3C0D">
            <w:r>
              <w:t>£ 4.40</w:t>
            </w:r>
          </w:p>
        </w:tc>
      </w:tr>
      <w:tr w:rsidR="0064456F" w14:paraId="0C1C96FC" w14:textId="77777777" w:rsidTr="004C3C0D">
        <w:tc>
          <w:tcPr>
            <w:tcW w:w="4621" w:type="dxa"/>
          </w:tcPr>
          <w:p w14:paraId="3BC58CB1" w14:textId="77777777" w:rsidR="0064456F" w:rsidRDefault="0064456F" w:rsidP="004C3C0D">
            <w:r>
              <w:t>BME680 module</w:t>
            </w:r>
          </w:p>
        </w:tc>
        <w:tc>
          <w:tcPr>
            <w:tcW w:w="4621" w:type="dxa"/>
          </w:tcPr>
          <w:p w14:paraId="24B342F6" w14:textId="77777777" w:rsidR="0064456F" w:rsidRDefault="0064456F" w:rsidP="004C3C0D">
            <w:r>
              <w:t>£ 9.09</w:t>
            </w:r>
          </w:p>
        </w:tc>
      </w:tr>
      <w:tr w:rsidR="0064456F" w14:paraId="058772AC" w14:textId="77777777" w:rsidTr="004C3C0D">
        <w:tc>
          <w:tcPr>
            <w:tcW w:w="4621" w:type="dxa"/>
          </w:tcPr>
          <w:p w14:paraId="3FD8FD31" w14:textId="77777777" w:rsidR="0064456F" w:rsidRDefault="0064456F" w:rsidP="004C3C0D">
            <w:r>
              <w:t>SEN55</w:t>
            </w:r>
          </w:p>
        </w:tc>
        <w:tc>
          <w:tcPr>
            <w:tcW w:w="4621" w:type="dxa"/>
          </w:tcPr>
          <w:p w14:paraId="02760AC2" w14:textId="77777777" w:rsidR="0064456F" w:rsidRDefault="0064456F" w:rsidP="004C3C0D">
            <w:r>
              <w:t>£ 28.90</w:t>
            </w:r>
          </w:p>
        </w:tc>
      </w:tr>
      <w:tr w:rsidR="0064456F" w14:paraId="3437CCA6" w14:textId="77777777" w:rsidTr="004C3C0D">
        <w:tc>
          <w:tcPr>
            <w:tcW w:w="4621" w:type="dxa"/>
          </w:tcPr>
          <w:p w14:paraId="3846DAD2" w14:textId="77777777" w:rsidR="0064456F" w:rsidRDefault="0064456F" w:rsidP="004C3C0D">
            <w:r>
              <w:t>DS3231 module</w:t>
            </w:r>
          </w:p>
        </w:tc>
        <w:tc>
          <w:tcPr>
            <w:tcW w:w="4621" w:type="dxa"/>
          </w:tcPr>
          <w:p w14:paraId="11458CD0" w14:textId="77777777" w:rsidR="0064456F" w:rsidRDefault="0064456F" w:rsidP="004C3C0D">
            <w:r>
              <w:t>£ 9.64</w:t>
            </w:r>
          </w:p>
        </w:tc>
      </w:tr>
      <w:tr w:rsidR="0064456F" w14:paraId="0DAF5273" w14:textId="77777777" w:rsidTr="004C3C0D">
        <w:tc>
          <w:tcPr>
            <w:tcW w:w="4621" w:type="dxa"/>
          </w:tcPr>
          <w:p w14:paraId="5BB2C1E9" w14:textId="77777777" w:rsidR="0064456F" w:rsidRDefault="0064456F" w:rsidP="004C3C0D">
            <w:r>
              <w:t>LED x3</w:t>
            </w:r>
          </w:p>
        </w:tc>
        <w:tc>
          <w:tcPr>
            <w:tcW w:w="4621" w:type="dxa"/>
          </w:tcPr>
          <w:p w14:paraId="73C5FE07" w14:textId="77777777" w:rsidR="0064456F" w:rsidRDefault="0064456F" w:rsidP="004C3C0D">
            <w:r>
              <w:t>£ 2.40</w:t>
            </w:r>
          </w:p>
        </w:tc>
      </w:tr>
      <w:tr w:rsidR="0064456F" w14:paraId="1BC13A6A" w14:textId="77777777" w:rsidTr="004C3C0D">
        <w:tc>
          <w:tcPr>
            <w:tcW w:w="4621" w:type="dxa"/>
          </w:tcPr>
          <w:p w14:paraId="19FABBA7" w14:textId="77777777" w:rsidR="0064456F" w:rsidRDefault="0064456F" w:rsidP="004C3C0D">
            <w:r>
              <w:t>10K Resistor x2</w:t>
            </w:r>
          </w:p>
        </w:tc>
        <w:tc>
          <w:tcPr>
            <w:tcW w:w="4621" w:type="dxa"/>
          </w:tcPr>
          <w:p w14:paraId="42FDC026" w14:textId="77777777" w:rsidR="0064456F" w:rsidRDefault="0064456F" w:rsidP="004C3C0D">
            <w:r>
              <w:t>£0.96</w:t>
            </w:r>
          </w:p>
        </w:tc>
      </w:tr>
      <w:tr w:rsidR="0064456F" w14:paraId="027B8F31" w14:textId="77777777" w:rsidTr="004C3C0D">
        <w:tc>
          <w:tcPr>
            <w:tcW w:w="4621" w:type="dxa"/>
          </w:tcPr>
          <w:p w14:paraId="5EEAA85B" w14:textId="77777777" w:rsidR="0064456F" w:rsidRDefault="0064456F" w:rsidP="004C3C0D">
            <w:r>
              <w:t>1</w:t>
            </w:r>
            <w:r>
              <w:rPr>
                <w:rFonts w:cs="Times New Roman"/>
              </w:rPr>
              <w:t xml:space="preserve">µF </w:t>
            </w:r>
            <w:r>
              <w:t>Capacitor</w:t>
            </w:r>
          </w:p>
        </w:tc>
        <w:tc>
          <w:tcPr>
            <w:tcW w:w="4621" w:type="dxa"/>
          </w:tcPr>
          <w:p w14:paraId="6B499F92" w14:textId="77777777" w:rsidR="0064456F" w:rsidRDefault="0064456F" w:rsidP="004C3C0D">
            <w:r>
              <w:t>£0.18</w:t>
            </w:r>
          </w:p>
        </w:tc>
      </w:tr>
      <w:tr w:rsidR="0064456F" w14:paraId="7FCAC29D" w14:textId="77777777" w:rsidTr="004C3C0D">
        <w:tc>
          <w:tcPr>
            <w:tcW w:w="4621" w:type="dxa"/>
          </w:tcPr>
          <w:p w14:paraId="5930F4AF" w14:textId="77777777" w:rsidR="0064456F" w:rsidRDefault="0064456F" w:rsidP="004C3C0D">
            <w:pPr>
              <w:jc w:val="right"/>
            </w:pPr>
            <w:r>
              <w:t>Total:</w:t>
            </w:r>
          </w:p>
        </w:tc>
        <w:tc>
          <w:tcPr>
            <w:tcW w:w="4621" w:type="dxa"/>
          </w:tcPr>
          <w:p w14:paraId="4627CC05" w14:textId="77777777" w:rsidR="0064456F" w:rsidRDefault="0064456F" w:rsidP="004C3C0D">
            <w:r>
              <w:t>£ 55.57</w:t>
            </w:r>
          </w:p>
        </w:tc>
      </w:tr>
    </w:tbl>
    <w:p w14:paraId="20990955" w14:textId="0CA3835C" w:rsidR="0064456F" w:rsidRPr="0064456F" w:rsidRDefault="0064456F" w:rsidP="0064456F">
      <w:pPr>
        <w:pStyle w:val="Caption"/>
        <w:rPr>
          <w:color w:val="000000" w:themeColor="text1"/>
          <w:sz w:val="20"/>
          <w:szCs w:val="20"/>
        </w:rPr>
      </w:pPr>
      <w:bookmarkStart w:id="19" w:name="_Toc133342743"/>
      <w:r w:rsidRPr="0064456F">
        <w:rPr>
          <w:color w:val="000000" w:themeColor="text1"/>
          <w:sz w:val="20"/>
          <w:szCs w:val="20"/>
        </w:rPr>
        <w:t xml:space="preserve">Figure </w:t>
      </w:r>
      <w:r w:rsidRPr="0064456F">
        <w:rPr>
          <w:color w:val="000000" w:themeColor="text1"/>
          <w:sz w:val="20"/>
          <w:szCs w:val="20"/>
        </w:rPr>
        <w:fldChar w:fldCharType="begin"/>
      </w:r>
      <w:r w:rsidRPr="0064456F">
        <w:rPr>
          <w:color w:val="000000" w:themeColor="text1"/>
          <w:sz w:val="20"/>
          <w:szCs w:val="20"/>
        </w:rPr>
        <w:instrText xml:space="preserve"> SEQ Figure \* ARABIC </w:instrText>
      </w:r>
      <w:r w:rsidRPr="0064456F">
        <w:rPr>
          <w:color w:val="000000" w:themeColor="text1"/>
          <w:sz w:val="20"/>
          <w:szCs w:val="20"/>
        </w:rPr>
        <w:fldChar w:fldCharType="separate"/>
      </w:r>
      <w:r w:rsidR="00657099">
        <w:rPr>
          <w:noProof/>
          <w:color w:val="000000" w:themeColor="text1"/>
          <w:sz w:val="20"/>
          <w:szCs w:val="20"/>
        </w:rPr>
        <w:t>5</w:t>
      </w:r>
      <w:r w:rsidRPr="0064456F">
        <w:rPr>
          <w:color w:val="000000" w:themeColor="text1"/>
          <w:sz w:val="20"/>
          <w:szCs w:val="20"/>
        </w:rPr>
        <w:fldChar w:fldCharType="end"/>
      </w:r>
      <w:r w:rsidRPr="0064456F">
        <w:rPr>
          <w:color w:val="000000" w:themeColor="text1"/>
          <w:sz w:val="20"/>
          <w:szCs w:val="20"/>
        </w:rPr>
        <w:t xml:space="preserve"> - Price of prototype</w:t>
      </w:r>
      <w:bookmarkEnd w:id="19"/>
    </w:p>
    <w:p w14:paraId="7960BC26" w14:textId="2D4FC6C4" w:rsidR="0063281F" w:rsidRPr="0063281F" w:rsidRDefault="0063281F" w:rsidP="0063281F"/>
    <w:p w14:paraId="3E344917" w14:textId="77777777" w:rsidR="00E66F1B" w:rsidRDefault="00E66F1B">
      <w:pPr>
        <w:spacing w:after="160"/>
        <w:jc w:val="left"/>
        <w:rPr>
          <w:rFonts w:eastAsiaTheme="majorEastAsia" w:cs="Times New Roman"/>
          <w:b/>
          <w:bCs/>
          <w:caps/>
        </w:rPr>
      </w:pPr>
      <w:r>
        <w:br w:type="page"/>
      </w:r>
    </w:p>
    <w:p w14:paraId="43A4720B" w14:textId="05AC4DE0" w:rsidR="00BB7623" w:rsidRDefault="00BB7623" w:rsidP="00BB7623">
      <w:pPr>
        <w:pStyle w:val="Heading2"/>
      </w:pPr>
      <w:bookmarkStart w:id="20" w:name="_Toc133335245"/>
      <w:r>
        <w:lastRenderedPageBreak/>
        <w:t>The Software</w:t>
      </w:r>
      <w:bookmarkEnd w:id="20"/>
    </w:p>
    <w:p w14:paraId="436B1AA3" w14:textId="77777777" w:rsidR="00E66F1B" w:rsidRDefault="00E66F1B" w:rsidP="00BB7623"/>
    <w:p w14:paraId="17E8DCF9" w14:textId="76E4D277" w:rsidR="007C4E08" w:rsidRDefault="00BB7623" w:rsidP="00BB7623">
      <w:r>
        <w:tab/>
        <w:t>I firstly laid out the operational process in a flow diagram</w:t>
      </w:r>
      <w:r w:rsidR="00ED1C80">
        <w:t xml:space="preserve"> for my reference during writing the program</w:t>
      </w:r>
      <w:r>
        <w:t xml:space="preserve">. </w:t>
      </w:r>
      <w:r w:rsidR="00ED1C80">
        <w:t xml:space="preserve">The flow chart can be split into two parts. On power up the system is initialised, Firstly the microprocessor (PIC) and its internal peripherals, followed by the sensors via I2C instructions. </w:t>
      </w:r>
    </w:p>
    <w:p w14:paraId="549E2095" w14:textId="77777777" w:rsidR="00B63DB8" w:rsidRDefault="00B63DB8" w:rsidP="00BB7623"/>
    <w:p w14:paraId="3EFCDF41" w14:textId="060D87B9" w:rsidR="007C4E08" w:rsidRDefault="007C4E08" w:rsidP="00BB7623">
      <w:r w:rsidRPr="00ED1C80">
        <w:rPr>
          <w:noProof/>
        </w:rPr>
        <w:drawing>
          <wp:inline distT="0" distB="0" distL="0" distR="0" wp14:anchorId="501C8625" wp14:editId="6754B4F2">
            <wp:extent cx="5731510" cy="161798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3"/>
                    <a:stretch>
                      <a:fillRect/>
                    </a:stretch>
                  </pic:blipFill>
                  <pic:spPr>
                    <a:xfrm>
                      <a:off x="0" y="0"/>
                      <a:ext cx="5731510" cy="1617980"/>
                    </a:xfrm>
                    <a:prstGeom prst="rect">
                      <a:avLst/>
                    </a:prstGeom>
                  </pic:spPr>
                </pic:pic>
              </a:graphicData>
            </a:graphic>
          </wp:inline>
        </w:drawing>
      </w:r>
    </w:p>
    <w:p w14:paraId="25891BC3" w14:textId="6C28E760" w:rsidR="00EB155A" w:rsidRPr="00B63DB8" w:rsidRDefault="007C4E08" w:rsidP="000013CD">
      <w:pPr>
        <w:pStyle w:val="Caption"/>
        <w:rPr>
          <w:color w:val="000000" w:themeColor="text1"/>
          <w:sz w:val="20"/>
          <w:szCs w:val="20"/>
        </w:rPr>
      </w:pPr>
      <w:bookmarkStart w:id="21" w:name="_Toc133342744"/>
      <w:r w:rsidRPr="00B63DB8">
        <w:rPr>
          <w:color w:val="000000" w:themeColor="text1"/>
          <w:sz w:val="20"/>
          <w:szCs w:val="20"/>
        </w:rPr>
        <w:t xml:space="preserve">Figure </w:t>
      </w:r>
      <w:r w:rsidRPr="00B63DB8">
        <w:rPr>
          <w:color w:val="000000" w:themeColor="text1"/>
          <w:sz w:val="20"/>
          <w:szCs w:val="20"/>
        </w:rPr>
        <w:fldChar w:fldCharType="begin"/>
      </w:r>
      <w:r w:rsidRPr="00B63DB8">
        <w:rPr>
          <w:color w:val="000000" w:themeColor="text1"/>
          <w:sz w:val="20"/>
          <w:szCs w:val="20"/>
        </w:rPr>
        <w:instrText xml:space="preserve"> SEQ Figure \* ARABIC </w:instrText>
      </w:r>
      <w:r w:rsidRPr="00B63DB8">
        <w:rPr>
          <w:color w:val="000000" w:themeColor="text1"/>
          <w:sz w:val="20"/>
          <w:szCs w:val="20"/>
        </w:rPr>
        <w:fldChar w:fldCharType="separate"/>
      </w:r>
      <w:r w:rsidR="00657099">
        <w:rPr>
          <w:noProof/>
          <w:color w:val="000000" w:themeColor="text1"/>
          <w:sz w:val="20"/>
          <w:szCs w:val="20"/>
        </w:rPr>
        <w:t>6</w:t>
      </w:r>
      <w:r w:rsidRPr="00B63DB8">
        <w:rPr>
          <w:noProof/>
          <w:color w:val="000000" w:themeColor="text1"/>
          <w:sz w:val="20"/>
          <w:szCs w:val="20"/>
        </w:rPr>
        <w:fldChar w:fldCharType="end"/>
      </w:r>
      <w:r w:rsidRPr="00B63DB8">
        <w:rPr>
          <w:color w:val="000000" w:themeColor="text1"/>
          <w:sz w:val="20"/>
          <w:szCs w:val="20"/>
        </w:rPr>
        <w:t xml:space="preserve"> - </w:t>
      </w:r>
      <w:r w:rsidR="008549A2">
        <w:rPr>
          <w:color w:val="000000" w:themeColor="text1"/>
          <w:sz w:val="20"/>
          <w:szCs w:val="20"/>
        </w:rPr>
        <w:t>I</w:t>
      </w:r>
      <w:r w:rsidRPr="00B63DB8">
        <w:rPr>
          <w:color w:val="000000" w:themeColor="text1"/>
          <w:sz w:val="20"/>
          <w:szCs w:val="20"/>
        </w:rPr>
        <w:t>nitialising flowchart</w:t>
      </w:r>
      <w:bookmarkEnd w:id="21"/>
    </w:p>
    <w:p w14:paraId="3D27580B" w14:textId="77777777" w:rsidR="000013CD" w:rsidRPr="000013CD" w:rsidRDefault="000013CD" w:rsidP="000013CD"/>
    <w:p w14:paraId="48EA665D" w14:textId="38A41AB8" w:rsidR="00BB7623" w:rsidRDefault="008F3C4C" w:rsidP="007C4E08">
      <w:pPr>
        <w:ind w:firstLine="720"/>
      </w:pPr>
      <w:r>
        <w:t>To check the sensors are connected, I request the ID number from the BME680</w:t>
      </w:r>
      <w:r w:rsidR="00DA292E">
        <w:t xml:space="preserve"> (figure </w:t>
      </w:r>
      <w:r w:rsidR="00BD6D48">
        <w:t>7</w:t>
      </w:r>
      <w:r w:rsidR="00DA292E">
        <w:t>)</w:t>
      </w:r>
      <w:r>
        <w:t xml:space="preserve"> and the firmware number from the SEN55</w:t>
      </w:r>
      <w:r w:rsidR="00DA292E">
        <w:t xml:space="preserve"> (figure </w:t>
      </w:r>
      <w:r w:rsidR="00BD6D48">
        <w:t>8</w:t>
      </w:r>
      <w:r w:rsidR="00336203">
        <w:t>) and</w:t>
      </w:r>
      <w:r>
        <w:t xml:space="preserve"> compare it to the expected value. If the sensors return the expected value, I set them to their measurement mode with their respective methods laid out in their data sheets.</w:t>
      </w:r>
    </w:p>
    <w:p w14:paraId="7365BF82" w14:textId="77777777" w:rsidR="00DA292E" w:rsidRDefault="00DA292E" w:rsidP="00BB7623"/>
    <w:p w14:paraId="5179A50C" w14:textId="6B2197B5"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1. </w:t>
      </w:r>
      <w:r>
        <w:rPr>
          <w:rFonts w:ascii="Consolas" w:hAnsi="Consolas" w:cs="Courier New"/>
          <w:color w:val="660066"/>
          <w:sz w:val="17"/>
          <w:szCs w:val="17"/>
        </w:rPr>
        <w:t>uint8_t</w:t>
      </w:r>
      <w:r>
        <w:rPr>
          <w:rFonts w:ascii="Consolas" w:hAnsi="Consolas" w:cs="Courier New"/>
          <w:color w:val="000000"/>
          <w:sz w:val="17"/>
          <w:szCs w:val="17"/>
        </w:rPr>
        <w:t xml:space="preserve"> get_BME680_ID</w:t>
      </w:r>
      <w:r>
        <w:rPr>
          <w:rFonts w:ascii="Consolas" w:hAnsi="Consolas" w:cs="Courier New"/>
          <w:color w:val="666600"/>
          <w:sz w:val="17"/>
          <w:szCs w:val="17"/>
        </w:rPr>
        <w:t>(</w:t>
      </w:r>
      <w:r>
        <w:rPr>
          <w:rFonts w:ascii="Consolas" w:hAnsi="Consolas" w:cs="Courier New"/>
          <w:color w:val="000088"/>
          <w:sz w:val="17"/>
          <w:szCs w:val="17"/>
        </w:rPr>
        <w:t>void</w:t>
      </w:r>
      <w:r>
        <w:rPr>
          <w:rFonts w:ascii="Consolas" w:hAnsi="Consolas" w:cs="Courier New"/>
          <w:color w:val="666600"/>
          <w:sz w:val="17"/>
          <w:szCs w:val="17"/>
        </w:rPr>
        <w:t>){</w:t>
      </w:r>
      <w:r>
        <w:rPr>
          <w:rFonts w:ascii="Consolas" w:hAnsi="Consolas" w:cs="Courier New"/>
          <w:color w:val="000000"/>
          <w:sz w:val="17"/>
          <w:szCs w:val="17"/>
        </w:rPr>
        <w:t xml:space="preserve">    </w:t>
      </w:r>
      <w:r w:rsidR="00C73871">
        <w:rPr>
          <w:rFonts w:ascii="Consolas" w:hAnsi="Consolas" w:cs="Courier New"/>
          <w:color w:val="000000"/>
          <w:sz w:val="17"/>
          <w:szCs w:val="17"/>
        </w:rPr>
        <w:t xml:space="preserve"> </w:t>
      </w:r>
      <w:r>
        <w:rPr>
          <w:rFonts w:ascii="Consolas" w:hAnsi="Consolas" w:cs="Courier New"/>
          <w:color w:val="000000"/>
          <w:sz w:val="17"/>
          <w:szCs w:val="17"/>
        </w:rPr>
        <w:t xml:space="preserve">    </w:t>
      </w:r>
      <w:r>
        <w:rPr>
          <w:rFonts w:ascii="Consolas" w:hAnsi="Consolas" w:cs="Courier New"/>
          <w:color w:val="880000"/>
          <w:sz w:val="17"/>
          <w:szCs w:val="17"/>
        </w:rPr>
        <w:t>// returns ID</w:t>
      </w:r>
    </w:p>
    <w:p w14:paraId="42BD9DF1"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p>
    <w:p w14:paraId="7F61058E" w14:textId="5024A65F"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sidR="00C73871">
        <w:rPr>
          <w:rFonts w:ascii="Consolas" w:hAnsi="Consolas" w:cs="Courier New"/>
          <w:color w:val="666600"/>
          <w:sz w:val="17"/>
          <w:szCs w:val="17"/>
        </w:rPr>
        <w:t xml:space="preserve">    </w:t>
      </w:r>
      <w:r>
        <w:rPr>
          <w:rFonts w:ascii="Consolas" w:hAnsi="Consolas" w:cs="Courier New"/>
          <w:color w:val="880000"/>
          <w:sz w:val="17"/>
          <w:szCs w:val="17"/>
        </w:rPr>
        <w:t>// send slave address (write mode)</w:t>
      </w:r>
    </w:p>
    <w:p w14:paraId="481F2514"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BME680_CHIP_ID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reg i want to read</w:t>
      </w:r>
    </w:p>
    <w:p w14:paraId="6DDE39EB"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i2c_rep_start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repeated start as specified in datasheet</w:t>
      </w:r>
    </w:p>
    <w:p w14:paraId="0160DB6B"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BME680_READ_ADDR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slave address (read mode)</w:t>
      </w:r>
    </w:p>
    <w:p w14:paraId="7BCE52D6"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data </w:t>
      </w:r>
      <w:r>
        <w:rPr>
          <w:rFonts w:ascii="Consolas" w:hAnsi="Consolas" w:cs="Courier New"/>
          <w:color w:val="666600"/>
          <w:sz w:val="17"/>
          <w:szCs w:val="17"/>
        </w:rPr>
        <w:t>=</w:t>
      </w:r>
      <w:r>
        <w:rPr>
          <w:rFonts w:ascii="Consolas" w:hAnsi="Consolas" w:cs="Courier New"/>
          <w:color w:val="000000"/>
          <w:sz w:val="17"/>
          <w:szCs w:val="17"/>
        </w:rPr>
        <w:t xml:space="preserve"> i2c_read</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store ID in data</w:t>
      </w:r>
    </w:p>
    <w:p w14:paraId="354CDA13"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i2c_stop</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stop condition</w:t>
      </w:r>
    </w:p>
    <w:p w14:paraId="6056D35B" w14:textId="77777777"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data</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return the ID</w:t>
      </w:r>
    </w:p>
    <w:p w14:paraId="10E0756C" w14:textId="7AE9C27A" w:rsidR="00FA2D4B" w:rsidRDefault="00FA2D4B">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77139075"/>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666600"/>
          <w:sz w:val="17"/>
          <w:szCs w:val="17"/>
        </w:rPr>
        <w:t>}</w:t>
      </w:r>
    </w:p>
    <w:p w14:paraId="11B2A55A" w14:textId="502955B8" w:rsidR="00FA2D4B" w:rsidRPr="00B63DB8" w:rsidRDefault="00FA2D4B" w:rsidP="00FA2D4B">
      <w:pPr>
        <w:pStyle w:val="Caption"/>
        <w:rPr>
          <w:color w:val="000000" w:themeColor="text1"/>
          <w:sz w:val="20"/>
          <w:szCs w:val="20"/>
        </w:rPr>
      </w:pPr>
      <w:bookmarkStart w:id="22" w:name="_Toc133342745"/>
      <w:r w:rsidRPr="00B63DB8">
        <w:rPr>
          <w:color w:val="000000" w:themeColor="text1"/>
          <w:sz w:val="20"/>
          <w:szCs w:val="20"/>
        </w:rPr>
        <w:t xml:space="preserve">Figure </w:t>
      </w:r>
      <w:r w:rsidRPr="00B63DB8">
        <w:rPr>
          <w:color w:val="000000" w:themeColor="text1"/>
          <w:sz w:val="20"/>
          <w:szCs w:val="20"/>
        </w:rPr>
        <w:fldChar w:fldCharType="begin"/>
      </w:r>
      <w:r w:rsidRPr="00B63DB8">
        <w:rPr>
          <w:color w:val="000000" w:themeColor="text1"/>
          <w:sz w:val="20"/>
          <w:szCs w:val="20"/>
        </w:rPr>
        <w:instrText xml:space="preserve"> SEQ Figure \* ARABIC </w:instrText>
      </w:r>
      <w:r w:rsidRPr="00B63DB8">
        <w:rPr>
          <w:color w:val="000000" w:themeColor="text1"/>
          <w:sz w:val="20"/>
          <w:szCs w:val="20"/>
        </w:rPr>
        <w:fldChar w:fldCharType="separate"/>
      </w:r>
      <w:r w:rsidR="00657099">
        <w:rPr>
          <w:noProof/>
          <w:color w:val="000000" w:themeColor="text1"/>
          <w:sz w:val="20"/>
          <w:szCs w:val="20"/>
        </w:rPr>
        <w:t>7</w:t>
      </w:r>
      <w:r w:rsidRPr="00B63DB8">
        <w:rPr>
          <w:noProof/>
          <w:color w:val="000000" w:themeColor="text1"/>
          <w:sz w:val="20"/>
          <w:szCs w:val="20"/>
        </w:rPr>
        <w:fldChar w:fldCharType="end"/>
      </w:r>
      <w:r w:rsidRPr="00B63DB8">
        <w:rPr>
          <w:color w:val="000000" w:themeColor="text1"/>
          <w:sz w:val="20"/>
          <w:szCs w:val="20"/>
        </w:rPr>
        <w:t xml:space="preserve"> - BME680 getting ID</w:t>
      </w:r>
      <w:bookmarkEnd w:id="22"/>
    </w:p>
    <w:p w14:paraId="3B9A293D" w14:textId="6945A441"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660066"/>
          <w:sz w:val="17"/>
          <w:szCs w:val="17"/>
        </w:rPr>
        <w:t>uint8_t</w:t>
      </w:r>
      <w:r>
        <w:rPr>
          <w:rFonts w:ascii="Consolas" w:hAnsi="Consolas" w:cs="Courier New"/>
          <w:color w:val="000000"/>
          <w:sz w:val="17"/>
          <w:szCs w:val="17"/>
        </w:rPr>
        <w:t xml:space="preserve"> get_SEN55_Firmware</w:t>
      </w:r>
      <w:r>
        <w:rPr>
          <w:rFonts w:ascii="Consolas" w:hAnsi="Consolas" w:cs="Courier New"/>
          <w:color w:val="666600"/>
          <w:sz w:val="17"/>
          <w:szCs w:val="17"/>
        </w:rPr>
        <w:t>(</w:t>
      </w:r>
      <w:r>
        <w:rPr>
          <w:rFonts w:ascii="Consolas" w:hAnsi="Consolas" w:cs="Courier New"/>
          <w:color w:val="000088"/>
          <w:sz w:val="17"/>
          <w:szCs w:val="17"/>
        </w:rPr>
        <w:t>void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returns ID.</w:t>
      </w:r>
    </w:p>
    <w:p w14:paraId="242CDA3C"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p>
    <w:p w14:paraId="67BCF7CD"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SEN55_WRITE_ADDR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slave address (write mode)</w:t>
      </w:r>
    </w:p>
    <w:p w14:paraId="577B62AA"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0xD1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reg</w:t>
      </w:r>
    </w:p>
    <w:p w14:paraId="338502E1"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10CC3387"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i2c_rep_start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repeated start</w:t>
      </w:r>
    </w:p>
    <w:p w14:paraId="04E187F4"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SEN55_READ_ADDR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slave address (read mode)</w:t>
      </w:r>
    </w:p>
    <w:p w14:paraId="5B29612C"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data1 </w:t>
      </w:r>
      <w:r>
        <w:rPr>
          <w:rFonts w:ascii="Consolas" w:hAnsi="Consolas" w:cs="Courier New"/>
          <w:color w:val="666600"/>
          <w:sz w:val="17"/>
          <w:szCs w:val="17"/>
        </w:rPr>
        <w:t>=</w:t>
      </w:r>
      <w:r>
        <w:rPr>
          <w:rFonts w:ascii="Consolas" w:hAnsi="Consolas" w:cs="Courier New"/>
          <w:color w:val="000000"/>
          <w:sz w:val="17"/>
          <w:szCs w:val="17"/>
        </w:rPr>
        <w:t xml:space="preserve"> i2c_read</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firmware number</w:t>
      </w:r>
    </w:p>
    <w:p w14:paraId="5D81C467"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data2 </w:t>
      </w:r>
      <w:r>
        <w:rPr>
          <w:rFonts w:ascii="Consolas" w:hAnsi="Consolas" w:cs="Courier New"/>
          <w:color w:val="666600"/>
          <w:sz w:val="17"/>
          <w:szCs w:val="17"/>
        </w:rPr>
        <w:t>=</w:t>
      </w:r>
      <w:r>
        <w:rPr>
          <w:rFonts w:ascii="Consolas" w:hAnsi="Consolas" w:cs="Courier New"/>
          <w:color w:val="000000"/>
          <w:sz w:val="17"/>
          <w:szCs w:val="17"/>
        </w:rPr>
        <w:t xml:space="preserve"> i2c_read</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reserved</w:t>
      </w:r>
    </w:p>
    <w:p w14:paraId="56588114"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CRC   </w:t>
      </w:r>
      <w:r>
        <w:rPr>
          <w:rFonts w:ascii="Consolas" w:hAnsi="Consolas" w:cs="Courier New"/>
          <w:color w:val="666600"/>
          <w:sz w:val="17"/>
          <w:szCs w:val="17"/>
        </w:rPr>
        <w:t>=</w:t>
      </w:r>
      <w:r>
        <w:rPr>
          <w:rFonts w:ascii="Consolas" w:hAnsi="Consolas" w:cs="Courier New"/>
          <w:color w:val="000000"/>
          <w:sz w:val="17"/>
          <w:szCs w:val="17"/>
        </w:rPr>
        <w:t xml:space="preserve"> i2c_read</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CRC </w:t>
      </w:r>
    </w:p>
    <w:p w14:paraId="1C5CB80E"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xml:space="preserve">    i2c_stop</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stop condition</w:t>
      </w:r>
    </w:p>
    <w:p w14:paraId="2C0DB81F"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    </w:t>
      </w:r>
    </w:p>
    <w:p w14:paraId="255D383B" w14:textId="443D9CAF"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data</w:t>
      </w:r>
      <w:r>
        <w:rPr>
          <w:rFonts w:ascii="Consolas" w:hAnsi="Consolas" w:cs="Courier New"/>
          <w:color w:val="666600"/>
          <w:sz w:val="17"/>
          <w:szCs w:val="17"/>
        </w:rPr>
        <w:t>[</w:t>
      </w:r>
      <w:r>
        <w:rPr>
          <w:rFonts w:ascii="Consolas" w:hAnsi="Consolas" w:cs="Courier New"/>
          <w:color w:val="006666"/>
          <w:sz w:val="17"/>
          <w:szCs w:val="17"/>
        </w:rPr>
        <w:t>2</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data1</w:t>
      </w:r>
      <w:r>
        <w:rPr>
          <w:rFonts w:ascii="Consolas" w:hAnsi="Consolas" w:cs="Courier New"/>
          <w:color w:val="666600"/>
          <w:sz w:val="17"/>
          <w:szCs w:val="17"/>
        </w:rPr>
        <w:t>,</w:t>
      </w:r>
      <w:r>
        <w:rPr>
          <w:rFonts w:ascii="Consolas" w:hAnsi="Consolas" w:cs="Courier New"/>
          <w:color w:val="000000"/>
          <w:sz w:val="17"/>
          <w:szCs w:val="17"/>
        </w:rPr>
        <w:t xml:space="preserve"> data2</w:t>
      </w:r>
      <w:r>
        <w:rPr>
          <w:rFonts w:ascii="Consolas" w:hAnsi="Consolas" w:cs="Courier New"/>
          <w:color w:val="666600"/>
          <w:sz w:val="17"/>
          <w:szCs w:val="17"/>
        </w:rPr>
        <w:t>};</w:t>
      </w:r>
      <w:r w:rsidR="00C73871">
        <w:rPr>
          <w:rFonts w:ascii="Consolas" w:hAnsi="Consolas" w:cs="Courier New"/>
          <w:color w:val="880000"/>
          <w:sz w:val="17"/>
          <w:szCs w:val="17"/>
        </w:rPr>
        <w:t>// verify CRC</w:t>
      </w:r>
    </w:p>
    <w:p w14:paraId="04430767"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14. </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CRC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660066"/>
          <w:sz w:val="17"/>
          <w:szCs w:val="17"/>
        </w:rPr>
        <w:t>CalcCrc</w:t>
      </w:r>
      <w:proofErr w:type="spellEnd"/>
      <w:r>
        <w:rPr>
          <w:rFonts w:ascii="Consolas" w:hAnsi="Consolas" w:cs="Courier New"/>
          <w:color w:val="666600"/>
          <w:sz w:val="17"/>
          <w:szCs w:val="17"/>
        </w:rPr>
        <w:t>(</w:t>
      </w:r>
      <w:r>
        <w:rPr>
          <w:rFonts w:ascii="Consolas" w:hAnsi="Consolas" w:cs="Courier New"/>
          <w:color w:val="000000"/>
          <w:sz w:val="17"/>
          <w:szCs w:val="17"/>
        </w:rPr>
        <w:t>data</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p>
    <w:p w14:paraId="1A7FB756"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15. </w:t>
      </w:r>
      <w:r>
        <w:rPr>
          <w:rFonts w:ascii="Consolas" w:hAnsi="Consolas" w:cs="Courier New"/>
          <w:color w:val="000000"/>
          <w:sz w:val="17"/>
          <w:szCs w:val="17"/>
        </w:rPr>
        <w:t xml:space="preserve">        </w:t>
      </w:r>
      <w:proofErr w:type="spellStart"/>
      <w:r>
        <w:rPr>
          <w:rFonts w:ascii="Consolas" w:hAnsi="Consolas" w:cs="Courier New"/>
          <w:color w:val="000000"/>
          <w:sz w:val="17"/>
          <w:szCs w:val="17"/>
        </w:rPr>
        <w:t>printf</w:t>
      </w:r>
      <w:proofErr w:type="spellEnd"/>
      <w:r>
        <w:rPr>
          <w:rFonts w:ascii="Consolas" w:hAnsi="Consolas" w:cs="Courier New"/>
          <w:color w:val="666600"/>
          <w:sz w:val="17"/>
          <w:szCs w:val="17"/>
        </w:rPr>
        <w:t>(</w:t>
      </w:r>
      <w:r>
        <w:rPr>
          <w:rFonts w:ascii="Consolas" w:hAnsi="Consolas" w:cs="Courier New"/>
          <w:color w:val="008800"/>
          <w:sz w:val="17"/>
          <w:szCs w:val="17"/>
        </w:rPr>
        <w:t>"CRC ERROR"</w:t>
      </w:r>
      <w:r>
        <w:rPr>
          <w:rFonts w:ascii="Consolas" w:hAnsi="Consolas" w:cs="Courier New"/>
          <w:color w:val="666600"/>
          <w:sz w:val="17"/>
          <w:szCs w:val="17"/>
        </w:rPr>
        <w:t>);</w:t>
      </w:r>
    </w:p>
    <w:p w14:paraId="30A92B92"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16. </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666600"/>
          <w:sz w:val="17"/>
          <w:szCs w:val="17"/>
        </w:rPr>
        <w:t>;</w:t>
      </w:r>
    </w:p>
    <w:p w14:paraId="64F944E5"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17. </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else</w:t>
      </w:r>
      <w:r>
        <w:rPr>
          <w:rFonts w:ascii="Consolas" w:hAnsi="Consolas" w:cs="Courier New"/>
          <w:color w:val="000000"/>
          <w:sz w:val="17"/>
          <w:szCs w:val="17"/>
        </w:rPr>
        <w:t xml:space="preserve"> </w:t>
      </w:r>
      <w:r>
        <w:rPr>
          <w:rFonts w:ascii="Consolas" w:hAnsi="Consolas" w:cs="Courier New"/>
          <w:color w:val="666600"/>
          <w:sz w:val="17"/>
          <w:szCs w:val="17"/>
        </w:rPr>
        <w:t>{</w:t>
      </w:r>
    </w:p>
    <w:p w14:paraId="49D5029F" w14:textId="52FCA38E"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18. </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data1</w:t>
      </w:r>
      <w:r>
        <w:rPr>
          <w:rFonts w:ascii="Consolas" w:hAnsi="Consolas" w:cs="Courier New"/>
          <w:color w:val="666600"/>
          <w:sz w:val="17"/>
          <w:szCs w:val="17"/>
        </w:rPr>
        <w:t>;</w:t>
      </w:r>
      <w:r>
        <w:rPr>
          <w:rFonts w:ascii="Consolas" w:hAnsi="Consolas" w:cs="Courier New"/>
          <w:color w:val="000000"/>
          <w:sz w:val="17"/>
          <w:szCs w:val="17"/>
        </w:rPr>
        <w:t xml:space="preserve">          </w:t>
      </w:r>
      <w:r w:rsidR="00C73871">
        <w:rPr>
          <w:rFonts w:ascii="Consolas" w:hAnsi="Consolas" w:cs="Courier New"/>
          <w:color w:val="000000"/>
          <w:sz w:val="17"/>
          <w:szCs w:val="17"/>
        </w:rPr>
        <w:t xml:space="preserve"> </w:t>
      </w:r>
      <w:r>
        <w:rPr>
          <w:rFonts w:ascii="Consolas" w:hAnsi="Consolas" w:cs="Courier New"/>
          <w:color w:val="000000"/>
          <w:sz w:val="17"/>
          <w:szCs w:val="17"/>
        </w:rPr>
        <w:t xml:space="preserve">     </w:t>
      </w:r>
      <w:r>
        <w:rPr>
          <w:rFonts w:ascii="Consolas" w:hAnsi="Consolas" w:cs="Courier New"/>
          <w:color w:val="880000"/>
          <w:sz w:val="17"/>
          <w:szCs w:val="17"/>
        </w:rPr>
        <w:t>// return the ID</w:t>
      </w:r>
    </w:p>
    <w:p w14:paraId="0BD26A27" w14:textId="77777777"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19. </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p>
    <w:p w14:paraId="67C4A711" w14:textId="359770AB" w:rsidR="00B63DB8" w:rsidRDefault="00B63DB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82797871"/>
        <w:rPr>
          <w:rFonts w:ascii="Consolas" w:hAnsi="Consolas" w:cs="Courier New"/>
          <w:sz w:val="17"/>
          <w:szCs w:val="17"/>
        </w:rPr>
      </w:pPr>
      <w:r>
        <w:rPr>
          <w:rFonts w:ascii="Consolas" w:hAnsi="Consolas" w:cs="Courier New"/>
          <w:sz w:val="17"/>
          <w:szCs w:val="17"/>
        </w:rPr>
        <w:t xml:space="preserve">20. </w:t>
      </w:r>
      <w:r>
        <w:rPr>
          <w:rFonts w:ascii="Consolas" w:hAnsi="Consolas" w:cs="Courier New"/>
          <w:color w:val="666600"/>
          <w:sz w:val="17"/>
          <w:szCs w:val="17"/>
        </w:rPr>
        <w:t>}</w:t>
      </w:r>
    </w:p>
    <w:p w14:paraId="0F302E84" w14:textId="326C027F" w:rsidR="00B63DB8" w:rsidRPr="00B63DB8" w:rsidRDefault="00B63DB8" w:rsidP="00B63DB8">
      <w:pPr>
        <w:pStyle w:val="Caption"/>
        <w:rPr>
          <w:color w:val="000000" w:themeColor="text1"/>
          <w:sz w:val="20"/>
          <w:szCs w:val="20"/>
        </w:rPr>
      </w:pPr>
      <w:bookmarkStart w:id="23" w:name="_Toc133342746"/>
      <w:r w:rsidRPr="00B63DB8">
        <w:rPr>
          <w:color w:val="000000" w:themeColor="text1"/>
          <w:sz w:val="20"/>
          <w:szCs w:val="20"/>
        </w:rPr>
        <w:t xml:space="preserve">Figure </w:t>
      </w:r>
      <w:r w:rsidRPr="00B63DB8">
        <w:rPr>
          <w:color w:val="000000" w:themeColor="text1"/>
          <w:sz w:val="20"/>
          <w:szCs w:val="20"/>
        </w:rPr>
        <w:fldChar w:fldCharType="begin"/>
      </w:r>
      <w:r w:rsidRPr="00B63DB8">
        <w:rPr>
          <w:color w:val="000000" w:themeColor="text1"/>
          <w:sz w:val="20"/>
          <w:szCs w:val="20"/>
        </w:rPr>
        <w:instrText xml:space="preserve"> SEQ Figure \* ARABIC </w:instrText>
      </w:r>
      <w:r w:rsidRPr="00B63DB8">
        <w:rPr>
          <w:color w:val="000000" w:themeColor="text1"/>
          <w:sz w:val="20"/>
          <w:szCs w:val="20"/>
        </w:rPr>
        <w:fldChar w:fldCharType="separate"/>
      </w:r>
      <w:r w:rsidR="00657099">
        <w:rPr>
          <w:noProof/>
          <w:color w:val="000000" w:themeColor="text1"/>
          <w:sz w:val="20"/>
          <w:szCs w:val="20"/>
        </w:rPr>
        <w:t>8</w:t>
      </w:r>
      <w:r w:rsidRPr="00B63DB8">
        <w:rPr>
          <w:color w:val="000000" w:themeColor="text1"/>
          <w:sz w:val="20"/>
          <w:szCs w:val="20"/>
        </w:rPr>
        <w:fldChar w:fldCharType="end"/>
      </w:r>
      <w:r w:rsidRPr="00B63DB8">
        <w:rPr>
          <w:color w:val="000000" w:themeColor="text1"/>
          <w:sz w:val="20"/>
          <w:szCs w:val="20"/>
        </w:rPr>
        <w:t xml:space="preserve"> - SEN55 getting ID</w:t>
      </w:r>
      <w:bookmarkEnd w:id="23"/>
    </w:p>
    <w:p w14:paraId="7E99BBBE" w14:textId="22C19F60" w:rsidR="00DA292E" w:rsidRDefault="008F3C4C" w:rsidP="00DA292E">
      <w:pPr>
        <w:ind w:firstLine="720"/>
      </w:pPr>
      <w:r>
        <w:lastRenderedPageBreak/>
        <w:t>The BME680 includes a large range of configurations including mandatory and optional settings. I chose to use an oversampling of 1x for temperature and humidity as this will allow for the highest accuracy, but also makes the measurements susceptible to noise</w:t>
      </w:r>
      <w:r w:rsidR="00DA292E">
        <w:t xml:space="preserve"> (</w:t>
      </w:r>
      <w:r w:rsidR="003D6C0B">
        <w:t>F</w:t>
      </w:r>
      <w:r w:rsidR="00DA292E">
        <w:t xml:space="preserve">igure </w:t>
      </w:r>
      <w:r w:rsidR="00BD6D48">
        <w:t>9</w:t>
      </w:r>
      <w:r w:rsidR="00DA292E">
        <w:t>)</w:t>
      </w:r>
      <w:r>
        <w:t>. The BME</w:t>
      </w:r>
      <w:r w:rsidR="00336203">
        <w:t>680</w:t>
      </w:r>
      <w:r>
        <w:t xml:space="preserve"> also has a built in IIR filter which can be applied to the temperature and pressure measurement, which is designed to filter out any transient spikes. I opted out of passing the temperature data through the IIR filter as it affects the bandwidth and resolution, and due to the limited thermal coupling </w:t>
      </w:r>
      <w:r w:rsidR="00C73871">
        <w:t>to an</w:t>
      </w:r>
      <w:r>
        <w:t xml:space="preserve"> enclosure, I don’t expect transient readings from the temperature sensor. </w:t>
      </w:r>
    </w:p>
    <w:p w14:paraId="323293B5" w14:textId="77777777" w:rsidR="00DA292E" w:rsidRDefault="00DA292E" w:rsidP="00DA292E"/>
    <w:p w14:paraId="59594924"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000088"/>
          <w:sz w:val="17"/>
          <w:szCs w:val="17"/>
        </w:rPr>
        <w:t>void</w:t>
      </w:r>
      <w:r>
        <w:rPr>
          <w:rFonts w:ascii="Consolas" w:hAnsi="Consolas" w:cs="Courier New"/>
          <w:color w:val="000000"/>
          <w:sz w:val="17"/>
          <w:szCs w:val="17"/>
        </w:rPr>
        <w:t xml:space="preserve"> BME680_init</w:t>
      </w:r>
      <w:r>
        <w:rPr>
          <w:rFonts w:ascii="Consolas" w:hAnsi="Consolas" w:cs="Courier New"/>
          <w:color w:val="666600"/>
          <w:sz w:val="17"/>
          <w:szCs w:val="17"/>
        </w:rPr>
        <w:t>(</w:t>
      </w:r>
      <w:r>
        <w:rPr>
          <w:rFonts w:ascii="Consolas" w:hAnsi="Consolas" w:cs="Courier New"/>
          <w:color w:val="000088"/>
          <w:sz w:val="17"/>
          <w:szCs w:val="17"/>
        </w:rPr>
        <w:t>void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sets oversampling to 1x for t/rh/p</w:t>
      </w:r>
    </w:p>
    <w:p w14:paraId="5157C15E"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reg is only implemented after write to ctrl reg.   </w:t>
      </w:r>
    </w:p>
    <w:p w14:paraId="2EA22471"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Pr>
          <w:rFonts w:ascii="Consolas" w:hAnsi="Consolas" w:cs="Courier New"/>
          <w:color w:val="000000"/>
          <w:sz w:val="17"/>
          <w:szCs w:val="17"/>
        </w:rPr>
        <w:tab/>
        <w:t xml:space="preserve"> </w:t>
      </w:r>
      <w:r>
        <w:rPr>
          <w:rFonts w:ascii="Consolas" w:hAnsi="Consolas" w:cs="Courier New"/>
          <w:color w:val="880000"/>
          <w:sz w:val="17"/>
          <w:szCs w:val="17"/>
        </w:rPr>
        <w:t>// send slave address (write mode)</w:t>
      </w:r>
    </w:p>
    <w:p w14:paraId="1D5CCF1B"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BME680_CTRL_HUM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slave register</w:t>
      </w:r>
    </w:p>
    <w:p w14:paraId="0C82004D"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0x01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set humidity oversampling to x1 </w:t>
      </w:r>
    </w:p>
    <w:p w14:paraId="72523401"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i2c_stop</w:t>
      </w:r>
      <w:r>
        <w:rPr>
          <w:rFonts w:ascii="Consolas" w:hAnsi="Consolas" w:cs="Courier New"/>
          <w:color w:val="666600"/>
          <w:sz w:val="17"/>
          <w:szCs w:val="17"/>
        </w:rPr>
        <w:t>();</w:t>
      </w:r>
    </w:p>
    <w:p w14:paraId="56A206BE"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w:t>
      </w:r>
    </w:p>
    <w:p w14:paraId="20E994F2"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i2c_start</w:t>
      </w:r>
      <w:r>
        <w:rPr>
          <w:rFonts w:ascii="Consolas" w:hAnsi="Consolas" w:cs="Courier New"/>
          <w:color w:val="666600"/>
          <w:sz w:val="17"/>
          <w:szCs w:val="17"/>
        </w:rPr>
        <w:t>();</w:t>
      </w:r>
    </w:p>
    <w:p w14:paraId="3C03CD4C"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Pr>
          <w:rFonts w:ascii="Consolas" w:hAnsi="Consolas" w:cs="Courier New"/>
          <w:color w:val="000000"/>
          <w:sz w:val="17"/>
          <w:szCs w:val="17"/>
        </w:rPr>
        <w:tab/>
        <w:t xml:space="preserve"> </w:t>
      </w:r>
      <w:r>
        <w:rPr>
          <w:rFonts w:ascii="Consolas" w:hAnsi="Consolas" w:cs="Courier New"/>
          <w:color w:val="880000"/>
          <w:sz w:val="17"/>
          <w:szCs w:val="17"/>
        </w:rPr>
        <w:t>// send slave address (write mode)</w:t>
      </w:r>
    </w:p>
    <w:p w14:paraId="78E7BE17"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BME680_CTRL_MEAS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send slave register</w:t>
      </w:r>
    </w:p>
    <w:p w14:paraId="6D745E41"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0x24</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set temp and pressure oversampling to x1 </w:t>
      </w:r>
    </w:p>
    <w:p w14:paraId="2450E504"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   i2c_stop</w:t>
      </w:r>
      <w:r>
        <w:rPr>
          <w:rFonts w:ascii="Consolas" w:hAnsi="Consolas" w:cs="Courier New"/>
          <w:color w:val="666600"/>
          <w:sz w:val="17"/>
          <w:szCs w:val="17"/>
        </w:rPr>
        <w:t>();</w:t>
      </w:r>
    </w:p>
    <w:p w14:paraId="4E6E989A" w14:textId="77777777" w:rsidR="00DA292E" w:rsidRDefault="00DA292E" w:rsidP="00DA292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666600"/>
          <w:sz w:val="17"/>
          <w:szCs w:val="17"/>
        </w:rPr>
        <w:t>}</w:t>
      </w:r>
    </w:p>
    <w:p w14:paraId="09418907" w14:textId="31A9A822" w:rsidR="00DA292E" w:rsidRDefault="00DA292E" w:rsidP="00C2677E">
      <w:pPr>
        <w:pStyle w:val="Caption"/>
      </w:pPr>
      <w:bookmarkStart w:id="24" w:name="_Toc133342747"/>
      <w:r>
        <w:t xml:space="preserve">Figure </w:t>
      </w:r>
      <w:fldSimple w:instr=" SEQ Figure \* ARABIC ">
        <w:r w:rsidR="00657099">
          <w:rPr>
            <w:noProof/>
          </w:rPr>
          <w:t>9</w:t>
        </w:r>
      </w:fldSimple>
      <w:r>
        <w:t xml:space="preserve"> - BME initialisation</w:t>
      </w:r>
      <w:bookmarkEnd w:id="24"/>
    </w:p>
    <w:p w14:paraId="6E203137" w14:textId="77777777" w:rsidR="008B3D74" w:rsidRDefault="008B3D74" w:rsidP="00BB7623"/>
    <w:p w14:paraId="16A6E7C7" w14:textId="75279195" w:rsidR="00525437" w:rsidRDefault="00336203" w:rsidP="00BB7623">
      <w:r>
        <w:tab/>
        <w:t>Before I wrote the code for the BME680 for the hardware, I simulated in Proteus using the BME280</w:t>
      </w:r>
      <w:r w:rsidR="000E4D52">
        <w:t xml:space="preserve"> as both units are initialised with the same method and the temperature and humidity is also accessed through the same method. Simulating the process first was very important to being able to get it working on the hardware as I had access to additional information</w:t>
      </w:r>
      <w:r w:rsidR="00525437">
        <w:t xml:space="preserve">, such as what instruction the sensor received. One example was that the PIC was attaching an acknowledgment onto the </w:t>
      </w:r>
      <w:r w:rsidR="00C73871">
        <w:t>last</w:t>
      </w:r>
      <w:r w:rsidR="00525437">
        <w:t xml:space="preserve"> I2C </w:t>
      </w:r>
      <w:r w:rsidR="00C73871">
        <w:t>byte</w:t>
      </w:r>
      <w:r w:rsidR="00525437">
        <w:t xml:space="preserve">, which caused the BME280 to load the incremented register value into the buffer, so that when the next instruction was received, it would firstly send the byte left in the buffer before sending part of the requested data. Figure </w:t>
      </w:r>
      <w:r w:rsidR="00BD6D48">
        <w:t>10</w:t>
      </w:r>
      <w:r w:rsidR="00525437">
        <w:t xml:space="preserve"> shows the simulation log and that a calibration data byte (DIG_H1) was sent, but the I2C debugger did not show the byte had been pushed onto the wire. This indicted an issue with the</w:t>
      </w:r>
      <w:r w:rsidR="002D381C">
        <w:t xml:space="preserve"> PIC’s instruction,</w:t>
      </w:r>
      <w:r w:rsidR="00525437">
        <w:t xml:space="preserve"> and I was able to locate the bug in the code where a byte was always acknowledged regardless of the argument passed to the function. </w:t>
      </w:r>
    </w:p>
    <w:p w14:paraId="76B96BA0" w14:textId="77777777" w:rsidR="00525437" w:rsidRDefault="00525437" w:rsidP="00BB7623"/>
    <w:p w14:paraId="43E9FC82" w14:textId="77777777" w:rsidR="00B63DB8" w:rsidRDefault="00525437" w:rsidP="00B63DB8">
      <w:pPr>
        <w:keepNext/>
        <w:jc w:val="center"/>
      </w:pPr>
      <w:r w:rsidRPr="00525437">
        <w:rPr>
          <w:noProof/>
        </w:rPr>
        <w:drawing>
          <wp:inline distT="0" distB="0" distL="0" distR="0" wp14:anchorId="5763E705" wp14:editId="3F9490A0">
            <wp:extent cx="2994920" cy="3200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04"/>
                    <a:stretch/>
                  </pic:blipFill>
                  <pic:spPr>
                    <a:xfrm>
                      <a:off x="0" y="0"/>
                      <a:ext cx="2994920" cy="320068"/>
                    </a:xfrm>
                    <a:prstGeom prst="rect">
                      <a:avLst/>
                    </a:prstGeom>
                  </pic:spPr>
                </pic:pic>
              </a:graphicData>
            </a:graphic>
          </wp:inline>
        </w:drawing>
      </w:r>
    </w:p>
    <w:p w14:paraId="149A89DC" w14:textId="77FEF964" w:rsidR="00336203" w:rsidRPr="00B63DB8" w:rsidRDefault="00B63DB8" w:rsidP="00B63DB8">
      <w:pPr>
        <w:pStyle w:val="Caption"/>
        <w:jc w:val="left"/>
        <w:rPr>
          <w:color w:val="000000" w:themeColor="text1"/>
          <w:sz w:val="20"/>
          <w:szCs w:val="20"/>
        </w:rPr>
      </w:pPr>
      <w:bookmarkStart w:id="25" w:name="_Toc133342748"/>
      <w:r w:rsidRPr="00B63DB8">
        <w:rPr>
          <w:color w:val="000000" w:themeColor="text1"/>
          <w:sz w:val="20"/>
          <w:szCs w:val="20"/>
        </w:rPr>
        <w:t xml:space="preserve">Figure </w:t>
      </w:r>
      <w:r w:rsidRPr="00B63DB8">
        <w:rPr>
          <w:color w:val="000000" w:themeColor="text1"/>
          <w:sz w:val="20"/>
          <w:szCs w:val="20"/>
        </w:rPr>
        <w:fldChar w:fldCharType="begin"/>
      </w:r>
      <w:r w:rsidRPr="00B63DB8">
        <w:rPr>
          <w:color w:val="000000" w:themeColor="text1"/>
          <w:sz w:val="20"/>
          <w:szCs w:val="20"/>
        </w:rPr>
        <w:instrText xml:space="preserve"> SEQ Figure \* ARABIC </w:instrText>
      </w:r>
      <w:r w:rsidRPr="00B63DB8">
        <w:rPr>
          <w:color w:val="000000" w:themeColor="text1"/>
          <w:sz w:val="20"/>
          <w:szCs w:val="20"/>
        </w:rPr>
        <w:fldChar w:fldCharType="separate"/>
      </w:r>
      <w:r w:rsidR="00657099">
        <w:rPr>
          <w:noProof/>
          <w:color w:val="000000" w:themeColor="text1"/>
          <w:sz w:val="20"/>
          <w:szCs w:val="20"/>
        </w:rPr>
        <w:t>10</w:t>
      </w:r>
      <w:r w:rsidRPr="00B63DB8">
        <w:rPr>
          <w:color w:val="000000" w:themeColor="text1"/>
          <w:sz w:val="20"/>
          <w:szCs w:val="20"/>
        </w:rPr>
        <w:fldChar w:fldCharType="end"/>
      </w:r>
      <w:r w:rsidRPr="00B63DB8">
        <w:rPr>
          <w:color w:val="000000" w:themeColor="text1"/>
          <w:sz w:val="20"/>
          <w:szCs w:val="20"/>
        </w:rPr>
        <w:t xml:space="preserve"> - </w:t>
      </w:r>
      <w:r w:rsidR="008549A2">
        <w:rPr>
          <w:color w:val="000000" w:themeColor="text1"/>
          <w:sz w:val="20"/>
          <w:szCs w:val="20"/>
        </w:rPr>
        <w:t>P</w:t>
      </w:r>
      <w:r w:rsidRPr="00B63DB8">
        <w:rPr>
          <w:color w:val="000000" w:themeColor="text1"/>
          <w:sz w:val="20"/>
          <w:szCs w:val="20"/>
        </w:rPr>
        <w:t>roteus log</w:t>
      </w:r>
      <w:bookmarkEnd w:id="25"/>
    </w:p>
    <w:p w14:paraId="3232DA25" w14:textId="77777777" w:rsidR="00085571" w:rsidRDefault="00085571" w:rsidP="00525437">
      <w:pPr>
        <w:jc w:val="center"/>
      </w:pPr>
    </w:p>
    <w:p w14:paraId="430BA036" w14:textId="556755B1" w:rsidR="00085571" w:rsidRDefault="00085571" w:rsidP="00085571">
      <w:r>
        <w:tab/>
        <w:t xml:space="preserve">The simulation log also gave the hex value in that register so that I could verify the value in the PIC’s memory, which was especially helpful as the registers are a mix of unsigned and signed </w:t>
      </w:r>
      <w:r w:rsidR="00E91092">
        <w:t>integers</w:t>
      </w:r>
      <w:r>
        <w:t xml:space="preserve"> as well as some of the values are greater then 8 bits so some registers contain data for </w:t>
      </w:r>
      <w:r w:rsidR="003D6C0B">
        <w:t>separate</w:t>
      </w:r>
      <w:r>
        <w:t xml:space="preserve"> purposes, for example, the register 0xE5 stores the four least significant bits for DIG_H4 as well as the four least significant bits of DIG_H5</w:t>
      </w:r>
      <w:r w:rsidR="003D6C0B">
        <w:t xml:space="preserve"> (Figure11)</w:t>
      </w:r>
      <w:r>
        <w:t xml:space="preserve">. </w:t>
      </w:r>
      <w:r w:rsidR="00E91092">
        <w:t xml:space="preserve">This required some bitwise operations to remove the unwanted data and position the bits before combining them with their respective most significant bits, which can be seen in figure </w:t>
      </w:r>
      <w:r w:rsidR="00B63DB8">
        <w:t>1</w:t>
      </w:r>
      <w:r w:rsidR="00BD6D48">
        <w:t>2</w:t>
      </w:r>
      <w:r w:rsidR="00E91092">
        <w:t>.</w:t>
      </w:r>
    </w:p>
    <w:p w14:paraId="27239621" w14:textId="77777777" w:rsidR="00E91092" w:rsidRPr="00085571" w:rsidRDefault="00E91092" w:rsidP="00085571"/>
    <w:p w14:paraId="55D2BD1A" w14:textId="77777777" w:rsidR="00B63DB8" w:rsidRDefault="00085571" w:rsidP="00B63DB8">
      <w:pPr>
        <w:keepNext/>
        <w:jc w:val="center"/>
      </w:pPr>
      <w:r w:rsidRPr="00085571">
        <w:rPr>
          <w:noProof/>
        </w:rPr>
        <w:lastRenderedPageBreak/>
        <w:drawing>
          <wp:inline distT="0" distB="0" distL="0" distR="0" wp14:anchorId="188CF59F" wp14:editId="4544B6E8">
            <wp:extent cx="4077019" cy="327547"/>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15"/>
                    <a:srcRect t="1" b="92905"/>
                    <a:stretch/>
                  </pic:blipFill>
                  <pic:spPr bwMode="auto">
                    <a:xfrm>
                      <a:off x="0" y="0"/>
                      <a:ext cx="4084674" cy="328162"/>
                    </a:xfrm>
                    <a:prstGeom prst="rect">
                      <a:avLst/>
                    </a:prstGeom>
                    <a:ln>
                      <a:noFill/>
                    </a:ln>
                    <a:extLst>
                      <a:ext uri="{53640926-AAD7-44D8-BBD7-CCE9431645EC}">
                        <a14:shadowObscured xmlns:a14="http://schemas.microsoft.com/office/drawing/2010/main"/>
                      </a:ext>
                    </a:extLst>
                  </pic:spPr>
                </pic:pic>
              </a:graphicData>
            </a:graphic>
          </wp:inline>
        </w:drawing>
      </w:r>
      <w:r w:rsidR="008720D4" w:rsidRPr="00085571">
        <w:rPr>
          <w:noProof/>
        </w:rPr>
        <w:drawing>
          <wp:inline distT="0" distB="0" distL="0" distR="0" wp14:anchorId="639C67AA" wp14:editId="73AFC81B">
            <wp:extent cx="4083138" cy="1282539"/>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15"/>
                    <a:srcRect t="72263"/>
                    <a:stretch/>
                  </pic:blipFill>
                  <pic:spPr bwMode="auto">
                    <a:xfrm>
                      <a:off x="0" y="0"/>
                      <a:ext cx="4084674" cy="1283022"/>
                    </a:xfrm>
                    <a:prstGeom prst="rect">
                      <a:avLst/>
                    </a:prstGeom>
                    <a:ln>
                      <a:noFill/>
                    </a:ln>
                    <a:extLst>
                      <a:ext uri="{53640926-AAD7-44D8-BBD7-CCE9431645EC}">
                        <a14:shadowObscured xmlns:a14="http://schemas.microsoft.com/office/drawing/2010/main"/>
                      </a:ext>
                    </a:extLst>
                  </pic:spPr>
                </pic:pic>
              </a:graphicData>
            </a:graphic>
          </wp:inline>
        </w:drawing>
      </w:r>
    </w:p>
    <w:p w14:paraId="45D9A89F" w14:textId="5DDFF583" w:rsidR="00085571" w:rsidRPr="00B63DB8" w:rsidRDefault="00B63DB8" w:rsidP="00B63DB8">
      <w:pPr>
        <w:pStyle w:val="Caption"/>
        <w:jc w:val="left"/>
        <w:rPr>
          <w:color w:val="000000" w:themeColor="text1"/>
          <w:sz w:val="20"/>
          <w:szCs w:val="20"/>
        </w:rPr>
      </w:pPr>
      <w:bookmarkStart w:id="26" w:name="_Toc133342749"/>
      <w:r w:rsidRPr="00B63DB8">
        <w:rPr>
          <w:color w:val="000000" w:themeColor="text1"/>
          <w:sz w:val="20"/>
          <w:szCs w:val="20"/>
        </w:rPr>
        <w:t xml:space="preserve">Figure </w:t>
      </w:r>
      <w:r w:rsidRPr="00B63DB8">
        <w:rPr>
          <w:color w:val="000000" w:themeColor="text1"/>
          <w:sz w:val="20"/>
          <w:szCs w:val="20"/>
        </w:rPr>
        <w:fldChar w:fldCharType="begin"/>
      </w:r>
      <w:r w:rsidRPr="00B63DB8">
        <w:rPr>
          <w:color w:val="000000" w:themeColor="text1"/>
          <w:sz w:val="20"/>
          <w:szCs w:val="20"/>
        </w:rPr>
        <w:instrText xml:space="preserve"> SEQ Figure \* ARABIC </w:instrText>
      </w:r>
      <w:r w:rsidRPr="00B63DB8">
        <w:rPr>
          <w:color w:val="000000" w:themeColor="text1"/>
          <w:sz w:val="20"/>
          <w:szCs w:val="20"/>
        </w:rPr>
        <w:fldChar w:fldCharType="separate"/>
      </w:r>
      <w:r w:rsidR="00657099">
        <w:rPr>
          <w:noProof/>
          <w:color w:val="000000" w:themeColor="text1"/>
          <w:sz w:val="20"/>
          <w:szCs w:val="20"/>
        </w:rPr>
        <w:t>11</w:t>
      </w:r>
      <w:r w:rsidRPr="00B63DB8">
        <w:rPr>
          <w:color w:val="000000" w:themeColor="text1"/>
          <w:sz w:val="20"/>
          <w:szCs w:val="20"/>
        </w:rPr>
        <w:fldChar w:fldCharType="end"/>
      </w:r>
      <w:r w:rsidRPr="00B63DB8">
        <w:rPr>
          <w:color w:val="000000" w:themeColor="text1"/>
          <w:sz w:val="20"/>
          <w:szCs w:val="20"/>
        </w:rPr>
        <w:t xml:space="preserve"> - </w:t>
      </w:r>
      <w:r w:rsidR="003D6C0B">
        <w:rPr>
          <w:color w:val="000000" w:themeColor="text1"/>
          <w:sz w:val="20"/>
          <w:szCs w:val="20"/>
        </w:rPr>
        <w:t>Register</w:t>
      </w:r>
      <w:r w:rsidRPr="00B63DB8">
        <w:rPr>
          <w:color w:val="000000" w:themeColor="text1"/>
          <w:sz w:val="20"/>
          <w:szCs w:val="20"/>
        </w:rPr>
        <w:t xml:space="preserve"> addresses</w:t>
      </w:r>
      <w:bookmarkEnd w:id="26"/>
    </w:p>
    <w:p w14:paraId="277ED4F5" w14:textId="77777777" w:rsidR="00E91092" w:rsidRDefault="00E91092" w:rsidP="00525437">
      <w:pPr>
        <w:jc w:val="center"/>
      </w:pPr>
    </w:p>
    <w:p w14:paraId="52C05E1B" w14:textId="2E021E2D" w:rsidR="00E91092" w:rsidRPr="006A2E0E" w:rsidRDefault="00E9109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66418467"/>
        <w:rPr>
          <w:rFonts w:ascii="Consolas" w:hAnsi="Consolas" w:cs="Courier New"/>
          <w:sz w:val="17"/>
          <w:szCs w:val="17"/>
        </w:rPr>
      </w:pPr>
      <w:r w:rsidRPr="006A2E0E">
        <w:rPr>
          <w:rFonts w:ascii="Consolas" w:hAnsi="Consolas" w:cs="Courier New"/>
          <w:sz w:val="17"/>
          <w:szCs w:val="17"/>
        </w:rPr>
        <w:t xml:space="preserve">1. </w:t>
      </w:r>
      <w:r w:rsidRPr="006A2E0E">
        <w:rPr>
          <w:rFonts w:ascii="Consolas" w:hAnsi="Consolas" w:cs="Courier New"/>
          <w:color w:val="000000"/>
          <w:sz w:val="17"/>
          <w:szCs w:val="17"/>
        </w:rPr>
        <w:t xml:space="preserve">   DIG_H4 </w:t>
      </w:r>
      <w:r w:rsidRPr="006A2E0E">
        <w:rPr>
          <w:rFonts w:ascii="Consolas" w:hAnsi="Consolas" w:cs="Courier New"/>
          <w:color w:val="666600"/>
          <w:sz w:val="17"/>
          <w:szCs w:val="17"/>
        </w:rPr>
        <w:t>=</w:t>
      </w:r>
      <w:r w:rsidRPr="006A2E0E">
        <w:rPr>
          <w:rFonts w:ascii="Consolas" w:hAnsi="Consolas" w:cs="Courier New"/>
          <w:color w:val="000000"/>
          <w:sz w:val="17"/>
          <w:szCs w:val="17"/>
        </w:rPr>
        <w:t xml:space="preserve"> </w:t>
      </w:r>
      <w:r w:rsidRPr="006A2E0E">
        <w:rPr>
          <w:rFonts w:ascii="Consolas" w:hAnsi="Consolas" w:cs="Courier New"/>
          <w:color w:val="666600"/>
          <w:sz w:val="17"/>
          <w:szCs w:val="17"/>
        </w:rPr>
        <w:t>(</w:t>
      </w:r>
      <w:r w:rsidRPr="006A2E0E">
        <w:rPr>
          <w:rFonts w:ascii="Consolas" w:hAnsi="Consolas" w:cs="Courier New"/>
          <w:color w:val="000000"/>
          <w:sz w:val="17"/>
          <w:szCs w:val="17"/>
        </w:rPr>
        <w:t xml:space="preserve">DIGH4_MSB </w:t>
      </w:r>
      <w:r w:rsidRPr="006A2E0E">
        <w:rPr>
          <w:rFonts w:ascii="Consolas" w:hAnsi="Consolas" w:cs="Courier New"/>
          <w:color w:val="666600"/>
          <w:sz w:val="17"/>
          <w:szCs w:val="17"/>
        </w:rPr>
        <w:t>&lt;&lt;</w:t>
      </w:r>
      <w:r w:rsidRPr="006A2E0E">
        <w:rPr>
          <w:rFonts w:ascii="Consolas" w:hAnsi="Consolas" w:cs="Courier New"/>
          <w:color w:val="000000"/>
          <w:sz w:val="17"/>
          <w:szCs w:val="17"/>
        </w:rPr>
        <w:t xml:space="preserve"> </w:t>
      </w:r>
      <w:r w:rsidRPr="006A2E0E">
        <w:rPr>
          <w:rFonts w:ascii="Consolas" w:hAnsi="Consolas" w:cs="Courier New"/>
          <w:color w:val="006666"/>
          <w:sz w:val="17"/>
          <w:szCs w:val="17"/>
        </w:rPr>
        <w:t>4</w:t>
      </w:r>
      <w:r w:rsidRPr="006A2E0E">
        <w:rPr>
          <w:rFonts w:ascii="Consolas" w:hAnsi="Consolas" w:cs="Courier New"/>
          <w:color w:val="666600"/>
          <w:sz w:val="17"/>
          <w:szCs w:val="17"/>
        </w:rPr>
        <w:t>)</w:t>
      </w:r>
      <w:r w:rsidRPr="006A2E0E">
        <w:rPr>
          <w:rFonts w:ascii="Consolas" w:hAnsi="Consolas" w:cs="Courier New"/>
          <w:color w:val="000000"/>
          <w:sz w:val="17"/>
          <w:szCs w:val="17"/>
        </w:rPr>
        <w:t xml:space="preserve"> </w:t>
      </w:r>
      <w:r w:rsidRPr="006A2E0E">
        <w:rPr>
          <w:rFonts w:ascii="Consolas" w:hAnsi="Consolas" w:cs="Courier New"/>
          <w:color w:val="666600"/>
          <w:sz w:val="17"/>
          <w:szCs w:val="17"/>
        </w:rPr>
        <w:t>+</w:t>
      </w:r>
      <w:r w:rsidRPr="006A2E0E">
        <w:rPr>
          <w:rFonts w:ascii="Consolas" w:hAnsi="Consolas" w:cs="Courier New"/>
          <w:color w:val="000000"/>
          <w:sz w:val="17"/>
          <w:szCs w:val="17"/>
        </w:rPr>
        <w:t xml:space="preserve"> </w:t>
      </w:r>
      <w:r w:rsidRPr="006A2E0E">
        <w:rPr>
          <w:rFonts w:ascii="Consolas" w:hAnsi="Consolas" w:cs="Courier New"/>
          <w:color w:val="666600"/>
          <w:sz w:val="17"/>
          <w:szCs w:val="17"/>
        </w:rPr>
        <w:t>(</w:t>
      </w:r>
      <w:r w:rsidRPr="006A2E0E">
        <w:rPr>
          <w:rFonts w:ascii="Consolas" w:hAnsi="Consolas" w:cs="Courier New"/>
          <w:color w:val="000000"/>
          <w:sz w:val="17"/>
          <w:szCs w:val="17"/>
        </w:rPr>
        <w:t xml:space="preserve">DIGH4_5_LSB </w:t>
      </w:r>
      <w:r w:rsidRPr="006A2E0E">
        <w:rPr>
          <w:rFonts w:ascii="Consolas" w:hAnsi="Consolas" w:cs="Courier New"/>
          <w:color w:val="666600"/>
          <w:sz w:val="17"/>
          <w:szCs w:val="17"/>
        </w:rPr>
        <w:t>&amp;</w:t>
      </w:r>
      <w:r w:rsidRPr="006A2E0E">
        <w:rPr>
          <w:rFonts w:ascii="Consolas" w:hAnsi="Consolas" w:cs="Courier New"/>
          <w:color w:val="000000"/>
          <w:sz w:val="17"/>
          <w:szCs w:val="17"/>
        </w:rPr>
        <w:t xml:space="preserve"> </w:t>
      </w:r>
      <w:r w:rsidRPr="006A2E0E">
        <w:rPr>
          <w:rFonts w:ascii="Consolas" w:hAnsi="Consolas" w:cs="Courier New"/>
          <w:color w:val="006666"/>
          <w:sz w:val="17"/>
          <w:szCs w:val="17"/>
        </w:rPr>
        <w:t>0x0F</w:t>
      </w:r>
      <w:r w:rsidRPr="006A2E0E">
        <w:rPr>
          <w:rFonts w:ascii="Consolas" w:hAnsi="Consolas" w:cs="Courier New"/>
          <w:color w:val="666600"/>
          <w:sz w:val="17"/>
          <w:szCs w:val="17"/>
        </w:rPr>
        <w:t>);</w:t>
      </w:r>
      <w:r w:rsidRPr="006A2E0E">
        <w:rPr>
          <w:rFonts w:ascii="Consolas" w:hAnsi="Consolas" w:cs="Courier New"/>
          <w:color w:val="000000"/>
          <w:sz w:val="17"/>
          <w:szCs w:val="17"/>
        </w:rPr>
        <w:tab/>
        <w:t xml:space="preserve">      </w:t>
      </w:r>
    </w:p>
    <w:p w14:paraId="152F1487" w14:textId="5E1144DD" w:rsidR="00E91092" w:rsidRPr="00E91092" w:rsidRDefault="00E9109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066418467"/>
        <w:rPr>
          <w:rFonts w:ascii="Consolas" w:hAnsi="Consolas" w:cs="Courier New"/>
          <w:sz w:val="17"/>
          <w:szCs w:val="17"/>
          <w:lang w:val="de-DE"/>
        </w:rPr>
      </w:pPr>
      <w:r w:rsidRPr="00E91092">
        <w:rPr>
          <w:rFonts w:ascii="Consolas" w:hAnsi="Consolas" w:cs="Courier New"/>
          <w:sz w:val="17"/>
          <w:szCs w:val="17"/>
          <w:lang w:val="de-DE"/>
        </w:rPr>
        <w:t xml:space="preserve">2. </w:t>
      </w:r>
      <w:r w:rsidRPr="00E91092">
        <w:rPr>
          <w:rFonts w:ascii="Consolas" w:hAnsi="Consolas" w:cs="Courier New"/>
          <w:color w:val="000000"/>
          <w:sz w:val="17"/>
          <w:szCs w:val="17"/>
          <w:lang w:val="de-DE"/>
        </w:rPr>
        <w:t xml:space="preserve">   DIG_H5 </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 </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DIGH5_MSB </w:t>
      </w:r>
      <w:r w:rsidRPr="00E91092">
        <w:rPr>
          <w:rFonts w:ascii="Consolas" w:hAnsi="Consolas" w:cs="Courier New"/>
          <w:color w:val="666600"/>
          <w:sz w:val="17"/>
          <w:szCs w:val="17"/>
          <w:lang w:val="de-DE"/>
        </w:rPr>
        <w:t>&lt;&lt;</w:t>
      </w:r>
      <w:r w:rsidRPr="00E91092">
        <w:rPr>
          <w:rFonts w:ascii="Consolas" w:hAnsi="Consolas" w:cs="Courier New"/>
          <w:color w:val="000000"/>
          <w:sz w:val="17"/>
          <w:szCs w:val="17"/>
          <w:lang w:val="de-DE"/>
        </w:rPr>
        <w:t xml:space="preserve"> </w:t>
      </w:r>
      <w:r w:rsidRPr="00E91092">
        <w:rPr>
          <w:rFonts w:ascii="Consolas" w:hAnsi="Consolas" w:cs="Courier New"/>
          <w:color w:val="006666"/>
          <w:sz w:val="17"/>
          <w:szCs w:val="17"/>
          <w:lang w:val="de-DE"/>
        </w:rPr>
        <w:t>4</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 </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 </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DIGH4_5_LSB </w:t>
      </w:r>
      <w:r w:rsidRPr="00E91092">
        <w:rPr>
          <w:rFonts w:ascii="Consolas" w:hAnsi="Consolas" w:cs="Courier New"/>
          <w:color w:val="666600"/>
          <w:sz w:val="17"/>
          <w:szCs w:val="17"/>
          <w:lang w:val="de-DE"/>
        </w:rPr>
        <w:t>&gt;&gt;</w:t>
      </w:r>
      <w:r w:rsidRPr="00E91092">
        <w:rPr>
          <w:rFonts w:ascii="Consolas" w:hAnsi="Consolas" w:cs="Courier New"/>
          <w:color w:val="000000"/>
          <w:sz w:val="17"/>
          <w:szCs w:val="17"/>
          <w:lang w:val="de-DE"/>
        </w:rPr>
        <w:t xml:space="preserve"> </w:t>
      </w:r>
      <w:r w:rsidRPr="00E91092">
        <w:rPr>
          <w:rFonts w:ascii="Consolas" w:hAnsi="Consolas" w:cs="Courier New"/>
          <w:color w:val="006666"/>
          <w:sz w:val="17"/>
          <w:szCs w:val="17"/>
          <w:lang w:val="de-DE"/>
        </w:rPr>
        <w:t>4</w:t>
      </w:r>
      <w:r w:rsidRPr="00E91092">
        <w:rPr>
          <w:rFonts w:ascii="Consolas" w:hAnsi="Consolas" w:cs="Courier New"/>
          <w:color w:val="666600"/>
          <w:sz w:val="17"/>
          <w:szCs w:val="17"/>
          <w:lang w:val="de-DE"/>
        </w:rPr>
        <w:t>)</w:t>
      </w:r>
      <w:r w:rsidRPr="00E91092">
        <w:rPr>
          <w:rFonts w:ascii="Consolas" w:hAnsi="Consolas" w:cs="Courier New"/>
          <w:color w:val="000000"/>
          <w:sz w:val="17"/>
          <w:szCs w:val="17"/>
          <w:lang w:val="de-DE"/>
        </w:rPr>
        <w:t xml:space="preserve"> </w:t>
      </w:r>
      <w:r w:rsidRPr="00E91092">
        <w:rPr>
          <w:rFonts w:ascii="Consolas" w:hAnsi="Consolas" w:cs="Courier New"/>
          <w:color w:val="666600"/>
          <w:sz w:val="17"/>
          <w:szCs w:val="17"/>
          <w:lang w:val="de-DE"/>
        </w:rPr>
        <w:t>&amp;</w:t>
      </w:r>
      <w:r w:rsidRPr="00E91092">
        <w:rPr>
          <w:rFonts w:ascii="Consolas" w:hAnsi="Consolas" w:cs="Courier New"/>
          <w:color w:val="000000"/>
          <w:sz w:val="17"/>
          <w:szCs w:val="17"/>
          <w:lang w:val="de-DE"/>
        </w:rPr>
        <w:t xml:space="preserve"> </w:t>
      </w:r>
      <w:r w:rsidRPr="00E91092">
        <w:rPr>
          <w:rFonts w:ascii="Consolas" w:hAnsi="Consolas" w:cs="Courier New"/>
          <w:color w:val="006666"/>
          <w:sz w:val="17"/>
          <w:szCs w:val="17"/>
          <w:lang w:val="de-DE"/>
        </w:rPr>
        <w:t>0x0F</w:t>
      </w:r>
      <w:r w:rsidRPr="00E91092">
        <w:rPr>
          <w:rFonts w:ascii="Consolas" w:hAnsi="Consolas" w:cs="Courier New"/>
          <w:color w:val="666600"/>
          <w:sz w:val="17"/>
          <w:szCs w:val="17"/>
          <w:lang w:val="de-DE"/>
        </w:rPr>
        <w:t>);</w:t>
      </w:r>
    </w:p>
    <w:p w14:paraId="62443F33" w14:textId="588936D7" w:rsidR="00525437" w:rsidRPr="006A2E0E" w:rsidRDefault="00B63DB8" w:rsidP="00B63DB8">
      <w:pPr>
        <w:pStyle w:val="Caption"/>
        <w:rPr>
          <w:color w:val="000000" w:themeColor="text1"/>
          <w:sz w:val="20"/>
          <w:szCs w:val="20"/>
        </w:rPr>
      </w:pPr>
      <w:bookmarkStart w:id="27" w:name="_Toc133342750"/>
      <w:r w:rsidRPr="00D975E2">
        <w:rPr>
          <w:color w:val="000000" w:themeColor="text1"/>
          <w:sz w:val="20"/>
          <w:szCs w:val="20"/>
        </w:rPr>
        <w:t xml:space="preserve">Figure </w:t>
      </w:r>
      <w:r w:rsidRPr="00D975E2">
        <w:rPr>
          <w:color w:val="000000" w:themeColor="text1"/>
          <w:sz w:val="20"/>
          <w:szCs w:val="20"/>
        </w:rPr>
        <w:fldChar w:fldCharType="begin"/>
      </w:r>
      <w:r w:rsidRPr="00D975E2">
        <w:rPr>
          <w:color w:val="000000" w:themeColor="text1"/>
          <w:sz w:val="20"/>
          <w:szCs w:val="20"/>
        </w:rPr>
        <w:instrText xml:space="preserve"> SEQ Figure \* ARABIC </w:instrText>
      </w:r>
      <w:r w:rsidRPr="00D975E2">
        <w:rPr>
          <w:color w:val="000000" w:themeColor="text1"/>
          <w:sz w:val="20"/>
          <w:szCs w:val="20"/>
        </w:rPr>
        <w:fldChar w:fldCharType="separate"/>
      </w:r>
      <w:r w:rsidR="00657099">
        <w:rPr>
          <w:noProof/>
          <w:color w:val="000000" w:themeColor="text1"/>
          <w:sz w:val="20"/>
          <w:szCs w:val="20"/>
        </w:rPr>
        <w:t>12</w:t>
      </w:r>
      <w:r w:rsidRPr="00D975E2">
        <w:rPr>
          <w:color w:val="000000" w:themeColor="text1"/>
          <w:sz w:val="20"/>
          <w:szCs w:val="20"/>
        </w:rPr>
        <w:fldChar w:fldCharType="end"/>
      </w:r>
      <w:r w:rsidRPr="00D975E2">
        <w:rPr>
          <w:color w:val="000000" w:themeColor="text1"/>
          <w:sz w:val="20"/>
          <w:szCs w:val="20"/>
        </w:rPr>
        <w:t xml:space="preserve"> </w:t>
      </w:r>
      <w:r w:rsidR="00D975E2" w:rsidRPr="00D975E2">
        <w:rPr>
          <w:color w:val="000000" w:themeColor="text1"/>
          <w:sz w:val="20"/>
          <w:szCs w:val="20"/>
        </w:rPr>
        <w:t>–</w:t>
      </w:r>
      <w:r w:rsidRPr="00D975E2">
        <w:rPr>
          <w:color w:val="000000" w:themeColor="text1"/>
          <w:sz w:val="20"/>
          <w:szCs w:val="20"/>
        </w:rPr>
        <w:t xml:space="preserve"> </w:t>
      </w:r>
      <w:r w:rsidR="008549A2">
        <w:rPr>
          <w:color w:val="000000" w:themeColor="text1"/>
          <w:sz w:val="20"/>
          <w:szCs w:val="20"/>
        </w:rPr>
        <w:t>C</w:t>
      </w:r>
      <w:r w:rsidR="00D975E2" w:rsidRPr="00D975E2">
        <w:rPr>
          <w:color w:val="000000" w:themeColor="text1"/>
          <w:sz w:val="20"/>
          <w:szCs w:val="20"/>
        </w:rPr>
        <w:t>ombining bytes</w:t>
      </w:r>
      <w:bookmarkEnd w:id="27"/>
    </w:p>
    <w:p w14:paraId="4D091102" w14:textId="71694B27" w:rsidR="008F3C4C" w:rsidRDefault="008F3C4C" w:rsidP="00BB7623">
      <w:r w:rsidRPr="006A2E0E">
        <w:tab/>
      </w:r>
      <w:r>
        <w:t xml:space="preserve">The VOC sensor requires several registers to be set for operation, including the hot plate temperature and duration </w:t>
      </w:r>
      <w:r w:rsidR="00C56211">
        <w:t>of heating</w:t>
      </w:r>
      <w:r>
        <w:t xml:space="preserve">, but as the hot plate temperature </w:t>
      </w:r>
      <w:r w:rsidR="005D148A">
        <w:t>must</w:t>
      </w:r>
      <w:r>
        <w:t xml:space="preserve"> be compensated for with the ambient temperature this is adjusted on every loop.</w:t>
      </w:r>
      <w:r w:rsidR="00242FEF">
        <w:t xml:space="preserve"> Figure </w:t>
      </w:r>
      <w:r w:rsidR="00D975E2">
        <w:t>1</w:t>
      </w:r>
      <w:r w:rsidR="00BD6D48">
        <w:t>3</w:t>
      </w:r>
      <w:r w:rsidR="00242FEF">
        <w:t xml:space="preserve"> shows the temperature being set to 300</w:t>
      </w:r>
      <w:r w:rsidR="00242FEF">
        <w:rPr>
          <w:rFonts w:cs="Times New Roman"/>
        </w:rPr>
        <w:t>°</w:t>
      </w:r>
      <w:r w:rsidR="00242FEF">
        <w:t xml:space="preserve">C for 100ms. </w:t>
      </w:r>
      <w:r w:rsidR="00E91092">
        <w:t xml:space="preserve"> </w:t>
      </w:r>
    </w:p>
    <w:p w14:paraId="09394336" w14:textId="35336B2A" w:rsidR="00066789" w:rsidRDefault="00066789" w:rsidP="00066789"/>
    <w:p w14:paraId="73695E6E"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000088"/>
          <w:sz w:val="17"/>
          <w:szCs w:val="17"/>
        </w:rPr>
        <w:t>void</w:t>
      </w:r>
      <w:r>
        <w:rPr>
          <w:rFonts w:ascii="Consolas" w:hAnsi="Consolas" w:cs="Courier New"/>
          <w:color w:val="000000"/>
          <w:sz w:val="17"/>
          <w:szCs w:val="17"/>
        </w:rPr>
        <w:t xml:space="preserve"> </w:t>
      </w:r>
      <w:proofErr w:type="spellStart"/>
      <w:r>
        <w:rPr>
          <w:rFonts w:ascii="Consolas" w:hAnsi="Consolas" w:cs="Courier New"/>
          <w:color w:val="000000"/>
          <w:sz w:val="17"/>
          <w:szCs w:val="17"/>
        </w:rPr>
        <w:t>start_gas</w:t>
      </w:r>
      <w:proofErr w:type="spellEnd"/>
      <w:r>
        <w:rPr>
          <w:rFonts w:ascii="Consolas" w:hAnsi="Consolas" w:cs="Courier New"/>
          <w:color w:val="666600"/>
          <w:sz w:val="17"/>
          <w:szCs w:val="17"/>
        </w:rPr>
        <w:t>(</w:t>
      </w:r>
      <w:r>
        <w:rPr>
          <w:rFonts w:ascii="Consolas" w:hAnsi="Consolas" w:cs="Courier New"/>
          <w:color w:val="000088"/>
          <w:sz w:val="17"/>
          <w:szCs w:val="17"/>
        </w:rPr>
        <w:t>void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p>
    <w:p w14:paraId="2C58A6A9"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w:t>
      </w:r>
      <w:r>
        <w:rPr>
          <w:rFonts w:ascii="Consolas" w:hAnsi="Consolas" w:cs="Courier New"/>
          <w:color w:val="660066"/>
          <w:sz w:val="17"/>
          <w:szCs w:val="17"/>
        </w:rPr>
        <w:t>uint8_t</w:t>
      </w:r>
      <w:r>
        <w:rPr>
          <w:rFonts w:ascii="Consolas" w:hAnsi="Consolas" w:cs="Courier New"/>
          <w:color w:val="000000"/>
          <w:sz w:val="17"/>
          <w:szCs w:val="17"/>
        </w:rPr>
        <w:t xml:space="preserve"> </w:t>
      </w:r>
      <w:proofErr w:type="spellStart"/>
      <w:r>
        <w:rPr>
          <w:rFonts w:ascii="Consolas" w:hAnsi="Consolas" w:cs="Courier New"/>
          <w:color w:val="000000"/>
          <w:sz w:val="17"/>
          <w:szCs w:val="17"/>
        </w:rPr>
        <w:t>res_heat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calc_res_heat</w:t>
      </w:r>
      <w:proofErr w:type="spellEnd"/>
      <w:r>
        <w:rPr>
          <w:rFonts w:ascii="Consolas" w:hAnsi="Consolas" w:cs="Courier New"/>
          <w:color w:val="666600"/>
          <w:sz w:val="17"/>
          <w:szCs w:val="17"/>
        </w:rPr>
        <w:t>();</w:t>
      </w:r>
    </w:p>
    <w:p w14:paraId="5FFE6F3E"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w:t>
      </w:r>
    </w:p>
    <w:p w14:paraId="3EFE9329" w14:textId="63CBDDC9"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47606C7A" w14:textId="2FDD8483"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592E6354" w14:textId="0AEA1ECC"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BME680_GAS_WAIT_0</w:t>
      </w:r>
      <w:r>
        <w:rPr>
          <w:rFonts w:ascii="Consolas" w:hAnsi="Consolas" w:cs="Courier New"/>
          <w:color w:val="666600"/>
          <w:sz w:val="17"/>
          <w:szCs w:val="17"/>
        </w:rPr>
        <w:t>);</w:t>
      </w:r>
      <w:r>
        <w:rPr>
          <w:rFonts w:ascii="Consolas" w:hAnsi="Consolas" w:cs="Courier New"/>
          <w:color w:val="000000"/>
          <w:sz w:val="17"/>
          <w:szCs w:val="17"/>
        </w:rPr>
        <w:t xml:space="preserve">       </w:t>
      </w:r>
    </w:p>
    <w:p w14:paraId="63A573A4"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0x59</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set heat up duration to 100ms </w:t>
      </w:r>
    </w:p>
    <w:p w14:paraId="5D524A85"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i2c_stop</w:t>
      </w:r>
      <w:r>
        <w:rPr>
          <w:rFonts w:ascii="Consolas" w:hAnsi="Consolas" w:cs="Courier New"/>
          <w:color w:val="666600"/>
          <w:sz w:val="17"/>
          <w:szCs w:val="17"/>
        </w:rPr>
        <w:t>();</w:t>
      </w:r>
    </w:p>
    <w:p w14:paraId="3901B864"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w:t>
      </w:r>
    </w:p>
    <w:p w14:paraId="120BB9A2" w14:textId="1E6B3D36"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66DD4581" w14:textId="1C82A5C9"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51C054E8" w14:textId="47BA1FBD"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BME680_RES_HEAT_0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5A862976"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000000"/>
          <w:sz w:val="17"/>
          <w:szCs w:val="17"/>
        </w:rPr>
        <w:t xml:space="preserve">    i2c_write</w:t>
      </w:r>
      <w:r>
        <w:rPr>
          <w:rFonts w:ascii="Consolas" w:hAnsi="Consolas" w:cs="Courier New"/>
          <w:color w:val="666600"/>
          <w:sz w:val="17"/>
          <w:szCs w:val="17"/>
        </w:rPr>
        <w:t>(</w:t>
      </w:r>
      <w:proofErr w:type="spellStart"/>
      <w:r>
        <w:rPr>
          <w:rFonts w:ascii="Consolas" w:hAnsi="Consolas" w:cs="Courier New"/>
          <w:color w:val="000000"/>
          <w:sz w:val="17"/>
          <w:szCs w:val="17"/>
        </w:rPr>
        <w:t>res_heat</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set heater set point to 300*C</w:t>
      </w:r>
    </w:p>
    <w:p w14:paraId="67F18442"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14. </w:t>
      </w:r>
      <w:r>
        <w:rPr>
          <w:rFonts w:ascii="Consolas" w:hAnsi="Consolas" w:cs="Courier New"/>
          <w:color w:val="000000"/>
          <w:sz w:val="17"/>
          <w:szCs w:val="17"/>
        </w:rPr>
        <w:t xml:space="preserve">    i2c_stop</w:t>
      </w:r>
      <w:r>
        <w:rPr>
          <w:rFonts w:ascii="Consolas" w:hAnsi="Consolas" w:cs="Courier New"/>
          <w:color w:val="666600"/>
          <w:sz w:val="17"/>
          <w:szCs w:val="17"/>
        </w:rPr>
        <w:t>();</w:t>
      </w:r>
    </w:p>
    <w:p w14:paraId="376BC380"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15. </w:t>
      </w:r>
      <w:r>
        <w:rPr>
          <w:rFonts w:ascii="Consolas" w:hAnsi="Consolas" w:cs="Courier New"/>
          <w:color w:val="000000"/>
          <w:sz w:val="17"/>
          <w:szCs w:val="17"/>
        </w:rPr>
        <w:t xml:space="preserve">    </w:t>
      </w:r>
    </w:p>
    <w:p w14:paraId="3C37D214" w14:textId="6F889FD8"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16. </w:t>
      </w:r>
      <w:r>
        <w:rPr>
          <w:rFonts w:ascii="Consolas" w:hAnsi="Consolas" w:cs="Courier New"/>
          <w:color w:val="000000"/>
          <w:sz w:val="17"/>
          <w:szCs w:val="17"/>
        </w:rPr>
        <w:t xml:space="preserve">    i2c_start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4483152B" w14:textId="4474B54E"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17.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BME680_WRITE_ADDR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73CFEC88" w14:textId="0AA5FB91"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18.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0000"/>
          <w:sz w:val="17"/>
          <w:szCs w:val="17"/>
        </w:rPr>
        <w:t>BME680_CTRL_GAS_1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xml:space="preserve"> </w:t>
      </w:r>
    </w:p>
    <w:p w14:paraId="0AB21C6A"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19. </w:t>
      </w:r>
      <w:r>
        <w:rPr>
          <w:rFonts w:ascii="Consolas" w:hAnsi="Consolas" w:cs="Courier New"/>
          <w:color w:val="000000"/>
          <w:sz w:val="17"/>
          <w:szCs w:val="17"/>
        </w:rPr>
        <w:t xml:space="preserve">    i2c_write</w:t>
      </w:r>
      <w:r>
        <w:rPr>
          <w:rFonts w:ascii="Consolas" w:hAnsi="Consolas" w:cs="Courier New"/>
          <w:color w:val="666600"/>
          <w:sz w:val="17"/>
          <w:szCs w:val="17"/>
        </w:rPr>
        <w:t>(</w:t>
      </w:r>
      <w:r>
        <w:rPr>
          <w:rFonts w:ascii="Consolas" w:hAnsi="Consolas" w:cs="Courier New"/>
          <w:color w:val="006666"/>
          <w:sz w:val="17"/>
          <w:szCs w:val="17"/>
        </w:rPr>
        <w:t>0x10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enable GAS read</w:t>
      </w:r>
    </w:p>
    <w:p w14:paraId="6DF8BD7C" w14:textId="77777777"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20. </w:t>
      </w:r>
      <w:r>
        <w:rPr>
          <w:rFonts w:ascii="Consolas" w:hAnsi="Consolas" w:cs="Courier New"/>
          <w:color w:val="000000"/>
          <w:sz w:val="17"/>
          <w:szCs w:val="17"/>
        </w:rPr>
        <w:t xml:space="preserve">    i2c_stop</w:t>
      </w:r>
      <w:r>
        <w:rPr>
          <w:rFonts w:ascii="Consolas" w:hAnsi="Consolas" w:cs="Courier New"/>
          <w:color w:val="666600"/>
          <w:sz w:val="17"/>
          <w:szCs w:val="17"/>
        </w:rPr>
        <w:t>();</w:t>
      </w:r>
    </w:p>
    <w:p w14:paraId="23DF1672" w14:textId="60CDA89B" w:rsidR="00066789" w:rsidRDefault="0006678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53134124"/>
        <w:rPr>
          <w:rFonts w:ascii="Consolas" w:hAnsi="Consolas" w:cs="Courier New"/>
          <w:sz w:val="17"/>
          <w:szCs w:val="17"/>
        </w:rPr>
      </w:pPr>
      <w:r>
        <w:rPr>
          <w:rFonts w:ascii="Consolas" w:hAnsi="Consolas" w:cs="Courier New"/>
          <w:sz w:val="17"/>
          <w:szCs w:val="17"/>
        </w:rPr>
        <w:t xml:space="preserve">21. </w:t>
      </w:r>
      <w:r>
        <w:rPr>
          <w:rFonts w:ascii="Consolas" w:hAnsi="Consolas" w:cs="Courier New"/>
          <w:color w:val="666600"/>
          <w:sz w:val="17"/>
          <w:szCs w:val="17"/>
        </w:rPr>
        <w:t>}</w:t>
      </w:r>
    </w:p>
    <w:p w14:paraId="2A86A72D" w14:textId="4830ABBF" w:rsidR="005D148A" w:rsidRPr="00D975E2" w:rsidRDefault="00D975E2" w:rsidP="00D975E2">
      <w:pPr>
        <w:pStyle w:val="Caption"/>
        <w:rPr>
          <w:color w:val="000000" w:themeColor="text1"/>
          <w:sz w:val="20"/>
          <w:szCs w:val="20"/>
        </w:rPr>
      </w:pPr>
      <w:bookmarkStart w:id="28" w:name="_Toc133342751"/>
      <w:r w:rsidRPr="00D975E2">
        <w:rPr>
          <w:color w:val="000000" w:themeColor="text1"/>
          <w:sz w:val="20"/>
          <w:szCs w:val="20"/>
        </w:rPr>
        <w:t xml:space="preserve">Figure </w:t>
      </w:r>
      <w:r w:rsidRPr="00D975E2">
        <w:rPr>
          <w:color w:val="000000" w:themeColor="text1"/>
          <w:sz w:val="20"/>
          <w:szCs w:val="20"/>
        </w:rPr>
        <w:fldChar w:fldCharType="begin"/>
      </w:r>
      <w:r w:rsidRPr="00D975E2">
        <w:rPr>
          <w:color w:val="000000" w:themeColor="text1"/>
          <w:sz w:val="20"/>
          <w:szCs w:val="20"/>
        </w:rPr>
        <w:instrText xml:space="preserve"> SEQ Figure \* ARABIC </w:instrText>
      </w:r>
      <w:r w:rsidRPr="00D975E2">
        <w:rPr>
          <w:color w:val="000000" w:themeColor="text1"/>
          <w:sz w:val="20"/>
          <w:szCs w:val="20"/>
        </w:rPr>
        <w:fldChar w:fldCharType="separate"/>
      </w:r>
      <w:r w:rsidR="00657099">
        <w:rPr>
          <w:noProof/>
          <w:color w:val="000000" w:themeColor="text1"/>
          <w:sz w:val="20"/>
          <w:szCs w:val="20"/>
        </w:rPr>
        <w:t>13</w:t>
      </w:r>
      <w:r w:rsidRPr="00D975E2">
        <w:rPr>
          <w:color w:val="000000" w:themeColor="text1"/>
          <w:sz w:val="20"/>
          <w:szCs w:val="20"/>
        </w:rPr>
        <w:fldChar w:fldCharType="end"/>
      </w:r>
      <w:r w:rsidRPr="00D975E2">
        <w:rPr>
          <w:color w:val="000000" w:themeColor="text1"/>
          <w:sz w:val="20"/>
          <w:szCs w:val="20"/>
        </w:rPr>
        <w:t xml:space="preserve"> - </w:t>
      </w:r>
      <w:r w:rsidR="008549A2">
        <w:rPr>
          <w:color w:val="000000" w:themeColor="text1"/>
          <w:sz w:val="20"/>
          <w:szCs w:val="20"/>
        </w:rPr>
        <w:t>S</w:t>
      </w:r>
      <w:r w:rsidRPr="00D975E2">
        <w:rPr>
          <w:color w:val="000000" w:themeColor="text1"/>
          <w:sz w:val="20"/>
          <w:szCs w:val="20"/>
        </w:rPr>
        <w:t>etting heat plate</w:t>
      </w:r>
      <w:bookmarkEnd w:id="28"/>
    </w:p>
    <w:p w14:paraId="3A8593D4" w14:textId="77777777" w:rsidR="00D975E2" w:rsidRDefault="00D975E2">
      <w:pPr>
        <w:spacing w:after="160"/>
        <w:jc w:val="left"/>
      </w:pPr>
      <w:r>
        <w:br w:type="page"/>
      </w:r>
    </w:p>
    <w:p w14:paraId="04E3382A" w14:textId="31331E9D" w:rsidR="004834CF" w:rsidRDefault="004834CF" w:rsidP="00BB7623">
      <w:r>
        <w:lastRenderedPageBreak/>
        <w:tab/>
        <w:t xml:space="preserve">The program has a simple operation which loops for as long as there is still space for the collected data, shown in the flow diagram (figure </w:t>
      </w:r>
      <w:r w:rsidR="00D975E2">
        <w:t>14</w:t>
      </w:r>
      <w:r>
        <w:t xml:space="preserve">). </w:t>
      </w:r>
    </w:p>
    <w:p w14:paraId="0B429674" w14:textId="77777777" w:rsidR="00AE309F" w:rsidRPr="00BB7623" w:rsidRDefault="00AE309F" w:rsidP="00BB7623"/>
    <w:p w14:paraId="51259BA5" w14:textId="161411AA" w:rsidR="007C4E08" w:rsidRDefault="00AE309F" w:rsidP="00AE309F">
      <w:pPr>
        <w:keepNext/>
        <w:spacing w:after="160"/>
        <w:jc w:val="center"/>
      </w:pPr>
      <w:r w:rsidRPr="00AE309F">
        <w:drawing>
          <wp:inline distT="0" distB="0" distL="0" distR="0" wp14:anchorId="1AF66C98" wp14:editId="79BB26D2">
            <wp:extent cx="5851603" cy="1662546"/>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6"/>
                    <a:srcRect l="2660" r="6210"/>
                    <a:stretch/>
                  </pic:blipFill>
                  <pic:spPr bwMode="auto">
                    <a:xfrm>
                      <a:off x="0" y="0"/>
                      <a:ext cx="5856717" cy="1663999"/>
                    </a:xfrm>
                    <a:prstGeom prst="rect">
                      <a:avLst/>
                    </a:prstGeom>
                    <a:ln>
                      <a:noFill/>
                    </a:ln>
                    <a:extLst>
                      <a:ext uri="{53640926-AAD7-44D8-BBD7-CCE9431645EC}">
                        <a14:shadowObscured xmlns:a14="http://schemas.microsoft.com/office/drawing/2010/main"/>
                      </a:ext>
                    </a:extLst>
                  </pic:spPr>
                </pic:pic>
              </a:graphicData>
            </a:graphic>
          </wp:inline>
        </w:drawing>
      </w:r>
    </w:p>
    <w:p w14:paraId="004E9D32" w14:textId="52C2988B" w:rsidR="006453BA" w:rsidRDefault="007C4E08" w:rsidP="007C4E08">
      <w:pPr>
        <w:pStyle w:val="Caption"/>
        <w:jc w:val="left"/>
        <w:rPr>
          <w:color w:val="000000" w:themeColor="text1"/>
          <w:sz w:val="20"/>
          <w:szCs w:val="20"/>
        </w:rPr>
      </w:pPr>
      <w:bookmarkStart w:id="29" w:name="_Toc133342752"/>
      <w:r w:rsidRPr="00D975E2">
        <w:rPr>
          <w:color w:val="000000" w:themeColor="text1"/>
          <w:sz w:val="20"/>
          <w:szCs w:val="20"/>
        </w:rPr>
        <w:t xml:space="preserve">Figure </w:t>
      </w:r>
      <w:r w:rsidRPr="00D975E2">
        <w:rPr>
          <w:color w:val="000000" w:themeColor="text1"/>
          <w:sz w:val="20"/>
          <w:szCs w:val="20"/>
        </w:rPr>
        <w:fldChar w:fldCharType="begin"/>
      </w:r>
      <w:r w:rsidRPr="00D975E2">
        <w:rPr>
          <w:color w:val="000000" w:themeColor="text1"/>
          <w:sz w:val="20"/>
          <w:szCs w:val="20"/>
        </w:rPr>
        <w:instrText xml:space="preserve"> SEQ Figure \* ARABIC </w:instrText>
      </w:r>
      <w:r w:rsidRPr="00D975E2">
        <w:rPr>
          <w:color w:val="000000" w:themeColor="text1"/>
          <w:sz w:val="20"/>
          <w:szCs w:val="20"/>
        </w:rPr>
        <w:fldChar w:fldCharType="separate"/>
      </w:r>
      <w:r w:rsidR="00657099">
        <w:rPr>
          <w:noProof/>
          <w:color w:val="000000" w:themeColor="text1"/>
          <w:sz w:val="20"/>
          <w:szCs w:val="20"/>
        </w:rPr>
        <w:t>14</w:t>
      </w:r>
      <w:r w:rsidRPr="00D975E2">
        <w:rPr>
          <w:noProof/>
          <w:color w:val="000000" w:themeColor="text1"/>
          <w:sz w:val="20"/>
          <w:szCs w:val="20"/>
        </w:rPr>
        <w:fldChar w:fldCharType="end"/>
      </w:r>
      <w:r w:rsidRPr="00D975E2">
        <w:rPr>
          <w:color w:val="000000" w:themeColor="text1"/>
          <w:sz w:val="20"/>
          <w:szCs w:val="20"/>
        </w:rPr>
        <w:t xml:space="preserve"> - </w:t>
      </w:r>
      <w:r w:rsidR="008549A2">
        <w:rPr>
          <w:color w:val="000000" w:themeColor="text1"/>
          <w:sz w:val="20"/>
          <w:szCs w:val="20"/>
        </w:rPr>
        <w:t>O</w:t>
      </w:r>
      <w:r w:rsidRPr="00D975E2">
        <w:rPr>
          <w:color w:val="000000" w:themeColor="text1"/>
          <w:sz w:val="20"/>
          <w:szCs w:val="20"/>
        </w:rPr>
        <w:t>perational flowchart</w:t>
      </w:r>
      <w:bookmarkEnd w:id="29"/>
    </w:p>
    <w:p w14:paraId="4CE85B69" w14:textId="6AC98829" w:rsidR="00C2677E" w:rsidRDefault="00C2677E" w:rsidP="00C2677E">
      <w:r>
        <w:tab/>
        <w:t xml:space="preserve">The process of getting the time is done at the top of the loop and calls the related functions. During the readings the green light is turned off, which has an effect of blinking the LED, which confirms the device is running. </w:t>
      </w:r>
    </w:p>
    <w:p w14:paraId="6D9A5AA3" w14:textId="77777777" w:rsidR="00C2677E" w:rsidRPr="00C2677E" w:rsidRDefault="00C2677E" w:rsidP="00C2677E"/>
    <w:p w14:paraId="58B370D7"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000000"/>
          <w:sz w:val="17"/>
          <w:szCs w:val="17"/>
        </w:rPr>
        <w:t xml:space="preserve">    </w:t>
      </w:r>
      <w:r>
        <w:rPr>
          <w:rFonts w:ascii="Consolas" w:hAnsi="Consolas" w:cs="Courier New"/>
          <w:color w:val="000088"/>
          <w:sz w:val="17"/>
          <w:szCs w:val="17"/>
        </w:rPr>
        <w:t>while</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p>
    <w:p w14:paraId="76FCD978"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w:t>
      </w:r>
    </w:p>
    <w:p w14:paraId="5D2FC9FA" w14:textId="166FC44A"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w:t>
      </w:r>
      <w:r>
        <w:rPr>
          <w:rFonts w:ascii="Consolas" w:hAnsi="Consolas" w:cs="Courier New"/>
          <w:color w:val="880000"/>
          <w:sz w:val="17"/>
          <w:szCs w:val="17"/>
        </w:rPr>
        <w:t>// take measurements</w:t>
      </w:r>
    </w:p>
    <w:p w14:paraId="0D645F8E"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w:t>
      </w:r>
      <w:proofErr w:type="spellStart"/>
      <w:r>
        <w:rPr>
          <w:rFonts w:ascii="Consolas" w:hAnsi="Consolas" w:cs="Courier New"/>
          <w:color w:val="000000"/>
          <w:sz w:val="17"/>
          <w:szCs w:val="17"/>
        </w:rPr>
        <w:t>set_green_LED</w:t>
      </w:r>
      <w:proofErr w:type="spellEnd"/>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p>
    <w:p w14:paraId="5EB274FE"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w:t>
      </w:r>
    </w:p>
    <w:p w14:paraId="7F3F2D21"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BME680_forced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force BME to take T/RH/VOC measurement</w:t>
      </w:r>
    </w:p>
    <w:p w14:paraId="35B34AAB"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7. </w:t>
      </w:r>
      <w:r>
        <w:rPr>
          <w:rFonts w:ascii="Consolas" w:hAnsi="Consolas" w:cs="Courier New"/>
          <w:color w:val="000000"/>
          <w:sz w:val="17"/>
          <w:szCs w:val="17"/>
        </w:rPr>
        <w:t xml:space="preserve">        temperature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calc_temp</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store temp</w:t>
      </w:r>
    </w:p>
    <w:p w14:paraId="3A444961"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8. </w:t>
      </w:r>
      <w:r>
        <w:rPr>
          <w:rFonts w:ascii="Consolas" w:hAnsi="Consolas" w:cs="Courier New"/>
          <w:color w:val="000000"/>
          <w:sz w:val="17"/>
          <w:szCs w:val="17"/>
        </w:rPr>
        <w:t xml:space="preserve">        humidity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calc_hum</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store RH</w:t>
      </w:r>
    </w:p>
    <w:p w14:paraId="68BFDE1C" w14:textId="3BC666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 9. </w:t>
      </w:r>
      <w:r>
        <w:rPr>
          <w:rFonts w:ascii="Consolas" w:hAnsi="Consolas" w:cs="Courier New"/>
          <w:color w:val="000000"/>
          <w:sz w:val="17"/>
          <w:szCs w:val="17"/>
        </w:rPr>
        <w:t xml:space="preserve">        </w:t>
      </w:r>
      <w:proofErr w:type="spellStart"/>
      <w:r>
        <w:rPr>
          <w:rFonts w:ascii="Consolas" w:hAnsi="Consolas" w:cs="Courier New"/>
          <w:color w:val="000000"/>
          <w:sz w:val="17"/>
          <w:szCs w:val="17"/>
        </w:rPr>
        <w:t>VOC_res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calc_voc</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store VOC</w:t>
      </w:r>
    </w:p>
    <w:p w14:paraId="23B8CA24"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10. </w:t>
      </w:r>
      <w:r>
        <w:rPr>
          <w:rFonts w:ascii="Consolas" w:hAnsi="Consolas" w:cs="Courier New"/>
          <w:color w:val="000000"/>
          <w:sz w:val="17"/>
          <w:szCs w:val="17"/>
        </w:rPr>
        <w:t xml:space="preserve">        get_SEN55_Values</w:t>
      </w:r>
      <w:r>
        <w:rPr>
          <w:rFonts w:ascii="Consolas" w:hAnsi="Consolas" w:cs="Courier New"/>
          <w:color w:val="666600"/>
          <w:sz w:val="17"/>
          <w:szCs w:val="17"/>
        </w:rPr>
        <w:t>();</w:t>
      </w:r>
    </w:p>
    <w:p w14:paraId="032F851F"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xml:space="preserve">        </w:t>
      </w:r>
      <w:proofErr w:type="spellStart"/>
      <w:r>
        <w:rPr>
          <w:rFonts w:ascii="Consolas" w:hAnsi="Consolas" w:cs="Courier New"/>
          <w:color w:val="000000"/>
          <w:sz w:val="17"/>
          <w:szCs w:val="17"/>
        </w:rPr>
        <w:t>get_time</w:t>
      </w:r>
      <w:proofErr w:type="spellEnd"/>
      <w:r>
        <w:rPr>
          <w:rFonts w:ascii="Consolas" w:hAnsi="Consolas" w:cs="Courier New"/>
          <w:color w:val="666600"/>
          <w:sz w:val="17"/>
          <w:szCs w:val="17"/>
        </w:rPr>
        <w:t>();</w:t>
      </w:r>
    </w:p>
    <w:p w14:paraId="5112B906" w14:textId="77777777"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        </w:t>
      </w:r>
    </w:p>
    <w:p w14:paraId="79EBD3F7" w14:textId="14929C2D" w:rsidR="00C2677E" w:rsidRDefault="00C2677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18255274"/>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000000"/>
          <w:sz w:val="17"/>
          <w:szCs w:val="17"/>
        </w:rPr>
        <w:t xml:space="preserve">        </w:t>
      </w:r>
      <w:proofErr w:type="spellStart"/>
      <w:r>
        <w:rPr>
          <w:rFonts w:ascii="Consolas" w:hAnsi="Consolas" w:cs="Courier New"/>
          <w:color w:val="000000"/>
          <w:sz w:val="17"/>
          <w:szCs w:val="17"/>
        </w:rPr>
        <w:t>set_green_LED</w:t>
      </w:r>
      <w:proofErr w:type="spellEnd"/>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p>
    <w:p w14:paraId="563E52FE" w14:textId="54AEEC1C" w:rsidR="00C2677E" w:rsidRPr="00C2677E" w:rsidRDefault="00C2677E" w:rsidP="00C2677E">
      <w:pPr>
        <w:pStyle w:val="Caption"/>
        <w:rPr>
          <w:noProof/>
          <w:color w:val="000000" w:themeColor="text1"/>
          <w:sz w:val="20"/>
          <w:szCs w:val="20"/>
        </w:rPr>
      </w:pPr>
      <w:bookmarkStart w:id="30" w:name="_Toc133342753"/>
      <w:r w:rsidRPr="00C2677E">
        <w:rPr>
          <w:color w:val="000000" w:themeColor="text1"/>
          <w:sz w:val="20"/>
          <w:szCs w:val="20"/>
        </w:rPr>
        <w:t xml:space="preserve">Figure </w:t>
      </w:r>
      <w:r w:rsidRPr="00C2677E">
        <w:rPr>
          <w:color w:val="000000" w:themeColor="text1"/>
          <w:sz w:val="20"/>
          <w:szCs w:val="20"/>
        </w:rPr>
        <w:fldChar w:fldCharType="begin"/>
      </w:r>
      <w:r w:rsidRPr="00C2677E">
        <w:rPr>
          <w:color w:val="000000" w:themeColor="text1"/>
          <w:sz w:val="20"/>
          <w:szCs w:val="20"/>
        </w:rPr>
        <w:instrText xml:space="preserve"> SEQ Figure \* ARABIC </w:instrText>
      </w:r>
      <w:r w:rsidRPr="00C2677E">
        <w:rPr>
          <w:color w:val="000000" w:themeColor="text1"/>
          <w:sz w:val="20"/>
          <w:szCs w:val="20"/>
        </w:rPr>
        <w:fldChar w:fldCharType="separate"/>
      </w:r>
      <w:r w:rsidR="00657099">
        <w:rPr>
          <w:noProof/>
          <w:color w:val="000000" w:themeColor="text1"/>
          <w:sz w:val="20"/>
          <w:szCs w:val="20"/>
        </w:rPr>
        <w:t>15</w:t>
      </w:r>
      <w:r w:rsidRPr="00C2677E">
        <w:rPr>
          <w:color w:val="000000" w:themeColor="text1"/>
          <w:sz w:val="20"/>
          <w:szCs w:val="20"/>
        </w:rPr>
        <w:fldChar w:fldCharType="end"/>
      </w:r>
      <w:r w:rsidRPr="00C2677E">
        <w:rPr>
          <w:color w:val="000000" w:themeColor="text1"/>
          <w:sz w:val="20"/>
          <w:szCs w:val="20"/>
        </w:rPr>
        <w:t xml:space="preserve"> - </w:t>
      </w:r>
      <w:r w:rsidR="008549A2">
        <w:rPr>
          <w:color w:val="000000" w:themeColor="text1"/>
          <w:sz w:val="20"/>
          <w:szCs w:val="20"/>
        </w:rPr>
        <w:t>G</w:t>
      </w:r>
      <w:r w:rsidRPr="00C2677E">
        <w:rPr>
          <w:color w:val="000000" w:themeColor="text1"/>
          <w:sz w:val="20"/>
          <w:szCs w:val="20"/>
        </w:rPr>
        <w:t>etting the time and measurements</w:t>
      </w:r>
      <w:bookmarkEnd w:id="30"/>
    </w:p>
    <w:p w14:paraId="5B90A3CE" w14:textId="22476C10" w:rsidR="008E7794" w:rsidRDefault="008E7794" w:rsidP="008E7794">
      <w:pPr>
        <w:spacing w:after="160"/>
        <w:jc w:val="left"/>
        <w:rPr>
          <w:noProof/>
        </w:rPr>
      </w:pPr>
      <w:r>
        <w:rPr>
          <w:noProof/>
        </w:rPr>
        <w:tab/>
        <w:t xml:space="preserve">To store the data to the EEPROM I used the included memory library to write the data to incrementing addresses. On each loop, I confirm there is space, and once the capacity is at 75%, I light the yellow LED as a warning. </w:t>
      </w:r>
      <w:r w:rsidR="00AE309F">
        <w:rPr>
          <w:noProof/>
        </w:rPr>
        <w:t xml:space="preserve">With the current EEPROM of </w:t>
      </w:r>
      <w:r w:rsidR="006C2918">
        <w:rPr>
          <w:noProof/>
        </w:rPr>
        <w:t xml:space="preserve">1024 byes, 30 readings  can be stored. </w:t>
      </w:r>
    </w:p>
    <w:p w14:paraId="6A2951E8" w14:textId="4A4AFA25"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1. </w:t>
      </w:r>
      <w:r>
        <w:rPr>
          <w:rFonts w:ascii="Consolas" w:hAnsi="Consolas" w:cs="Courier New"/>
          <w:color w:val="000088"/>
          <w:sz w:val="17"/>
          <w:szCs w:val="17"/>
        </w:rPr>
        <w:t>if</w:t>
      </w:r>
      <w:r>
        <w:rPr>
          <w:rFonts w:ascii="Consolas" w:hAnsi="Consolas" w:cs="Courier New"/>
          <w:color w:val="000000"/>
          <w:sz w:val="17"/>
          <w:szCs w:val="17"/>
        </w:rPr>
        <w:t xml:space="preserve"> </w:t>
      </w:r>
      <w:r>
        <w:rPr>
          <w:rFonts w:ascii="Consolas" w:hAnsi="Consolas" w:cs="Courier New"/>
          <w:color w:val="666600"/>
          <w:sz w:val="17"/>
          <w:szCs w:val="17"/>
        </w:rPr>
        <w:t>(</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&lt;</w:t>
      </w:r>
      <w:r>
        <w:rPr>
          <w:rFonts w:ascii="Consolas" w:hAnsi="Consolas" w:cs="Courier New"/>
          <w:color w:val="000000"/>
          <w:sz w:val="17"/>
          <w:szCs w:val="17"/>
        </w:rPr>
        <w:t xml:space="preserve"> </w:t>
      </w:r>
      <w:r>
        <w:rPr>
          <w:rFonts w:ascii="Consolas" w:hAnsi="Consolas" w:cs="Courier New"/>
          <w:color w:val="006666"/>
          <w:sz w:val="17"/>
          <w:szCs w:val="17"/>
        </w:rPr>
        <w:t>0x3FF</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p>
    <w:p w14:paraId="4E381BE7" w14:textId="430D90B9"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2. </w:t>
      </w:r>
      <w:r>
        <w:rPr>
          <w:rFonts w:ascii="Consolas" w:hAnsi="Consolas" w:cs="Courier New"/>
          <w:color w:val="000000"/>
          <w:sz w:val="17"/>
          <w:szCs w:val="17"/>
        </w:rPr>
        <w:t xml:space="preserve">    </w:t>
      </w:r>
      <w:r>
        <w:rPr>
          <w:rFonts w:ascii="Consolas" w:hAnsi="Consolas" w:cs="Courier New"/>
          <w:color w:val="880000"/>
          <w:sz w:val="17"/>
          <w:szCs w:val="17"/>
        </w:rPr>
        <w:t>// store measurements</w:t>
      </w:r>
    </w:p>
    <w:p w14:paraId="599358F7"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3. </w:t>
      </w:r>
      <w:r>
        <w:rPr>
          <w:rFonts w:ascii="Consolas" w:hAnsi="Consolas" w:cs="Courier New"/>
          <w:color w:val="000000"/>
          <w:sz w:val="17"/>
          <w:szCs w:val="17"/>
        </w:rPr>
        <w:t xml:space="preserve">    </w:t>
      </w:r>
      <w:proofErr w:type="spellStart"/>
      <w:r>
        <w:rPr>
          <w:rFonts w:ascii="Consolas" w:hAnsi="Consolas" w:cs="Courier New"/>
          <w:color w:val="000000"/>
          <w:sz w:val="17"/>
          <w:szCs w:val="17"/>
        </w:rPr>
        <w:t>DATAEE_WriteByte</w:t>
      </w:r>
      <w:proofErr w:type="spellEnd"/>
      <w:r>
        <w:rPr>
          <w:rFonts w:ascii="Consolas" w:hAnsi="Consolas" w:cs="Courier New"/>
          <w:color w:val="666600"/>
          <w:sz w:val="17"/>
          <w:szCs w:val="17"/>
        </w:rPr>
        <w:t>(</w:t>
      </w:r>
      <w:proofErr w:type="spellStart"/>
      <w:r>
        <w:rPr>
          <w:rFonts w:ascii="Consolas" w:hAnsi="Consolas" w:cs="Courier New"/>
          <w:color w:val="000000"/>
          <w:sz w:val="17"/>
          <w:szCs w:val="17"/>
        </w:rPr>
        <w:t>eeprom_address</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temperature </w:t>
      </w:r>
      <w:r>
        <w:rPr>
          <w:rFonts w:ascii="Consolas" w:hAnsi="Consolas" w:cs="Courier New"/>
          <w:color w:val="666600"/>
          <w:sz w:val="17"/>
          <w:szCs w:val="17"/>
        </w:rPr>
        <w:t>&amp;</w:t>
      </w:r>
      <w:r>
        <w:rPr>
          <w:rFonts w:ascii="Consolas" w:hAnsi="Consolas" w:cs="Courier New"/>
          <w:color w:val="000000"/>
          <w:sz w:val="17"/>
          <w:szCs w:val="17"/>
        </w:rPr>
        <w:t xml:space="preserve"> </w:t>
      </w:r>
      <w:r>
        <w:rPr>
          <w:rFonts w:ascii="Consolas" w:hAnsi="Consolas" w:cs="Courier New"/>
          <w:color w:val="006666"/>
          <w:sz w:val="17"/>
          <w:szCs w:val="17"/>
        </w:rPr>
        <w:t>0xFF00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&gt;&gt;</w:t>
      </w:r>
      <w:r>
        <w:rPr>
          <w:rFonts w:ascii="Consolas" w:hAnsi="Consolas" w:cs="Courier New"/>
          <w:color w:val="000000"/>
          <w:sz w:val="17"/>
          <w:szCs w:val="17"/>
        </w:rPr>
        <w:t xml:space="preserve"> </w:t>
      </w:r>
      <w:r>
        <w:rPr>
          <w:rFonts w:ascii="Consolas" w:hAnsi="Consolas" w:cs="Courier New"/>
          <w:color w:val="006666"/>
          <w:sz w:val="17"/>
          <w:szCs w:val="17"/>
        </w:rPr>
        <w:t>8</w:t>
      </w:r>
      <w:r>
        <w:rPr>
          <w:rFonts w:ascii="Consolas" w:hAnsi="Consolas" w:cs="Courier New"/>
          <w:color w:val="666600"/>
          <w:sz w:val="17"/>
          <w:szCs w:val="17"/>
        </w:rPr>
        <w:t>);</w:t>
      </w:r>
    </w:p>
    <w:p w14:paraId="04C8D2BA"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xml:space="preserve">    </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2748D8A1"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xml:space="preserve">    </w:t>
      </w:r>
      <w:proofErr w:type="spellStart"/>
      <w:r>
        <w:rPr>
          <w:rFonts w:ascii="Consolas" w:hAnsi="Consolas" w:cs="Courier New"/>
          <w:color w:val="000000"/>
          <w:sz w:val="17"/>
          <w:szCs w:val="17"/>
        </w:rPr>
        <w:t>DATAEE_WriteByte</w:t>
      </w:r>
      <w:proofErr w:type="spellEnd"/>
      <w:r>
        <w:rPr>
          <w:rFonts w:ascii="Consolas" w:hAnsi="Consolas" w:cs="Courier New"/>
          <w:color w:val="666600"/>
          <w:sz w:val="17"/>
          <w:szCs w:val="17"/>
        </w:rPr>
        <w:t>(</w:t>
      </w:r>
      <w:proofErr w:type="spellStart"/>
      <w:r>
        <w:rPr>
          <w:rFonts w:ascii="Consolas" w:hAnsi="Consolas" w:cs="Courier New"/>
          <w:color w:val="000000"/>
          <w:sz w:val="17"/>
          <w:szCs w:val="17"/>
        </w:rPr>
        <w:t>eeprom_address</w:t>
      </w:r>
      <w:proofErr w:type="spellEnd"/>
      <w:r>
        <w:rPr>
          <w:rFonts w:ascii="Consolas" w:hAnsi="Consolas" w:cs="Courier New"/>
          <w:color w:val="666600"/>
          <w:sz w:val="17"/>
          <w:szCs w:val="17"/>
        </w:rPr>
        <w:t>,</w:t>
      </w:r>
      <w:r>
        <w:rPr>
          <w:rFonts w:ascii="Consolas" w:hAnsi="Consolas" w:cs="Courier New"/>
          <w:color w:val="000000"/>
          <w:sz w:val="17"/>
          <w:szCs w:val="17"/>
        </w:rPr>
        <w:t xml:space="preserve"> temperature </w:t>
      </w:r>
      <w:r>
        <w:rPr>
          <w:rFonts w:ascii="Consolas" w:hAnsi="Consolas" w:cs="Courier New"/>
          <w:color w:val="666600"/>
          <w:sz w:val="17"/>
          <w:szCs w:val="17"/>
        </w:rPr>
        <w:t>&amp;</w:t>
      </w:r>
      <w:r>
        <w:rPr>
          <w:rFonts w:ascii="Consolas" w:hAnsi="Consolas" w:cs="Courier New"/>
          <w:color w:val="000000"/>
          <w:sz w:val="17"/>
          <w:szCs w:val="17"/>
        </w:rPr>
        <w:t xml:space="preserve"> </w:t>
      </w:r>
      <w:r>
        <w:rPr>
          <w:rFonts w:ascii="Consolas" w:hAnsi="Consolas" w:cs="Courier New"/>
          <w:color w:val="006666"/>
          <w:sz w:val="17"/>
          <w:szCs w:val="17"/>
        </w:rPr>
        <w:t>0x00FF</w:t>
      </w:r>
      <w:r>
        <w:rPr>
          <w:rFonts w:ascii="Consolas" w:hAnsi="Consolas" w:cs="Courier New"/>
          <w:color w:val="666600"/>
          <w:sz w:val="17"/>
          <w:szCs w:val="17"/>
        </w:rPr>
        <w:t>);</w:t>
      </w:r>
    </w:p>
    <w:p w14:paraId="30AB4EAA"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xml:space="preserve">    </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40CB89F7"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p>
    <w:p w14:paraId="36F58FBF" w14:textId="5E5D6A80"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w:t>
      </w:r>
    </w:p>
    <w:p w14:paraId="3D4F54BB"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p>
    <w:p w14:paraId="1BE2BFDA" w14:textId="5B789DEC"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24. </w:t>
      </w:r>
      <w:r>
        <w:rPr>
          <w:rFonts w:ascii="Consolas" w:hAnsi="Consolas" w:cs="Courier New"/>
          <w:color w:val="000000"/>
          <w:sz w:val="17"/>
          <w:szCs w:val="17"/>
        </w:rPr>
        <w:t xml:space="preserve">    </w:t>
      </w:r>
      <w:r>
        <w:rPr>
          <w:rFonts w:ascii="Consolas" w:hAnsi="Consolas" w:cs="Courier New"/>
          <w:color w:val="880000"/>
          <w:sz w:val="17"/>
          <w:szCs w:val="17"/>
        </w:rPr>
        <w:t>// store current EEPROM address case of power loss.</w:t>
      </w:r>
    </w:p>
    <w:p w14:paraId="64E6CC02"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25. </w:t>
      </w:r>
      <w:r>
        <w:rPr>
          <w:rFonts w:ascii="Consolas" w:hAnsi="Consolas" w:cs="Courier New"/>
          <w:color w:val="000000"/>
          <w:sz w:val="17"/>
          <w:szCs w:val="17"/>
        </w:rPr>
        <w:t xml:space="preserve">    </w:t>
      </w:r>
      <w:proofErr w:type="spellStart"/>
      <w:r>
        <w:rPr>
          <w:rFonts w:ascii="Consolas" w:hAnsi="Consolas" w:cs="Courier New"/>
          <w:color w:val="000000"/>
          <w:sz w:val="17"/>
          <w:szCs w:val="17"/>
        </w:rPr>
        <w:t>DATAEE_WriteByte</w:t>
      </w:r>
      <w:proofErr w:type="spellEnd"/>
      <w:r>
        <w:rPr>
          <w:rFonts w:ascii="Consolas" w:hAnsi="Consolas" w:cs="Courier New"/>
          <w:color w:val="666600"/>
          <w:sz w:val="17"/>
          <w:szCs w:val="17"/>
        </w:rPr>
        <w:t>(</w:t>
      </w:r>
      <w:r>
        <w:rPr>
          <w:rFonts w:ascii="Consolas" w:hAnsi="Consolas" w:cs="Courier New"/>
          <w:color w:val="006666"/>
          <w:sz w:val="17"/>
          <w:szCs w:val="17"/>
        </w:rPr>
        <w:t>0x01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&amp;</w:t>
      </w:r>
      <w:r>
        <w:rPr>
          <w:rFonts w:ascii="Consolas" w:hAnsi="Consolas" w:cs="Courier New"/>
          <w:color w:val="000000"/>
          <w:sz w:val="17"/>
          <w:szCs w:val="17"/>
        </w:rPr>
        <w:t xml:space="preserve"> </w:t>
      </w:r>
      <w:r>
        <w:rPr>
          <w:rFonts w:ascii="Consolas" w:hAnsi="Consolas" w:cs="Courier New"/>
          <w:color w:val="006666"/>
          <w:sz w:val="17"/>
          <w:szCs w:val="17"/>
        </w:rPr>
        <w:t>0xFF00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&gt;&gt;</w:t>
      </w:r>
      <w:r>
        <w:rPr>
          <w:rFonts w:ascii="Consolas" w:hAnsi="Consolas" w:cs="Courier New"/>
          <w:color w:val="000000"/>
          <w:sz w:val="17"/>
          <w:szCs w:val="17"/>
        </w:rPr>
        <w:t xml:space="preserve"> </w:t>
      </w:r>
      <w:r>
        <w:rPr>
          <w:rFonts w:ascii="Consolas" w:hAnsi="Consolas" w:cs="Courier New"/>
          <w:color w:val="006666"/>
          <w:sz w:val="17"/>
          <w:szCs w:val="17"/>
        </w:rPr>
        <w:t>8</w:t>
      </w:r>
      <w:r>
        <w:rPr>
          <w:rFonts w:ascii="Consolas" w:hAnsi="Consolas" w:cs="Courier New"/>
          <w:color w:val="666600"/>
          <w:sz w:val="17"/>
          <w:szCs w:val="17"/>
        </w:rPr>
        <w:t>);</w:t>
      </w:r>
    </w:p>
    <w:p w14:paraId="052D6350"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26. </w:t>
      </w:r>
      <w:r>
        <w:rPr>
          <w:rFonts w:ascii="Consolas" w:hAnsi="Consolas" w:cs="Courier New"/>
          <w:color w:val="000000"/>
          <w:sz w:val="17"/>
          <w:szCs w:val="17"/>
        </w:rPr>
        <w:t xml:space="preserve">    </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3947ADD5"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27. </w:t>
      </w:r>
      <w:r>
        <w:rPr>
          <w:rFonts w:ascii="Consolas" w:hAnsi="Consolas" w:cs="Courier New"/>
          <w:color w:val="000000"/>
          <w:sz w:val="17"/>
          <w:szCs w:val="17"/>
        </w:rPr>
        <w:t xml:space="preserve">    </w:t>
      </w:r>
      <w:proofErr w:type="spellStart"/>
      <w:r>
        <w:rPr>
          <w:rFonts w:ascii="Consolas" w:hAnsi="Consolas" w:cs="Courier New"/>
          <w:color w:val="000000"/>
          <w:sz w:val="17"/>
          <w:szCs w:val="17"/>
        </w:rPr>
        <w:t>DATAEE_WriteByte</w:t>
      </w:r>
      <w:proofErr w:type="spellEnd"/>
      <w:r>
        <w:rPr>
          <w:rFonts w:ascii="Consolas" w:hAnsi="Consolas" w:cs="Courier New"/>
          <w:color w:val="666600"/>
          <w:sz w:val="17"/>
          <w:szCs w:val="17"/>
        </w:rPr>
        <w:t>(</w:t>
      </w:r>
      <w:r>
        <w:rPr>
          <w:rFonts w:ascii="Consolas" w:hAnsi="Consolas" w:cs="Courier New"/>
          <w:color w:val="006666"/>
          <w:sz w:val="17"/>
          <w:szCs w:val="17"/>
        </w:rPr>
        <w:t>0x00</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&amp;</w:t>
      </w:r>
      <w:r>
        <w:rPr>
          <w:rFonts w:ascii="Consolas" w:hAnsi="Consolas" w:cs="Courier New"/>
          <w:color w:val="000000"/>
          <w:sz w:val="17"/>
          <w:szCs w:val="17"/>
        </w:rPr>
        <w:t xml:space="preserve"> </w:t>
      </w:r>
      <w:r>
        <w:rPr>
          <w:rFonts w:ascii="Consolas" w:hAnsi="Consolas" w:cs="Courier New"/>
          <w:color w:val="006666"/>
          <w:sz w:val="17"/>
          <w:szCs w:val="17"/>
        </w:rPr>
        <w:t>0x00FF</w:t>
      </w:r>
      <w:r>
        <w:rPr>
          <w:rFonts w:ascii="Consolas" w:hAnsi="Consolas" w:cs="Courier New"/>
          <w:color w:val="666600"/>
          <w:sz w:val="17"/>
          <w:szCs w:val="17"/>
        </w:rPr>
        <w:t>);</w:t>
      </w:r>
    </w:p>
    <w:p w14:paraId="0DE49FF2"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28. </w:t>
      </w:r>
      <w:r>
        <w:rPr>
          <w:rFonts w:ascii="Consolas" w:hAnsi="Consolas" w:cs="Courier New"/>
          <w:color w:val="000000"/>
          <w:sz w:val="17"/>
          <w:szCs w:val="17"/>
        </w:rPr>
        <w:t xml:space="preserve">    </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16D8B90B"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29. </w:t>
      </w:r>
      <w:r>
        <w:rPr>
          <w:rFonts w:ascii="Consolas" w:hAnsi="Consolas" w:cs="Courier New"/>
          <w:color w:val="000000"/>
          <w:sz w:val="17"/>
          <w:szCs w:val="17"/>
        </w:rPr>
        <w:t> </w:t>
      </w:r>
    </w:p>
    <w:p w14:paraId="133FA255" w14:textId="580AAAEE"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else</w:t>
      </w:r>
      <w:r>
        <w:rPr>
          <w:rFonts w:ascii="Consolas" w:hAnsi="Consolas" w:cs="Courier New"/>
          <w:color w:val="000000"/>
          <w:sz w:val="17"/>
          <w:szCs w:val="17"/>
        </w:rPr>
        <w:t xml:space="preserve"> </w:t>
      </w:r>
      <w:r>
        <w:rPr>
          <w:rFonts w:ascii="Consolas" w:hAnsi="Consolas" w:cs="Courier New"/>
          <w:color w:val="666600"/>
          <w:sz w:val="17"/>
          <w:szCs w:val="17"/>
        </w:rPr>
        <w:t xml:space="preserve">{ </w:t>
      </w:r>
      <w:r>
        <w:rPr>
          <w:rFonts w:ascii="Consolas" w:hAnsi="Consolas" w:cs="Courier New"/>
          <w:color w:val="880000"/>
          <w:sz w:val="17"/>
          <w:szCs w:val="17"/>
        </w:rPr>
        <w:t>// EEPROM full</w:t>
      </w:r>
    </w:p>
    <w:p w14:paraId="0B43475C"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31. </w:t>
      </w:r>
      <w:r>
        <w:rPr>
          <w:rFonts w:ascii="Consolas" w:hAnsi="Consolas" w:cs="Courier New"/>
          <w:color w:val="000000"/>
          <w:sz w:val="17"/>
          <w:szCs w:val="17"/>
        </w:rPr>
        <w:t xml:space="preserve">    </w:t>
      </w:r>
      <w:proofErr w:type="spellStart"/>
      <w:r>
        <w:rPr>
          <w:rFonts w:ascii="Consolas" w:hAnsi="Consolas" w:cs="Courier New"/>
          <w:color w:val="000000"/>
          <w:sz w:val="17"/>
          <w:szCs w:val="17"/>
        </w:rPr>
        <w:t>set_green_LED</w:t>
      </w:r>
      <w:proofErr w:type="spellEnd"/>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p>
    <w:p w14:paraId="2F155BE8"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32. </w:t>
      </w:r>
      <w:r>
        <w:rPr>
          <w:rFonts w:ascii="Consolas" w:hAnsi="Consolas" w:cs="Courier New"/>
          <w:color w:val="000000"/>
          <w:sz w:val="17"/>
          <w:szCs w:val="17"/>
        </w:rPr>
        <w:t xml:space="preserve">    </w:t>
      </w:r>
      <w:proofErr w:type="spellStart"/>
      <w:r>
        <w:rPr>
          <w:rFonts w:ascii="Consolas" w:hAnsi="Consolas" w:cs="Courier New"/>
          <w:color w:val="000000"/>
          <w:sz w:val="17"/>
          <w:szCs w:val="17"/>
        </w:rPr>
        <w:t>set_red_LED</w:t>
      </w:r>
      <w:proofErr w:type="spellEnd"/>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p>
    <w:p w14:paraId="617391B2"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33. </w:t>
      </w:r>
      <w:r>
        <w:rPr>
          <w:rFonts w:ascii="Consolas" w:hAnsi="Consolas" w:cs="Courier New"/>
          <w:color w:val="666600"/>
          <w:sz w:val="17"/>
          <w:szCs w:val="17"/>
        </w:rPr>
        <w:t>}</w:t>
      </w:r>
    </w:p>
    <w:p w14:paraId="29A93F45"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34. </w:t>
      </w:r>
      <w:r>
        <w:rPr>
          <w:rFonts w:ascii="Consolas" w:hAnsi="Consolas" w:cs="Courier New"/>
          <w:color w:val="000000"/>
          <w:sz w:val="17"/>
          <w:szCs w:val="17"/>
        </w:rPr>
        <w:t> </w:t>
      </w:r>
    </w:p>
    <w:p w14:paraId="5CECF93B"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lastRenderedPageBreak/>
        <w:t xml:space="preserve">35. </w:t>
      </w:r>
      <w:r>
        <w:rPr>
          <w:rFonts w:ascii="Consolas" w:hAnsi="Consolas" w:cs="Courier New"/>
          <w:color w:val="000088"/>
          <w:sz w:val="17"/>
          <w:szCs w:val="17"/>
        </w:rPr>
        <w:t>if</w:t>
      </w:r>
      <w:r>
        <w:rPr>
          <w:rFonts w:ascii="Consolas" w:hAnsi="Consolas" w:cs="Courier New"/>
          <w:color w:val="000000"/>
          <w:sz w:val="17"/>
          <w:szCs w:val="17"/>
        </w:rPr>
        <w:t xml:space="preserve"> </w:t>
      </w:r>
      <w:r>
        <w:rPr>
          <w:rFonts w:ascii="Consolas" w:hAnsi="Consolas" w:cs="Courier New"/>
          <w:color w:val="666600"/>
          <w:sz w:val="17"/>
          <w:szCs w:val="17"/>
        </w:rPr>
        <w:t>(</w:t>
      </w:r>
      <w:proofErr w:type="spellStart"/>
      <w:r>
        <w:rPr>
          <w:rFonts w:ascii="Consolas" w:hAnsi="Consolas" w:cs="Courier New"/>
          <w:color w:val="000000"/>
          <w:sz w:val="17"/>
          <w:szCs w:val="17"/>
        </w:rPr>
        <w:t>eeprom_address</w:t>
      </w:r>
      <w:proofErr w:type="spellEnd"/>
      <w:r>
        <w:rPr>
          <w:rFonts w:ascii="Consolas" w:hAnsi="Consolas" w:cs="Courier New"/>
          <w:color w:val="000000"/>
          <w:sz w:val="17"/>
          <w:szCs w:val="17"/>
        </w:rPr>
        <w:t xml:space="preserve"> </w:t>
      </w:r>
      <w:r>
        <w:rPr>
          <w:rFonts w:ascii="Consolas" w:hAnsi="Consolas" w:cs="Courier New"/>
          <w:color w:val="666600"/>
          <w:sz w:val="17"/>
          <w:szCs w:val="17"/>
        </w:rPr>
        <w:t>&gt;</w:t>
      </w:r>
      <w:r>
        <w:rPr>
          <w:rFonts w:ascii="Consolas" w:hAnsi="Consolas" w:cs="Courier New"/>
          <w:color w:val="000000"/>
          <w:sz w:val="17"/>
          <w:szCs w:val="17"/>
        </w:rPr>
        <w:t xml:space="preserve"> </w:t>
      </w:r>
      <w:r>
        <w:rPr>
          <w:rFonts w:ascii="Consolas" w:hAnsi="Consolas" w:cs="Courier New"/>
          <w:color w:val="006666"/>
          <w:sz w:val="17"/>
          <w:szCs w:val="17"/>
        </w:rPr>
        <w:t>0x300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880000"/>
          <w:sz w:val="17"/>
          <w:szCs w:val="17"/>
        </w:rPr>
        <w:t>// 25% memory left</w:t>
      </w:r>
    </w:p>
    <w:p w14:paraId="0A222AFF" w14:textId="7777777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36. </w:t>
      </w:r>
      <w:r>
        <w:rPr>
          <w:rFonts w:ascii="Consolas" w:hAnsi="Consolas" w:cs="Courier New"/>
          <w:color w:val="000000"/>
          <w:sz w:val="17"/>
          <w:szCs w:val="17"/>
        </w:rPr>
        <w:t xml:space="preserve">    </w:t>
      </w:r>
      <w:proofErr w:type="spellStart"/>
      <w:r>
        <w:rPr>
          <w:rFonts w:ascii="Consolas" w:hAnsi="Consolas" w:cs="Courier New"/>
          <w:color w:val="000000"/>
          <w:sz w:val="17"/>
          <w:szCs w:val="17"/>
        </w:rPr>
        <w:t>set_yellow_LED</w:t>
      </w:r>
      <w:proofErr w:type="spellEnd"/>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p>
    <w:p w14:paraId="107456F3" w14:textId="1234B027" w:rsidR="008E7794" w:rsidRDefault="008E7794">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414745745"/>
        <w:rPr>
          <w:rFonts w:ascii="Consolas" w:hAnsi="Consolas" w:cs="Courier New"/>
          <w:sz w:val="17"/>
          <w:szCs w:val="17"/>
        </w:rPr>
      </w:pPr>
      <w:r>
        <w:rPr>
          <w:rFonts w:ascii="Consolas" w:hAnsi="Consolas" w:cs="Courier New"/>
          <w:sz w:val="17"/>
          <w:szCs w:val="17"/>
        </w:rPr>
        <w:t xml:space="preserve">37. </w:t>
      </w:r>
      <w:r>
        <w:rPr>
          <w:rFonts w:ascii="Consolas" w:hAnsi="Consolas" w:cs="Courier New"/>
          <w:color w:val="666600"/>
          <w:sz w:val="17"/>
          <w:szCs w:val="17"/>
        </w:rPr>
        <w:t>}</w:t>
      </w:r>
    </w:p>
    <w:p w14:paraId="3516E07E" w14:textId="2DB0EBBB" w:rsidR="008E7794" w:rsidRDefault="008E7794" w:rsidP="008E7794">
      <w:pPr>
        <w:pStyle w:val="Caption"/>
        <w:rPr>
          <w:noProof/>
        </w:rPr>
      </w:pPr>
      <w:bookmarkStart w:id="31" w:name="_Toc133342754"/>
      <w:r>
        <w:t xml:space="preserve">Figure </w:t>
      </w:r>
      <w:fldSimple w:instr=" SEQ Figure \* ARABIC ">
        <w:r w:rsidR="00657099">
          <w:rPr>
            <w:noProof/>
          </w:rPr>
          <w:t>16</w:t>
        </w:r>
      </w:fldSimple>
      <w:r>
        <w:t xml:space="preserve"> - </w:t>
      </w:r>
      <w:r w:rsidR="008549A2">
        <w:t>S</w:t>
      </w:r>
      <w:r>
        <w:t>toring data to EEPROM</w:t>
      </w:r>
      <w:bookmarkEnd w:id="31"/>
    </w:p>
    <w:p w14:paraId="6F4BB8F0" w14:textId="304B88BA" w:rsidR="00B71A07" w:rsidRDefault="00B71A07" w:rsidP="008E7794">
      <w:pPr>
        <w:spacing w:after="160"/>
        <w:ind w:firstLine="720"/>
        <w:jc w:val="left"/>
        <w:rPr>
          <w:noProof/>
        </w:rPr>
      </w:pPr>
      <w:r>
        <w:rPr>
          <w:noProof/>
        </w:rPr>
        <w:t xml:space="preserve">Once the data has been collected, </w:t>
      </w:r>
      <w:r w:rsidR="00AE309F">
        <w:rPr>
          <w:noProof/>
        </w:rPr>
        <w:t xml:space="preserve">it is </w:t>
      </w:r>
      <w:r>
        <w:rPr>
          <w:noProof/>
        </w:rPr>
        <w:t>transmitted by the UART peri</w:t>
      </w:r>
      <w:r w:rsidR="00AE309F">
        <w:rPr>
          <w:noProof/>
        </w:rPr>
        <w:t>ph</w:t>
      </w:r>
      <w:r>
        <w:rPr>
          <w:noProof/>
        </w:rPr>
        <w:t>er</w:t>
      </w:r>
      <w:r w:rsidR="00AE309F">
        <w:rPr>
          <w:noProof/>
        </w:rPr>
        <w:t>al</w:t>
      </w:r>
      <w:r>
        <w:rPr>
          <w:noProof/>
        </w:rPr>
        <w:t xml:space="preserve"> of the PIC. For good signal integrity, I converted the TTL logic level to RS232 with a ‘MAX232’ then a RS232 to USB adapter to connect to a PC</w:t>
      </w:r>
      <w:r w:rsidR="00AE309F">
        <w:rPr>
          <w:noProof/>
        </w:rPr>
        <w:t>. T</w:t>
      </w:r>
      <w:r>
        <w:rPr>
          <w:noProof/>
        </w:rPr>
        <w:t>his would allow for a greater wire length than TTL and USB alone. When the PC recieves the information, it has already been converted to the HEX form of ASCII, so PC only needs to print the characters received.</w:t>
      </w:r>
    </w:p>
    <w:p w14:paraId="4EFB222F" w14:textId="77777777" w:rsidR="00B71A07" w:rsidRDefault="00B71A07">
      <w:pPr>
        <w:spacing w:after="160"/>
        <w:jc w:val="left"/>
        <w:rPr>
          <w:noProof/>
        </w:rPr>
      </w:pPr>
    </w:p>
    <w:p w14:paraId="663490FB" w14:textId="6F992F76" w:rsidR="00B71A07" w:rsidRDefault="00607D5B" w:rsidP="008E7794">
      <w:pPr>
        <w:keepNext/>
        <w:spacing w:after="160"/>
      </w:pPr>
      <w:r w:rsidRPr="00607D5B">
        <w:rPr>
          <w:noProof/>
        </w:rPr>
        <w:drawing>
          <wp:inline distT="0" distB="0" distL="0" distR="0" wp14:anchorId="7FF11D73" wp14:editId="1212A6FC">
            <wp:extent cx="2514600" cy="29201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312"/>
                    <a:stretch/>
                  </pic:blipFill>
                  <pic:spPr bwMode="auto">
                    <a:xfrm>
                      <a:off x="0" y="0"/>
                      <a:ext cx="2537592" cy="2946881"/>
                    </a:xfrm>
                    <a:prstGeom prst="rect">
                      <a:avLst/>
                    </a:prstGeom>
                    <a:ln>
                      <a:noFill/>
                    </a:ln>
                    <a:extLst>
                      <a:ext uri="{53640926-AAD7-44D8-BBD7-CCE9431645EC}">
                        <a14:shadowObscured xmlns:a14="http://schemas.microsoft.com/office/drawing/2010/main"/>
                      </a:ext>
                    </a:extLst>
                  </pic:spPr>
                </pic:pic>
              </a:graphicData>
            </a:graphic>
          </wp:inline>
        </w:drawing>
      </w:r>
      <w:r w:rsidR="008E7794">
        <w:t xml:space="preserve">      </w:t>
      </w:r>
      <w:r w:rsidR="008E7794" w:rsidRPr="00607D5B">
        <w:rPr>
          <w:noProof/>
        </w:rPr>
        <w:drawing>
          <wp:inline distT="0" distB="0" distL="0" distR="0" wp14:anchorId="77157EFC" wp14:editId="41DC388E">
            <wp:extent cx="2802177" cy="2971800"/>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18"/>
                    <a:srcRect l="2875" t="2723" r="2029" b="1722"/>
                    <a:stretch/>
                  </pic:blipFill>
                  <pic:spPr bwMode="auto">
                    <a:xfrm>
                      <a:off x="0" y="0"/>
                      <a:ext cx="2814712" cy="2985094"/>
                    </a:xfrm>
                    <a:prstGeom prst="rect">
                      <a:avLst/>
                    </a:prstGeom>
                    <a:ln>
                      <a:noFill/>
                    </a:ln>
                    <a:extLst>
                      <a:ext uri="{53640926-AAD7-44D8-BBD7-CCE9431645EC}">
                        <a14:shadowObscured xmlns:a14="http://schemas.microsoft.com/office/drawing/2010/main"/>
                      </a:ext>
                    </a:extLst>
                  </pic:spPr>
                </pic:pic>
              </a:graphicData>
            </a:graphic>
          </wp:inline>
        </w:drawing>
      </w:r>
    </w:p>
    <w:p w14:paraId="25CCA19D" w14:textId="09AFFA4C" w:rsidR="002F3E5C" w:rsidRPr="00B71A07" w:rsidRDefault="00B71A07" w:rsidP="008E7794">
      <w:pPr>
        <w:pStyle w:val="Caption"/>
        <w:jc w:val="left"/>
        <w:rPr>
          <w:color w:val="000000" w:themeColor="text1"/>
          <w:sz w:val="20"/>
          <w:szCs w:val="20"/>
        </w:rPr>
      </w:pPr>
      <w:bookmarkStart w:id="32" w:name="_Toc133342755"/>
      <w:r w:rsidRPr="00B71A07">
        <w:rPr>
          <w:color w:val="000000" w:themeColor="text1"/>
          <w:sz w:val="20"/>
          <w:szCs w:val="20"/>
        </w:rPr>
        <w:t xml:space="preserve">Figure </w:t>
      </w:r>
      <w:r w:rsidRPr="00B71A07">
        <w:rPr>
          <w:color w:val="000000" w:themeColor="text1"/>
          <w:sz w:val="20"/>
          <w:szCs w:val="20"/>
        </w:rPr>
        <w:fldChar w:fldCharType="begin"/>
      </w:r>
      <w:r w:rsidRPr="00B71A07">
        <w:rPr>
          <w:color w:val="000000" w:themeColor="text1"/>
          <w:sz w:val="20"/>
          <w:szCs w:val="20"/>
        </w:rPr>
        <w:instrText xml:space="preserve"> SEQ Figure \* ARABIC </w:instrText>
      </w:r>
      <w:r w:rsidRPr="00B71A07">
        <w:rPr>
          <w:color w:val="000000" w:themeColor="text1"/>
          <w:sz w:val="20"/>
          <w:szCs w:val="20"/>
        </w:rPr>
        <w:fldChar w:fldCharType="separate"/>
      </w:r>
      <w:r w:rsidR="00657099">
        <w:rPr>
          <w:noProof/>
          <w:color w:val="000000" w:themeColor="text1"/>
          <w:sz w:val="20"/>
          <w:szCs w:val="20"/>
        </w:rPr>
        <w:t>17</w:t>
      </w:r>
      <w:r w:rsidRPr="00B71A07">
        <w:rPr>
          <w:color w:val="000000" w:themeColor="text1"/>
          <w:sz w:val="20"/>
          <w:szCs w:val="20"/>
        </w:rPr>
        <w:fldChar w:fldCharType="end"/>
      </w:r>
      <w:r w:rsidRPr="00B71A07">
        <w:rPr>
          <w:color w:val="000000" w:themeColor="text1"/>
          <w:sz w:val="20"/>
          <w:szCs w:val="20"/>
        </w:rPr>
        <w:t xml:space="preserve"> - PC terminal</w:t>
      </w:r>
      <w:r w:rsidR="008E7794">
        <w:rPr>
          <w:color w:val="000000" w:themeColor="text1"/>
          <w:sz w:val="20"/>
          <w:szCs w:val="20"/>
        </w:rPr>
        <w:tab/>
      </w:r>
      <w:r w:rsidR="008E7794">
        <w:rPr>
          <w:color w:val="000000" w:themeColor="text1"/>
          <w:sz w:val="20"/>
          <w:szCs w:val="20"/>
        </w:rPr>
        <w:tab/>
      </w:r>
      <w:r w:rsidR="008E7794">
        <w:rPr>
          <w:color w:val="000000" w:themeColor="text1"/>
          <w:sz w:val="20"/>
          <w:szCs w:val="20"/>
        </w:rPr>
        <w:tab/>
      </w:r>
      <w:r w:rsidR="008E7794">
        <w:rPr>
          <w:color w:val="000000" w:themeColor="text1"/>
          <w:sz w:val="20"/>
          <w:szCs w:val="20"/>
        </w:rPr>
        <w:tab/>
      </w:r>
      <w:r w:rsidRPr="00B71A07">
        <w:rPr>
          <w:color w:val="000000" w:themeColor="text1"/>
          <w:sz w:val="20"/>
          <w:szCs w:val="20"/>
        </w:rPr>
        <w:t xml:space="preserve">Figure </w:t>
      </w:r>
      <w:r w:rsidRPr="00B71A07">
        <w:rPr>
          <w:color w:val="000000" w:themeColor="text1"/>
          <w:sz w:val="20"/>
          <w:szCs w:val="20"/>
        </w:rPr>
        <w:fldChar w:fldCharType="begin"/>
      </w:r>
      <w:r w:rsidRPr="00B71A07">
        <w:rPr>
          <w:color w:val="000000" w:themeColor="text1"/>
          <w:sz w:val="20"/>
          <w:szCs w:val="20"/>
        </w:rPr>
        <w:instrText xml:space="preserve"> SEQ Figure \* ARABIC </w:instrText>
      </w:r>
      <w:r w:rsidRPr="00B71A07">
        <w:rPr>
          <w:color w:val="000000" w:themeColor="text1"/>
          <w:sz w:val="20"/>
          <w:szCs w:val="20"/>
        </w:rPr>
        <w:fldChar w:fldCharType="separate"/>
      </w:r>
      <w:r w:rsidR="00657099">
        <w:rPr>
          <w:noProof/>
          <w:color w:val="000000" w:themeColor="text1"/>
          <w:sz w:val="20"/>
          <w:szCs w:val="20"/>
        </w:rPr>
        <w:t>18</w:t>
      </w:r>
      <w:r w:rsidRPr="00B71A07">
        <w:rPr>
          <w:color w:val="000000" w:themeColor="text1"/>
          <w:sz w:val="20"/>
          <w:szCs w:val="20"/>
        </w:rPr>
        <w:fldChar w:fldCharType="end"/>
      </w:r>
      <w:r w:rsidRPr="00B71A07">
        <w:rPr>
          <w:color w:val="000000" w:themeColor="text1"/>
          <w:sz w:val="20"/>
          <w:szCs w:val="20"/>
        </w:rPr>
        <w:t xml:space="preserve"> - setting the terminal</w:t>
      </w:r>
      <w:bookmarkEnd w:id="32"/>
    </w:p>
    <w:p w14:paraId="0017F66A" w14:textId="77777777" w:rsidR="008E7794" w:rsidRDefault="008E7794">
      <w:pPr>
        <w:spacing w:after="160"/>
        <w:jc w:val="left"/>
      </w:pPr>
    </w:p>
    <w:p w14:paraId="035176D9" w14:textId="6767CD8D" w:rsidR="003139DA" w:rsidRDefault="003139DA">
      <w:pPr>
        <w:spacing w:after="160"/>
        <w:jc w:val="left"/>
        <w:rPr>
          <w:rFonts w:eastAsiaTheme="majorEastAsia" w:cs="Times New Roman"/>
          <w:b/>
          <w:bCs/>
          <w:caps/>
        </w:rPr>
      </w:pPr>
      <w:r>
        <w:br w:type="page"/>
      </w:r>
    </w:p>
    <w:p w14:paraId="48F5E0C0" w14:textId="0D2298ED" w:rsidR="007655A4" w:rsidRDefault="007655A4" w:rsidP="003139DA">
      <w:pPr>
        <w:pStyle w:val="Heading1"/>
      </w:pPr>
      <w:bookmarkStart w:id="33" w:name="_Toc133335246"/>
      <w:r w:rsidRPr="007655A4">
        <w:lastRenderedPageBreak/>
        <w:t>Results &amp; Discussions</w:t>
      </w:r>
      <w:bookmarkEnd w:id="33"/>
    </w:p>
    <w:p w14:paraId="47B9C605" w14:textId="77777777" w:rsidR="00834C34" w:rsidRDefault="00834C34" w:rsidP="003139DA"/>
    <w:p w14:paraId="28AB691D" w14:textId="5CC9078F" w:rsidR="00834C34" w:rsidRDefault="00834C34" w:rsidP="003139DA">
      <w:r>
        <w:tab/>
      </w:r>
      <w:r w:rsidR="001D31BE">
        <w:t xml:space="preserve">I </w:t>
      </w:r>
      <w:r w:rsidR="001D5DF4">
        <w:t xml:space="preserve">first ran the system for two hours to compare the sensor readings with a “UMI” temperature and humidity sensor as well as a “Life Basis” air quality monitor, which measured temperature, humidity, total VOCs </w:t>
      </w:r>
      <w:r w:rsidR="00D364B9">
        <w:t>(</w:t>
      </w:r>
      <w:r w:rsidR="001D5DF4">
        <w:t>tVOC</w:t>
      </w:r>
      <w:r w:rsidR="00D364B9">
        <w:t>)</w:t>
      </w:r>
      <w:r w:rsidR="001D5DF4">
        <w:t>, formaldehyde (CH</w:t>
      </w:r>
      <w:r w:rsidR="00D364B9">
        <w:rPr>
          <w:vertAlign w:val="subscript"/>
        </w:rPr>
        <w:t>2</w:t>
      </w:r>
      <w:r w:rsidR="00D364B9">
        <w:t>O</w:t>
      </w:r>
      <w:r w:rsidR="001D5DF4">
        <w:t>)</w:t>
      </w:r>
      <w:r w:rsidR="00D364B9">
        <w:t xml:space="preserve">, PM 1, PM 2.5, and PM 10. </w:t>
      </w:r>
      <w:r w:rsidR="00B038F2">
        <w:t xml:space="preserve">The first chart shows that the BME and SEN humidity tracks well with my reference devices. The temperature measured by the Life Basis unit was comparatively lower than the other devices, this is partly due to the unit only measuring in whole degrees. </w:t>
      </w:r>
      <w:r w:rsidR="007D3781">
        <w:t xml:space="preserve">The temperature and humidity measurements are important for the sensors as the values are fed back as compensation parameters. </w:t>
      </w:r>
    </w:p>
    <w:p w14:paraId="7001A0F7" w14:textId="77777777" w:rsidR="00AE49D8" w:rsidRDefault="00AE49D8" w:rsidP="003139DA"/>
    <w:p w14:paraId="7932E70E" w14:textId="77777777" w:rsidR="00BF3AA5" w:rsidRDefault="00834C34" w:rsidP="00BF3AA5">
      <w:pPr>
        <w:keepNext/>
        <w:ind w:right="-897" w:hanging="993"/>
      </w:pPr>
      <w:r>
        <w:rPr>
          <w:noProof/>
        </w:rPr>
        <w:drawing>
          <wp:inline distT="0" distB="0" distL="0" distR="0" wp14:anchorId="5EB0BA38" wp14:editId="5667598A">
            <wp:extent cx="6941820" cy="2468880"/>
            <wp:effectExtent l="0" t="0" r="0" b="0"/>
            <wp:docPr id="14" name="Chart 14">
              <a:extLst xmlns:a="http://schemas.openxmlformats.org/drawingml/2006/main">
                <a:ext uri="{FF2B5EF4-FFF2-40B4-BE49-F238E27FC236}">
                  <a16:creationId xmlns:a16="http://schemas.microsoft.com/office/drawing/2014/main" id="{6253E087-7D29-4AC6-A3AB-77DFB2E1C7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7CB8DE" w14:textId="4558B85D" w:rsidR="00AE49D8" w:rsidRPr="00BF3AA5" w:rsidRDefault="00BF3AA5" w:rsidP="00BF3AA5">
      <w:pPr>
        <w:pStyle w:val="Caption"/>
        <w:rPr>
          <w:color w:val="000000" w:themeColor="text1"/>
        </w:rPr>
      </w:pPr>
      <w:bookmarkStart w:id="34" w:name="_Toc133342756"/>
      <w:r w:rsidRPr="00BF3AA5">
        <w:rPr>
          <w:color w:val="000000" w:themeColor="text1"/>
          <w:sz w:val="20"/>
          <w:szCs w:val="20"/>
        </w:rPr>
        <w:t xml:space="preserve">Figure </w:t>
      </w:r>
      <w:r w:rsidRPr="00BF3AA5">
        <w:rPr>
          <w:color w:val="000000" w:themeColor="text1"/>
          <w:sz w:val="20"/>
          <w:szCs w:val="20"/>
        </w:rPr>
        <w:fldChar w:fldCharType="begin"/>
      </w:r>
      <w:r w:rsidRPr="00BF3AA5">
        <w:rPr>
          <w:color w:val="000000" w:themeColor="text1"/>
          <w:sz w:val="20"/>
          <w:szCs w:val="20"/>
        </w:rPr>
        <w:instrText xml:space="preserve"> SEQ Figure \* ARABIC </w:instrText>
      </w:r>
      <w:r w:rsidRPr="00BF3AA5">
        <w:rPr>
          <w:color w:val="000000" w:themeColor="text1"/>
          <w:sz w:val="20"/>
          <w:szCs w:val="20"/>
        </w:rPr>
        <w:fldChar w:fldCharType="separate"/>
      </w:r>
      <w:r w:rsidR="00657099">
        <w:rPr>
          <w:noProof/>
          <w:color w:val="000000" w:themeColor="text1"/>
          <w:sz w:val="20"/>
          <w:szCs w:val="20"/>
        </w:rPr>
        <w:t>19</w:t>
      </w:r>
      <w:r w:rsidRPr="00BF3AA5">
        <w:rPr>
          <w:color w:val="000000" w:themeColor="text1"/>
          <w:sz w:val="20"/>
          <w:szCs w:val="20"/>
        </w:rPr>
        <w:fldChar w:fldCharType="end"/>
      </w:r>
      <w:r w:rsidRPr="00BF3AA5">
        <w:rPr>
          <w:color w:val="000000" w:themeColor="text1"/>
          <w:sz w:val="20"/>
          <w:szCs w:val="20"/>
        </w:rPr>
        <w:t xml:space="preserve"> - Temperature and Relative Humidity Baseline Comparison</w:t>
      </w:r>
      <w:bookmarkEnd w:id="34"/>
    </w:p>
    <w:p w14:paraId="1AB45CD4" w14:textId="77777777" w:rsidR="00834C34" w:rsidRDefault="00834C34" w:rsidP="003139DA"/>
    <w:p w14:paraId="191D5548" w14:textId="7C08AF35" w:rsidR="00AE49D8" w:rsidRDefault="00834C34" w:rsidP="003139DA">
      <w:r>
        <w:tab/>
      </w:r>
      <w:r w:rsidR="007D3781">
        <w:t xml:space="preserve">I then plotted the </w:t>
      </w:r>
      <w:r w:rsidR="000F76CA">
        <w:t xml:space="preserve">VOC </w:t>
      </w:r>
      <w:r w:rsidR="007D3781">
        <w:t>reading from the BME680 and the tVOC and CH</w:t>
      </w:r>
      <w:r w:rsidR="007D3781">
        <w:rPr>
          <w:vertAlign w:val="subscript"/>
        </w:rPr>
        <w:t>2</w:t>
      </w:r>
      <w:r w:rsidR="007D3781">
        <w:t xml:space="preserve">O from my reference </w:t>
      </w:r>
      <w:r w:rsidR="000F76CA">
        <w:t>device</w:t>
      </w:r>
      <w:r w:rsidR="007D3781">
        <w:t xml:space="preserve">. The reference </w:t>
      </w:r>
      <w:r w:rsidR="000F76CA">
        <w:t xml:space="preserve">device’s </w:t>
      </w:r>
      <w:r w:rsidR="007D3781">
        <w:t xml:space="preserve">readings from the first 30 minutes were sporadic and </w:t>
      </w:r>
      <w:r w:rsidR="00AE309F">
        <w:t>did not</w:t>
      </w:r>
      <w:r w:rsidR="007D3781">
        <w:t xml:space="preserve"> correlate with the BME680 readings so I would surmise that it requires a burn-in time before stabilising. </w:t>
      </w:r>
      <w:r w:rsidR="000C705A">
        <w:t xml:space="preserve">Despite my efforts, </w:t>
      </w:r>
      <w:r w:rsidR="00BF3AA5">
        <w:t>at</w:t>
      </w:r>
      <w:r w:rsidR="007D3781">
        <w:t xml:space="preserve"> 2:45 all </w:t>
      </w:r>
      <w:r w:rsidR="000C705A">
        <w:t xml:space="preserve">the </w:t>
      </w:r>
      <w:r w:rsidR="007D3781">
        <w:t>sensors experienced a drop in VOC levels</w:t>
      </w:r>
      <w:r w:rsidR="000C705A">
        <w:t>, likely from a gust of fresh air,</w:t>
      </w:r>
      <w:r w:rsidR="00294129">
        <w:t xml:space="preserve"> which indicates that the BME680 is equally as </w:t>
      </w:r>
      <w:r w:rsidR="000C705A">
        <w:t xml:space="preserve">quick to </w:t>
      </w:r>
      <w:r w:rsidR="00294129">
        <w:t>respon</w:t>
      </w:r>
      <w:r w:rsidR="000C705A">
        <w:t>d</w:t>
      </w:r>
      <w:r w:rsidR="00294129">
        <w:t xml:space="preserve"> as my reference unit but the </w:t>
      </w:r>
      <w:r w:rsidR="000C705A">
        <w:t xml:space="preserve">BME680 response afterwards was muted compared to the tVOC of the reference device. </w:t>
      </w:r>
      <w:r w:rsidR="00294129">
        <w:t xml:space="preserve"> </w:t>
      </w:r>
      <w:r w:rsidR="000C705A">
        <w:t xml:space="preserve"> </w:t>
      </w:r>
    </w:p>
    <w:p w14:paraId="5E116CDE" w14:textId="77777777" w:rsidR="00834C34" w:rsidRDefault="00834C34" w:rsidP="003139DA"/>
    <w:p w14:paraId="7002865C" w14:textId="77777777" w:rsidR="00BF3AA5" w:rsidRDefault="00834C34" w:rsidP="00BF3AA5">
      <w:pPr>
        <w:keepNext/>
        <w:ind w:hanging="993"/>
      </w:pPr>
      <w:r>
        <w:rPr>
          <w:noProof/>
        </w:rPr>
        <w:lastRenderedPageBreak/>
        <w:drawing>
          <wp:inline distT="0" distB="0" distL="0" distR="0" wp14:anchorId="7F910FA7" wp14:editId="3B7F2B00">
            <wp:extent cx="6941820" cy="2529840"/>
            <wp:effectExtent l="0" t="0" r="0" b="0"/>
            <wp:docPr id="15" name="Chart 15">
              <a:extLst xmlns:a="http://schemas.openxmlformats.org/drawingml/2006/main">
                <a:ext uri="{FF2B5EF4-FFF2-40B4-BE49-F238E27FC236}">
                  <a16:creationId xmlns:a16="http://schemas.microsoft.com/office/drawing/2014/main" id="{39B360A8-1812-16BF-2A07-8F3F2CE1D0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576D0C3" w14:textId="6DE5F077" w:rsidR="00834C34" w:rsidRPr="00BF3AA5" w:rsidRDefault="00BF3AA5" w:rsidP="00BF3AA5">
      <w:pPr>
        <w:pStyle w:val="Caption"/>
        <w:rPr>
          <w:color w:val="000000" w:themeColor="text1"/>
          <w:sz w:val="20"/>
          <w:szCs w:val="20"/>
        </w:rPr>
      </w:pPr>
      <w:bookmarkStart w:id="35" w:name="_Toc133342757"/>
      <w:r w:rsidRPr="00BF3AA5">
        <w:rPr>
          <w:color w:val="000000" w:themeColor="text1"/>
          <w:sz w:val="20"/>
          <w:szCs w:val="20"/>
        </w:rPr>
        <w:t xml:space="preserve">Figure </w:t>
      </w:r>
      <w:r w:rsidRPr="00BF3AA5">
        <w:rPr>
          <w:color w:val="000000" w:themeColor="text1"/>
          <w:sz w:val="20"/>
          <w:szCs w:val="20"/>
        </w:rPr>
        <w:fldChar w:fldCharType="begin"/>
      </w:r>
      <w:r w:rsidRPr="00BF3AA5">
        <w:rPr>
          <w:color w:val="000000" w:themeColor="text1"/>
          <w:sz w:val="20"/>
          <w:szCs w:val="20"/>
        </w:rPr>
        <w:instrText xml:space="preserve"> SEQ Figure \* ARABIC </w:instrText>
      </w:r>
      <w:r w:rsidRPr="00BF3AA5">
        <w:rPr>
          <w:color w:val="000000" w:themeColor="text1"/>
          <w:sz w:val="20"/>
          <w:szCs w:val="20"/>
        </w:rPr>
        <w:fldChar w:fldCharType="separate"/>
      </w:r>
      <w:r w:rsidR="00657099">
        <w:rPr>
          <w:noProof/>
          <w:color w:val="000000" w:themeColor="text1"/>
          <w:sz w:val="20"/>
          <w:szCs w:val="20"/>
        </w:rPr>
        <w:t>20</w:t>
      </w:r>
      <w:r w:rsidRPr="00BF3AA5">
        <w:rPr>
          <w:color w:val="000000" w:themeColor="text1"/>
          <w:sz w:val="20"/>
          <w:szCs w:val="20"/>
        </w:rPr>
        <w:fldChar w:fldCharType="end"/>
      </w:r>
      <w:r w:rsidRPr="00BF3AA5">
        <w:rPr>
          <w:color w:val="000000" w:themeColor="text1"/>
          <w:sz w:val="20"/>
          <w:szCs w:val="20"/>
        </w:rPr>
        <w:t xml:space="preserve"> - BME680 VOC Baseline Comparison</w:t>
      </w:r>
      <w:bookmarkEnd w:id="35"/>
    </w:p>
    <w:p w14:paraId="1BBEE968" w14:textId="77777777" w:rsidR="00834C34" w:rsidRDefault="00834C34" w:rsidP="003139DA"/>
    <w:p w14:paraId="41724A17" w14:textId="7C8A81D7" w:rsidR="00F12F02" w:rsidRPr="00F12F02" w:rsidRDefault="00834C34" w:rsidP="00F12F02">
      <w:pPr>
        <w:rPr>
          <w:lang w:val="el-GR"/>
        </w:rPr>
      </w:pPr>
      <w:r>
        <w:tab/>
      </w:r>
      <w:r w:rsidR="00294129">
        <w:t xml:space="preserve">I also plotted the two </w:t>
      </w:r>
      <w:r w:rsidR="000C705A">
        <w:t>indexes</w:t>
      </w:r>
      <w:r w:rsidR="00294129">
        <w:t xml:space="preserve"> that the SEN55 generates from its</w:t>
      </w:r>
      <w:r w:rsidR="00AE309F">
        <w:t>’</w:t>
      </w:r>
      <w:r w:rsidR="00294129">
        <w:t xml:space="preserve"> two MOX sensors. The nitrogen oxides (NOx) index remained 1 for the duration of the test, which means that the level of NOx</w:t>
      </w:r>
      <w:r w:rsidR="006C03D1">
        <w:t xml:space="preserve"> and ozone</w:t>
      </w:r>
      <w:r w:rsidR="00294129">
        <w:t xml:space="preserve"> did not change. The VOC index is designed to rest at 100, and increases when the current reading is higher than the 24 hour average, and drops below 100, when the current air quality is better then the 24 hour average. </w:t>
      </w:r>
      <w:r w:rsidR="00F12F02">
        <w:t xml:space="preserve">The VOC index dropped from 100 to 98 while the reference unit measured a drop in tVOC and </w:t>
      </w:r>
      <w:r w:rsidR="006C03D1">
        <w:t>CH</w:t>
      </w:r>
      <w:r w:rsidR="006C03D1">
        <w:rPr>
          <w:vertAlign w:val="subscript"/>
        </w:rPr>
        <w:t>2</w:t>
      </w:r>
      <w:r w:rsidR="006C03D1">
        <w:t>O and</w:t>
      </w:r>
      <w:r w:rsidR="00F12F02">
        <w:t xml:space="preserve"> returned to 100 after the event. The index</w:t>
      </w:r>
      <w:r w:rsidR="006C03D1">
        <w:t xml:space="preserve"> read </w:t>
      </w:r>
      <w:r w:rsidR="00F12F02">
        <w:t xml:space="preserve">147 </w:t>
      </w:r>
      <w:r w:rsidR="006C03D1">
        <w:t>then</w:t>
      </w:r>
      <w:r w:rsidR="00F12F02">
        <w:t xml:space="preserve"> 178</w:t>
      </w:r>
      <w:r w:rsidR="006C03D1">
        <w:t xml:space="preserve"> before </w:t>
      </w:r>
      <w:r w:rsidR="006C2918">
        <w:t>settling</w:t>
      </w:r>
      <w:r w:rsidR="006C03D1">
        <w:t xml:space="preserve"> </w:t>
      </w:r>
      <w:r w:rsidR="006C2918">
        <w:t>at</w:t>
      </w:r>
      <w:r w:rsidR="006C03D1">
        <w:t xml:space="preserve"> 100</w:t>
      </w:r>
      <w:r w:rsidR="00F12F02">
        <w:t xml:space="preserve">, </w:t>
      </w:r>
      <w:r w:rsidR="006C03D1">
        <w:t>at the same time as the</w:t>
      </w:r>
      <w:r w:rsidR="00F12F02">
        <w:t xml:space="preserve"> tVOC </w:t>
      </w:r>
      <w:r w:rsidR="006C03D1">
        <w:t xml:space="preserve">raised </w:t>
      </w:r>
      <w:r w:rsidR="00F12F02">
        <w:t xml:space="preserve">from 0.214 </w:t>
      </w:r>
      <w:r w:rsidR="00F12F02" w:rsidRPr="00F12F02">
        <w:rPr>
          <w:lang w:val="el-GR"/>
        </w:rPr>
        <w:t>μ</w:t>
      </w:r>
      <w:r w:rsidR="00F12F02" w:rsidRPr="00F12F02">
        <w:t>g/m³</w:t>
      </w:r>
      <w:r w:rsidR="00F12F02">
        <w:t xml:space="preserve"> to 0.394</w:t>
      </w:r>
      <w:r w:rsidR="00F12F02" w:rsidRPr="004701D0">
        <w:rPr>
          <w:rFonts w:eastAsiaTheme="minorEastAsia" w:cs="Times New Roman"/>
          <w:color w:val="939393"/>
          <w:kern w:val="24"/>
          <w:lang w:val="el-GR" w:eastAsia="en-GB"/>
        </w:rPr>
        <w:t xml:space="preserve"> </w:t>
      </w:r>
      <w:r w:rsidR="00F12F02" w:rsidRPr="00F12F02">
        <w:rPr>
          <w:lang w:val="el-GR"/>
        </w:rPr>
        <w:t>μ</w:t>
      </w:r>
      <w:r w:rsidR="00F12F02" w:rsidRPr="00F12F02">
        <w:t>g/m³</w:t>
      </w:r>
      <w:r w:rsidR="00F12F02">
        <w:t xml:space="preserve">, </w:t>
      </w:r>
      <w:r w:rsidR="006C03D1">
        <w:t>which</w:t>
      </w:r>
      <w:r w:rsidR="00F12F02">
        <w:t xml:space="preserve"> is a 84.1% raise, compared to the index raising 78%.</w:t>
      </w:r>
    </w:p>
    <w:p w14:paraId="3DC3361C" w14:textId="58911EAF" w:rsidR="00834C34" w:rsidRPr="00F12F02" w:rsidRDefault="00834C34" w:rsidP="003139DA">
      <w:pPr>
        <w:rPr>
          <w:lang w:val="el-GR"/>
        </w:rPr>
      </w:pPr>
    </w:p>
    <w:p w14:paraId="6965ECBF" w14:textId="77777777" w:rsidR="00BF3AA5" w:rsidRDefault="00834C34" w:rsidP="00BF3AA5">
      <w:pPr>
        <w:keepNext/>
        <w:ind w:hanging="993"/>
      </w:pPr>
      <w:r>
        <w:rPr>
          <w:noProof/>
        </w:rPr>
        <w:drawing>
          <wp:inline distT="0" distB="0" distL="0" distR="0" wp14:anchorId="6E35239B" wp14:editId="60319C26">
            <wp:extent cx="6926580" cy="3009900"/>
            <wp:effectExtent l="0" t="0" r="0" b="0"/>
            <wp:docPr id="16" name="Chart 16">
              <a:extLst xmlns:a="http://schemas.openxmlformats.org/drawingml/2006/main">
                <a:ext uri="{FF2B5EF4-FFF2-40B4-BE49-F238E27FC236}">
                  <a16:creationId xmlns:a16="http://schemas.microsoft.com/office/drawing/2014/main" id="{6187EF67-7323-42D5-8460-D1986CB262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2F3B86A" w14:textId="374DB796" w:rsidR="00834C34" w:rsidRPr="00BF3AA5" w:rsidRDefault="00BF3AA5" w:rsidP="00BF3AA5">
      <w:pPr>
        <w:pStyle w:val="Caption"/>
        <w:rPr>
          <w:color w:val="000000" w:themeColor="text1"/>
          <w:sz w:val="20"/>
          <w:szCs w:val="20"/>
        </w:rPr>
      </w:pPr>
      <w:bookmarkStart w:id="36" w:name="_Toc133342758"/>
      <w:r w:rsidRPr="00BF3AA5">
        <w:rPr>
          <w:color w:val="000000" w:themeColor="text1"/>
          <w:sz w:val="20"/>
          <w:szCs w:val="20"/>
        </w:rPr>
        <w:t xml:space="preserve">Figure </w:t>
      </w:r>
      <w:r w:rsidRPr="00BF3AA5">
        <w:rPr>
          <w:color w:val="000000" w:themeColor="text1"/>
          <w:sz w:val="20"/>
          <w:szCs w:val="20"/>
        </w:rPr>
        <w:fldChar w:fldCharType="begin"/>
      </w:r>
      <w:r w:rsidRPr="00BF3AA5">
        <w:rPr>
          <w:color w:val="000000" w:themeColor="text1"/>
          <w:sz w:val="20"/>
          <w:szCs w:val="20"/>
        </w:rPr>
        <w:instrText xml:space="preserve"> SEQ Figure \* ARABIC </w:instrText>
      </w:r>
      <w:r w:rsidRPr="00BF3AA5">
        <w:rPr>
          <w:color w:val="000000" w:themeColor="text1"/>
          <w:sz w:val="20"/>
          <w:szCs w:val="20"/>
        </w:rPr>
        <w:fldChar w:fldCharType="separate"/>
      </w:r>
      <w:r w:rsidR="00657099">
        <w:rPr>
          <w:noProof/>
          <w:color w:val="000000" w:themeColor="text1"/>
          <w:sz w:val="20"/>
          <w:szCs w:val="20"/>
        </w:rPr>
        <w:t>21</w:t>
      </w:r>
      <w:r w:rsidRPr="00BF3AA5">
        <w:rPr>
          <w:color w:val="000000" w:themeColor="text1"/>
          <w:sz w:val="20"/>
          <w:szCs w:val="20"/>
        </w:rPr>
        <w:fldChar w:fldCharType="end"/>
      </w:r>
      <w:r w:rsidRPr="00BF3AA5">
        <w:rPr>
          <w:color w:val="000000" w:themeColor="text1"/>
          <w:sz w:val="20"/>
          <w:szCs w:val="20"/>
        </w:rPr>
        <w:t xml:space="preserve"> - SEN55 Baseline Comparison</w:t>
      </w:r>
      <w:bookmarkEnd w:id="36"/>
    </w:p>
    <w:p w14:paraId="12E2F997" w14:textId="77777777" w:rsidR="00834C34" w:rsidRPr="002F3E5C" w:rsidRDefault="00834C34" w:rsidP="003139DA"/>
    <w:p w14:paraId="076E561F" w14:textId="77777777" w:rsidR="005128E4" w:rsidRDefault="005128E4">
      <w:pPr>
        <w:spacing w:after="160"/>
        <w:jc w:val="left"/>
        <w:rPr>
          <w:rFonts w:eastAsiaTheme="majorEastAsia" w:cstheme="majorBidi"/>
          <w:b/>
          <w:bCs/>
          <w:caps/>
          <w:sz w:val="28"/>
          <w:szCs w:val="28"/>
        </w:rPr>
      </w:pPr>
      <w:r>
        <w:br w:type="page"/>
      </w:r>
    </w:p>
    <w:p w14:paraId="36F4FC83" w14:textId="0FD89A4C" w:rsidR="00BF3AA5" w:rsidRDefault="004547C7" w:rsidP="009B46E7">
      <w:pPr>
        <w:spacing w:after="160"/>
        <w:ind w:firstLine="720"/>
      </w:pPr>
      <w:r>
        <w:lastRenderedPageBreak/>
        <w:t xml:space="preserve">I also ran some tests where I would aerosolise a pollutant and measure the effect. I was inspired by the experiments </w:t>
      </w:r>
      <w:r w:rsidR="009B46E7">
        <w:t xml:space="preserve">done </w:t>
      </w:r>
      <w:r>
        <w:t xml:space="preserve">by </w:t>
      </w:r>
      <w:r w:rsidR="006C03D1">
        <w:t>Dr</w:t>
      </w:r>
      <w:r w:rsidR="006C03D1" w:rsidRPr="006C03D1">
        <w:t xml:space="preserve"> </w:t>
      </w:r>
      <w:proofErr w:type="spellStart"/>
      <w:r w:rsidR="006C03D1" w:rsidRPr="006C03D1">
        <w:t>Salimifard</w:t>
      </w:r>
      <w:proofErr w:type="spellEnd"/>
      <w:r w:rsidR="006C03D1">
        <w:t xml:space="preserve"> and her co-authors</w:t>
      </w:r>
      <w:r w:rsidR="009B46E7">
        <w:t xml:space="preserve"> </w:t>
      </w:r>
      <w:r w:rsidR="009B46E7">
        <w:fldChar w:fldCharType="begin"/>
      </w:r>
      <w:r w:rsidR="00130BB9">
        <w:instrText xml:space="preserve"> ADDIN ZOTERO_ITEM CSL_CITATION {"citationID":"SpqW4Z52","properties":{"formattedCitation":"[29]","plainCitation":"[29]","noteIndex":0},"citationItems":[{"id":247,"uris":["http://zotero.org/users/10518850/items/CKYJNMZN"],"itemData":{"id":247,"type":"article-journal","abstract":"Low-cost optical particle counters (OPC) have gained increasing attention in recent years in exposure studies. Previous studies reported that the OPCs’ performance varies considerably with type of particles being measured; however, little information on their performance in monitoring common indoor aerosols is available. Given the significance of exposure to indoor aerosols and their associated adverse health effects, this experimental study investigates the performance of low-cost OPCs in monitoring individual aerosols that are commonly found indoors in a controlled chamber environment. Performances of four low-cost OPCs were examined under exposure to varying concentrations of biological (dust mite, pollen, cat, and dog fur) and non-biological (monodisperse silica and melamine resin) aerosols. Each particle sample was dispersed into the chamber using a computer-controlled syringe injection system, while size-resolved particle number concentrations were simultaneously measured by four low-cost OPCs (OPC N2, IC Sentinel, Speck, and Dylos) as well as a lab-grade reference sensor (AeroTrak). The study results showed measurable effects of particle size, particle type, and concentration on the low-cost OPC responses. Particle concentration had the most dominant effect on the linearity of low-cost sensors. Results also revealed that the sensor responses to four biological particles follow a similar pattern and converge to a linear line as the number concentration increases above 5 cm−3. As for non-biological particles, the OPC responses were more varied depending on the particle type and size, especially in the concentration range &lt;10 cm−3. Calibration equations developed in this study provide baseline information for correcting low-cost OPC readings when utilized to measure concentrations of individual indoor aerosol sources.Copyright © 2019 American Association for Aerosol Research","container-title":"Aerosol Science and Technology","DOI":"10.1080/02786826.2019.1697423","ISSN":"0278-6826","issue":"2","note":"publisher: Taylor &amp; Francis\n_eprint: https://doi.org/10.1080/02786826.2019.1697423","page":"217-231","source":"Taylor and Francis+NEJM","title":"Evaluation of low-cost optical particle counters for monitoring individual indoor aerosol sources","volume":"54","author":[{"family":"Salimifard","given":"Parichehr"},{"family":"Rim","given":"Donghyun"},{"family":"Freihaut","given":"James D."}],"issued":{"date-parts":[["2020",2,1]]}}}],"schema":"https://github.com/citation-style-language/schema/raw/master/csl-citation.json"} </w:instrText>
      </w:r>
      <w:r w:rsidR="009B46E7">
        <w:fldChar w:fldCharType="separate"/>
      </w:r>
      <w:r w:rsidR="00130BB9" w:rsidRPr="00130BB9">
        <w:rPr>
          <w:rFonts w:cs="Times New Roman"/>
        </w:rPr>
        <w:t>[29]</w:t>
      </w:r>
      <w:r w:rsidR="009B46E7">
        <w:fldChar w:fldCharType="end"/>
      </w:r>
      <w:r>
        <w:t xml:space="preserve">, where they placed a number of sensors in </w:t>
      </w:r>
      <w:r w:rsidR="006C03D1">
        <w:t>an</w:t>
      </w:r>
      <w:r>
        <w:t xml:space="preserve"> airtight </w:t>
      </w:r>
      <w:r w:rsidR="006C03D1">
        <w:t>chamber</w:t>
      </w:r>
      <w:r>
        <w:t xml:space="preserve"> and inserted a set amount of a compound</w:t>
      </w:r>
      <w:r w:rsidR="009B46E7">
        <w:t xml:space="preserve"> shown in figure </w:t>
      </w:r>
      <w:r w:rsidR="00BD6D48">
        <w:t>22</w:t>
      </w:r>
      <w:r>
        <w:t>. As they knew the size</w:t>
      </w:r>
      <w:r w:rsidR="006C03D1">
        <w:t xml:space="preserve"> and </w:t>
      </w:r>
      <w:r w:rsidR="009B46E7">
        <w:t>weight</w:t>
      </w:r>
      <w:r>
        <w:t xml:space="preserve"> of their chosen compounds and the volume of the </w:t>
      </w:r>
      <w:r w:rsidR="003A2B93">
        <w:t>chamber,</w:t>
      </w:r>
      <w:r>
        <w:t xml:space="preserve"> they were able to calculate the expected results. For my method </w:t>
      </w:r>
      <w:r w:rsidR="006E519A">
        <w:t>I created</w:t>
      </w:r>
      <w:r>
        <w:t xml:space="preserve"> </w:t>
      </w:r>
      <w:r w:rsidR="006E519A">
        <w:t>two</w:t>
      </w:r>
      <w:r>
        <w:t xml:space="preserve"> event</w:t>
      </w:r>
      <w:r w:rsidR="006E519A">
        <w:t>s</w:t>
      </w:r>
      <w:r>
        <w:t xml:space="preserve"> with </w:t>
      </w:r>
      <w:r w:rsidR="006E519A">
        <w:t>different</w:t>
      </w:r>
      <w:r>
        <w:t xml:space="preserve"> mixtures, acetone and antiperspirant. Acetone is organic and highly volatile, so would be suitable to test the VOC sensors. The antiperspirant contains aluminium chloralhydrate which has a particle size of between 10</w:t>
      </w:r>
      <w:r w:rsidRPr="004547C7">
        <w:rPr>
          <w:lang w:val="el-GR"/>
        </w:rPr>
        <w:t>μ</w:t>
      </w:r>
      <w:r>
        <w:t>m and 15</w:t>
      </w:r>
      <w:r w:rsidRPr="004547C7">
        <w:rPr>
          <w:lang w:val="el-GR"/>
        </w:rPr>
        <w:t>μ</w:t>
      </w:r>
      <w:r>
        <w:t>m as well as other compounds of smaller diameters</w:t>
      </w:r>
      <w:r w:rsidR="009B46E7">
        <w:t xml:space="preserve"> so </w:t>
      </w:r>
      <w:r w:rsidR="006C2918">
        <w:t xml:space="preserve">is </w:t>
      </w:r>
      <w:r w:rsidR="009B46E7">
        <w:t>a suitable compound to test the particulate sensor</w:t>
      </w:r>
      <w:r w:rsidR="006E519A">
        <w:t>.</w:t>
      </w:r>
    </w:p>
    <w:p w14:paraId="4EF9AAFF" w14:textId="77777777" w:rsidR="00BF3AA5" w:rsidRDefault="00BF3AA5" w:rsidP="009B46E7">
      <w:pPr>
        <w:spacing w:after="160"/>
        <w:ind w:firstLine="720"/>
      </w:pPr>
    </w:p>
    <w:p w14:paraId="3CF8D3F5" w14:textId="77777777" w:rsidR="00BF3AA5" w:rsidRDefault="00BF3AA5" w:rsidP="009B46E7">
      <w:pPr>
        <w:spacing w:after="160"/>
        <w:ind w:firstLine="720"/>
      </w:pPr>
    </w:p>
    <w:p w14:paraId="55CA8120" w14:textId="77777777" w:rsidR="00BF3AA5" w:rsidRDefault="00BF3AA5" w:rsidP="009B46E7">
      <w:pPr>
        <w:spacing w:after="160"/>
        <w:ind w:firstLine="720"/>
      </w:pPr>
    </w:p>
    <w:p w14:paraId="2CB1D05A" w14:textId="77777777" w:rsidR="00BF3AA5" w:rsidRDefault="00BF3AA5" w:rsidP="009B46E7">
      <w:pPr>
        <w:spacing w:after="160"/>
        <w:ind w:firstLine="720"/>
      </w:pPr>
    </w:p>
    <w:p w14:paraId="6641D9E0" w14:textId="77777777" w:rsidR="00BF3AA5" w:rsidRDefault="00BF3AA5" w:rsidP="009B46E7">
      <w:pPr>
        <w:spacing w:after="160"/>
        <w:ind w:firstLine="720"/>
      </w:pPr>
    </w:p>
    <w:p w14:paraId="0F63B416" w14:textId="3C92C950" w:rsidR="005128E4" w:rsidRDefault="004547C7" w:rsidP="009B46E7">
      <w:pPr>
        <w:spacing w:after="160"/>
        <w:ind w:firstLine="720"/>
      </w:pPr>
      <w:r>
        <w:t xml:space="preserve">. </w:t>
      </w:r>
    </w:p>
    <w:p w14:paraId="75BA4DDD" w14:textId="77777777" w:rsidR="00BF3AA5" w:rsidRDefault="009B46E7" w:rsidP="00BF3AA5">
      <w:pPr>
        <w:keepNext/>
        <w:spacing w:after="160"/>
        <w:ind w:firstLine="720"/>
        <w:jc w:val="left"/>
      </w:pPr>
      <w:r w:rsidRPr="009B46E7">
        <w:rPr>
          <w:noProof/>
        </w:rPr>
        <w:drawing>
          <wp:inline distT="0" distB="0" distL="0" distR="0" wp14:anchorId="646728E8" wp14:editId="64994B0F">
            <wp:extent cx="5357324" cy="3307367"/>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7324" cy="3307367"/>
                    </a:xfrm>
                    <a:prstGeom prst="rect">
                      <a:avLst/>
                    </a:prstGeom>
                  </pic:spPr>
                </pic:pic>
              </a:graphicData>
            </a:graphic>
          </wp:inline>
        </w:drawing>
      </w:r>
    </w:p>
    <w:p w14:paraId="2892331F" w14:textId="2631CC40" w:rsidR="009B46E7" w:rsidRPr="00BF3AA5" w:rsidRDefault="00BF3AA5" w:rsidP="00BF3AA5">
      <w:pPr>
        <w:pStyle w:val="Caption"/>
        <w:jc w:val="left"/>
        <w:rPr>
          <w:color w:val="000000" w:themeColor="text1"/>
          <w:sz w:val="20"/>
          <w:szCs w:val="20"/>
        </w:rPr>
      </w:pPr>
      <w:bookmarkStart w:id="37" w:name="_Toc133342759"/>
      <w:r w:rsidRPr="00BF3AA5">
        <w:rPr>
          <w:color w:val="000000" w:themeColor="text1"/>
          <w:sz w:val="20"/>
          <w:szCs w:val="20"/>
        </w:rPr>
        <w:t xml:space="preserve">Figure </w:t>
      </w:r>
      <w:r w:rsidRPr="00BF3AA5">
        <w:rPr>
          <w:color w:val="000000" w:themeColor="text1"/>
          <w:sz w:val="20"/>
          <w:szCs w:val="20"/>
        </w:rPr>
        <w:fldChar w:fldCharType="begin"/>
      </w:r>
      <w:r w:rsidRPr="00BF3AA5">
        <w:rPr>
          <w:color w:val="000000" w:themeColor="text1"/>
          <w:sz w:val="20"/>
          <w:szCs w:val="20"/>
        </w:rPr>
        <w:instrText xml:space="preserve"> SEQ Figure \* ARABIC </w:instrText>
      </w:r>
      <w:r w:rsidRPr="00BF3AA5">
        <w:rPr>
          <w:color w:val="000000" w:themeColor="text1"/>
          <w:sz w:val="20"/>
          <w:szCs w:val="20"/>
        </w:rPr>
        <w:fldChar w:fldCharType="separate"/>
      </w:r>
      <w:r w:rsidR="00657099">
        <w:rPr>
          <w:noProof/>
          <w:color w:val="000000" w:themeColor="text1"/>
          <w:sz w:val="20"/>
          <w:szCs w:val="20"/>
        </w:rPr>
        <w:t>22</w:t>
      </w:r>
      <w:r w:rsidRPr="00BF3AA5">
        <w:rPr>
          <w:color w:val="000000" w:themeColor="text1"/>
          <w:sz w:val="20"/>
          <w:szCs w:val="20"/>
        </w:rPr>
        <w:fldChar w:fldCharType="end"/>
      </w:r>
      <w:r w:rsidRPr="00BF3AA5">
        <w:rPr>
          <w:color w:val="000000" w:themeColor="text1"/>
          <w:sz w:val="20"/>
          <w:szCs w:val="20"/>
        </w:rPr>
        <w:t xml:space="preserve"> – Dr </w:t>
      </w:r>
      <w:proofErr w:type="spellStart"/>
      <w:r w:rsidRPr="00BF3AA5">
        <w:rPr>
          <w:color w:val="000000" w:themeColor="text1"/>
          <w:sz w:val="20"/>
          <w:szCs w:val="20"/>
        </w:rPr>
        <w:t>Salimifard’s</w:t>
      </w:r>
      <w:proofErr w:type="spellEnd"/>
      <w:r w:rsidRPr="00BF3AA5">
        <w:rPr>
          <w:color w:val="000000" w:themeColor="text1"/>
          <w:sz w:val="20"/>
          <w:szCs w:val="20"/>
        </w:rPr>
        <w:t xml:space="preserve"> experiment</w:t>
      </w:r>
      <w:bookmarkEnd w:id="37"/>
    </w:p>
    <w:p w14:paraId="03723B21" w14:textId="77777777" w:rsidR="00BF3AA5" w:rsidRDefault="00BF3AA5">
      <w:pPr>
        <w:spacing w:after="160"/>
        <w:jc w:val="left"/>
      </w:pPr>
      <w:r>
        <w:br w:type="page"/>
      </w:r>
    </w:p>
    <w:p w14:paraId="0EFE0698" w14:textId="07505173" w:rsidR="00D449A4" w:rsidRDefault="00D449A4" w:rsidP="006E519A">
      <w:pPr>
        <w:spacing w:after="160"/>
        <w:ind w:firstLine="720"/>
      </w:pPr>
      <w:r>
        <w:lastRenderedPageBreak/>
        <w:t>I plotted t</w:t>
      </w:r>
      <w:r w:rsidR="000F76CA">
        <w:t>he</w:t>
      </w:r>
      <w:r>
        <w:t xml:space="preserve"> BME680 VOC reading and the SEN55 VOC index reading on separate charts against my reference device. The reference device </w:t>
      </w:r>
      <w:r w:rsidR="006E519A">
        <w:t>went out of range</w:t>
      </w:r>
      <w:r>
        <w:t xml:space="preserve"> at 9.999</w:t>
      </w:r>
      <w:r w:rsidRPr="004701D0">
        <w:rPr>
          <w:rFonts w:eastAsiaTheme="minorEastAsia" w:cs="Times New Roman"/>
          <w:color w:val="939393"/>
          <w:kern w:val="24"/>
          <w:lang w:val="el-GR" w:eastAsia="en-GB"/>
        </w:rPr>
        <w:t xml:space="preserve"> </w:t>
      </w:r>
      <w:r w:rsidRPr="00D449A4">
        <w:rPr>
          <w:lang w:val="el-GR"/>
        </w:rPr>
        <w:t>μ</w:t>
      </w:r>
      <w:r w:rsidRPr="00D449A4">
        <w:t>g/m³</w:t>
      </w:r>
      <w:r>
        <w:t xml:space="preserve"> and 1.999</w:t>
      </w:r>
      <w:r w:rsidRPr="004701D0">
        <w:rPr>
          <w:rFonts w:eastAsiaTheme="minorEastAsia" w:cs="Times New Roman"/>
          <w:color w:val="939393"/>
          <w:kern w:val="24"/>
          <w:lang w:val="el-GR" w:eastAsia="en-GB"/>
        </w:rPr>
        <w:t xml:space="preserve"> </w:t>
      </w:r>
      <w:r w:rsidRPr="00D449A4">
        <w:rPr>
          <w:lang w:val="el-GR"/>
        </w:rPr>
        <w:t>μ</w:t>
      </w:r>
      <w:r w:rsidRPr="00D449A4">
        <w:t>g/m³</w:t>
      </w:r>
      <w:r>
        <w:t xml:space="preserve"> of tVOC and CH</w:t>
      </w:r>
      <w:r>
        <w:rPr>
          <w:vertAlign w:val="subscript"/>
        </w:rPr>
        <w:t>2</w:t>
      </w:r>
      <w:r>
        <w:t>O respectively within 2 seconds of the event, and the BME680 peaked at 665</w:t>
      </w:r>
      <w:r w:rsidRPr="004701D0">
        <w:rPr>
          <w:rFonts w:eastAsiaTheme="minorEastAsia" w:cs="Times New Roman"/>
          <w:color w:val="939393"/>
          <w:kern w:val="24"/>
          <w:lang w:val="el-GR" w:eastAsia="en-GB"/>
        </w:rPr>
        <w:t xml:space="preserve"> </w:t>
      </w:r>
      <w:r w:rsidRPr="00D449A4">
        <w:rPr>
          <w:lang w:val="el-GR"/>
        </w:rPr>
        <w:t>Ω</w:t>
      </w:r>
      <w:r>
        <w:t xml:space="preserve"> after 12 seconds. The SEN55 took 28 seconds from the event to reach the peak VOC index. The </w:t>
      </w:r>
      <w:r w:rsidR="008946EA">
        <w:t>CH</w:t>
      </w:r>
      <w:r w:rsidR="008946EA">
        <w:rPr>
          <w:vertAlign w:val="subscript"/>
        </w:rPr>
        <w:t>2</w:t>
      </w:r>
      <w:r w:rsidR="008946EA">
        <w:t xml:space="preserve">O stayed out of range for 38 seconds and tVOC stayed out of range for 1 minute and 6 seconds. </w:t>
      </w:r>
    </w:p>
    <w:p w14:paraId="180C4EE6" w14:textId="77777777" w:rsidR="00BF3AA5" w:rsidRDefault="00BF3AA5" w:rsidP="006E519A">
      <w:pPr>
        <w:spacing w:after="160"/>
        <w:ind w:firstLine="720"/>
        <w:rPr>
          <w:lang w:val="el-GR"/>
        </w:rPr>
      </w:pPr>
    </w:p>
    <w:p w14:paraId="7BAC2C85" w14:textId="77777777" w:rsidR="00BF3AA5" w:rsidRPr="00D449A4" w:rsidRDefault="00BF3AA5" w:rsidP="00BF3AA5">
      <w:pPr>
        <w:spacing w:after="160"/>
        <w:jc w:val="left"/>
        <w:rPr>
          <w:lang w:val="el-GR"/>
        </w:rPr>
      </w:pPr>
    </w:p>
    <w:p w14:paraId="73E80975" w14:textId="77777777" w:rsidR="005C2043" w:rsidRDefault="005128E4" w:rsidP="005C2043">
      <w:pPr>
        <w:keepNext/>
        <w:spacing w:after="160"/>
        <w:ind w:hanging="993"/>
        <w:jc w:val="left"/>
      </w:pPr>
      <w:r>
        <w:rPr>
          <w:noProof/>
        </w:rPr>
        <w:drawing>
          <wp:inline distT="0" distB="0" distL="0" distR="0" wp14:anchorId="1A758BA9" wp14:editId="3804D9DD">
            <wp:extent cx="6943725" cy="2933700"/>
            <wp:effectExtent l="0" t="0" r="0" b="0"/>
            <wp:docPr id="19" name="Chart 19">
              <a:extLst xmlns:a="http://schemas.openxmlformats.org/drawingml/2006/main">
                <a:ext uri="{FF2B5EF4-FFF2-40B4-BE49-F238E27FC236}">
                  <a16:creationId xmlns:a16="http://schemas.microsoft.com/office/drawing/2014/main" id="{1A9CBAEB-4652-AB3A-CD5A-C5673895A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DE7C84" w14:textId="632C261D" w:rsidR="005128E4" w:rsidRPr="005C2043" w:rsidRDefault="005C2043" w:rsidP="005C2043">
      <w:pPr>
        <w:pStyle w:val="Caption"/>
        <w:jc w:val="left"/>
        <w:rPr>
          <w:color w:val="000000" w:themeColor="text1"/>
          <w:sz w:val="20"/>
          <w:szCs w:val="20"/>
        </w:rPr>
      </w:pPr>
      <w:bookmarkStart w:id="38" w:name="_Toc133342760"/>
      <w:r w:rsidRPr="005C2043">
        <w:rPr>
          <w:color w:val="000000" w:themeColor="text1"/>
          <w:sz w:val="20"/>
          <w:szCs w:val="20"/>
        </w:rPr>
        <w:t xml:space="preserve">Figure </w:t>
      </w:r>
      <w:r w:rsidRPr="005C2043">
        <w:rPr>
          <w:color w:val="000000" w:themeColor="text1"/>
          <w:sz w:val="20"/>
          <w:szCs w:val="20"/>
        </w:rPr>
        <w:fldChar w:fldCharType="begin"/>
      </w:r>
      <w:r w:rsidRPr="005C2043">
        <w:rPr>
          <w:color w:val="000000" w:themeColor="text1"/>
          <w:sz w:val="20"/>
          <w:szCs w:val="20"/>
        </w:rPr>
        <w:instrText xml:space="preserve"> SEQ Figure \* ARABIC </w:instrText>
      </w:r>
      <w:r w:rsidRPr="005C2043">
        <w:rPr>
          <w:color w:val="000000" w:themeColor="text1"/>
          <w:sz w:val="20"/>
          <w:szCs w:val="20"/>
        </w:rPr>
        <w:fldChar w:fldCharType="separate"/>
      </w:r>
      <w:r w:rsidR="00657099">
        <w:rPr>
          <w:noProof/>
          <w:color w:val="000000" w:themeColor="text1"/>
          <w:sz w:val="20"/>
          <w:szCs w:val="20"/>
        </w:rPr>
        <w:t>23</w:t>
      </w:r>
      <w:r w:rsidRPr="005C2043">
        <w:rPr>
          <w:color w:val="000000" w:themeColor="text1"/>
          <w:sz w:val="20"/>
          <w:szCs w:val="20"/>
        </w:rPr>
        <w:fldChar w:fldCharType="end"/>
      </w:r>
      <w:r w:rsidRPr="005C2043">
        <w:rPr>
          <w:color w:val="000000" w:themeColor="text1"/>
          <w:sz w:val="20"/>
          <w:szCs w:val="20"/>
        </w:rPr>
        <w:t xml:space="preserve"> - Acetone BME680</w:t>
      </w:r>
      <w:bookmarkEnd w:id="38"/>
    </w:p>
    <w:p w14:paraId="25EBABE9" w14:textId="77777777" w:rsidR="00BF3AA5" w:rsidRDefault="00BF3AA5" w:rsidP="005128E4">
      <w:pPr>
        <w:spacing w:after="160"/>
        <w:ind w:hanging="993"/>
        <w:jc w:val="left"/>
      </w:pPr>
    </w:p>
    <w:p w14:paraId="6430E2CE" w14:textId="77777777" w:rsidR="005C2043" w:rsidRDefault="005128E4" w:rsidP="005C2043">
      <w:pPr>
        <w:keepNext/>
        <w:spacing w:after="160"/>
        <w:ind w:hanging="993"/>
        <w:jc w:val="left"/>
      </w:pPr>
      <w:r>
        <w:rPr>
          <w:noProof/>
        </w:rPr>
        <w:drawing>
          <wp:inline distT="0" distB="0" distL="0" distR="0" wp14:anchorId="12C73F33" wp14:editId="2D26CDF3">
            <wp:extent cx="6943725" cy="2990850"/>
            <wp:effectExtent l="0" t="0" r="0" b="0"/>
            <wp:docPr id="20" name="Chart 20">
              <a:extLst xmlns:a="http://schemas.openxmlformats.org/drawingml/2006/main">
                <a:ext uri="{FF2B5EF4-FFF2-40B4-BE49-F238E27FC236}">
                  <a16:creationId xmlns:a16="http://schemas.microsoft.com/office/drawing/2014/main" id="{B2B4CC0B-2D23-4125-9362-B65E229E47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79EDB9" w14:textId="6DFAC7DA" w:rsidR="005C2043" w:rsidRPr="005C2043" w:rsidRDefault="005C2043" w:rsidP="005C2043">
      <w:pPr>
        <w:pStyle w:val="Caption"/>
        <w:jc w:val="left"/>
        <w:rPr>
          <w:color w:val="000000" w:themeColor="text1"/>
          <w:sz w:val="20"/>
          <w:szCs w:val="20"/>
        </w:rPr>
      </w:pPr>
      <w:bookmarkStart w:id="39" w:name="_Toc133342761"/>
      <w:r w:rsidRPr="005C2043">
        <w:rPr>
          <w:color w:val="000000" w:themeColor="text1"/>
          <w:sz w:val="20"/>
          <w:szCs w:val="20"/>
        </w:rPr>
        <w:t xml:space="preserve">Figure </w:t>
      </w:r>
      <w:r w:rsidRPr="005C2043">
        <w:rPr>
          <w:color w:val="000000" w:themeColor="text1"/>
          <w:sz w:val="20"/>
          <w:szCs w:val="20"/>
        </w:rPr>
        <w:fldChar w:fldCharType="begin"/>
      </w:r>
      <w:r w:rsidRPr="005C2043">
        <w:rPr>
          <w:color w:val="000000" w:themeColor="text1"/>
          <w:sz w:val="20"/>
          <w:szCs w:val="20"/>
        </w:rPr>
        <w:instrText xml:space="preserve"> SEQ Figure \* ARABIC </w:instrText>
      </w:r>
      <w:r w:rsidRPr="005C2043">
        <w:rPr>
          <w:color w:val="000000" w:themeColor="text1"/>
          <w:sz w:val="20"/>
          <w:szCs w:val="20"/>
        </w:rPr>
        <w:fldChar w:fldCharType="separate"/>
      </w:r>
      <w:r w:rsidR="00657099">
        <w:rPr>
          <w:noProof/>
          <w:color w:val="000000" w:themeColor="text1"/>
          <w:sz w:val="20"/>
          <w:szCs w:val="20"/>
        </w:rPr>
        <w:t>24</w:t>
      </w:r>
      <w:r w:rsidRPr="005C2043">
        <w:rPr>
          <w:color w:val="000000" w:themeColor="text1"/>
          <w:sz w:val="20"/>
          <w:szCs w:val="20"/>
        </w:rPr>
        <w:fldChar w:fldCharType="end"/>
      </w:r>
      <w:r w:rsidRPr="005C2043">
        <w:rPr>
          <w:color w:val="000000" w:themeColor="text1"/>
          <w:sz w:val="20"/>
          <w:szCs w:val="20"/>
        </w:rPr>
        <w:t xml:space="preserve"> - Acetone SEN55</w:t>
      </w:r>
      <w:bookmarkEnd w:id="39"/>
    </w:p>
    <w:p w14:paraId="26A2CC6C" w14:textId="20512623" w:rsidR="00D449A4" w:rsidRDefault="005128E4" w:rsidP="005128E4">
      <w:pPr>
        <w:spacing w:after="160"/>
        <w:ind w:hanging="993"/>
        <w:jc w:val="left"/>
      </w:pPr>
      <w:r>
        <w:lastRenderedPageBreak/>
        <w:t xml:space="preserve"> </w:t>
      </w:r>
    </w:p>
    <w:p w14:paraId="3C4E1D30" w14:textId="77777777" w:rsidR="008946EA" w:rsidRDefault="008946EA" w:rsidP="005128E4">
      <w:pPr>
        <w:spacing w:after="160"/>
        <w:ind w:hanging="993"/>
        <w:jc w:val="left"/>
      </w:pPr>
    </w:p>
    <w:p w14:paraId="31CF9533" w14:textId="77777777" w:rsidR="00BF3AA5" w:rsidRDefault="008946EA" w:rsidP="0014737C">
      <w:pPr>
        <w:spacing w:after="160"/>
        <w:ind w:hanging="993"/>
      </w:pPr>
      <w:r>
        <w:tab/>
      </w:r>
    </w:p>
    <w:p w14:paraId="2AB0B43A" w14:textId="148AAF63" w:rsidR="0009725C" w:rsidRDefault="00BF3AA5" w:rsidP="006E519A">
      <w:pPr>
        <w:spacing w:after="160"/>
      </w:pPr>
      <w:r>
        <w:tab/>
      </w:r>
      <w:r w:rsidR="008946EA">
        <w:t xml:space="preserve">To test the PM sensors, I sprayed </w:t>
      </w:r>
      <w:r w:rsidR="004701D0">
        <w:t xml:space="preserve">an aerosol containing </w:t>
      </w:r>
      <w:r w:rsidR="004701D0" w:rsidRPr="004701D0">
        <w:t xml:space="preserve">aluminium chloralhydrate which </w:t>
      </w:r>
      <w:r w:rsidR="004701D0">
        <w:t xml:space="preserve">due to its </w:t>
      </w:r>
      <w:r w:rsidR="004701D0" w:rsidRPr="004701D0">
        <w:t>particle size of between 10μm and 15μm</w:t>
      </w:r>
      <w:r w:rsidR="004701D0">
        <w:t>, should be detectable by the PM10 sensor. There are also other compounds o</w:t>
      </w:r>
      <w:r w:rsidR="0014737C">
        <w:t>f</w:t>
      </w:r>
      <w:r w:rsidR="004701D0">
        <w:t xml:space="preserve"> various sizes as well as butane and propane which are volatile organic compounds (VOC</w:t>
      </w:r>
      <w:r w:rsidR="003A2B93">
        <w:t>s</w:t>
      </w:r>
      <w:r w:rsidR="004701D0">
        <w:t xml:space="preserve">). </w:t>
      </w:r>
      <w:r w:rsidR="00AE1050">
        <w:t xml:space="preserve">The SEN55 responded faster than the reference device peaking after 4 seconds from the event, </w:t>
      </w:r>
      <w:r w:rsidR="0014737C">
        <w:t>whereas</w:t>
      </w:r>
      <w:r w:rsidR="00AE1050">
        <w:t xml:space="preserve"> the reference device took 6 seconds to </w:t>
      </w:r>
      <w:r w:rsidR="0014737C">
        <w:t>peak</w:t>
      </w:r>
      <w:r w:rsidR="00AE1050">
        <w:t xml:space="preserve">. The reference device also didn’t peak as high with 526 </w:t>
      </w:r>
      <w:r w:rsidR="00AE1050" w:rsidRPr="00AE1050">
        <w:rPr>
          <w:lang w:val="el-GR"/>
        </w:rPr>
        <w:t>μ</w:t>
      </w:r>
      <w:r w:rsidR="00AE1050" w:rsidRPr="00AE1050">
        <w:t>g/m³</w:t>
      </w:r>
      <w:r w:rsidR="00AE1050">
        <w:t xml:space="preserve"> of PM10 whereas the SEN55 measured 1252.6 526 </w:t>
      </w:r>
      <w:r w:rsidR="00AE1050" w:rsidRPr="00AE1050">
        <w:rPr>
          <w:lang w:val="el-GR"/>
        </w:rPr>
        <w:t>μ</w:t>
      </w:r>
      <w:r w:rsidR="00AE1050" w:rsidRPr="00AE1050">
        <w:t>g/m³</w:t>
      </w:r>
      <w:r w:rsidR="00AE1050">
        <w:t xml:space="preserve"> of PM10 at its peak. </w:t>
      </w:r>
      <w:r w:rsidR="003B29CC">
        <w:t>After 10 seconds from the event, the SEN55 and reference readings started to conv</w:t>
      </w:r>
      <w:r w:rsidR="006C2918">
        <w:t>erge</w:t>
      </w:r>
      <w:r w:rsidR="003B29CC">
        <w:t xml:space="preserve"> on one another to the point when PM 2.5 is 166</w:t>
      </w:r>
      <w:r w:rsidR="003B29CC" w:rsidRPr="003B29CC">
        <w:rPr>
          <w:lang w:val="el-GR"/>
        </w:rPr>
        <w:t xml:space="preserve"> </w:t>
      </w:r>
      <w:r w:rsidR="003B29CC" w:rsidRPr="00AE1050">
        <w:rPr>
          <w:lang w:val="el-GR"/>
        </w:rPr>
        <w:t>μ</w:t>
      </w:r>
      <w:r w:rsidR="003B29CC" w:rsidRPr="00AE1050">
        <w:t>g/m³</w:t>
      </w:r>
      <w:r w:rsidR="006E519A">
        <w:t>,</w:t>
      </w:r>
      <w:r w:rsidR="003B29CC">
        <w:t xml:space="preserve"> SEN55 is only reading 3</w:t>
      </w:r>
      <w:r w:rsidR="003B29CC" w:rsidRPr="003B29CC">
        <w:rPr>
          <w:lang w:val="el-GR"/>
        </w:rPr>
        <w:t xml:space="preserve"> </w:t>
      </w:r>
      <w:r w:rsidR="003B29CC" w:rsidRPr="00AE1050">
        <w:rPr>
          <w:lang w:val="el-GR"/>
        </w:rPr>
        <w:t>μ</w:t>
      </w:r>
      <w:r w:rsidR="003B29CC" w:rsidRPr="00AE1050">
        <w:t>g/m³</w:t>
      </w:r>
      <w:r w:rsidR="003B29CC">
        <w:t xml:space="preserve"> higher. </w:t>
      </w:r>
    </w:p>
    <w:p w14:paraId="711CB826" w14:textId="77777777" w:rsidR="00BF3AA5" w:rsidRDefault="00BF3AA5" w:rsidP="003A2B93">
      <w:pPr>
        <w:spacing w:after="160"/>
        <w:ind w:hanging="993"/>
        <w:jc w:val="left"/>
      </w:pPr>
    </w:p>
    <w:p w14:paraId="28B5E6FE" w14:textId="77777777" w:rsidR="005C2043" w:rsidRDefault="00AE1050" w:rsidP="005C2043">
      <w:pPr>
        <w:keepNext/>
        <w:spacing w:after="160"/>
        <w:ind w:hanging="993"/>
        <w:jc w:val="left"/>
      </w:pPr>
      <w:r>
        <w:rPr>
          <w:noProof/>
        </w:rPr>
        <w:drawing>
          <wp:inline distT="0" distB="0" distL="0" distR="0" wp14:anchorId="1626AE43" wp14:editId="0D1DB302">
            <wp:extent cx="6934200" cy="3114675"/>
            <wp:effectExtent l="0" t="0" r="0" b="0"/>
            <wp:docPr id="12" name="Chart 12">
              <a:extLst xmlns:a="http://schemas.openxmlformats.org/drawingml/2006/main">
                <a:ext uri="{FF2B5EF4-FFF2-40B4-BE49-F238E27FC236}">
                  <a16:creationId xmlns:a16="http://schemas.microsoft.com/office/drawing/2014/main" id="{1F7A26CC-D27F-2DC6-D57F-B6D5C09135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56B563E" w14:textId="5B410460" w:rsidR="005C2043" w:rsidRPr="005C2043" w:rsidRDefault="005C2043" w:rsidP="005C2043">
      <w:pPr>
        <w:pStyle w:val="Caption"/>
        <w:jc w:val="left"/>
        <w:rPr>
          <w:color w:val="000000" w:themeColor="text1"/>
          <w:sz w:val="20"/>
          <w:szCs w:val="20"/>
        </w:rPr>
      </w:pPr>
      <w:bookmarkStart w:id="40" w:name="_Toc133342762"/>
      <w:r w:rsidRPr="005C2043">
        <w:rPr>
          <w:color w:val="000000" w:themeColor="text1"/>
          <w:sz w:val="20"/>
          <w:szCs w:val="20"/>
        </w:rPr>
        <w:t xml:space="preserve">Figure </w:t>
      </w:r>
      <w:r w:rsidRPr="005C2043">
        <w:rPr>
          <w:color w:val="000000" w:themeColor="text1"/>
          <w:sz w:val="20"/>
          <w:szCs w:val="20"/>
        </w:rPr>
        <w:fldChar w:fldCharType="begin"/>
      </w:r>
      <w:r w:rsidRPr="005C2043">
        <w:rPr>
          <w:color w:val="000000" w:themeColor="text1"/>
          <w:sz w:val="20"/>
          <w:szCs w:val="20"/>
        </w:rPr>
        <w:instrText xml:space="preserve"> SEQ Figure \* ARABIC </w:instrText>
      </w:r>
      <w:r w:rsidRPr="005C2043">
        <w:rPr>
          <w:color w:val="000000" w:themeColor="text1"/>
          <w:sz w:val="20"/>
          <w:szCs w:val="20"/>
        </w:rPr>
        <w:fldChar w:fldCharType="separate"/>
      </w:r>
      <w:r w:rsidR="00657099">
        <w:rPr>
          <w:noProof/>
          <w:color w:val="000000" w:themeColor="text1"/>
          <w:sz w:val="20"/>
          <w:szCs w:val="20"/>
        </w:rPr>
        <w:t>25</w:t>
      </w:r>
      <w:r w:rsidRPr="005C2043">
        <w:rPr>
          <w:color w:val="000000" w:themeColor="text1"/>
          <w:sz w:val="20"/>
          <w:szCs w:val="20"/>
        </w:rPr>
        <w:fldChar w:fldCharType="end"/>
      </w:r>
      <w:r w:rsidRPr="005C2043">
        <w:rPr>
          <w:color w:val="000000" w:themeColor="text1"/>
          <w:sz w:val="20"/>
          <w:szCs w:val="20"/>
        </w:rPr>
        <w:t xml:space="preserve"> - Particulate Matter</w:t>
      </w:r>
      <w:bookmarkEnd w:id="40"/>
    </w:p>
    <w:p w14:paraId="5EF3CB4B" w14:textId="77777777" w:rsidR="005C2043" w:rsidRDefault="005C2043" w:rsidP="003A2B93">
      <w:pPr>
        <w:spacing w:after="160"/>
        <w:jc w:val="left"/>
      </w:pPr>
    </w:p>
    <w:p w14:paraId="4B1B50BF" w14:textId="1C9E38C7" w:rsidR="003A2B93" w:rsidRDefault="003A2B93" w:rsidP="0049652A">
      <w:pPr>
        <w:spacing w:after="160"/>
      </w:pPr>
      <w:r>
        <w:tab/>
        <w:t xml:space="preserve">The index </w:t>
      </w:r>
      <w:r w:rsidR="006C2918">
        <w:t xml:space="preserve">the </w:t>
      </w:r>
      <w:r>
        <w:t>SEN55</w:t>
      </w:r>
      <w:r w:rsidR="006C2918">
        <w:t xml:space="preserve"> generates</w:t>
      </w:r>
      <w:r>
        <w:t xml:space="preserve"> is an average of past readings which can be seen by the latency in the rise after the event. This is advantageous to avoid spurious readings but prevents a quick response from a spike in contaminants. </w:t>
      </w:r>
    </w:p>
    <w:p w14:paraId="392FDFC3" w14:textId="7D492EF2" w:rsidR="005128E4" w:rsidRPr="0009725C" w:rsidRDefault="003A2B93" w:rsidP="0049652A">
      <w:pPr>
        <w:spacing w:after="160"/>
      </w:pPr>
      <w:r>
        <w:tab/>
        <w:t xml:space="preserve">The quality of my tests fell short of the experiments I was inspired by, as I was unable </w:t>
      </w:r>
      <w:r w:rsidR="0009725C">
        <w:t xml:space="preserve">control the quality of the air during my baseline test, and I was unable to determine the quantity of the pollutant that I dispersed in the air as the tests weren’t self-contained and I didn’t know the exact make-up of the compounds. </w:t>
      </w:r>
      <w:r w:rsidR="0049652A">
        <w:t xml:space="preserve">However, the corelation between my device and the reference device were encouraging. </w:t>
      </w:r>
    </w:p>
    <w:p w14:paraId="4C1EE7A8" w14:textId="77777777" w:rsidR="0009725C" w:rsidRDefault="0009725C">
      <w:pPr>
        <w:spacing w:after="160"/>
        <w:jc w:val="left"/>
        <w:rPr>
          <w:rFonts w:eastAsiaTheme="majorEastAsia" w:cstheme="majorBidi"/>
          <w:b/>
          <w:bCs/>
          <w:caps/>
          <w:sz w:val="28"/>
          <w:szCs w:val="28"/>
        </w:rPr>
      </w:pPr>
      <w:r>
        <w:br w:type="page"/>
      </w:r>
    </w:p>
    <w:p w14:paraId="48636767" w14:textId="31D17915" w:rsidR="00291366" w:rsidRDefault="00291366" w:rsidP="00291366">
      <w:pPr>
        <w:pStyle w:val="Heading1"/>
      </w:pPr>
      <w:bookmarkStart w:id="41" w:name="_Toc133335247"/>
      <w:r>
        <w:lastRenderedPageBreak/>
        <w:t>Conclusion</w:t>
      </w:r>
      <w:bookmarkEnd w:id="41"/>
    </w:p>
    <w:p w14:paraId="33C5BC51" w14:textId="77777777" w:rsidR="0076352B" w:rsidRDefault="0076352B" w:rsidP="00517297">
      <w:pPr>
        <w:ind w:firstLine="720"/>
      </w:pPr>
    </w:p>
    <w:p w14:paraId="09B46411" w14:textId="7FDBF151" w:rsidR="00EB376F" w:rsidRDefault="006E519A" w:rsidP="00517297">
      <w:pPr>
        <w:ind w:firstLine="720"/>
      </w:pPr>
      <w:r w:rsidRPr="006E519A">
        <w:t xml:space="preserve">In </w:t>
      </w:r>
      <w:r>
        <w:t>conclusion, I was able to produce a prototype of the device I set out to design in my proposal. I was able to use the two sensors I proposed and collect their data.</w:t>
      </w:r>
      <w:r w:rsidR="00EB376F">
        <w:t xml:space="preserve"> I also met my objectives in the literature review of researching the viability of low cost sensors by covering the work of </w:t>
      </w:r>
      <w:r w:rsidR="00EB376F" w:rsidRPr="00EB376F">
        <w:rPr>
          <w:rFonts w:cs="Times New Roman"/>
        </w:rPr>
        <w:t xml:space="preserve">Venkatraman </w:t>
      </w:r>
      <w:proofErr w:type="spellStart"/>
      <w:r w:rsidR="00EB376F" w:rsidRPr="00EB376F">
        <w:rPr>
          <w:rFonts w:cs="Times New Roman"/>
        </w:rPr>
        <w:t>Jagatha</w:t>
      </w:r>
      <w:proofErr w:type="spellEnd"/>
      <w:r w:rsidR="00EB376F" w:rsidRPr="00EB376F">
        <w:rPr>
          <w:rFonts w:cs="Times New Roman"/>
        </w:rPr>
        <w:t xml:space="preserve"> </w:t>
      </w:r>
      <w:r w:rsidR="00EB376F">
        <w:fldChar w:fldCharType="begin"/>
      </w:r>
      <w:r w:rsidR="00EB376F">
        <w:instrText xml:space="preserve"> ADDIN ZOTERO_ITEM CSL_CITATION {"citationID":"I54PRFrF","properties":{"formattedCitation":"[9]","plainCitation":"[9]","noteIndex":0},"citationItems":[{"id":63,"uris":["http://zotero.org/users/10518850/items/FS9XM829"],"itemData":{"id":63,"type":"article-journal","abstract":"Over the last decade, manufacturers have come forth with cost-effective sensors for measuring ambient and indoor particulate matter concentration. What these sensors make up for in cost efﬁciency, they lack in reliability of the measured data due to their sensitivities to temperature and relative humidity. These weaknesses are especially evident when it comes to portable or mobile measurement setups. In recent years many studies have been conducted to assess the possibilities and limitations of these sensors, however mostly restricted to stationary measurements. This study reviews the published literature until 2020 on cost-effective sensors, summarizes the recommendations of experts in the ﬁeld based on their experiences, and outlines the quantile-mapping methodology to calibrate low-cost sensors in mobile applications. Compared to the commonly used linear regression method, quantile mapping retains the spatial characteristics of the measurements, although a common correction factor cannot be determined. We conclude that quantile mapping can be a useful calibration methodology for mobile measurements given a well-elaborated measurement plan assures providing the necessary data.","container-title":"Sensors","DOI":"10.3390/s21123960","ISSN":"1424-8220","issue":"12","journalAbbreviation":"Sensors","language":"en","page":"3960","source":"DOI.org (Crossref)","title":"Calibration Method for Particulate Matter Low-Cost Sensors Used in Ambient Air Quality Monitoring and Research","volume":"21","author":[{"family":"Venkatraman Jagatha","given":"Janani"},{"family":"Klausnitzer","given":"André"},{"family":"Chacón-Mateos","given":"Miriam"},{"family":"Laquai","given":"Bernd"},{"family":"Nieuwkoop","given":"Evert"},{"family":"Mark","given":"Peter","non-dropping-particle":"van der"},{"family":"Vogt","given":"Ulrich"},{"family":"Schneider","given":"Christoph"}],"issued":{"date-parts":[["2021",6,8]]}}}],"schema":"https://github.com/citation-style-language/schema/raw/master/csl-citation.json"} </w:instrText>
      </w:r>
      <w:r w:rsidR="00EB376F">
        <w:fldChar w:fldCharType="separate"/>
      </w:r>
      <w:r w:rsidR="00EB376F" w:rsidRPr="00EB376F">
        <w:rPr>
          <w:rFonts w:cs="Times New Roman"/>
        </w:rPr>
        <w:t>[9]</w:t>
      </w:r>
      <w:r w:rsidR="00EB376F">
        <w:fldChar w:fldCharType="end"/>
      </w:r>
      <w:r w:rsidR="00EB376F">
        <w:t xml:space="preserve">, </w:t>
      </w:r>
      <w:r w:rsidR="00EB376F" w:rsidRPr="00F00408">
        <w:t>Jiří</w:t>
      </w:r>
      <w:r w:rsidR="00EB376F">
        <w:t xml:space="preserve"> </w:t>
      </w:r>
      <w:r w:rsidR="00EB376F" w:rsidRPr="00F00408">
        <w:t>Bílek</w:t>
      </w:r>
      <w:r w:rsidR="00EB376F">
        <w:t xml:space="preserve"> </w:t>
      </w:r>
      <w:r w:rsidR="00EB376F">
        <w:fldChar w:fldCharType="begin"/>
      </w:r>
      <w:r w:rsidR="00EB376F">
        <w:instrText xml:space="preserve"> ADDIN ZOTERO_ITEM CSL_CITATION {"citationID":"sEiqr8qp","properties":{"formattedCitation":"[13]","plainCitation":"[13]","noteIndex":0},"citationItems":[{"id":68,"uris":["http://zotero.org/users/10518850/items/9ESAN4IZ"],"itemData":{"id":68,"type":"article-journal","abstract":"Sensor technology is attractive to the public due to its availability and ease of use. However, its usage raises numerous questions. The general trustworthiness of sensor data is widely discussed, especially with regard to accuracy, precision, and long-term signal stability. The VSB-Technical University of Ostrava has operated an air quality sensor network for more than two years, and its large sets of valid results can help in understanding the limitations of sensory measurement. Monitoring is focused on the concentrations of dust particles, NO2, and ozone to verify the impact of newly planted greenery on the reduction in air pollution. The sensor network currently covers an open ﬁeld on the outskirts of Ostrava, between Liberty Ironworks and the nearby ISKO1650 monitoring station, where some of the worst air pollution levels in the Czech Republic are regularly measured. In the future, trees should be allowed to grow over the sensors, enabling assessment of the green barrier effect on air pollution. As expected, the service life of the sensors varies from 1 to 3 years; therefore, checks are necessary both prior to the measurement and regularly during operation, verifying output stability and overall performance. Results of the PMx sensory measurements correlated well with the reference method. Concentration values measured by NO2 sensors correlated poorly with the reference method, although timeline plots of concentration changes were in accordance. We suggest that a comparison of timelines should be used for air quality evaluations, rather than particular values. The results showed that the sensor measurements are not yet suitable to replace the reference methods, and dense sensor networks proved useful and robust tools for indicative air quality measurements (AQM).","container-title":"Environments","DOI":"10.3390/environments8110114","ISSN":"2076-3298","issue":"11","journalAbbreviation":"Environments","language":"en","page":"114","source":"DOI.org (Crossref)","title":"Ambient Air Quality Measurement with Low-Cost Optical and Electrochemical Sensors: An Evaluation of Continuous Year-Long Operation","title-short":"Ambient Air Quality Measurement with Low-Cost Optical and Electrochemical Sensors","volume":"8","author":[{"family":"Bílek","given":"Jiří"},{"family":"Bílek","given":"Ondřej"},{"family":"Maršolek","given":"Petr"},{"family":"Buček","given":"Pavel"}],"issued":{"date-parts":[["2021",10,27]]}}}],"schema":"https://github.com/citation-style-language/schema/raw/master/csl-citation.json"} </w:instrText>
      </w:r>
      <w:r w:rsidR="00EB376F">
        <w:fldChar w:fldCharType="separate"/>
      </w:r>
      <w:r w:rsidR="00EB376F" w:rsidRPr="00EB376F">
        <w:rPr>
          <w:rFonts w:cs="Times New Roman"/>
        </w:rPr>
        <w:t>[13]</w:t>
      </w:r>
      <w:r w:rsidR="00EB376F">
        <w:fldChar w:fldCharType="end"/>
      </w:r>
      <w:r w:rsidR="00EB376F">
        <w:t xml:space="preserve">, and the Breathe London Project </w:t>
      </w:r>
      <w:r w:rsidR="00EB376F">
        <w:fldChar w:fldCharType="begin"/>
      </w:r>
      <w:r w:rsidR="00EB376F">
        <w:instrText xml:space="preserve"> ADDIN ZOTERO_ITEM CSL_CITATION {"citationID":"Gp14qAFz","properties":{"formattedCitation":"[14]","plainCitation":"[14]","noteIndex":0},"citationItems":[{"id":214,"uris":["http://zotero.org/users/10518850/items/YIEC3BDZ"],"itemData":{"id":214,"type":"webpage","abstract":"Breathe London combined state-of-the-art technology with new data analytics to better understand Londoners’ exposure to air pollution.","container-title":"Breathe London","language":"en-GB","title":"Breathe London Map","URL":"https://breathelondon.edf.org/","accessed":{"date-parts":[["2023",1,31]]}}}],"schema":"https://github.com/citation-style-language/schema/raw/master/csl-citation.json"} </w:instrText>
      </w:r>
      <w:r w:rsidR="00EB376F">
        <w:fldChar w:fldCharType="separate"/>
      </w:r>
      <w:r w:rsidR="00EB376F" w:rsidRPr="00EB376F">
        <w:rPr>
          <w:rFonts w:cs="Times New Roman"/>
        </w:rPr>
        <w:t>[14]</w:t>
      </w:r>
      <w:r w:rsidR="00EB376F">
        <w:fldChar w:fldCharType="end"/>
      </w:r>
      <w:r w:rsidR="00EB376F">
        <w:t>. I also tested my implementation, although not to the extent of Dr</w:t>
      </w:r>
      <w:r w:rsidR="00EB376F" w:rsidRPr="006C03D1">
        <w:t xml:space="preserve"> </w:t>
      </w:r>
      <w:proofErr w:type="spellStart"/>
      <w:r w:rsidR="00EB376F" w:rsidRPr="006C03D1">
        <w:t>Salimifard</w:t>
      </w:r>
      <w:r w:rsidR="00EB376F">
        <w:t>’s</w:t>
      </w:r>
      <w:proofErr w:type="spellEnd"/>
      <w:r w:rsidR="00EB376F">
        <w:t xml:space="preserve"> experiments. </w:t>
      </w:r>
      <w:r w:rsidR="0076352B">
        <w:t xml:space="preserve">A part of my design objective was to design an enclosure for the device. This is something that I did not do. As the process went on, I felt like this became outside the scope of the project of designing an electronic system.  </w:t>
      </w:r>
    </w:p>
    <w:p w14:paraId="1D9CA707" w14:textId="77777777" w:rsidR="00EB376F" w:rsidRDefault="00EB376F" w:rsidP="00517297">
      <w:pPr>
        <w:ind w:firstLine="720"/>
      </w:pPr>
    </w:p>
    <w:p w14:paraId="4F214907" w14:textId="69D42AC4" w:rsidR="005D2BC8" w:rsidRDefault="006E519A" w:rsidP="00EB376F">
      <w:pPr>
        <w:ind w:firstLine="720"/>
      </w:pPr>
      <w:r>
        <w:t xml:space="preserve"> </w:t>
      </w:r>
      <w:r w:rsidR="00517297">
        <w:t xml:space="preserve">I was disappointed that more advanced functions of the BME680 were locked behind a closed source binary firmware provided by the manufacturer Bosch. I wanted to </w:t>
      </w:r>
      <w:r w:rsidR="00F33B94">
        <w:t>utilise</w:t>
      </w:r>
      <w:r w:rsidR="00517297">
        <w:t xml:space="preserve"> the air quality index (AQI) that it can calculate, but they have kept the equation </w:t>
      </w:r>
      <w:r w:rsidR="00517297" w:rsidRPr="00517297">
        <w:t>proprietary</w:t>
      </w:r>
      <w:r w:rsidR="00517297">
        <w:t xml:space="preserve">, and </w:t>
      </w:r>
      <w:proofErr w:type="spellStart"/>
      <w:r w:rsidR="00F33B94">
        <w:t>can not</w:t>
      </w:r>
      <w:proofErr w:type="spellEnd"/>
      <w:r w:rsidR="00517297">
        <w:t xml:space="preserve"> be utilised without implementing their memory heavy firmware. </w:t>
      </w:r>
      <w:r w:rsidR="005D2BC8">
        <w:t xml:space="preserve"> </w:t>
      </w:r>
    </w:p>
    <w:p w14:paraId="54B06867" w14:textId="77777777" w:rsidR="00517297" w:rsidRDefault="00517297" w:rsidP="00517297">
      <w:pPr>
        <w:ind w:firstLine="720"/>
      </w:pPr>
    </w:p>
    <w:p w14:paraId="504BA9D3" w14:textId="77142260" w:rsidR="00A036C7" w:rsidRDefault="00517297" w:rsidP="00517297">
      <w:pPr>
        <w:ind w:firstLine="720"/>
      </w:pPr>
      <w:r>
        <w:t xml:space="preserve">The device has room for improvement with some of the proposed features still to add. Namely calculating the confidence of the </w:t>
      </w:r>
      <w:r w:rsidR="00A036C7">
        <w:t xml:space="preserve">measurements by using the second sensor. An additional function where the EEPROM data is transmitted </w:t>
      </w:r>
      <w:proofErr w:type="spellStart"/>
      <w:r w:rsidR="00A036C7">
        <w:t>en</w:t>
      </w:r>
      <w:proofErr w:type="spellEnd"/>
      <w:r w:rsidR="00F33B94">
        <w:t xml:space="preserve"> </w:t>
      </w:r>
      <w:r w:rsidR="00A036C7">
        <w:t>mass</w:t>
      </w:r>
      <w:r w:rsidR="00F33B94">
        <w:t>e</w:t>
      </w:r>
      <w:r w:rsidR="00A036C7">
        <w:t xml:space="preserve"> to the terminal is also required as the current version does</w:t>
      </w:r>
      <w:r w:rsidR="00F33B94">
        <w:t xml:space="preserve"> not</w:t>
      </w:r>
      <w:r w:rsidR="00A036C7">
        <w:t xml:space="preserve"> support recalling the stored data. </w:t>
      </w:r>
      <w:r w:rsidR="005D2BC8">
        <w:t>There are still some rough edges with error handling, the software can hang if an I2C message is incomplete, and the CRC bytes from the SEN55 are</w:t>
      </w:r>
      <w:r w:rsidR="00F33B94">
        <w:t xml:space="preserve"> not</w:t>
      </w:r>
      <w:r w:rsidR="005D2BC8">
        <w:t xml:space="preserve"> always checked. If a CRC byte is incorrect or a byte is</w:t>
      </w:r>
      <w:r w:rsidR="00F33B94">
        <w:t xml:space="preserve"> no</w:t>
      </w:r>
      <w:r w:rsidR="005D2BC8">
        <w:t xml:space="preserve">t acknowledged then the data should be requested again. </w:t>
      </w:r>
    </w:p>
    <w:p w14:paraId="137A6E7B" w14:textId="77777777" w:rsidR="00A036C7" w:rsidRDefault="00A036C7" w:rsidP="00517297">
      <w:pPr>
        <w:ind w:firstLine="720"/>
      </w:pPr>
    </w:p>
    <w:p w14:paraId="2F4AE357" w14:textId="0D605F47" w:rsidR="00A036C7" w:rsidRPr="006E519A" w:rsidRDefault="00A036C7" w:rsidP="00A036C7">
      <w:pPr>
        <w:ind w:firstLine="720"/>
      </w:pPr>
      <w:r>
        <w:t xml:space="preserve">The design of the hardware could be revisited too, for example, as suggested in my discussion of my features, the design could implement a battery and solar charging circuit. This was a feature of the majority of the products I compared on the current market.   </w:t>
      </w:r>
    </w:p>
    <w:p w14:paraId="7C824B5E" w14:textId="67003ABF" w:rsidR="00517297" w:rsidRPr="006E519A" w:rsidRDefault="00517297" w:rsidP="00517297">
      <w:pPr>
        <w:ind w:firstLine="720"/>
      </w:pPr>
    </w:p>
    <w:p w14:paraId="0C1A30AE" w14:textId="7E6864E5" w:rsidR="006B1A7D" w:rsidRPr="006B1A7D" w:rsidRDefault="008549A2" w:rsidP="00186135">
      <w:pPr>
        <w:pStyle w:val="Heading1"/>
      </w:pPr>
      <w:bookmarkStart w:id="42" w:name="_Toc133335248"/>
      <w:r>
        <w:t>R</w:t>
      </w:r>
      <w:r w:rsidR="006B1A7D">
        <w:t>eflection</w:t>
      </w:r>
      <w:bookmarkEnd w:id="42"/>
    </w:p>
    <w:p w14:paraId="2BFC0F19" w14:textId="77777777" w:rsidR="0076352B" w:rsidRDefault="0076352B" w:rsidP="0076352B">
      <w:pPr>
        <w:spacing w:after="160"/>
        <w:ind w:firstLine="720"/>
      </w:pPr>
    </w:p>
    <w:p w14:paraId="252E24E9" w14:textId="209C6C86" w:rsidR="00517297" w:rsidRDefault="00517297" w:rsidP="0076352B">
      <w:pPr>
        <w:spacing w:after="160"/>
        <w:ind w:firstLine="720"/>
      </w:pPr>
      <w:r>
        <w:t xml:space="preserve">I started this project with no knowledge of the C programming language, so this has been a great opportunity for me to familiarise myself with it and test my understanding. </w:t>
      </w:r>
      <w:r w:rsidR="0076352B">
        <w:t xml:space="preserve">I have greatly benefited from working on the electronics rather than a simulation as it introduced additional challenges. For example, the datasheet for the SEN55 improperly described how to communicate with it leading to much head scratching, which is where I learned the most about the I2C protocol.  </w:t>
      </w:r>
    </w:p>
    <w:p w14:paraId="2F9C6784" w14:textId="77777777" w:rsidR="00517297" w:rsidRDefault="00517297">
      <w:pPr>
        <w:spacing w:after="160"/>
        <w:jc w:val="left"/>
      </w:pPr>
    </w:p>
    <w:p w14:paraId="14ABA2B3" w14:textId="707F8B3A" w:rsidR="00612DD1" w:rsidRDefault="00612DD1">
      <w:pPr>
        <w:spacing w:after="160"/>
        <w:jc w:val="left"/>
        <w:rPr>
          <w:rFonts w:eastAsiaTheme="majorEastAsia" w:cstheme="majorBidi"/>
          <w:b/>
          <w:bCs/>
          <w:caps/>
          <w:sz w:val="28"/>
          <w:szCs w:val="28"/>
        </w:rPr>
      </w:pPr>
    </w:p>
    <w:p w14:paraId="75B3E75F" w14:textId="77777777" w:rsidR="008E7794" w:rsidRDefault="008E7794">
      <w:pPr>
        <w:spacing w:after="160"/>
        <w:jc w:val="left"/>
        <w:rPr>
          <w:rFonts w:eastAsiaTheme="majorEastAsia" w:cstheme="majorBidi"/>
          <w:b/>
          <w:bCs/>
          <w:caps/>
          <w:sz w:val="28"/>
          <w:szCs w:val="28"/>
        </w:rPr>
      </w:pPr>
      <w:r>
        <w:br w:type="page"/>
      </w:r>
    </w:p>
    <w:p w14:paraId="07C863A6" w14:textId="5DD9558D" w:rsidR="003F0804" w:rsidRDefault="00872DE8" w:rsidP="00872DE8">
      <w:pPr>
        <w:pStyle w:val="Heading1"/>
      </w:pPr>
      <w:bookmarkStart w:id="43" w:name="_Toc133335249"/>
      <w:r>
        <w:lastRenderedPageBreak/>
        <w:t>References</w:t>
      </w:r>
      <w:bookmarkEnd w:id="43"/>
    </w:p>
    <w:p w14:paraId="58C9EC7C" w14:textId="77777777" w:rsidR="00872DE8" w:rsidRPr="00872DE8" w:rsidRDefault="00872DE8" w:rsidP="003A3334">
      <w:pPr>
        <w:jc w:val="left"/>
      </w:pPr>
    </w:p>
    <w:p w14:paraId="5737914E" w14:textId="77777777" w:rsidR="00EB376F" w:rsidRPr="00EB376F" w:rsidRDefault="003F0804" w:rsidP="003A3334">
      <w:pPr>
        <w:pStyle w:val="Bibliography"/>
        <w:jc w:val="left"/>
        <w:rPr>
          <w:rFonts w:cs="Times New Roman"/>
        </w:rPr>
      </w:pPr>
      <w:r>
        <w:fldChar w:fldCharType="begin"/>
      </w:r>
      <w:r w:rsidR="007655A4">
        <w:instrText xml:space="preserve"> ADDIN ZOTERO_BIBL {"uncited":[],"omitted":[],"custom":[]} CSL_BIBLIOGRAPHY </w:instrText>
      </w:r>
      <w:r>
        <w:fldChar w:fldCharType="separate"/>
      </w:r>
      <w:r w:rsidR="00EB376F" w:rsidRPr="00EB376F">
        <w:rPr>
          <w:rFonts w:cs="Times New Roman"/>
        </w:rPr>
        <w:t>[1]</w:t>
      </w:r>
      <w:r w:rsidR="00EB376F" w:rsidRPr="00EB376F">
        <w:rPr>
          <w:rFonts w:cs="Times New Roman"/>
        </w:rPr>
        <w:tab/>
        <w:t xml:space="preserve">‘Every breath we take: the lifelong impact of air pollution’, </w:t>
      </w:r>
      <w:r w:rsidR="00EB376F" w:rsidRPr="00EB376F">
        <w:rPr>
          <w:rFonts w:cs="Times New Roman"/>
          <w:i/>
          <w:iCs/>
        </w:rPr>
        <w:t>RCP London</w:t>
      </w:r>
      <w:r w:rsidR="00EB376F" w:rsidRPr="00EB376F">
        <w:rPr>
          <w:rFonts w:cs="Times New Roman"/>
        </w:rPr>
        <w:t>, Feb. 23, 2016. https://www.rcplondon.ac.uk/projects/outputs/every-breath-we-take-lifelong-impact-air-pollution (accessed Oct. 30, 2022).</w:t>
      </w:r>
    </w:p>
    <w:p w14:paraId="09CE4F28" w14:textId="77777777" w:rsidR="00EB376F" w:rsidRPr="00EB376F" w:rsidRDefault="00EB376F" w:rsidP="003A3334">
      <w:pPr>
        <w:pStyle w:val="Bibliography"/>
        <w:jc w:val="left"/>
        <w:rPr>
          <w:rFonts w:cs="Times New Roman"/>
        </w:rPr>
      </w:pPr>
      <w:r w:rsidRPr="00EB376F">
        <w:rPr>
          <w:rFonts w:cs="Times New Roman"/>
        </w:rPr>
        <w:t>[2]</w:t>
      </w:r>
      <w:r w:rsidRPr="00EB376F">
        <w:rPr>
          <w:rFonts w:cs="Times New Roman"/>
        </w:rPr>
        <w:tab/>
        <w:t xml:space="preserve">S. S. Lim </w:t>
      </w:r>
      <w:r w:rsidRPr="00EB376F">
        <w:rPr>
          <w:rFonts w:cs="Times New Roman"/>
          <w:i/>
          <w:iCs/>
        </w:rPr>
        <w:t>et al.</w:t>
      </w:r>
      <w:r w:rsidRPr="00EB376F">
        <w:rPr>
          <w:rFonts w:cs="Times New Roman"/>
        </w:rPr>
        <w:t xml:space="preserve">, ‘A comparative risk assessment of burden of disease and injury attributable to 67 risk factors and risk factor clusters in 21 regions, 1990–2010: a systematic analysis for the Global Burden of Disease Study 2010’, </w:t>
      </w:r>
      <w:r w:rsidRPr="00EB376F">
        <w:rPr>
          <w:rFonts w:cs="Times New Roman"/>
          <w:i/>
          <w:iCs/>
        </w:rPr>
        <w:t>The Lancet</w:t>
      </w:r>
      <w:r w:rsidRPr="00EB376F">
        <w:rPr>
          <w:rFonts w:cs="Times New Roman"/>
        </w:rPr>
        <w:t>, vol. 380, no. 9859, pp. 2224–2260, Dec. 2012, doi: 10.1016/S0140-6736(12)61766-8.</w:t>
      </w:r>
    </w:p>
    <w:p w14:paraId="4ABF61A3" w14:textId="77777777" w:rsidR="00EB376F" w:rsidRPr="00EB376F" w:rsidRDefault="00EB376F" w:rsidP="003A3334">
      <w:pPr>
        <w:pStyle w:val="Bibliography"/>
        <w:jc w:val="left"/>
        <w:rPr>
          <w:rFonts w:cs="Times New Roman"/>
        </w:rPr>
      </w:pPr>
      <w:r w:rsidRPr="00EB376F">
        <w:rPr>
          <w:rFonts w:cs="Times New Roman"/>
        </w:rPr>
        <w:t>[3]</w:t>
      </w:r>
      <w:r w:rsidRPr="00EB376F">
        <w:rPr>
          <w:rFonts w:cs="Times New Roman"/>
        </w:rPr>
        <w:tab/>
        <w:t xml:space="preserve">C. A. Pope </w:t>
      </w:r>
      <w:r w:rsidRPr="00EB376F">
        <w:rPr>
          <w:rFonts w:cs="Times New Roman"/>
          <w:i/>
          <w:iCs/>
        </w:rPr>
        <w:t>et al.</w:t>
      </w:r>
      <w:r w:rsidRPr="00EB376F">
        <w:rPr>
          <w:rFonts w:cs="Times New Roman"/>
        </w:rPr>
        <w:t xml:space="preserve">, ‘Lung cancer and cardiovascular disease mortality associated with ambient air pollution and cigarette smoke: shape of the exposure-response relationships’, </w:t>
      </w:r>
      <w:r w:rsidRPr="00EB376F">
        <w:rPr>
          <w:rFonts w:cs="Times New Roman"/>
          <w:i/>
          <w:iCs/>
        </w:rPr>
        <w:t>Environ. Health Perspect.</w:t>
      </w:r>
      <w:r w:rsidRPr="00EB376F">
        <w:rPr>
          <w:rFonts w:cs="Times New Roman"/>
        </w:rPr>
        <w:t>, vol. 119, no. 11, pp. 1616–1621, Nov. 2011, doi: 10.1289/ehp.1103639.</w:t>
      </w:r>
    </w:p>
    <w:p w14:paraId="2B117538" w14:textId="77777777" w:rsidR="00EB376F" w:rsidRPr="00EB376F" w:rsidRDefault="00EB376F" w:rsidP="003A3334">
      <w:pPr>
        <w:pStyle w:val="Bibliography"/>
        <w:jc w:val="left"/>
        <w:rPr>
          <w:rFonts w:cs="Times New Roman"/>
        </w:rPr>
      </w:pPr>
      <w:r w:rsidRPr="00EB376F">
        <w:rPr>
          <w:rFonts w:cs="Times New Roman"/>
        </w:rPr>
        <w:t>[4]</w:t>
      </w:r>
      <w:r w:rsidRPr="00EB376F">
        <w:rPr>
          <w:rFonts w:cs="Times New Roman"/>
        </w:rPr>
        <w:tab/>
        <w:t xml:space="preserve">R. D. Brook </w:t>
      </w:r>
      <w:r w:rsidRPr="00EB376F">
        <w:rPr>
          <w:rFonts w:cs="Times New Roman"/>
          <w:i/>
          <w:iCs/>
        </w:rPr>
        <w:t>et al.</w:t>
      </w:r>
      <w:r w:rsidRPr="00EB376F">
        <w:rPr>
          <w:rFonts w:cs="Times New Roman"/>
        </w:rPr>
        <w:t xml:space="preserve">, ‘Particulate matter air pollution and cardiovascular disease: An update to the scientific statement from the American Heart Association’, </w:t>
      </w:r>
      <w:r w:rsidRPr="00EB376F">
        <w:rPr>
          <w:rFonts w:cs="Times New Roman"/>
          <w:i/>
          <w:iCs/>
        </w:rPr>
        <w:t>Circulation</w:t>
      </w:r>
      <w:r w:rsidRPr="00EB376F">
        <w:rPr>
          <w:rFonts w:cs="Times New Roman"/>
        </w:rPr>
        <w:t>, vol. 121, no. 21, pp. 2331–2378, Jun. 2010, doi: 10.1161/CIR.0b013e3181dbece1.</w:t>
      </w:r>
    </w:p>
    <w:p w14:paraId="57CAB85D" w14:textId="77777777" w:rsidR="00EB376F" w:rsidRPr="00EB376F" w:rsidRDefault="00EB376F" w:rsidP="003A3334">
      <w:pPr>
        <w:pStyle w:val="Bibliography"/>
        <w:jc w:val="left"/>
        <w:rPr>
          <w:rFonts w:cs="Times New Roman"/>
        </w:rPr>
      </w:pPr>
      <w:r w:rsidRPr="00EB376F">
        <w:rPr>
          <w:rFonts w:cs="Times New Roman"/>
        </w:rPr>
        <w:t>[5]</w:t>
      </w:r>
      <w:r w:rsidRPr="00EB376F">
        <w:rPr>
          <w:rFonts w:cs="Times New Roman"/>
        </w:rPr>
        <w:tab/>
        <w:t xml:space="preserve">D. W. Dockery </w:t>
      </w:r>
      <w:r w:rsidRPr="00EB376F">
        <w:rPr>
          <w:rFonts w:cs="Times New Roman"/>
          <w:i/>
          <w:iCs/>
        </w:rPr>
        <w:t>et al.</w:t>
      </w:r>
      <w:r w:rsidRPr="00EB376F">
        <w:rPr>
          <w:rFonts w:cs="Times New Roman"/>
        </w:rPr>
        <w:t xml:space="preserve">, ‘An association between air pollution and mortality in six U.S. cities’, </w:t>
      </w:r>
      <w:r w:rsidRPr="00EB376F">
        <w:rPr>
          <w:rFonts w:cs="Times New Roman"/>
          <w:i/>
          <w:iCs/>
        </w:rPr>
        <w:t>N. Engl. J. Med.</w:t>
      </w:r>
      <w:r w:rsidRPr="00EB376F">
        <w:rPr>
          <w:rFonts w:cs="Times New Roman"/>
        </w:rPr>
        <w:t>, vol. 329, no. 24, pp. 1753–1759, Dec. 1993, doi: 10.1056/NEJM199312093292401.</w:t>
      </w:r>
    </w:p>
    <w:p w14:paraId="170FAB84" w14:textId="77777777" w:rsidR="00EB376F" w:rsidRPr="00EB376F" w:rsidRDefault="00EB376F" w:rsidP="003A3334">
      <w:pPr>
        <w:pStyle w:val="Bibliography"/>
        <w:jc w:val="left"/>
        <w:rPr>
          <w:rFonts w:cs="Times New Roman"/>
        </w:rPr>
      </w:pPr>
      <w:r w:rsidRPr="00EB376F">
        <w:rPr>
          <w:rFonts w:cs="Times New Roman"/>
        </w:rPr>
        <w:t>[6]</w:t>
      </w:r>
      <w:r w:rsidRPr="00EB376F">
        <w:rPr>
          <w:rFonts w:cs="Times New Roman"/>
        </w:rPr>
        <w:tab/>
        <w:t xml:space="preserve">F. Laden, J. Schwartz, F. E. Speizer, and D. W. Dockery, ‘Reduction in fine particulate air pollution and mortality: Extended follow-up of the Harvard Six Cities study’, </w:t>
      </w:r>
      <w:r w:rsidRPr="00EB376F">
        <w:rPr>
          <w:rFonts w:cs="Times New Roman"/>
          <w:i/>
          <w:iCs/>
        </w:rPr>
        <w:t>Am. J. Respir. Crit. Care Med.</w:t>
      </w:r>
      <w:r w:rsidRPr="00EB376F">
        <w:rPr>
          <w:rFonts w:cs="Times New Roman"/>
        </w:rPr>
        <w:t>, vol. 173, no. 6, pp. 667–672, Mar. 2006, doi: 10.1164/rccm.200503-443OC.</w:t>
      </w:r>
    </w:p>
    <w:p w14:paraId="4F33B7BA" w14:textId="77777777" w:rsidR="00EB376F" w:rsidRPr="00EB376F" w:rsidRDefault="00EB376F" w:rsidP="003A3334">
      <w:pPr>
        <w:pStyle w:val="Bibliography"/>
        <w:jc w:val="left"/>
        <w:rPr>
          <w:rFonts w:cs="Times New Roman"/>
        </w:rPr>
      </w:pPr>
      <w:r w:rsidRPr="00EB376F">
        <w:rPr>
          <w:rFonts w:cs="Times New Roman"/>
        </w:rPr>
        <w:t>[7]</w:t>
      </w:r>
      <w:r w:rsidRPr="00EB376F">
        <w:rPr>
          <w:rFonts w:cs="Times New Roman"/>
        </w:rPr>
        <w:tab/>
        <w:t xml:space="preserve">K. A. Miller </w:t>
      </w:r>
      <w:r w:rsidRPr="00EB376F">
        <w:rPr>
          <w:rFonts w:cs="Times New Roman"/>
          <w:i/>
          <w:iCs/>
        </w:rPr>
        <w:t>et al.</w:t>
      </w:r>
      <w:r w:rsidRPr="00EB376F">
        <w:rPr>
          <w:rFonts w:cs="Times New Roman"/>
        </w:rPr>
        <w:t xml:space="preserve">, ‘Long-term exposure to air pollution and incidence of cardiovascular events in women’, </w:t>
      </w:r>
      <w:r w:rsidRPr="00EB376F">
        <w:rPr>
          <w:rFonts w:cs="Times New Roman"/>
          <w:i/>
          <w:iCs/>
        </w:rPr>
        <w:t>N. Engl. J. Med.</w:t>
      </w:r>
      <w:r w:rsidRPr="00EB376F">
        <w:rPr>
          <w:rFonts w:cs="Times New Roman"/>
        </w:rPr>
        <w:t>, vol. 356, no. 5, pp. 447–458, Feb. 2007, doi: 10.1056/NEJMoa054409.</w:t>
      </w:r>
    </w:p>
    <w:p w14:paraId="0E1C2D12" w14:textId="77777777" w:rsidR="00EB376F" w:rsidRPr="00EB376F" w:rsidRDefault="00EB376F" w:rsidP="003A3334">
      <w:pPr>
        <w:pStyle w:val="Bibliography"/>
        <w:jc w:val="left"/>
        <w:rPr>
          <w:rFonts w:cs="Times New Roman"/>
        </w:rPr>
      </w:pPr>
      <w:r w:rsidRPr="00EB376F">
        <w:rPr>
          <w:rFonts w:cs="Times New Roman"/>
        </w:rPr>
        <w:t>[8]</w:t>
      </w:r>
      <w:r w:rsidRPr="00EB376F">
        <w:rPr>
          <w:rFonts w:cs="Times New Roman"/>
        </w:rPr>
        <w:tab/>
        <w:t xml:space="preserve">‘Concentrations of particulate matter (PM10 and PM2.5)’, </w:t>
      </w:r>
      <w:r w:rsidRPr="00EB376F">
        <w:rPr>
          <w:rFonts w:cs="Times New Roman"/>
          <w:i/>
          <w:iCs/>
        </w:rPr>
        <w:t>GOV.UK</w:t>
      </w:r>
      <w:r w:rsidRPr="00EB376F">
        <w:rPr>
          <w:rFonts w:cs="Times New Roman"/>
        </w:rPr>
        <w:t>. https://www.gov.uk/government/statistics/air-quality-statistics/concentrations-of-particulate-matter-pm10-and-pm25 (accessed Dec. 29, 2022).</w:t>
      </w:r>
    </w:p>
    <w:p w14:paraId="69F9BE7D" w14:textId="77777777" w:rsidR="00EB376F" w:rsidRPr="00EB376F" w:rsidRDefault="00EB376F" w:rsidP="003A3334">
      <w:pPr>
        <w:pStyle w:val="Bibliography"/>
        <w:jc w:val="left"/>
        <w:rPr>
          <w:rFonts w:cs="Times New Roman"/>
        </w:rPr>
      </w:pPr>
      <w:r w:rsidRPr="00EB376F">
        <w:rPr>
          <w:rFonts w:cs="Times New Roman"/>
        </w:rPr>
        <w:t>[9]</w:t>
      </w:r>
      <w:r w:rsidRPr="00EB376F">
        <w:rPr>
          <w:rFonts w:cs="Times New Roman"/>
        </w:rPr>
        <w:tab/>
        <w:t xml:space="preserve">J. Venkatraman Jagatha </w:t>
      </w:r>
      <w:r w:rsidRPr="00EB376F">
        <w:rPr>
          <w:rFonts w:cs="Times New Roman"/>
          <w:i/>
          <w:iCs/>
        </w:rPr>
        <w:t>et al.</w:t>
      </w:r>
      <w:r w:rsidRPr="00EB376F">
        <w:rPr>
          <w:rFonts w:cs="Times New Roman"/>
        </w:rPr>
        <w:t xml:space="preserve">, ‘Calibration Method for Particulate Matter Low-Cost Sensors Used in Ambient Air Quality Monitoring and Research’, </w:t>
      </w:r>
      <w:r w:rsidRPr="00EB376F">
        <w:rPr>
          <w:rFonts w:cs="Times New Roman"/>
          <w:i/>
          <w:iCs/>
        </w:rPr>
        <w:t>Sensors</w:t>
      </w:r>
      <w:r w:rsidRPr="00EB376F">
        <w:rPr>
          <w:rFonts w:cs="Times New Roman"/>
        </w:rPr>
        <w:t>, vol. 21, no. 12, p. 3960, Jun. 2021, doi: 10.3390/s21123960.</w:t>
      </w:r>
    </w:p>
    <w:p w14:paraId="2D0DAF08" w14:textId="77777777" w:rsidR="00EB376F" w:rsidRPr="00EB376F" w:rsidRDefault="00EB376F" w:rsidP="003A3334">
      <w:pPr>
        <w:pStyle w:val="Bibliography"/>
        <w:jc w:val="left"/>
        <w:rPr>
          <w:rFonts w:cs="Times New Roman"/>
        </w:rPr>
      </w:pPr>
      <w:r w:rsidRPr="00EB376F">
        <w:rPr>
          <w:rFonts w:cs="Times New Roman"/>
        </w:rPr>
        <w:t>[10]</w:t>
      </w:r>
      <w:r w:rsidRPr="00EB376F">
        <w:rPr>
          <w:rFonts w:cs="Times New Roman"/>
        </w:rPr>
        <w:tab/>
        <w:t>Karoline Johnson, Brett Gantt, Ian VonWald, and Andrea L. Clements, ‘PurpleAir PM2.5 performance across the U.S.#2’. https://cfpub.epa.gov/si/si_public_record_Report.cfm?Lab=CEMM&amp;dirEntryId=348236 (accessed Nov. 06, 2022).</w:t>
      </w:r>
    </w:p>
    <w:p w14:paraId="010095C9" w14:textId="77777777" w:rsidR="00EB376F" w:rsidRPr="00EB376F" w:rsidRDefault="00EB376F" w:rsidP="003A3334">
      <w:pPr>
        <w:pStyle w:val="Bibliography"/>
        <w:jc w:val="left"/>
        <w:rPr>
          <w:rFonts w:cs="Times New Roman"/>
          <w:lang w:val="de-DE"/>
        </w:rPr>
      </w:pPr>
      <w:r w:rsidRPr="00EB376F">
        <w:rPr>
          <w:rFonts w:cs="Times New Roman"/>
          <w:lang w:val="de-DE"/>
        </w:rPr>
        <w:t>[11]</w:t>
      </w:r>
      <w:r w:rsidRPr="00EB376F">
        <w:rPr>
          <w:rFonts w:cs="Times New Roman"/>
          <w:lang w:val="de-DE"/>
        </w:rPr>
        <w:tab/>
        <w:t xml:space="preserve">‘Urbane Luftqualitätsüberwachung: Luftqualitätssensoren, -daten und -analysen’, </w:t>
      </w:r>
      <w:r w:rsidRPr="00EB376F">
        <w:rPr>
          <w:rFonts w:cs="Times New Roman"/>
          <w:i/>
          <w:iCs/>
          <w:lang w:val="de-DE"/>
        </w:rPr>
        <w:t>Breeze Technologies</w:t>
      </w:r>
      <w:r w:rsidRPr="00EB376F">
        <w:rPr>
          <w:rFonts w:cs="Times New Roman"/>
          <w:lang w:val="de-DE"/>
        </w:rPr>
        <w:t>. https://www.breeze-technologies.de/de/loesungen/urbane-luftqualitaet/ (accessed Nov. 06, 2022).</w:t>
      </w:r>
    </w:p>
    <w:p w14:paraId="0E7EE543" w14:textId="77777777" w:rsidR="00EB376F" w:rsidRPr="00EB376F" w:rsidRDefault="00EB376F" w:rsidP="003A3334">
      <w:pPr>
        <w:pStyle w:val="Bibliography"/>
        <w:jc w:val="left"/>
        <w:rPr>
          <w:rFonts w:cs="Times New Roman"/>
        </w:rPr>
      </w:pPr>
      <w:r w:rsidRPr="00EB376F">
        <w:rPr>
          <w:rFonts w:cs="Times New Roman"/>
        </w:rPr>
        <w:t>[12]</w:t>
      </w:r>
      <w:r w:rsidRPr="00EB376F">
        <w:rPr>
          <w:rFonts w:cs="Times New Roman"/>
        </w:rPr>
        <w:tab/>
        <w:t xml:space="preserve">M. Gerboles, L. Spinelle, and M. Signorini, ‘AirSensEUR: an open data/software/hardware multi-sensor platform for air quality monitoring. Part A: sensor shield’, </w:t>
      </w:r>
      <w:r w:rsidRPr="00EB376F">
        <w:rPr>
          <w:rFonts w:cs="Times New Roman"/>
          <w:i/>
          <w:iCs/>
        </w:rPr>
        <w:t>JRC Publications Repository</w:t>
      </w:r>
      <w:r w:rsidRPr="00EB376F">
        <w:rPr>
          <w:rFonts w:cs="Times New Roman"/>
        </w:rPr>
        <w:t>, Oct. 21, 2015. https://publications.jrc.ec.europa.eu/repository/handle/JRC97581 (accessed Nov. 06, 2022).</w:t>
      </w:r>
    </w:p>
    <w:p w14:paraId="352DF962" w14:textId="77777777" w:rsidR="00EB376F" w:rsidRPr="00EB376F" w:rsidRDefault="00EB376F" w:rsidP="003A3334">
      <w:pPr>
        <w:pStyle w:val="Bibliography"/>
        <w:jc w:val="left"/>
        <w:rPr>
          <w:rFonts w:cs="Times New Roman"/>
        </w:rPr>
      </w:pPr>
      <w:r w:rsidRPr="00EB376F">
        <w:rPr>
          <w:rFonts w:cs="Times New Roman"/>
        </w:rPr>
        <w:t>[13]</w:t>
      </w:r>
      <w:r w:rsidRPr="00EB376F">
        <w:rPr>
          <w:rFonts w:cs="Times New Roman"/>
        </w:rPr>
        <w:tab/>
        <w:t xml:space="preserve">J. Bílek, O. Bílek, P. Maršolek, and P. Buček, ‘Ambient Air Quality Measurement with Low-Cost Optical and Electrochemical Sensors: An Evaluation of Continuous Year-Long Operation’, </w:t>
      </w:r>
      <w:r w:rsidRPr="00EB376F">
        <w:rPr>
          <w:rFonts w:cs="Times New Roman"/>
          <w:i/>
          <w:iCs/>
        </w:rPr>
        <w:t>Environments</w:t>
      </w:r>
      <w:r w:rsidRPr="00EB376F">
        <w:rPr>
          <w:rFonts w:cs="Times New Roman"/>
        </w:rPr>
        <w:t>, vol. 8, no. 11, p. 114, Oct. 2021, doi: 10.3390/environments8110114.</w:t>
      </w:r>
    </w:p>
    <w:p w14:paraId="3FC4F2DD" w14:textId="77777777" w:rsidR="00EB376F" w:rsidRPr="00EB376F" w:rsidRDefault="00EB376F" w:rsidP="003A3334">
      <w:pPr>
        <w:pStyle w:val="Bibliography"/>
        <w:jc w:val="left"/>
        <w:rPr>
          <w:rFonts w:cs="Times New Roman"/>
        </w:rPr>
      </w:pPr>
      <w:r w:rsidRPr="00EB376F">
        <w:rPr>
          <w:rFonts w:cs="Times New Roman"/>
        </w:rPr>
        <w:t>[14]</w:t>
      </w:r>
      <w:r w:rsidRPr="00EB376F">
        <w:rPr>
          <w:rFonts w:cs="Times New Roman"/>
        </w:rPr>
        <w:tab/>
        <w:t xml:space="preserve">‘Breathe London Map’, </w:t>
      </w:r>
      <w:r w:rsidRPr="00EB376F">
        <w:rPr>
          <w:rFonts w:cs="Times New Roman"/>
          <w:i/>
          <w:iCs/>
        </w:rPr>
        <w:t>Breathe London</w:t>
      </w:r>
      <w:r w:rsidRPr="00EB376F">
        <w:rPr>
          <w:rFonts w:cs="Times New Roman"/>
        </w:rPr>
        <w:t>. https://breathelondon.edf.org/ (accessed Jan. 31, 2023).</w:t>
      </w:r>
    </w:p>
    <w:p w14:paraId="01A5EAB5" w14:textId="77777777" w:rsidR="00EB376F" w:rsidRPr="00EB376F" w:rsidRDefault="00EB376F" w:rsidP="003A3334">
      <w:pPr>
        <w:pStyle w:val="Bibliography"/>
        <w:jc w:val="left"/>
        <w:rPr>
          <w:rFonts w:cs="Times New Roman"/>
        </w:rPr>
      </w:pPr>
      <w:r w:rsidRPr="00EB376F">
        <w:rPr>
          <w:rFonts w:cs="Times New Roman"/>
        </w:rPr>
        <w:lastRenderedPageBreak/>
        <w:t>[15]</w:t>
      </w:r>
      <w:r w:rsidRPr="00EB376F">
        <w:rPr>
          <w:rFonts w:cs="Times New Roman"/>
        </w:rPr>
        <w:tab/>
        <w:t xml:space="preserve">T. W. A. Q. I. project, ‘Chất lượng không khí trên toàn thế giới: AirNet Sensor Network’, </w:t>
      </w:r>
      <w:r w:rsidRPr="00EB376F">
        <w:rPr>
          <w:rFonts w:cs="Times New Roman"/>
          <w:i/>
          <w:iCs/>
        </w:rPr>
        <w:t>aqicn.org</w:t>
      </w:r>
      <w:r w:rsidRPr="00EB376F">
        <w:rPr>
          <w:rFonts w:cs="Times New Roman"/>
        </w:rPr>
        <w:t>. https://aqicn.org/gaia/ (accessed Nov. 09, 2022).</w:t>
      </w:r>
    </w:p>
    <w:p w14:paraId="5529D873" w14:textId="77777777" w:rsidR="00EB376F" w:rsidRPr="00EB376F" w:rsidRDefault="00EB376F" w:rsidP="003A3334">
      <w:pPr>
        <w:pStyle w:val="Bibliography"/>
        <w:jc w:val="left"/>
        <w:rPr>
          <w:rFonts w:cs="Times New Roman"/>
        </w:rPr>
      </w:pPr>
      <w:r w:rsidRPr="00EB376F">
        <w:rPr>
          <w:rFonts w:cs="Times New Roman"/>
        </w:rPr>
        <w:t>[16]</w:t>
      </w:r>
      <w:r w:rsidRPr="00EB376F">
        <w:rPr>
          <w:rFonts w:cs="Times New Roman"/>
        </w:rPr>
        <w:tab/>
        <w:t xml:space="preserve">‘PurpleAir Flex Air Quality Monitor’, </w:t>
      </w:r>
      <w:r w:rsidRPr="00EB376F">
        <w:rPr>
          <w:rFonts w:cs="Times New Roman"/>
          <w:i/>
          <w:iCs/>
        </w:rPr>
        <w:t>PurpleAir, Inc.</w:t>
      </w:r>
      <w:r w:rsidRPr="00EB376F">
        <w:rPr>
          <w:rFonts w:cs="Times New Roman"/>
        </w:rPr>
        <w:t xml:space="preserve"> https://www2.purpleair.com/products/purpleair-flex (accessed Feb. 05, 2023).</w:t>
      </w:r>
    </w:p>
    <w:p w14:paraId="4161A48C" w14:textId="77777777" w:rsidR="00EB376F" w:rsidRPr="00EB376F" w:rsidRDefault="00EB376F" w:rsidP="003A3334">
      <w:pPr>
        <w:pStyle w:val="Bibliography"/>
        <w:jc w:val="left"/>
        <w:rPr>
          <w:rFonts w:cs="Times New Roman"/>
        </w:rPr>
      </w:pPr>
      <w:r w:rsidRPr="00EB376F">
        <w:rPr>
          <w:rFonts w:cs="Times New Roman"/>
        </w:rPr>
        <w:t>[17]</w:t>
      </w:r>
      <w:r w:rsidRPr="00EB376F">
        <w:rPr>
          <w:rFonts w:cs="Times New Roman"/>
        </w:rPr>
        <w:tab/>
        <w:t>‘Breathe London Node | Imperial College London Online Store’. https://estore.imperial.ac.uk/product-catalogue/faculty-of-medicine/school-of-public-health/breathe-london-node (accessed Mar. 05, 2023).</w:t>
      </w:r>
    </w:p>
    <w:p w14:paraId="59F25BF6" w14:textId="77777777" w:rsidR="00EB376F" w:rsidRPr="00EB376F" w:rsidRDefault="00EB376F" w:rsidP="003A3334">
      <w:pPr>
        <w:pStyle w:val="Bibliography"/>
        <w:jc w:val="left"/>
        <w:rPr>
          <w:rFonts w:cs="Times New Roman"/>
        </w:rPr>
      </w:pPr>
      <w:r w:rsidRPr="00EB376F">
        <w:rPr>
          <w:rFonts w:cs="Times New Roman"/>
        </w:rPr>
        <w:t>[18]</w:t>
      </w:r>
      <w:r w:rsidRPr="00EB376F">
        <w:rPr>
          <w:rFonts w:cs="Times New Roman"/>
        </w:rPr>
        <w:tab/>
        <w:t xml:space="preserve">‘AQMesh’, </w:t>
      </w:r>
      <w:r w:rsidRPr="00EB376F">
        <w:rPr>
          <w:rFonts w:cs="Times New Roman"/>
          <w:i/>
          <w:iCs/>
        </w:rPr>
        <w:t>AQMesh</w:t>
      </w:r>
      <w:r w:rsidRPr="00EB376F">
        <w:rPr>
          <w:rFonts w:cs="Times New Roman"/>
        </w:rPr>
        <w:t>. https://www.aqmesh.com/products/aqmesh/ (accessed Feb. 05, 2023).</w:t>
      </w:r>
    </w:p>
    <w:p w14:paraId="41BEC2AF" w14:textId="77777777" w:rsidR="00EB376F" w:rsidRPr="00EB376F" w:rsidRDefault="00EB376F" w:rsidP="003A3334">
      <w:pPr>
        <w:pStyle w:val="Bibliography"/>
        <w:jc w:val="left"/>
        <w:rPr>
          <w:rFonts w:cs="Times New Roman"/>
        </w:rPr>
      </w:pPr>
      <w:r w:rsidRPr="00EB376F">
        <w:rPr>
          <w:rFonts w:cs="Times New Roman"/>
        </w:rPr>
        <w:t>[19]</w:t>
      </w:r>
      <w:r w:rsidRPr="00EB376F">
        <w:rPr>
          <w:rFonts w:cs="Times New Roman"/>
        </w:rPr>
        <w:tab/>
        <w:t>‘Arm Microcontrollers’. https://www.nxp.com/products/processors-and-microcontrollers/arm-microcontrollers:ARM-MICROCONTROLLERS (accessed Apr. 25, 2023).</w:t>
      </w:r>
    </w:p>
    <w:p w14:paraId="4E3F9701" w14:textId="77777777" w:rsidR="00EB376F" w:rsidRPr="00EB376F" w:rsidRDefault="00EB376F" w:rsidP="003A3334">
      <w:pPr>
        <w:pStyle w:val="Bibliography"/>
        <w:jc w:val="left"/>
        <w:rPr>
          <w:rFonts w:cs="Times New Roman"/>
        </w:rPr>
      </w:pPr>
      <w:r w:rsidRPr="00EB376F">
        <w:rPr>
          <w:rFonts w:cs="Times New Roman"/>
        </w:rPr>
        <w:t>[20]</w:t>
      </w:r>
      <w:r w:rsidRPr="00EB376F">
        <w:rPr>
          <w:rFonts w:cs="Times New Roman"/>
        </w:rPr>
        <w:tab/>
        <w:t>‘Arm Microcontrollers - 32-bit MCUs - STMicroelectronics’. https://www.st.com/content/st_com/en/arm-32-bit-microcontrollers.html (accessed Apr. 25, 2023).</w:t>
      </w:r>
    </w:p>
    <w:p w14:paraId="7890DC9F" w14:textId="77777777" w:rsidR="00EB376F" w:rsidRPr="00EB376F" w:rsidRDefault="00EB376F" w:rsidP="003A3334">
      <w:pPr>
        <w:pStyle w:val="Bibliography"/>
        <w:jc w:val="left"/>
        <w:rPr>
          <w:rFonts w:cs="Times New Roman"/>
        </w:rPr>
      </w:pPr>
      <w:r w:rsidRPr="00EB376F">
        <w:rPr>
          <w:rFonts w:cs="Times New Roman"/>
        </w:rPr>
        <w:t>[21]</w:t>
      </w:r>
      <w:r w:rsidRPr="00EB376F">
        <w:rPr>
          <w:rFonts w:cs="Times New Roman"/>
        </w:rPr>
        <w:tab/>
        <w:t>‘PIC18F26K80-I/SP - 8 Bit MCU, Flash, PIC18 Family PIC18F K8x Series Microcontrollers, PIC18, 64 MHz, 64 KB, 28 Pins’. https://uk.farnell.com/microchip/pic18f26k80-i-sp/mcu-8bit-pic18-64mhz-dip-28/dp/1823165 (accessed Apr. 07, 2023).</w:t>
      </w:r>
    </w:p>
    <w:p w14:paraId="686CC91A" w14:textId="77777777" w:rsidR="00EB376F" w:rsidRPr="00EB376F" w:rsidRDefault="00EB376F" w:rsidP="003A3334">
      <w:pPr>
        <w:pStyle w:val="Bibliography"/>
        <w:jc w:val="left"/>
        <w:rPr>
          <w:rFonts w:cs="Times New Roman"/>
        </w:rPr>
      </w:pPr>
      <w:r w:rsidRPr="00EB376F">
        <w:rPr>
          <w:rFonts w:cs="Times New Roman"/>
        </w:rPr>
        <w:t>[22]</w:t>
      </w:r>
      <w:r w:rsidRPr="00EB376F">
        <w:rPr>
          <w:rFonts w:cs="Times New Roman"/>
        </w:rPr>
        <w:tab/>
        <w:t>‘PIC16F15214-I/SN - 8 Bit MCU, PIC16 Family PIC16F152xx Series Microcontrollers, PIC16, 32 MHz, 7 KB, 8 Pins, NSOIC’. https://uk.farnell.com/microchip/pic16f15214-i-sn/mcu-8bit-32mhz-nsoic-8/dp/3628081 (accessed Apr. 07, 2023).</w:t>
      </w:r>
    </w:p>
    <w:p w14:paraId="306BE8B3" w14:textId="77777777" w:rsidR="00EB376F" w:rsidRPr="00EB376F" w:rsidRDefault="00EB376F" w:rsidP="003A3334">
      <w:pPr>
        <w:pStyle w:val="Bibliography"/>
        <w:jc w:val="left"/>
        <w:rPr>
          <w:rFonts w:cs="Times New Roman"/>
        </w:rPr>
      </w:pPr>
      <w:r w:rsidRPr="00EB376F">
        <w:rPr>
          <w:rFonts w:cs="Times New Roman"/>
        </w:rPr>
        <w:t>[23]</w:t>
      </w:r>
      <w:r w:rsidRPr="00EB376F">
        <w:rPr>
          <w:rFonts w:cs="Times New Roman"/>
        </w:rPr>
        <w:tab/>
        <w:t>‘Particulate matter sensing for air quality measurements’. https://sensirion.com/products/product-insights/specialist-articles/particulate-matter-sensing-for-air-quality-measurements/ (accessed Dec. 30, 2022).</w:t>
      </w:r>
    </w:p>
    <w:p w14:paraId="36CAF757" w14:textId="77777777" w:rsidR="00EB376F" w:rsidRPr="00EB376F" w:rsidRDefault="00EB376F" w:rsidP="003A3334">
      <w:pPr>
        <w:pStyle w:val="Bibliography"/>
        <w:jc w:val="left"/>
        <w:rPr>
          <w:rFonts w:cs="Times New Roman"/>
        </w:rPr>
      </w:pPr>
      <w:r w:rsidRPr="00EB376F">
        <w:rPr>
          <w:rFonts w:cs="Times New Roman"/>
        </w:rPr>
        <w:t>[24]</w:t>
      </w:r>
      <w:r w:rsidRPr="00EB376F">
        <w:rPr>
          <w:rFonts w:cs="Times New Roman"/>
        </w:rPr>
        <w:tab/>
        <w:t xml:space="preserve">‘Emissions of air pollutants in the UK – Nitrogen oxides (NOx)’, </w:t>
      </w:r>
      <w:r w:rsidRPr="00EB376F">
        <w:rPr>
          <w:rFonts w:cs="Times New Roman"/>
          <w:i/>
          <w:iCs/>
        </w:rPr>
        <w:t>GOV.UK</w:t>
      </w:r>
      <w:r w:rsidRPr="00EB376F">
        <w:rPr>
          <w:rFonts w:cs="Times New Roman"/>
        </w:rPr>
        <w:t>. https://www.gov.uk/government/statistics/emissions-of-air-pollutants/emissions-of-air-pollutants-in-the-uk-nitrogen-oxides-nox (accessed Apr. 02, 2023).</w:t>
      </w:r>
    </w:p>
    <w:p w14:paraId="237F960E" w14:textId="77777777" w:rsidR="00EB376F" w:rsidRPr="00EB376F" w:rsidRDefault="00EB376F" w:rsidP="003A3334">
      <w:pPr>
        <w:pStyle w:val="Bibliography"/>
        <w:jc w:val="left"/>
        <w:rPr>
          <w:rFonts w:cs="Times New Roman"/>
        </w:rPr>
      </w:pPr>
      <w:r w:rsidRPr="00EB376F">
        <w:rPr>
          <w:rFonts w:cs="Times New Roman"/>
        </w:rPr>
        <w:t>[25]</w:t>
      </w:r>
      <w:r w:rsidRPr="00EB376F">
        <w:rPr>
          <w:rFonts w:cs="Times New Roman"/>
        </w:rPr>
        <w:tab/>
        <w:t xml:space="preserve">Cluster of Water and Environment, Department of Civil Engineering, Faculty of Civil Engineering and Built Environment, Universiti Tun Hussein Onn, 86400 Batu Pahat, Johor, Malaysia. </w:t>
      </w:r>
      <w:r w:rsidRPr="00EB376F">
        <w:rPr>
          <w:rFonts w:cs="Times New Roman"/>
          <w:i/>
          <w:iCs/>
        </w:rPr>
        <w:t>et al.</w:t>
      </w:r>
      <w:r w:rsidRPr="00EB376F">
        <w:rPr>
          <w:rFonts w:cs="Times New Roman"/>
        </w:rPr>
        <w:t xml:space="preserve">, ‘The cause-and-effect analysis of ground level ozone (O3), air pollutants and meteorological parameters using the causal relationship approach’, </w:t>
      </w:r>
      <w:r w:rsidRPr="00EB376F">
        <w:rPr>
          <w:rFonts w:cs="Times New Roman"/>
          <w:i/>
          <w:iCs/>
        </w:rPr>
        <w:t>J. Eng. Res.</w:t>
      </w:r>
      <w:r w:rsidRPr="00EB376F">
        <w:rPr>
          <w:rFonts w:cs="Times New Roman"/>
        </w:rPr>
        <w:t>, May 2022, doi: 10.36909/jer.17233.</w:t>
      </w:r>
    </w:p>
    <w:p w14:paraId="70AC5B91" w14:textId="77777777" w:rsidR="00EB376F" w:rsidRPr="00EB376F" w:rsidRDefault="00EB376F" w:rsidP="003A3334">
      <w:pPr>
        <w:pStyle w:val="Bibliography"/>
        <w:jc w:val="left"/>
        <w:rPr>
          <w:rFonts w:cs="Times New Roman"/>
        </w:rPr>
      </w:pPr>
      <w:r w:rsidRPr="00EB376F">
        <w:rPr>
          <w:rFonts w:cs="Times New Roman"/>
        </w:rPr>
        <w:t>[26]</w:t>
      </w:r>
      <w:r w:rsidRPr="00EB376F">
        <w:rPr>
          <w:rFonts w:cs="Times New Roman"/>
        </w:rPr>
        <w:tab/>
        <w:t xml:space="preserve">‘Concentrations of ozone’, </w:t>
      </w:r>
      <w:r w:rsidRPr="00EB376F">
        <w:rPr>
          <w:rFonts w:cs="Times New Roman"/>
          <w:i/>
          <w:iCs/>
        </w:rPr>
        <w:t>GOV.UK</w:t>
      </w:r>
      <w:r w:rsidRPr="00EB376F">
        <w:rPr>
          <w:rFonts w:cs="Times New Roman"/>
        </w:rPr>
        <w:t>. https://www.gov.uk/government/statistics/air-quality-statistics/concentrations-of-ozone (accessed Mar. 28, 2023).</w:t>
      </w:r>
    </w:p>
    <w:p w14:paraId="1F41CAA1" w14:textId="77777777" w:rsidR="00EB376F" w:rsidRPr="00EB376F" w:rsidRDefault="00EB376F" w:rsidP="003A3334">
      <w:pPr>
        <w:pStyle w:val="Bibliography"/>
        <w:jc w:val="left"/>
        <w:rPr>
          <w:rFonts w:cs="Times New Roman"/>
        </w:rPr>
      </w:pPr>
      <w:r w:rsidRPr="00EB376F">
        <w:rPr>
          <w:rFonts w:cs="Times New Roman"/>
        </w:rPr>
        <w:t>[27]</w:t>
      </w:r>
      <w:r w:rsidRPr="00EB376F">
        <w:rPr>
          <w:rFonts w:cs="Times New Roman"/>
        </w:rPr>
        <w:tab/>
        <w:t xml:space="preserve">S. Cakmak </w:t>
      </w:r>
      <w:r w:rsidRPr="00EB376F">
        <w:rPr>
          <w:rFonts w:cs="Times New Roman"/>
          <w:i/>
          <w:iCs/>
        </w:rPr>
        <w:t>et al.</w:t>
      </w:r>
      <w:r w:rsidRPr="00EB376F">
        <w:rPr>
          <w:rFonts w:cs="Times New Roman"/>
        </w:rPr>
        <w:t xml:space="preserve">, ‘Associations between long-term PM2.5 and ozone exposure and mortality in the Canadian Census Health and Environment Cohort (CANCHEC), by spatial synoptic classification zone’, </w:t>
      </w:r>
      <w:r w:rsidRPr="00EB376F">
        <w:rPr>
          <w:rFonts w:cs="Times New Roman"/>
          <w:i/>
          <w:iCs/>
        </w:rPr>
        <w:t>Environ. Int.</w:t>
      </w:r>
      <w:r w:rsidRPr="00EB376F">
        <w:rPr>
          <w:rFonts w:cs="Times New Roman"/>
        </w:rPr>
        <w:t>, vol. 111, pp. 200–211, Feb. 2018, doi: 10.1016/j.envint.2017.11.030.</w:t>
      </w:r>
    </w:p>
    <w:p w14:paraId="3A074D31" w14:textId="77777777" w:rsidR="00EB376F" w:rsidRPr="00EB376F" w:rsidRDefault="00EB376F" w:rsidP="003A3334">
      <w:pPr>
        <w:pStyle w:val="Bibliography"/>
        <w:jc w:val="left"/>
        <w:rPr>
          <w:rFonts w:cs="Times New Roman"/>
        </w:rPr>
      </w:pPr>
      <w:r w:rsidRPr="00EB376F">
        <w:rPr>
          <w:rFonts w:cs="Times New Roman"/>
        </w:rPr>
        <w:t>[28]</w:t>
      </w:r>
      <w:r w:rsidRPr="00EB376F">
        <w:rPr>
          <w:rFonts w:cs="Times New Roman"/>
        </w:rPr>
        <w:tab/>
        <w:t>‘Smart sensor solutions’. https://sensirion.com/products/catalog/SGP41/ (accessed Apr. 23, 2023).</w:t>
      </w:r>
    </w:p>
    <w:p w14:paraId="45292E50" w14:textId="77777777" w:rsidR="00EB376F" w:rsidRPr="00EB376F" w:rsidRDefault="00EB376F" w:rsidP="003A3334">
      <w:pPr>
        <w:pStyle w:val="Bibliography"/>
        <w:jc w:val="left"/>
        <w:rPr>
          <w:rFonts w:cs="Times New Roman"/>
        </w:rPr>
      </w:pPr>
      <w:r w:rsidRPr="00EB376F">
        <w:rPr>
          <w:rFonts w:cs="Times New Roman"/>
        </w:rPr>
        <w:t>[29]</w:t>
      </w:r>
      <w:r w:rsidRPr="00EB376F">
        <w:rPr>
          <w:rFonts w:cs="Times New Roman"/>
        </w:rPr>
        <w:tab/>
        <w:t xml:space="preserve">P. Salimifard, D. Rim, and J. D. Freihaut, ‘Evaluation of low-cost optical particle counters for monitoring individual indoor aerosol sources’, </w:t>
      </w:r>
      <w:r w:rsidRPr="00EB376F">
        <w:rPr>
          <w:rFonts w:cs="Times New Roman"/>
          <w:i/>
          <w:iCs/>
        </w:rPr>
        <w:t>Aerosol Sci. Technol.</w:t>
      </w:r>
      <w:r w:rsidRPr="00EB376F">
        <w:rPr>
          <w:rFonts w:cs="Times New Roman"/>
        </w:rPr>
        <w:t>, vol. 54, no. 2, pp. 217–231, Feb. 2020, doi: 10.1080/02786826.2019.1697423.</w:t>
      </w:r>
    </w:p>
    <w:p w14:paraId="58BD7C30" w14:textId="50128ABD" w:rsidR="00E377A8" w:rsidRDefault="003F0804" w:rsidP="003A3334">
      <w:pPr>
        <w:spacing w:after="160"/>
        <w:jc w:val="left"/>
      </w:pPr>
      <w:r>
        <w:fldChar w:fldCharType="end"/>
      </w:r>
    </w:p>
    <w:p w14:paraId="748ACFE1" w14:textId="77777777" w:rsidR="000E598E" w:rsidRDefault="000E598E" w:rsidP="00CE0E9B">
      <w:pPr>
        <w:spacing w:after="160"/>
        <w:jc w:val="left"/>
      </w:pPr>
    </w:p>
    <w:p w14:paraId="56037E3B" w14:textId="77777777" w:rsidR="000E598E" w:rsidRDefault="000E598E" w:rsidP="00CE0E9B">
      <w:pPr>
        <w:spacing w:after="160"/>
        <w:jc w:val="left"/>
      </w:pPr>
    </w:p>
    <w:p w14:paraId="7E02C1B6" w14:textId="2ADD78AD" w:rsidR="000E598E" w:rsidRDefault="000E598E" w:rsidP="000E598E">
      <w:pPr>
        <w:pStyle w:val="Heading1"/>
      </w:pPr>
      <w:bookmarkStart w:id="44" w:name="_Toc133335250"/>
      <w:r>
        <w:lastRenderedPageBreak/>
        <w:t>Appendix</w:t>
      </w:r>
      <w:bookmarkEnd w:id="44"/>
    </w:p>
    <w:p w14:paraId="3D9C97FD" w14:textId="3B7FACB0" w:rsidR="000E598E" w:rsidRPr="000E598E" w:rsidRDefault="000E598E" w:rsidP="000E598E">
      <w:pPr>
        <w:pStyle w:val="Heading2"/>
      </w:pPr>
      <w:bookmarkStart w:id="45" w:name="_Toc133333191"/>
      <w:bookmarkStart w:id="46" w:name="_Toc133335251"/>
      <w:r w:rsidRPr="000E598E">
        <w:t>A</w:t>
      </w:r>
      <w:r>
        <w:t>ppendix 1</w:t>
      </w:r>
      <w:bookmarkEnd w:id="45"/>
      <w:bookmarkEnd w:id="46"/>
    </w:p>
    <w:p w14:paraId="68171A65" w14:textId="1F203139" w:rsidR="000E598E" w:rsidRDefault="001A37B3" w:rsidP="000E598E">
      <w:r>
        <w:t xml:space="preserve">Spreadsheet of current market - </w:t>
      </w:r>
      <w:r w:rsidR="000E598E">
        <w:t>[EXTERNAL]</w:t>
      </w:r>
    </w:p>
    <w:p w14:paraId="15A4E14A" w14:textId="77777777" w:rsidR="000E598E" w:rsidRPr="000E598E" w:rsidRDefault="000E598E" w:rsidP="000E598E"/>
    <w:p w14:paraId="7AB56A3E" w14:textId="59DD893D" w:rsidR="000E598E" w:rsidRDefault="000E598E" w:rsidP="000E598E">
      <w:pPr>
        <w:pStyle w:val="Heading2"/>
      </w:pPr>
      <w:bookmarkStart w:id="47" w:name="_Toc133333192"/>
      <w:bookmarkStart w:id="48" w:name="_Toc133335252"/>
      <w:r w:rsidRPr="000E598E">
        <w:t>A</w:t>
      </w:r>
      <w:r>
        <w:t>ppendix 2</w:t>
      </w:r>
      <w:bookmarkEnd w:id="47"/>
      <w:bookmarkEnd w:id="48"/>
    </w:p>
    <w:p w14:paraId="4C588F22" w14:textId="32601BC2" w:rsidR="00E34967" w:rsidRPr="00E34967" w:rsidRDefault="00F33B94" w:rsidP="00E34967">
      <w:r>
        <w:t>GAIA A12</w:t>
      </w:r>
    </w:p>
    <w:p w14:paraId="39A9E335" w14:textId="465645C1" w:rsidR="000E598E" w:rsidRDefault="000E598E" w:rsidP="000E598E">
      <w:r>
        <w:rPr>
          <w:noProof/>
        </w:rPr>
        <w:drawing>
          <wp:inline distT="0" distB="0" distL="0" distR="0" wp14:anchorId="3233DF3C" wp14:editId="78936E80">
            <wp:extent cx="3183467" cy="32081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98606" cy="3223411"/>
                    </a:xfrm>
                    <a:prstGeom prst="rect">
                      <a:avLst/>
                    </a:prstGeom>
                    <a:noFill/>
                    <a:ln>
                      <a:noFill/>
                    </a:ln>
                  </pic:spPr>
                </pic:pic>
              </a:graphicData>
            </a:graphic>
          </wp:inline>
        </w:drawing>
      </w:r>
    </w:p>
    <w:p w14:paraId="151D7FBA" w14:textId="77777777" w:rsidR="000E598E" w:rsidRDefault="000E598E" w:rsidP="000E598E"/>
    <w:p w14:paraId="21B8799A" w14:textId="0B1B59EF" w:rsidR="000E598E" w:rsidRPr="000E598E" w:rsidRDefault="000E598E" w:rsidP="000E598E">
      <w:pPr>
        <w:pStyle w:val="Heading2"/>
      </w:pPr>
      <w:bookmarkStart w:id="49" w:name="_Toc133333193"/>
      <w:bookmarkStart w:id="50" w:name="_Toc133335253"/>
      <w:r w:rsidRPr="000E598E">
        <w:t xml:space="preserve">Appendix </w:t>
      </w:r>
      <w:r>
        <w:t>3</w:t>
      </w:r>
      <w:bookmarkEnd w:id="49"/>
      <w:bookmarkEnd w:id="50"/>
    </w:p>
    <w:p w14:paraId="20D18A6F" w14:textId="41562948" w:rsidR="000E598E" w:rsidRDefault="00F33B94" w:rsidP="000E598E">
      <w:proofErr w:type="spellStart"/>
      <w:r>
        <w:t>PurpleAir</w:t>
      </w:r>
      <w:proofErr w:type="spellEnd"/>
    </w:p>
    <w:p w14:paraId="25441DC4" w14:textId="3D229537" w:rsidR="000E598E" w:rsidRDefault="000E598E" w:rsidP="000E598E">
      <w:r>
        <w:rPr>
          <w:noProof/>
        </w:rPr>
        <w:drawing>
          <wp:inline distT="0" distB="0" distL="0" distR="0" wp14:anchorId="20125AD7" wp14:editId="68650D3A">
            <wp:extent cx="2616200" cy="2895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7772" t="26590" r="26580" b="22887"/>
                    <a:stretch/>
                  </pic:blipFill>
                  <pic:spPr bwMode="auto">
                    <a:xfrm>
                      <a:off x="0" y="0"/>
                      <a:ext cx="2616334" cy="2895748"/>
                    </a:xfrm>
                    <a:prstGeom prst="rect">
                      <a:avLst/>
                    </a:prstGeom>
                    <a:noFill/>
                    <a:ln>
                      <a:noFill/>
                    </a:ln>
                    <a:extLst>
                      <a:ext uri="{53640926-AAD7-44D8-BBD7-CCE9431645EC}">
                        <a14:shadowObscured xmlns:a14="http://schemas.microsoft.com/office/drawing/2010/main"/>
                      </a:ext>
                    </a:extLst>
                  </pic:spPr>
                </pic:pic>
              </a:graphicData>
            </a:graphic>
          </wp:inline>
        </w:drawing>
      </w:r>
      <w:r w:rsidRPr="000E598E">
        <w:t xml:space="preserve"> </w:t>
      </w:r>
      <w:r>
        <w:rPr>
          <w:noProof/>
        </w:rPr>
        <w:drawing>
          <wp:inline distT="0" distB="0" distL="0" distR="0" wp14:anchorId="01E9FCCD" wp14:editId="32BC3A6B">
            <wp:extent cx="2802467" cy="289619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9101" t="28806" r="26728" b="25546"/>
                    <a:stretch/>
                  </pic:blipFill>
                  <pic:spPr bwMode="auto">
                    <a:xfrm>
                      <a:off x="0" y="0"/>
                      <a:ext cx="2809088" cy="2903036"/>
                    </a:xfrm>
                    <a:prstGeom prst="rect">
                      <a:avLst/>
                    </a:prstGeom>
                    <a:noFill/>
                    <a:ln>
                      <a:noFill/>
                    </a:ln>
                    <a:extLst>
                      <a:ext uri="{53640926-AAD7-44D8-BBD7-CCE9431645EC}">
                        <a14:shadowObscured xmlns:a14="http://schemas.microsoft.com/office/drawing/2010/main"/>
                      </a:ext>
                    </a:extLst>
                  </pic:spPr>
                </pic:pic>
              </a:graphicData>
            </a:graphic>
          </wp:inline>
        </w:drawing>
      </w:r>
    </w:p>
    <w:p w14:paraId="51C95B0A" w14:textId="77777777" w:rsidR="00E34967" w:rsidRDefault="00E34967" w:rsidP="000E598E"/>
    <w:p w14:paraId="5DABE118" w14:textId="30C21681" w:rsidR="00E34967" w:rsidRDefault="00E34967" w:rsidP="00E34967">
      <w:pPr>
        <w:pStyle w:val="Heading2"/>
      </w:pPr>
      <w:bookmarkStart w:id="51" w:name="_Toc133333194"/>
      <w:bookmarkStart w:id="52" w:name="_Toc133335254"/>
      <w:r w:rsidRPr="000E598E">
        <w:t xml:space="preserve">Appendix </w:t>
      </w:r>
      <w:r>
        <w:t>4</w:t>
      </w:r>
      <w:bookmarkEnd w:id="51"/>
      <w:bookmarkEnd w:id="52"/>
    </w:p>
    <w:p w14:paraId="753F8C4C" w14:textId="1C61F3A1" w:rsidR="00F33B94" w:rsidRPr="00F33B94" w:rsidRDefault="00F33B94" w:rsidP="00F33B94">
      <w:r>
        <w:t>Clarity Node-S</w:t>
      </w:r>
    </w:p>
    <w:p w14:paraId="34C47B50" w14:textId="150AEF17" w:rsidR="00E34967" w:rsidRPr="00E34967" w:rsidRDefault="00E34967" w:rsidP="00E34967">
      <w:r w:rsidRPr="00E34967">
        <w:rPr>
          <w:noProof/>
        </w:rPr>
        <w:lastRenderedPageBreak/>
        <w:drawing>
          <wp:inline distT="0" distB="0" distL="0" distR="0" wp14:anchorId="5F82F8E8" wp14:editId="34221229">
            <wp:extent cx="4445000" cy="279472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58989" cy="2803518"/>
                    </a:xfrm>
                    <a:prstGeom prst="rect">
                      <a:avLst/>
                    </a:prstGeom>
                  </pic:spPr>
                </pic:pic>
              </a:graphicData>
            </a:graphic>
          </wp:inline>
        </w:drawing>
      </w:r>
    </w:p>
    <w:p w14:paraId="501FFEF6" w14:textId="0B1093FA" w:rsidR="00E34967" w:rsidRDefault="00E34967" w:rsidP="00E34967">
      <w:pPr>
        <w:pStyle w:val="Heading2"/>
      </w:pPr>
      <w:bookmarkStart w:id="53" w:name="_Toc133333195"/>
      <w:bookmarkStart w:id="54" w:name="_Toc133335255"/>
      <w:r w:rsidRPr="000E598E">
        <w:t xml:space="preserve">Appendix </w:t>
      </w:r>
      <w:r>
        <w:t>5</w:t>
      </w:r>
      <w:bookmarkEnd w:id="53"/>
      <w:bookmarkEnd w:id="54"/>
    </w:p>
    <w:p w14:paraId="2FB37E1A" w14:textId="77777777" w:rsidR="00E34967" w:rsidRDefault="00E34967" w:rsidP="00E34967"/>
    <w:p w14:paraId="5A15AF25" w14:textId="674551D6" w:rsidR="00F33B94" w:rsidRPr="00E34967" w:rsidRDefault="00F33B94" w:rsidP="00E34967">
      <w:r>
        <w:t>AQ-Pod Mesh</w:t>
      </w:r>
    </w:p>
    <w:p w14:paraId="588767F4" w14:textId="530D9C30" w:rsidR="00E34967" w:rsidRDefault="00E34967" w:rsidP="000E598E">
      <w:r>
        <w:rPr>
          <w:noProof/>
        </w:rPr>
        <w:drawing>
          <wp:inline distT="0" distB="0" distL="0" distR="0" wp14:anchorId="7D1765B8" wp14:editId="614F9517">
            <wp:extent cx="4109155" cy="3081866"/>
            <wp:effectExtent l="0" t="0" r="0" b="0"/>
            <wp:docPr id="26" name="Picture 26" descr="Research &amp; consult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search &amp; consultanc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17645" cy="3088233"/>
                    </a:xfrm>
                    <a:prstGeom prst="rect">
                      <a:avLst/>
                    </a:prstGeom>
                    <a:noFill/>
                    <a:ln>
                      <a:noFill/>
                    </a:ln>
                  </pic:spPr>
                </pic:pic>
              </a:graphicData>
            </a:graphic>
          </wp:inline>
        </w:drawing>
      </w:r>
    </w:p>
    <w:p w14:paraId="627A7538" w14:textId="77777777" w:rsidR="00F33B94" w:rsidRDefault="00F33B94">
      <w:pPr>
        <w:spacing w:after="160"/>
        <w:jc w:val="left"/>
        <w:rPr>
          <w:rFonts w:eastAsiaTheme="majorEastAsia" w:cs="Times New Roman"/>
          <w:b/>
          <w:bCs/>
          <w:caps/>
        </w:rPr>
      </w:pPr>
      <w:bookmarkStart w:id="55" w:name="_Toc133333196"/>
      <w:bookmarkStart w:id="56" w:name="_Toc133335256"/>
      <w:r>
        <w:br w:type="page"/>
      </w:r>
    </w:p>
    <w:p w14:paraId="6D07FEF3" w14:textId="30A26E9E" w:rsidR="00E34967" w:rsidRDefault="00E34967" w:rsidP="00E34967">
      <w:pPr>
        <w:pStyle w:val="Heading2"/>
      </w:pPr>
      <w:r w:rsidRPr="000E598E">
        <w:lastRenderedPageBreak/>
        <w:t xml:space="preserve">Appendix </w:t>
      </w:r>
      <w:r>
        <w:t>6</w:t>
      </w:r>
      <w:bookmarkEnd w:id="55"/>
      <w:bookmarkEnd w:id="56"/>
    </w:p>
    <w:p w14:paraId="57D20F51" w14:textId="3C88E779" w:rsidR="00F33B94" w:rsidRPr="00F33B94" w:rsidRDefault="00F33B94" w:rsidP="00F33B94">
      <w:r>
        <w:t xml:space="preserve">TSI </w:t>
      </w:r>
      <w:proofErr w:type="spellStart"/>
      <w:r>
        <w:t>Bluesky</w:t>
      </w:r>
      <w:proofErr w:type="spellEnd"/>
    </w:p>
    <w:p w14:paraId="07966203" w14:textId="6328C3E8" w:rsidR="00E34967" w:rsidRDefault="00E34967" w:rsidP="00E34967">
      <w:r>
        <w:rPr>
          <w:noProof/>
        </w:rPr>
        <w:drawing>
          <wp:inline distT="0" distB="0" distL="0" distR="0" wp14:anchorId="683D9FF1" wp14:editId="6FA92C5C">
            <wp:extent cx="2675819" cy="4868333"/>
            <wp:effectExtent l="0" t="0" r="0" b="0"/>
            <wp:docPr id="28" name="Picture 28" descr="A solar panel on a p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olar panel on a pole&#10;&#10;Description automatically generated with medium confidenc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058" t="5063" r="9210" b="6281"/>
                    <a:stretch/>
                  </pic:blipFill>
                  <pic:spPr bwMode="auto">
                    <a:xfrm>
                      <a:off x="0" y="0"/>
                      <a:ext cx="2682022" cy="4879619"/>
                    </a:xfrm>
                    <a:prstGeom prst="rect">
                      <a:avLst/>
                    </a:prstGeom>
                    <a:noFill/>
                    <a:ln>
                      <a:noFill/>
                    </a:ln>
                    <a:extLst>
                      <a:ext uri="{53640926-AAD7-44D8-BBD7-CCE9431645EC}">
                        <a14:shadowObscured xmlns:a14="http://schemas.microsoft.com/office/drawing/2010/main"/>
                      </a:ext>
                    </a:extLst>
                  </pic:spPr>
                </pic:pic>
              </a:graphicData>
            </a:graphic>
          </wp:inline>
        </w:drawing>
      </w:r>
    </w:p>
    <w:p w14:paraId="3185C317" w14:textId="77777777" w:rsidR="00E34967" w:rsidRPr="00E34967" w:rsidRDefault="00E34967" w:rsidP="00E34967"/>
    <w:p w14:paraId="129A7C6C" w14:textId="772735C7" w:rsidR="00E34967" w:rsidRPr="00E34967" w:rsidRDefault="00E34967" w:rsidP="00E34967">
      <w:r>
        <w:rPr>
          <w:noProof/>
        </w:rPr>
        <w:drawing>
          <wp:inline distT="0" distB="0" distL="0" distR="0" wp14:anchorId="7032C6F8" wp14:editId="161A538D">
            <wp:extent cx="3259667" cy="29486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9011" t="9854" r="8849" b="10211"/>
                    <a:stretch/>
                  </pic:blipFill>
                  <pic:spPr bwMode="auto">
                    <a:xfrm>
                      <a:off x="0" y="0"/>
                      <a:ext cx="3268117" cy="2956319"/>
                    </a:xfrm>
                    <a:prstGeom prst="rect">
                      <a:avLst/>
                    </a:prstGeom>
                    <a:noFill/>
                    <a:ln>
                      <a:noFill/>
                    </a:ln>
                    <a:extLst>
                      <a:ext uri="{53640926-AAD7-44D8-BBD7-CCE9431645EC}">
                        <a14:shadowObscured xmlns:a14="http://schemas.microsoft.com/office/drawing/2010/main"/>
                      </a:ext>
                    </a:extLst>
                  </pic:spPr>
                </pic:pic>
              </a:graphicData>
            </a:graphic>
          </wp:inline>
        </w:drawing>
      </w:r>
    </w:p>
    <w:p w14:paraId="23565D90" w14:textId="77777777" w:rsidR="00170DAD" w:rsidRDefault="00170DAD">
      <w:pPr>
        <w:spacing w:after="160"/>
        <w:jc w:val="left"/>
        <w:rPr>
          <w:rFonts w:eastAsiaTheme="majorEastAsia" w:cs="Times New Roman"/>
          <w:b/>
          <w:bCs/>
          <w:caps/>
        </w:rPr>
      </w:pPr>
      <w:bookmarkStart w:id="57" w:name="_Toc133333197"/>
      <w:r>
        <w:br w:type="page"/>
      </w:r>
    </w:p>
    <w:p w14:paraId="66CC9FEB" w14:textId="06EF3F27" w:rsidR="00E34967" w:rsidRDefault="00E34967" w:rsidP="00E34967">
      <w:pPr>
        <w:pStyle w:val="Heading2"/>
      </w:pPr>
      <w:bookmarkStart w:id="58" w:name="_Toc133335257"/>
      <w:r w:rsidRPr="000E598E">
        <w:lastRenderedPageBreak/>
        <w:t xml:space="preserve">Appendix </w:t>
      </w:r>
      <w:r>
        <w:t>7</w:t>
      </w:r>
      <w:bookmarkEnd w:id="57"/>
      <w:bookmarkEnd w:id="58"/>
    </w:p>
    <w:p w14:paraId="00102886" w14:textId="77C365B7" w:rsidR="00170DAD" w:rsidRPr="00170DAD" w:rsidRDefault="00F33B94" w:rsidP="00170DAD">
      <w:proofErr w:type="spellStart"/>
      <w:r>
        <w:t>Areoqual</w:t>
      </w:r>
      <w:proofErr w:type="spellEnd"/>
      <w:r>
        <w:t xml:space="preserve"> - R</w:t>
      </w:r>
    </w:p>
    <w:p w14:paraId="3EEF2F30" w14:textId="77265770" w:rsidR="00170DAD" w:rsidRDefault="00E34967" w:rsidP="00587709">
      <w:r>
        <w:rPr>
          <w:noProof/>
        </w:rPr>
        <w:drawing>
          <wp:inline distT="0" distB="0" distL="0" distR="0" wp14:anchorId="12ADE3E3" wp14:editId="5CAFFC73">
            <wp:extent cx="5731510" cy="5731510"/>
            <wp:effectExtent l="0" t="0" r="0" b="0"/>
            <wp:docPr id="29" name="Picture 29" descr="AQY R - Air Quality Network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QY R - Air Quality Network Monito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bookmarkStart w:id="59" w:name="_Toc133333198"/>
    </w:p>
    <w:p w14:paraId="24763A0B" w14:textId="77777777" w:rsidR="00587709" w:rsidRDefault="00587709" w:rsidP="00587709"/>
    <w:p w14:paraId="531FED16" w14:textId="46582779" w:rsidR="00E34967" w:rsidRDefault="00E34967" w:rsidP="00E34967">
      <w:pPr>
        <w:pStyle w:val="Heading2"/>
      </w:pPr>
      <w:bookmarkStart w:id="60" w:name="_Toc133335258"/>
      <w:r w:rsidRPr="000E598E">
        <w:t xml:space="preserve">Appendix </w:t>
      </w:r>
      <w:r>
        <w:t>8</w:t>
      </w:r>
      <w:bookmarkEnd w:id="59"/>
      <w:bookmarkEnd w:id="60"/>
    </w:p>
    <w:p w14:paraId="7C40F2CC" w14:textId="669D803A" w:rsidR="00170DAD" w:rsidRDefault="001A37B3" w:rsidP="00587709">
      <w:r>
        <w:t>Proteus files - [EXTERNAL]</w:t>
      </w:r>
      <w:bookmarkStart w:id="61" w:name="_Toc133333199"/>
    </w:p>
    <w:p w14:paraId="7E3DD797" w14:textId="77777777" w:rsidR="00587709" w:rsidRDefault="00587709" w:rsidP="00587709"/>
    <w:p w14:paraId="0AD7425B" w14:textId="78F2234B" w:rsidR="00E34967" w:rsidRDefault="00E34967" w:rsidP="00E34967">
      <w:pPr>
        <w:pStyle w:val="Heading2"/>
      </w:pPr>
      <w:bookmarkStart w:id="62" w:name="_Toc133335259"/>
      <w:r w:rsidRPr="000E598E">
        <w:t xml:space="preserve">Appendix </w:t>
      </w:r>
      <w:r>
        <w:t>9</w:t>
      </w:r>
      <w:bookmarkEnd w:id="61"/>
      <w:bookmarkEnd w:id="62"/>
    </w:p>
    <w:p w14:paraId="67882533" w14:textId="7F3090E8" w:rsidR="00E34967" w:rsidRPr="000E598E" w:rsidRDefault="001A37B3" w:rsidP="000E598E">
      <w:r>
        <w:t xml:space="preserve">MPLABX </w:t>
      </w:r>
      <w:r w:rsidR="00CB5CC9">
        <w:t>files -</w:t>
      </w:r>
      <w:r>
        <w:t xml:space="preserve"> [EXTERNAL]</w:t>
      </w:r>
    </w:p>
    <w:sectPr w:rsidR="00E34967" w:rsidRPr="000E598E" w:rsidSect="00353637">
      <w:footerReference w:type="defaul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E8771" w14:textId="77777777" w:rsidR="00A04D3B" w:rsidRDefault="00A04D3B" w:rsidP="00353637">
      <w:pPr>
        <w:spacing w:line="240" w:lineRule="auto"/>
      </w:pPr>
      <w:r>
        <w:separator/>
      </w:r>
    </w:p>
  </w:endnote>
  <w:endnote w:type="continuationSeparator" w:id="0">
    <w:p w14:paraId="3FCCD632" w14:textId="77777777" w:rsidR="00A04D3B" w:rsidRDefault="00A04D3B" w:rsidP="003536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43346"/>
      <w:docPartObj>
        <w:docPartGallery w:val="Page Numbers (Bottom of Page)"/>
        <w:docPartUnique/>
      </w:docPartObj>
    </w:sdtPr>
    <w:sdtContent>
      <w:p w14:paraId="182A4CBD" w14:textId="7A388E56" w:rsidR="00353637" w:rsidRDefault="00000000">
        <w:pPr>
          <w:pStyle w:val="Footer"/>
        </w:pPr>
        <w:r>
          <w:rPr>
            <w:noProof/>
          </w:rPr>
          <w:pict w14:anchorId="5C4911B1">
            <v:group id="Group 2" o:spid="_x0000_s1025"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xidwMAAHUKAAAOAAAAZHJzL2Uyb0RvYy54bWzUlttu3DYQhu8L5B0I3sc6rLUHwbLhrBO3&#10;QJIasNt7rkQdWolUSa4l9+k7Q3Kl9cZtgQRJECywoHgYzvwz30gXV2PXkkeudCNFRqOzkBIuclk0&#10;osrobw/vXq8p0YaJgrVS8Iw+cU2vLl/9dDH0KY9lLduCKwJGhE6HPqO1MX0aBDqvecf0mey5gMVS&#10;qo4ZeFRVUCg2gPWuDeIwXAaDVEWvZM61htkbt0gvrf2y5Ln5tSw1N6TNKPhm7L+y/zv8Dy4vWFop&#10;1tdN7t1gn+FFxxoBl06mbphhZK+aT0x1Ta6klqU5y2UXyLJscm5jgGii8CSaWyX3vY2lSoeqn2QC&#10;aU90+myz+cfHW9Xf93fKeQ/D9zL/U4MuwdBX6fE6PlduM9kNH2QB+WR7I23gY6k6NAEhkdHq+zTp&#10;y0dDcphcrZLFIoE05LAWbcIk9AnIa8jSfCw636ymlbf+cBTHSeKOLty5gKXuVuup9wwzD6WkZ7X0&#10;l6l1X7Oe2yRoVONOkabI6IISwToQ4AGDeyNHEidYTHg57EJBiRlhHgK1+minKxFyWzNR8Wul5FBz&#10;VoB7EZ6EIKajzo5GI/8ndBSuQ3AGBT3frGNX0AfBl8nGKRav1/aOg2Is7ZU2t1x2BAcZVUCK9ZM9&#10;vtcG3Zm3YFqFfNe0LcyztBXPJmAjzlj30WPnuxl3o5djJ4snCERJBx80CxjUUv1NyQDgZVT/tWeK&#10;U9L+IkAMpPQwUIfB7jBgIoejGTWUuOHWOJr3vWqqGiw7uYW8hsosGxsKKuu88H5CeaCbvpzdcM7t&#10;+SG3lj+ysOk5hQFR/yJYSNk2/c8Hf59hc1T/h0weVX+8mNjw1GCTdQWwsmlmaV6/gI0/+D2xAYAd&#10;NpgdSxaJV0fcbIVrRPkofCOagLG7H556YO4ZL+4IpvjfebFa/36i9aeqzWIvfZM6lWyGwnOz48Js&#10;pRCAj1SLmSBEpCp8sKz4I6Kk7Fp4tTyylkDfmzqY5e2/cSNDRjcJ9Bc0qmXbFMiifVDVbtsqAkYz&#10;ep3gz2P+bFvXGHjJtk2X0TVe7esHu89bUVioDWtaN36ZZ4cP9gVU2vPzDfrs8oWCsTXuu+XXKhjb&#10;rbC3WrlQa09oFCfxKW1T3YSbjX9FfZ3C2SxXjnBI0o9bOPPr2paT/baxBPjvMPx4On62u+avxct/&#10;AAAA//8DAFBLAwQUAAYACAAAACEA8C245NsAAAAFAQAADwAAAGRycy9kb3ducmV2LnhtbEyPwU7D&#10;MBBE70j9B2uRuFG7KQIU4lSAyg2EKGnL0Y2XOGq8Drabhr/H5QKXkUazmnlbLEbbsQF9aB1JmE0F&#10;MKTa6ZYaCdX70+UtsBAVadU5QgnfGGBRTs4KlWt3pDccVrFhqYRCriSYGPuc81AbtCpMXY+Usk/n&#10;rYrJ+oZrr46p3HY8E+KaW9VSWjCqx0eD9X51sBKym/VVWH70rw8v66/N8LytjG8qKS/Ox/s7YBHH&#10;+HcMJ/yEDmVi2rkD6cA6CemR+KunLMtmye8kzIUAXhb8P335AwAA//8DAFBLAQItABQABgAIAAAA&#10;IQC2gziS/gAAAOEBAAATAAAAAAAAAAAAAAAAAAAAAABbQ29udGVudF9UeXBlc10ueG1sUEsBAi0A&#10;FAAGAAgAAAAhADj9If/WAAAAlAEAAAsAAAAAAAAAAAAAAAAALwEAAF9yZWxzLy5yZWxzUEsBAi0A&#10;FAAGAAgAAAAhAOCOLGJ3AwAAdQoAAA4AAAAAAAAAAAAAAAAALgIAAGRycy9lMm9Eb2MueG1sUEsB&#10;Ai0AFAAGAAgAAAAhAPAtuOTbAAAABQEAAA8AAAAAAAAAAAAAAAAA0QUAAGRycy9kb3ducmV2Lnht&#10;bFBLBQYAAAAABAAEAPMAAADZBgAAAAA=&#10;">
              <v:shapetype id="_x0000_t202" coordsize="21600,21600" o:spt="202" path="m,l,21600r21600,l21600,xe">
                <v:stroke joinstyle="miter"/>
                <v:path gradientshapeok="t" o:connecttype="rect"/>
              </v:shapetype>
              <v:shape id="Text Box 25" o:spid="_x0000_s102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style="mso-next-textbox:#Text Box 25" inset="0,0,0,0">
                  <w:txbxContent>
                    <w:p w14:paraId="030893FC" w14:textId="77777777" w:rsidR="00353637" w:rsidRDefault="0035363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2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6B163" w14:textId="4531E399" w:rsidR="00353637" w:rsidRDefault="00353637">
    <w:pPr>
      <w:pStyle w:val="Footer"/>
    </w:pPr>
    <w:r>
      <w:ptab w:relativeTo="margin" w:alignment="center" w:leader="none"/>
    </w:r>
    <w:r w:rsidR="006453BA">
      <w:t>26</w:t>
    </w:r>
    <w:r>
      <w:t xml:space="preserve"> </w:t>
    </w:r>
    <w:r w:rsidR="006453BA">
      <w:t>April 2023</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91FBA" w14:textId="77777777" w:rsidR="00A04D3B" w:rsidRDefault="00A04D3B" w:rsidP="00353637">
      <w:pPr>
        <w:spacing w:line="240" w:lineRule="auto"/>
      </w:pPr>
      <w:r>
        <w:separator/>
      </w:r>
    </w:p>
  </w:footnote>
  <w:footnote w:type="continuationSeparator" w:id="0">
    <w:p w14:paraId="279E0927" w14:textId="77777777" w:rsidR="00A04D3B" w:rsidRDefault="00A04D3B" w:rsidP="003536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1B84A15"/>
    <w:multiLevelType w:val="hybridMultilevel"/>
    <w:tmpl w:val="3350DF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37158552">
    <w:abstractNumId w:val="3"/>
  </w:num>
  <w:num w:numId="2" w16cid:durableId="79328628">
    <w:abstractNumId w:val="1"/>
  </w:num>
  <w:num w:numId="3" w16cid:durableId="2135906153">
    <w:abstractNumId w:val="4"/>
  </w:num>
  <w:num w:numId="4" w16cid:durableId="580336064">
    <w:abstractNumId w:val="5"/>
  </w:num>
  <w:num w:numId="5" w16cid:durableId="1057047404">
    <w:abstractNumId w:val="4"/>
  </w:num>
  <w:num w:numId="6" w16cid:durableId="38938916">
    <w:abstractNumId w:val="2"/>
  </w:num>
  <w:num w:numId="7" w16cid:durableId="74318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rules v:ext="edit">
        <o:r id="V:Rule1" type="connector" idref="#AutoShape 27"/>
        <o:r id="V:Rule2" type="connector" idref="#AutoShape 28"/>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6425B"/>
    <w:rsid w:val="000013CD"/>
    <w:rsid w:val="00025E59"/>
    <w:rsid w:val="00066789"/>
    <w:rsid w:val="00066A69"/>
    <w:rsid w:val="00085571"/>
    <w:rsid w:val="0009305D"/>
    <w:rsid w:val="00094120"/>
    <w:rsid w:val="0009725C"/>
    <w:rsid w:val="000A6B7A"/>
    <w:rsid w:val="000B00CF"/>
    <w:rsid w:val="000B5129"/>
    <w:rsid w:val="000C705A"/>
    <w:rsid w:val="000E4D52"/>
    <w:rsid w:val="000E598E"/>
    <w:rsid w:val="000F595A"/>
    <w:rsid w:val="000F76CA"/>
    <w:rsid w:val="00130BB9"/>
    <w:rsid w:val="0014181E"/>
    <w:rsid w:val="00146DB0"/>
    <w:rsid w:val="0014737C"/>
    <w:rsid w:val="00157F3C"/>
    <w:rsid w:val="00170DAD"/>
    <w:rsid w:val="00177C52"/>
    <w:rsid w:val="00186135"/>
    <w:rsid w:val="00190BA7"/>
    <w:rsid w:val="001A37B3"/>
    <w:rsid w:val="001C0242"/>
    <w:rsid w:val="001C0F78"/>
    <w:rsid w:val="001C2C9B"/>
    <w:rsid w:val="001D31BE"/>
    <w:rsid w:val="001D5DF4"/>
    <w:rsid w:val="001E5841"/>
    <w:rsid w:val="001F1265"/>
    <w:rsid w:val="002127AA"/>
    <w:rsid w:val="002200C4"/>
    <w:rsid w:val="00242FEF"/>
    <w:rsid w:val="002518E2"/>
    <w:rsid w:val="0026425B"/>
    <w:rsid w:val="002720F7"/>
    <w:rsid w:val="00291366"/>
    <w:rsid w:val="00294129"/>
    <w:rsid w:val="0029788C"/>
    <w:rsid w:val="002A073D"/>
    <w:rsid w:val="002A07CA"/>
    <w:rsid w:val="002A2E76"/>
    <w:rsid w:val="002A4017"/>
    <w:rsid w:val="002A79E3"/>
    <w:rsid w:val="002B38DC"/>
    <w:rsid w:val="002B507C"/>
    <w:rsid w:val="002D21E0"/>
    <w:rsid w:val="002D381C"/>
    <w:rsid w:val="002F3E5C"/>
    <w:rsid w:val="00301872"/>
    <w:rsid w:val="003139DA"/>
    <w:rsid w:val="00317E5E"/>
    <w:rsid w:val="00326077"/>
    <w:rsid w:val="00336203"/>
    <w:rsid w:val="003373B2"/>
    <w:rsid w:val="0034317E"/>
    <w:rsid w:val="003503E3"/>
    <w:rsid w:val="003514DF"/>
    <w:rsid w:val="00353637"/>
    <w:rsid w:val="003576B7"/>
    <w:rsid w:val="00377644"/>
    <w:rsid w:val="00393B8F"/>
    <w:rsid w:val="003A0AA3"/>
    <w:rsid w:val="003A2B93"/>
    <w:rsid w:val="003A3334"/>
    <w:rsid w:val="003B29CC"/>
    <w:rsid w:val="003D003A"/>
    <w:rsid w:val="003D6C0B"/>
    <w:rsid w:val="003E69EB"/>
    <w:rsid w:val="003F0804"/>
    <w:rsid w:val="003F41E7"/>
    <w:rsid w:val="003F4238"/>
    <w:rsid w:val="00417411"/>
    <w:rsid w:val="00421D91"/>
    <w:rsid w:val="00430B24"/>
    <w:rsid w:val="00434F60"/>
    <w:rsid w:val="00442979"/>
    <w:rsid w:val="004502D8"/>
    <w:rsid w:val="004547C7"/>
    <w:rsid w:val="00454E3D"/>
    <w:rsid w:val="004565BD"/>
    <w:rsid w:val="004701D0"/>
    <w:rsid w:val="004728DE"/>
    <w:rsid w:val="00472E09"/>
    <w:rsid w:val="00477769"/>
    <w:rsid w:val="004832C6"/>
    <w:rsid w:val="004834CF"/>
    <w:rsid w:val="0049652A"/>
    <w:rsid w:val="004C2469"/>
    <w:rsid w:val="004D22B6"/>
    <w:rsid w:val="004D5FE0"/>
    <w:rsid w:val="004F6F0D"/>
    <w:rsid w:val="00502CD6"/>
    <w:rsid w:val="005128E4"/>
    <w:rsid w:val="00517297"/>
    <w:rsid w:val="00525437"/>
    <w:rsid w:val="0056319E"/>
    <w:rsid w:val="005631DE"/>
    <w:rsid w:val="00567FF7"/>
    <w:rsid w:val="0058115A"/>
    <w:rsid w:val="005839BC"/>
    <w:rsid w:val="00587709"/>
    <w:rsid w:val="005921BF"/>
    <w:rsid w:val="005B29CF"/>
    <w:rsid w:val="005B529F"/>
    <w:rsid w:val="005C2043"/>
    <w:rsid w:val="005D148A"/>
    <w:rsid w:val="005D2108"/>
    <w:rsid w:val="005D2BC8"/>
    <w:rsid w:val="00607D5B"/>
    <w:rsid w:val="00612DD1"/>
    <w:rsid w:val="006130A0"/>
    <w:rsid w:val="0062484E"/>
    <w:rsid w:val="0063281F"/>
    <w:rsid w:val="00643C20"/>
    <w:rsid w:val="0064456F"/>
    <w:rsid w:val="006453BA"/>
    <w:rsid w:val="0065288E"/>
    <w:rsid w:val="00652F01"/>
    <w:rsid w:val="00654EEE"/>
    <w:rsid w:val="00657099"/>
    <w:rsid w:val="00684714"/>
    <w:rsid w:val="006A2E0E"/>
    <w:rsid w:val="006B1A7D"/>
    <w:rsid w:val="006B1FFA"/>
    <w:rsid w:val="006C03D1"/>
    <w:rsid w:val="006C2918"/>
    <w:rsid w:val="006D6486"/>
    <w:rsid w:val="006E1398"/>
    <w:rsid w:val="006E519A"/>
    <w:rsid w:val="006F3727"/>
    <w:rsid w:val="00723224"/>
    <w:rsid w:val="00732895"/>
    <w:rsid w:val="00750B01"/>
    <w:rsid w:val="00752BDE"/>
    <w:rsid w:val="0076352B"/>
    <w:rsid w:val="007655A4"/>
    <w:rsid w:val="00797F05"/>
    <w:rsid w:val="007A523C"/>
    <w:rsid w:val="007A6883"/>
    <w:rsid w:val="007C3F1C"/>
    <w:rsid w:val="007C4E08"/>
    <w:rsid w:val="007D3781"/>
    <w:rsid w:val="007D4183"/>
    <w:rsid w:val="00834C34"/>
    <w:rsid w:val="00840E87"/>
    <w:rsid w:val="00846F20"/>
    <w:rsid w:val="00852585"/>
    <w:rsid w:val="008549A2"/>
    <w:rsid w:val="008636E0"/>
    <w:rsid w:val="008720D4"/>
    <w:rsid w:val="00872DE8"/>
    <w:rsid w:val="00874D94"/>
    <w:rsid w:val="00880E02"/>
    <w:rsid w:val="00881780"/>
    <w:rsid w:val="008849C9"/>
    <w:rsid w:val="00891068"/>
    <w:rsid w:val="00892BF3"/>
    <w:rsid w:val="008946EA"/>
    <w:rsid w:val="008B3D74"/>
    <w:rsid w:val="008B7BF6"/>
    <w:rsid w:val="008B7F6C"/>
    <w:rsid w:val="008C7655"/>
    <w:rsid w:val="008E1D1C"/>
    <w:rsid w:val="008E1F11"/>
    <w:rsid w:val="008E4D74"/>
    <w:rsid w:val="008E7794"/>
    <w:rsid w:val="008F3C4C"/>
    <w:rsid w:val="008F584C"/>
    <w:rsid w:val="00902B89"/>
    <w:rsid w:val="00930567"/>
    <w:rsid w:val="00935FD6"/>
    <w:rsid w:val="00943DBA"/>
    <w:rsid w:val="00952742"/>
    <w:rsid w:val="00956210"/>
    <w:rsid w:val="0096066C"/>
    <w:rsid w:val="00967CAB"/>
    <w:rsid w:val="00982254"/>
    <w:rsid w:val="00991E36"/>
    <w:rsid w:val="00993C70"/>
    <w:rsid w:val="00997EF1"/>
    <w:rsid w:val="009A2800"/>
    <w:rsid w:val="009A3D3E"/>
    <w:rsid w:val="009B46E7"/>
    <w:rsid w:val="009B7558"/>
    <w:rsid w:val="009D4BD2"/>
    <w:rsid w:val="009D60F6"/>
    <w:rsid w:val="009E25F4"/>
    <w:rsid w:val="009E4A19"/>
    <w:rsid w:val="009F6D13"/>
    <w:rsid w:val="00A036C7"/>
    <w:rsid w:val="00A04D3B"/>
    <w:rsid w:val="00A1504C"/>
    <w:rsid w:val="00A3348E"/>
    <w:rsid w:val="00A3614D"/>
    <w:rsid w:val="00A36A0D"/>
    <w:rsid w:val="00A57485"/>
    <w:rsid w:val="00A5764C"/>
    <w:rsid w:val="00A67ABC"/>
    <w:rsid w:val="00A70E8D"/>
    <w:rsid w:val="00A8180E"/>
    <w:rsid w:val="00A8400A"/>
    <w:rsid w:val="00A845EE"/>
    <w:rsid w:val="00A86EE0"/>
    <w:rsid w:val="00AA55D4"/>
    <w:rsid w:val="00AB2855"/>
    <w:rsid w:val="00AD3246"/>
    <w:rsid w:val="00AE1050"/>
    <w:rsid w:val="00AE309F"/>
    <w:rsid w:val="00AE49D8"/>
    <w:rsid w:val="00AF113C"/>
    <w:rsid w:val="00AF55E4"/>
    <w:rsid w:val="00B038F2"/>
    <w:rsid w:val="00B07BEF"/>
    <w:rsid w:val="00B11EAF"/>
    <w:rsid w:val="00B13939"/>
    <w:rsid w:val="00B21DD0"/>
    <w:rsid w:val="00B3656E"/>
    <w:rsid w:val="00B475A3"/>
    <w:rsid w:val="00B52362"/>
    <w:rsid w:val="00B628AC"/>
    <w:rsid w:val="00B63DB8"/>
    <w:rsid w:val="00B71A07"/>
    <w:rsid w:val="00B776BD"/>
    <w:rsid w:val="00B862CC"/>
    <w:rsid w:val="00BA358E"/>
    <w:rsid w:val="00BB7623"/>
    <w:rsid w:val="00BD6D48"/>
    <w:rsid w:val="00BE434F"/>
    <w:rsid w:val="00BF3AA5"/>
    <w:rsid w:val="00C031AC"/>
    <w:rsid w:val="00C21C5A"/>
    <w:rsid w:val="00C2677E"/>
    <w:rsid w:val="00C31D18"/>
    <w:rsid w:val="00C31F2C"/>
    <w:rsid w:val="00C56211"/>
    <w:rsid w:val="00C73871"/>
    <w:rsid w:val="00C973A8"/>
    <w:rsid w:val="00CA4C22"/>
    <w:rsid w:val="00CA7E66"/>
    <w:rsid w:val="00CB5CC9"/>
    <w:rsid w:val="00CC53A1"/>
    <w:rsid w:val="00CC7C57"/>
    <w:rsid w:val="00CE0E9B"/>
    <w:rsid w:val="00CE0F75"/>
    <w:rsid w:val="00D04977"/>
    <w:rsid w:val="00D2353A"/>
    <w:rsid w:val="00D364B9"/>
    <w:rsid w:val="00D37573"/>
    <w:rsid w:val="00D449A4"/>
    <w:rsid w:val="00D45038"/>
    <w:rsid w:val="00D51642"/>
    <w:rsid w:val="00D70A22"/>
    <w:rsid w:val="00D80FB9"/>
    <w:rsid w:val="00D86ABF"/>
    <w:rsid w:val="00D86C46"/>
    <w:rsid w:val="00D975E2"/>
    <w:rsid w:val="00DA292E"/>
    <w:rsid w:val="00DB1CCE"/>
    <w:rsid w:val="00DD049F"/>
    <w:rsid w:val="00DE064A"/>
    <w:rsid w:val="00DE7279"/>
    <w:rsid w:val="00DF4646"/>
    <w:rsid w:val="00E17AE7"/>
    <w:rsid w:val="00E34967"/>
    <w:rsid w:val="00E377A8"/>
    <w:rsid w:val="00E40D54"/>
    <w:rsid w:val="00E50C05"/>
    <w:rsid w:val="00E60611"/>
    <w:rsid w:val="00E66F1B"/>
    <w:rsid w:val="00E676B3"/>
    <w:rsid w:val="00E83656"/>
    <w:rsid w:val="00E843C9"/>
    <w:rsid w:val="00E91092"/>
    <w:rsid w:val="00E95115"/>
    <w:rsid w:val="00EB08DE"/>
    <w:rsid w:val="00EB0D4C"/>
    <w:rsid w:val="00EB155A"/>
    <w:rsid w:val="00EB376F"/>
    <w:rsid w:val="00EB3A89"/>
    <w:rsid w:val="00ED1C80"/>
    <w:rsid w:val="00ED4885"/>
    <w:rsid w:val="00F12F02"/>
    <w:rsid w:val="00F16181"/>
    <w:rsid w:val="00F335A6"/>
    <w:rsid w:val="00F33B94"/>
    <w:rsid w:val="00F34EA7"/>
    <w:rsid w:val="00F35FCA"/>
    <w:rsid w:val="00F66D10"/>
    <w:rsid w:val="00F7015E"/>
    <w:rsid w:val="00F9564A"/>
    <w:rsid w:val="00FA2D4B"/>
    <w:rsid w:val="00FA45C9"/>
    <w:rsid w:val="00FB5659"/>
    <w:rsid w:val="00FE2E02"/>
    <w:rsid w:val="00FF2E81"/>
    <w:rsid w:val="70F8D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1C976"/>
  <w15:docId w15:val="{9DA1BFBB-2C7D-44DA-ACDD-701D513B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37"/>
    <w:pPr>
      <w:spacing w:after="0"/>
      <w:jc w:val="both"/>
    </w:pPr>
    <w:rPr>
      <w:rFonts w:ascii="Times New Roman" w:hAnsi="Times New Roman"/>
      <w:sz w:val="24"/>
      <w:szCs w:val="24"/>
    </w:rPr>
  </w:style>
  <w:style w:type="paragraph" w:styleId="Heading1">
    <w:name w:val="heading 1"/>
    <w:basedOn w:val="Normal"/>
    <w:next w:val="Normal"/>
    <w:link w:val="Heading1Char"/>
    <w:uiPriority w:val="9"/>
    <w:qFormat/>
    <w:rsid w:val="00353637"/>
    <w:pPr>
      <w:keepNext/>
      <w:keepLines/>
      <w:spacing w:before="240"/>
      <w:outlineLvl w:val="0"/>
    </w:pPr>
    <w:rPr>
      <w:rFonts w:eastAsiaTheme="majorEastAsia" w:cstheme="majorBidi"/>
      <w:b/>
      <w:bCs/>
      <w:caps/>
      <w:sz w:val="28"/>
      <w:szCs w:val="28"/>
    </w:rPr>
  </w:style>
  <w:style w:type="paragraph" w:styleId="Heading2">
    <w:name w:val="heading 2"/>
    <w:basedOn w:val="Normal"/>
    <w:next w:val="Normal"/>
    <w:link w:val="Heading2Char"/>
    <w:uiPriority w:val="9"/>
    <w:unhideWhenUsed/>
    <w:qFormat/>
    <w:rsid w:val="00353637"/>
    <w:pPr>
      <w:keepNext/>
      <w:keepLines/>
      <w:spacing w:before="120"/>
      <w:outlineLvl w:val="1"/>
    </w:pPr>
    <w:rPr>
      <w:rFonts w:eastAsiaTheme="majorEastAsia" w:cs="Times New Roman"/>
      <w:b/>
      <w:bCs/>
      <w:caps/>
    </w:rPr>
  </w:style>
  <w:style w:type="paragraph" w:styleId="Heading3">
    <w:name w:val="heading 3"/>
    <w:basedOn w:val="Normal"/>
    <w:next w:val="Normal"/>
    <w:link w:val="Heading3Char"/>
    <w:uiPriority w:val="9"/>
    <w:unhideWhenUsed/>
    <w:qFormat/>
    <w:rsid w:val="00353637"/>
    <w:pPr>
      <w:keepNext/>
      <w:keepLines/>
      <w:spacing w:before="4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35363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Title"/>
    <w:next w:val="Normal"/>
    <w:link w:val="Heading5Char"/>
    <w:uiPriority w:val="9"/>
    <w:semiHidden/>
    <w:unhideWhenUsed/>
    <w:qFormat/>
    <w:rsid w:val="00353637"/>
    <w:pPr>
      <w:outlineLvl w:val="4"/>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3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53637"/>
    <w:pPr>
      <w:spacing w:line="240" w:lineRule="auto"/>
      <w:contextualSpacing/>
      <w:jc w:val="center"/>
    </w:pPr>
    <w:rPr>
      <w:rFonts w:eastAsiaTheme="majorEastAsia" w:cstheme="majorBidi"/>
      <w:b/>
      <w:bCs/>
      <w:spacing w:val="-10"/>
      <w:kern w:val="28"/>
      <w:sz w:val="32"/>
      <w:szCs w:val="32"/>
    </w:rPr>
  </w:style>
  <w:style w:type="character" w:customStyle="1" w:styleId="TitleChar">
    <w:name w:val="Title Char"/>
    <w:basedOn w:val="DefaultParagraphFont"/>
    <w:link w:val="Title"/>
    <w:uiPriority w:val="10"/>
    <w:rsid w:val="00353637"/>
    <w:rPr>
      <w:rFonts w:ascii="Times New Roman" w:eastAsiaTheme="majorEastAsia" w:hAnsi="Times New Roman" w:cstheme="majorBidi"/>
      <w:b/>
      <w:bCs/>
      <w:spacing w:val="-10"/>
      <w:kern w:val="28"/>
      <w:sz w:val="32"/>
      <w:szCs w:val="32"/>
    </w:rPr>
  </w:style>
  <w:style w:type="paragraph" w:styleId="Header">
    <w:name w:val="header"/>
    <w:basedOn w:val="Normal"/>
    <w:link w:val="HeaderChar"/>
    <w:uiPriority w:val="99"/>
    <w:unhideWhenUsed/>
    <w:rsid w:val="00353637"/>
    <w:pPr>
      <w:tabs>
        <w:tab w:val="center" w:pos="4513"/>
        <w:tab w:val="right" w:pos="9026"/>
      </w:tabs>
      <w:spacing w:line="240" w:lineRule="auto"/>
    </w:pPr>
  </w:style>
  <w:style w:type="character" w:customStyle="1" w:styleId="HeaderChar">
    <w:name w:val="Header Char"/>
    <w:basedOn w:val="DefaultParagraphFont"/>
    <w:link w:val="Header"/>
    <w:uiPriority w:val="99"/>
    <w:rsid w:val="00353637"/>
    <w:rPr>
      <w:rFonts w:ascii="Times New Roman" w:hAnsi="Times New Roman"/>
      <w:sz w:val="24"/>
      <w:szCs w:val="24"/>
    </w:rPr>
  </w:style>
  <w:style w:type="paragraph" w:styleId="Footer">
    <w:name w:val="footer"/>
    <w:basedOn w:val="Normal"/>
    <w:link w:val="FooterChar"/>
    <w:uiPriority w:val="99"/>
    <w:unhideWhenUsed/>
    <w:rsid w:val="00353637"/>
    <w:pPr>
      <w:tabs>
        <w:tab w:val="center" w:pos="4513"/>
        <w:tab w:val="right" w:pos="9026"/>
      </w:tabs>
      <w:spacing w:line="240" w:lineRule="auto"/>
    </w:pPr>
  </w:style>
  <w:style w:type="character" w:customStyle="1" w:styleId="FooterChar">
    <w:name w:val="Footer Char"/>
    <w:basedOn w:val="DefaultParagraphFont"/>
    <w:link w:val="Footer"/>
    <w:uiPriority w:val="99"/>
    <w:rsid w:val="00353637"/>
    <w:rPr>
      <w:rFonts w:ascii="Times New Roman" w:hAnsi="Times New Roman"/>
      <w:sz w:val="24"/>
      <w:szCs w:val="24"/>
    </w:rPr>
  </w:style>
  <w:style w:type="character" w:customStyle="1" w:styleId="Heading1Char">
    <w:name w:val="Heading 1 Char"/>
    <w:basedOn w:val="DefaultParagraphFont"/>
    <w:link w:val="Heading1"/>
    <w:uiPriority w:val="9"/>
    <w:rsid w:val="00353637"/>
    <w:rPr>
      <w:rFonts w:ascii="Times New Roman" w:eastAsiaTheme="majorEastAsia" w:hAnsi="Times New Roman" w:cstheme="majorBidi"/>
      <w:b/>
      <w:bCs/>
      <w:caps/>
      <w:sz w:val="28"/>
      <w:szCs w:val="28"/>
    </w:rPr>
  </w:style>
  <w:style w:type="paragraph" w:styleId="TOCHeading">
    <w:name w:val="TOC Heading"/>
    <w:basedOn w:val="Heading1"/>
    <w:next w:val="Normal"/>
    <w:uiPriority w:val="39"/>
    <w:unhideWhenUsed/>
    <w:qFormat/>
    <w:rsid w:val="00353637"/>
    <w:pPr>
      <w:outlineLvl w:val="9"/>
    </w:pPr>
  </w:style>
  <w:style w:type="paragraph" w:customStyle="1" w:styleId="Style1">
    <w:name w:val="Style1"/>
    <w:basedOn w:val="Subtitle"/>
    <w:link w:val="Style1Char"/>
    <w:rsid w:val="00353637"/>
    <w:rPr>
      <w:rFonts w:cs="Times New Roman"/>
    </w:rPr>
  </w:style>
  <w:style w:type="character" w:customStyle="1" w:styleId="Style1Char">
    <w:name w:val="Style1 Char"/>
    <w:basedOn w:val="SubtitleChar"/>
    <w:link w:val="Style1"/>
    <w:rsid w:val="00353637"/>
    <w:rPr>
      <w:rFonts w:ascii="Times New Roman" w:eastAsiaTheme="minorEastAsia" w:hAnsi="Times New Roman" w:cs="Times New Roman"/>
      <w:i/>
      <w:iCs/>
      <w:color w:val="5A5A5A" w:themeColor="text1" w:themeTint="A5"/>
      <w:spacing w:val="15"/>
      <w:sz w:val="24"/>
      <w:szCs w:val="24"/>
    </w:rPr>
  </w:style>
  <w:style w:type="paragraph" w:styleId="Subtitle">
    <w:name w:val="Subtitle"/>
    <w:basedOn w:val="Normal"/>
    <w:next w:val="Normal"/>
    <w:link w:val="SubtitleChar"/>
    <w:uiPriority w:val="11"/>
    <w:qFormat/>
    <w:rsid w:val="00353637"/>
    <w:pPr>
      <w:numPr>
        <w:ilvl w:val="1"/>
      </w:numPr>
    </w:pPr>
    <w:rPr>
      <w:rFonts w:eastAsiaTheme="minorEastAsia"/>
      <w:i/>
      <w:iCs/>
      <w:color w:val="5A5A5A" w:themeColor="text1" w:themeTint="A5"/>
      <w:spacing w:val="15"/>
    </w:rPr>
  </w:style>
  <w:style w:type="character" w:customStyle="1" w:styleId="SubtitleChar">
    <w:name w:val="Subtitle Char"/>
    <w:basedOn w:val="DefaultParagraphFont"/>
    <w:link w:val="Subtitle"/>
    <w:uiPriority w:val="11"/>
    <w:rsid w:val="00353637"/>
    <w:rPr>
      <w:rFonts w:ascii="Times New Roman" w:eastAsiaTheme="minorEastAsia" w:hAnsi="Times New Roman"/>
      <w:i/>
      <w:iCs/>
      <w:color w:val="5A5A5A" w:themeColor="text1" w:themeTint="A5"/>
      <w:spacing w:val="15"/>
      <w:sz w:val="24"/>
      <w:szCs w:val="24"/>
    </w:rPr>
  </w:style>
  <w:style w:type="character" w:customStyle="1" w:styleId="Heading2Char">
    <w:name w:val="Heading 2 Char"/>
    <w:basedOn w:val="DefaultParagraphFont"/>
    <w:link w:val="Heading2"/>
    <w:uiPriority w:val="9"/>
    <w:rsid w:val="00353637"/>
    <w:rPr>
      <w:rFonts w:ascii="Times New Roman" w:eastAsiaTheme="majorEastAsia" w:hAnsi="Times New Roman" w:cs="Times New Roman"/>
      <w:b/>
      <w:bCs/>
      <w:caps/>
      <w:sz w:val="24"/>
      <w:szCs w:val="24"/>
    </w:rPr>
  </w:style>
  <w:style w:type="character" w:customStyle="1" w:styleId="Heading3Char">
    <w:name w:val="Heading 3 Char"/>
    <w:basedOn w:val="DefaultParagraphFont"/>
    <w:link w:val="Heading3"/>
    <w:uiPriority w:val="9"/>
    <w:rsid w:val="00353637"/>
    <w:rPr>
      <w:rFonts w:ascii="Times New Roman" w:eastAsiaTheme="majorEastAsia" w:hAnsi="Times New Roman" w:cs="Times New Roman"/>
      <w:b/>
      <w:bCs/>
      <w:sz w:val="24"/>
      <w:szCs w:val="24"/>
    </w:rPr>
  </w:style>
  <w:style w:type="character" w:customStyle="1" w:styleId="Heading4Char">
    <w:name w:val="Heading 4 Char"/>
    <w:basedOn w:val="DefaultParagraphFont"/>
    <w:link w:val="Heading4"/>
    <w:uiPriority w:val="9"/>
    <w:semiHidden/>
    <w:rsid w:val="00353637"/>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353637"/>
    <w:rPr>
      <w:rFonts w:ascii="Times New Roman" w:eastAsiaTheme="majorEastAsia" w:hAnsi="Times New Roman" w:cs="Times New Roman"/>
      <w:b/>
      <w:bCs/>
      <w:spacing w:val="-10"/>
      <w:kern w:val="28"/>
      <w:sz w:val="32"/>
      <w:szCs w:val="32"/>
    </w:rPr>
  </w:style>
  <w:style w:type="paragraph" w:styleId="Caption">
    <w:name w:val="caption"/>
    <w:basedOn w:val="Normal"/>
    <w:next w:val="Normal"/>
    <w:uiPriority w:val="35"/>
    <w:unhideWhenUsed/>
    <w:qFormat/>
    <w:rsid w:val="00353637"/>
    <w:pPr>
      <w:spacing w:after="200" w:line="240" w:lineRule="auto"/>
    </w:pPr>
    <w:rPr>
      <w:rFonts w:cs="Times New Roman"/>
      <w:i/>
      <w:iCs/>
      <w:color w:val="44546A" w:themeColor="text2"/>
      <w:sz w:val="18"/>
      <w:szCs w:val="18"/>
    </w:rPr>
  </w:style>
  <w:style w:type="character" w:styleId="Strong">
    <w:name w:val="Strong"/>
    <w:basedOn w:val="DefaultParagraphFont"/>
    <w:uiPriority w:val="22"/>
    <w:qFormat/>
    <w:rsid w:val="00353637"/>
    <w:rPr>
      <w:b/>
      <w:bCs/>
    </w:rPr>
  </w:style>
  <w:style w:type="character" w:styleId="Emphasis">
    <w:name w:val="Emphasis"/>
    <w:basedOn w:val="DefaultParagraphFont"/>
    <w:uiPriority w:val="20"/>
    <w:qFormat/>
    <w:rsid w:val="00353637"/>
    <w:rPr>
      <w:i/>
      <w:iCs/>
    </w:rPr>
  </w:style>
  <w:style w:type="paragraph" w:styleId="ListParagraph">
    <w:name w:val="List Paragraph"/>
    <w:aliases w:val="omar footnote,List Paragraph1,Numbered Indented Text,Colorful List - Accent 11,Text bullets 1"/>
    <w:basedOn w:val="Normal"/>
    <w:link w:val="ListParagraphChar"/>
    <w:uiPriority w:val="34"/>
    <w:qFormat/>
    <w:rsid w:val="00353637"/>
    <w:pPr>
      <w:ind w:left="720"/>
      <w:contextualSpacing/>
    </w:pPr>
    <w:rPr>
      <w:rFonts w:cs="Times New Roman"/>
    </w:rPr>
  </w:style>
  <w:style w:type="character" w:styleId="SubtleEmphasis">
    <w:name w:val="Subtle Emphasis"/>
    <w:basedOn w:val="DefaultParagraphFont"/>
    <w:uiPriority w:val="19"/>
    <w:qFormat/>
    <w:rsid w:val="00353637"/>
    <w:rPr>
      <w:i/>
      <w:iCs/>
      <w:color w:val="404040" w:themeColor="text1" w:themeTint="BF"/>
    </w:rPr>
  </w:style>
  <w:style w:type="paragraph" w:styleId="Bibliography">
    <w:name w:val="Bibliography"/>
    <w:basedOn w:val="Normal"/>
    <w:next w:val="Normal"/>
    <w:uiPriority w:val="37"/>
    <w:unhideWhenUsed/>
    <w:rsid w:val="00E377A8"/>
    <w:pPr>
      <w:tabs>
        <w:tab w:val="left" w:pos="384"/>
      </w:tabs>
      <w:spacing w:line="240" w:lineRule="auto"/>
      <w:ind w:left="384" w:hanging="384"/>
    </w:pPr>
  </w:style>
  <w:style w:type="character" w:styleId="CommentReference">
    <w:name w:val="annotation reference"/>
    <w:basedOn w:val="DefaultParagraphFont"/>
    <w:uiPriority w:val="99"/>
    <w:semiHidden/>
    <w:unhideWhenUsed/>
    <w:rsid w:val="00E377A8"/>
    <w:rPr>
      <w:sz w:val="16"/>
      <w:szCs w:val="16"/>
    </w:rPr>
  </w:style>
  <w:style w:type="paragraph" w:styleId="CommentText">
    <w:name w:val="annotation text"/>
    <w:basedOn w:val="Normal"/>
    <w:link w:val="CommentTextChar"/>
    <w:uiPriority w:val="99"/>
    <w:unhideWhenUsed/>
    <w:rsid w:val="00E377A8"/>
    <w:pPr>
      <w:spacing w:line="240" w:lineRule="auto"/>
    </w:pPr>
    <w:rPr>
      <w:sz w:val="20"/>
      <w:szCs w:val="20"/>
    </w:rPr>
  </w:style>
  <w:style w:type="character" w:customStyle="1" w:styleId="CommentTextChar">
    <w:name w:val="Comment Text Char"/>
    <w:basedOn w:val="DefaultParagraphFont"/>
    <w:link w:val="CommentText"/>
    <w:uiPriority w:val="99"/>
    <w:rsid w:val="00E377A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377A8"/>
    <w:rPr>
      <w:b/>
      <w:bCs/>
    </w:rPr>
  </w:style>
  <w:style w:type="character" w:customStyle="1" w:styleId="CommentSubjectChar">
    <w:name w:val="Comment Subject Char"/>
    <w:basedOn w:val="CommentTextChar"/>
    <w:link w:val="CommentSubject"/>
    <w:uiPriority w:val="99"/>
    <w:semiHidden/>
    <w:rsid w:val="00E377A8"/>
    <w:rPr>
      <w:rFonts w:ascii="Times New Roman" w:hAnsi="Times New Roman"/>
      <w:b/>
      <w:bCs/>
      <w:sz w:val="20"/>
      <w:szCs w:val="20"/>
    </w:rPr>
  </w:style>
  <w:style w:type="paragraph" w:styleId="NormalWeb">
    <w:name w:val="Normal (Web)"/>
    <w:basedOn w:val="Normal"/>
    <w:uiPriority w:val="99"/>
    <w:semiHidden/>
    <w:unhideWhenUsed/>
    <w:rsid w:val="004832C6"/>
    <w:pPr>
      <w:spacing w:before="100" w:beforeAutospacing="1" w:after="100" w:afterAutospacing="1" w:line="240" w:lineRule="auto"/>
      <w:jc w:val="left"/>
    </w:pPr>
    <w:rPr>
      <w:rFonts w:eastAsiaTheme="minorEastAsia" w:cs="Times New Roman"/>
      <w:lang w:eastAsia="en-GB"/>
    </w:rPr>
  </w:style>
  <w:style w:type="character" w:styleId="Hyperlink">
    <w:name w:val="Hyperlink"/>
    <w:basedOn w:val="DefaultParagraphFont"/>
    <w:uiPriority w:val="99"/>
    <w:unhideWhenUsed/>
    <w:rsid w:val="004832C6"/>
    <w:rPr>
      <w:color w:val="0000FF"/>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F2E8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60611"/>
    <w:rPr>
      <w:color w:val="605E5C"/>
      <w:shd w:val="clear" w:color="auto" w:fill="E1DFDD"/>
    </w:rPr>
  </w:style>
  <w:style w:type="paragraph" w:styleId="TOC1">
    <w:name w:val="toc 1"/>
    <w:basedOn w:val="Normal"/>
    <w:next w:val="Normal"/>
    <w:autoRedefine/>
    <w:uiPriority w:val="39"/>
    <w:unhideWhenUsed/>
    <w:rsid w:val="0009305D"/>
    <w:pPr>
      <w:spacing w:after="100"/>
    </w:pPr>
  </w:style>
  <w:style w:type="paragraph" w:styleId="TableofFigures">
    <w:name w:val="table of figures"/>
    <w:basedOn w:val="Normal"/>
    <w:next w:val="Normal"/>
    <w:uiPriority w:val="99"/>
    <w:unhideWhenUsed/>
    <w:rsid w:val="00FA2D4B"/>
  </w:style>
  <w:style w:type="paragraph" w:styleId="TOC2">
    <w:name w:val="toc 2"/>
    <w:basedOn w:val="Normal"/>
    <w:next w:val="Normal"/>
    <w:autoRedefine/>
    <w:uiPriority w:val="39"/>
    <w:unhideWhenUsed/>
    <w:rsid w:val="000930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0482">
      <w:bodyDiv w:val="1"/>
      <w:marLeft w:val="0"/>
      <w:marRight w:val="0"/>
      <w:marTop w:val="0"/>
      <w:marBottom w:val="0"/>
      <w:divBdr>
        <w:top w:val="none" w:sz="0" w:space="0" w:color="auto"/>
        <w:left w:val="none" w:sz="0" w:space="0" w:color="auto"/>
        <w:bottom w:val="none" w:sz="0" w:space="0" w:color="auto"/>
        <w:right w:val="none" w:sz="0" w:space="0" w:color="auto"/>
      </w:divBdr>
      <w:divsChild>
        <w:div w:id="1066418467">
          <w:marLeft w:val="0"/>
          <w:marRight w:val="0"/>
          <w:marTop w:val="0"/>
          <w:marBottom w:val="0"/>
          <w:divBdr>
            <w:top w:val="none" w:sz="0" w:space="0" w:color="auto"/>
            <w:left w:val="none" w:sz="0" w:space="0" w:color="auto"/>
            <w:bottom w:val="none" w:sz="0" w:space="0" w:color="auto"/>
            <w:right w:val="none" w:sz="0" w:space="0" w:color="auto"/>
          </w:divBdr>
        </w:div>
      </w:divsChild>
    </w:div>
    <w:div w:id="46804281">
      <w:bodyDiv w:val="1"/>
      <w:marLeft w:val="0"/>
      <w:marRight w:val="0"/>
      <w:marTop w:val="0"/>
      <w:marBottom w:val="0"/>
      <w:divBdr>
        <w:top w:val="none" w:sz="0" w:space="0" w:color="auto"/>
        <w:left w:val="none" w:sz="0" w:space="0" w:color="auto"/>
        <w:bottom w:val="none" w:sz="0" w:space="0" w:color="auto"/>
        <w:right w:val="none" w:sz="0" w:space="0" w:color="auto"/>
      </w:divBdr>
      <w:divsChild>
        <w:div w:id="1083723428">
          <w:marLeft w:val="0"/>
          <w:marRight w:val="0"/>
          <w:marTop w:val="0"/>
          <w:marBottom w:val="0"/>
          <w:divBdr>
            <w:top w:val="none" w:sz="0" w:space="0" w:color="auto"/>
            <w:left w:val="none" w:sz="0" w:space="0" w:color="auto"/>
            <w:bottom w:val="none" w:sz="0" w:space="0" w:color="auto"/>
            <w:right w:val="none" w:sz="0" w:space="0" w:color="auto"/>
          </w:divBdr>
        </w:div>
      </w:divsChild>
    </w:div>
    <w:div w:id="108285018">
      <w:bodyDiv w:val="1"/>
      <w:marLeft w:val="0"/>
      <w:marRight w:val="0"/>
      <w:marTop w:val="0"/>
      <w:marBottom w:val="0"/>
      <w:divBdr>
        <w:top w:val="none" w:sz="0" w:space="0" w:color="auto"/>
        <w:left w:val="none" w:sz="0" w:space="0" w:color="auto"/>
        <w:bottom w:val="none" w:sz="0" w:space="0" w:color="auto"/>
        <w:right w:val="none" w:sz="0" w:space="0" w:color="auto"/>
      </w:divBdr>
    </w:div>
    <w:div w:id="203906778">
      <w:bodyDiv w:val="1"/>
      <w:marLeft w:val="0"/>
      <w:marRight w:val="0"/>
      <w:marTop w:val="0"/>
      <w:marBottom w:val="0"/>
      <w:divBdr>
        <w:top w:val="none" w:sz="0" w:space="0" w:color="auto"/>
        <w:left w:val="none" w:sz="0" w:space="0" w:color="auto"/>
        <w:bottom w:val="none" w:sz="0" w:space="0" w:color="auto"/>
        <w:right w:val="none" w:sz="0" w:space="0" w:color="auto"/>
      </w:divBdr>
    </w:div>
    <w:div w:id="254558823">
      <w:bodyDiv w:val="1"/>
      <w:marLeft w:val="0"/>
      <w:marRight w:val="0"/>
      <w:marTop w:val="0"/>
      <w:marBottom w:val="0"/>
      <w:divBdr>
        <w:top w:val="none" w:sz="0" w:space="0" w:color="auto"/>
        <w:left w:val="none" w:sz="0" w:space="0" w:color="auto"/>
        <w:bottom w:val="none" w:sz="0" w:space="0" w:color="auto"/>
        <w:right w:val="none" w:sz="0" w:space="0" w:color="auto"/>
      </w:divBdr>
      <w:divsChild>
        <w:div w:id="512763637">
          <w:marLeft w:val="0"/>
          <w:marRight w:val="0"/>
          <w:marTop w:val="0"/>
          <w:marBottom w:val="0"/>
          <w:divBdr>
            <w:top w:val="none" w:sz="0" w:space="0" w:color="auto"/>
            <w:left w:val="none" w:sz="0" w:space="0" w:color="auto"/>
            <w:bottom w:val="none" w:sz="0" w:space="0" w:color="auto"/>
            <w:right w:val="none" w:sz="0" w:space="0" w:color="auto"/>
          </w:divBdr>
        </w:div>
      </w:divsChild>
    </w:div>
    <w:div w:id="257909913">
      <w:bodyDiv w:val="1"/>
      <w:marLeft w:val="0"/>
      <w:marRight w:val="0"/>
      <w:marTop w:val="0"/>
      <w:marBottom w:val="0"/>
      <w:divBdr>
        <w:top w:val="none" w:sz="0" w:space="0" w:color="auto"/>
        <w:left w:val="none" w:sz="0" w:space="0" w:color="auto"/>
        <w:bottom w:val="none" w:sz="0" w:space="0" w:color="auto"/>
        <w:right w:val="none" w:sz="0" w:space="0" w:color="auto"/>
      </w:divBdr>
    </w:div>
    <w:div w:id="289748594">
      <w:bodyDiv w:val="1"/>
      <w:marLeft w:val="0"/>
      <w:marRight w:val="0"/>
      <w:marTop w:val="0"/>
      <w:marBottom w:val="0"/>
      <w:divBdr>
        <w:top w:val="none" w:sz="0" w:space="0" w:color="auto"/>
        <w:left w:val="none" w:sz="0" w:space="0" w:color="auto"/>
        <w:bottom w:val="none" w:sz="0" w:space="0" w:color="auto"/>
        <w:right w:val="none" w:sz="0" w:space="0" w:color="auto"/>
      </w:divBdr>
      <w:divsChild>
        <w:div w:id="1307079381">
          <w:marLeft w:val="0"/>
          <w:marRight w:val="0"/>
          <w:marTop w:val="0"/>
          <w:marBottom w:val="0"/>
          <w:divBdr>
            <w:top w:val="none" w:sz="0" w:space="0" w:color="auto"/>
            <w:left w:val="none" w:sz="0" w:space="0" w:color="auto"/>
            <w:bottom w:val="none" w:sz="0" w:space="0" w:color="auto"/>
            <w:right w:val="none" w:sz="0" w:space="0" w:color="auto"/>
          </w:divBdr>
          <w:divsChild>
            <w:div w:id="1840998973">
              <w:marLeft w:val="0"/>
              <w:marRight w:val="0"/>
              <w:marTop w:val="0"/>
              <w:marBottom w:val="0"/>
              <w:divBdr>
                <w:top w:val="none" w:sz="0" w:space="0" w:color="auto"/>
                <w:left w:val="none" w:sz="0" w:space="0" w:color="auto"/>
                <w:bottom w:val="none" w:sz="0" w:space="0" w:color="auto"/>
                <w:right w:val="none" w:sz="0" w:space="0" w:color="auto"/>
              </w:divBdr>
              <w:divsChild>
                <w:div w:id="1914192106">
                  <w:marLeft w:val="0"/>
                  <w:marRight w:val="0"/>
                  <w:marTop w:val="0"/>
                  <w:marBottom w:val="0"/>
                  <w:divBdr>
                    <w:top w:val="none" w:sz="0" w:space="0" w:color="auto"/>
                    <w:left w:val="none" w:sz="0" w:space="0" w:color="auto"/>
                    <w:bottom w:val="none" w:sz="0" w:space="0" w:color="auto"/>
                    <w:right w:val="none" w:sz="0" w:space="0" w:color="auto"/>
                  </w:divBdr>
                  <w:divsChild>
                    <w:div w:id="667293545">
                      <w:marLeft w:val="0"/>
                      <w:marRight w:val="0"/>
                      <w:marTop w:val="0"/>
                      <w:marBottom w:val="0"/>
                      <w:divBdr>
                        <w:top w:val="none" w:sz="0" w:space="0" w:color="auto"/>
                        <w:left w:val="none" w:sz="0" w:space="0" w:color="auto"/>
                        <w:bottom w:val="none" w:sz="0" w:space="0" w:color="auto"/>
                        <w:right w:val="none" w:sz="0" w:space="0" w:color="auto"/>
                      </w:divBdr>
                    </w:div>
                    <w:div w:id="544871320">
                      <w:marLeft w:val="0"/>
                      <w:marRight w:val="0"/>
                      <w:marTop w:val="0"/>
                      <w:marBottom w:val="0"/>
                      <w:divBdr>
                        <w:top w:val="none" w:sz="0" w:space="0" w:color="auto"/>
                        <w:left w:val="none" w:sz="0" w:space="0" w:color="auto"/>
                        <w:bottom w:val="none" w:sz="0" w:space="0" w:color="auto"/>
                        <w:right w:val="none" w:sz="0" w:space="0" w:color="auto"/>
                      </w:divBdr>
                    </w:div>
                    <w:div w:id="1308172698">
                      <w:marLeft w:val="0"/>
                      <w:marRight w:val="0"/>
                      <w:marTop w:val="0"/>
                      <w:marBottom w:val="0"/>
                      <w:divBdr>
                        <w:top w:val="none" w:sz="0" w:space="0" w:color="auto"/>
                        <w:left w:val="none" w:sz="0" w:space="0" w:color="auto"/>
                        <w:bottom w:val="none" w:sz="0" w:space="0" w:color="auto"/>
                        <w:right w:val="none" w:sz="0" w:space="0" w:color="auto"/>
                      </w:divBdr>
                    </w:div>
                    <w:div w:id="50701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50759">
      <w:bodyDiv w:val="1"/>
      <w:marLeft w:val="0"/>
      <w:marRight w:val="0"/>
      <w:marTop w:val="0"/>
      <w:marBottom w:val="0"/>
      <w:divBdr>
        <w:top w:val="none" w:sz="0" w:space="0" w:color="auto"/>
        <w:left w:val="none" w:sz="0" w:space="0" w:color="auto"/>
        <w:bottom w:val="none" w:sz="0" w:space="0" w:color="auto"/>
        <w:right w:val="none" w:sz="0" w:space="0" w:color="auto"/>
      </w:divBdr>
      <w:divsChild>
        <w:div w:id="548693103">
          <w:marLeft w:val="0"/>
          <w:marRight w:val="0"/>
          <w:marTop w:val="0"/>
          <w:marBottom w:val="0"/>
          <w:divBdr>
            <w:top w:val="none" w:sz="0" w:space="0" w:color="auto"/>
            <w:left w:val="none" w:sz="0" w:space="0" w:color="auto"/>
            <w:bottom w:val="none" w:sz="0" w:space="0" w:color="auto"/>
            <w:right w:val="none" w:sz="0" w:space="0" w:color="auto"/>
          </w:divBdr>
        </w:div>
      </w:divsChild>
    </w:div>
    <w:div w:id="532111100">
      <w:bodyDiv w:val="1"/>
      <w:marLeft w:val="0"/>
      <w:marRight w:val="0"/>
      <w:marTop w:val="0"/>
      <w:marBottom w:val="0"/>
      <w:divBdr>
        <w:top w:val="none" w:sz="0" w:space="0" w:color="auto"/>
        <w:left w:val="none" w:sz="0" w:space="0" w:color="auto"/>
        <w:bottom w:val="none" w:sz="0" w:space="0" w:color="auto"/>
        <w:right w:val="none" w:sz="0" w:space="0" w:color="auto"/>
      </w:divBdr>
      <w:divsChild>
        <w:div w:id="1414745745">
          <w:marLeft w:val="0"/>
          <w:marRight w:val="0"/>
          <w:marTop w:val="0"/>
          <w:marBottom w:val="0"/>
          <w:divBdr>
            <w:top w:val="none" w:sz="0" w:space="0" w:color="auto"/>
            <w:left w:val="none" w:sz="0" w:space="0" w:color="auto"/>
            <w:bottom w:val="none" w:sz="0" w:space="0" w:color="auto"/>
            <w:right w:val="none" w:sz="0" w:space="0" w:color="auto"/>
          </w:divBdr>
        </w:div>
      </w:divsChild>
    </w:div>
    <w:div w:id="563176990">
      <w:bodyDiv w:val="1"/>
      <w:marLeft w:val="0"/>
      <w:marRight w:val="0"/>
      <w:marTop w:val="0"/>
      <w:marBottom w:val="0"/>
      <w:divBdr>
        <w:top w:val="none" w:sz="0" w:space="0" w:color="auto"/>
        <w:left w:val="none" w:sz="0" w:space="0" w:color="auto"/>
        <w:bottom w:val="none" w:sz="0" w:space="0" w:color="auto"/>
        <w:right w:val="none" w:sz="0" w:space="0" w:color="auto"/>
      </w:divBdr>
    </w:div>
    <w:div w:id="575287603">
      <w:bodyDiv w:val="1"/>
      <w:marLeft w:val="0"/>
      <w:marRight w:val="0"/>
      <w:marTop w:val="0"/>
      <w:marBottom w:val="0"/>
      <w:divBdr>
        <w:top w:val="none" w:sz="0" w:space="0" w:color="auto"/>
        <w:left w:val="none" w:sz="0" w:space="0" w:color="auto"/>
        <w:bottom w:val="none" w:sz="0" w:space="0" w:color="auto"/>
        <w:right w:val="none" w:sz="0" w:space="0" w:color="auto"/>
      </w:divBdr>
    </w:div>
    <w:div w:id="587541613">
      <w:bodyDiv w:val="1"/>
      <w:marLeft w:val="0"/>
      <w:marRight w:val="0"/>
      <w:marTop w:val="0"/>
      <w:marBottom w:val="0"/>
      <w:divBdr>
        <w:top w:val="none" w:sz="0" w:space="0" w:color="auto"/>
        <w:left w:val="none" w:sz="0" w:space="0" w:color="auto"/>
        <w:bottom w:val="none" w:sz="0" w:space="0" w:color="auto"/>
        <w:right w:val="none" w:sz="0" w:space="0" w:color="auto"/>
      </w:divBdr>
      <w:divsChild>
        <w:div w:id="862716475">
          <w:marLeft w:val="0"/>
          <w:marRight w:val="0"/>
          <w:marTop w:val="0"/>
          <w:marBottom w:val="0"/>
          <w:divBdr>
            <w:top w:val="none" w:sz="0" w:space="0" w:color="auto"/>
            <w:left w:val="none" w:sz="0" w:space="0" w:color="auto"/>
            <w:bottom w:val="none" w:sz="0" w:space="0" w:color="auto"/>
            <w:right w:val="none" w:sz="0" w:space="0" w:color="auto"/>
          </w:divBdr>
        </w:div>
      </w:divsChild>
    </w:div>
    <w:div w:id="672877244">
      <w:bodyDiv w:val="1"/>
      <w:marLeft w:val="0"/>
      <w:marRight w:val="0"/>
      <w:marTop w:val="0"/>
      <w:marBottom w:val="0"/>
      <w:divBdr>
        <w:top w:val="none" w:sz="0" w:space="0" w:color="auto"/>
        <w:left w:val="none" w:sz="0" w:space="0" w:color="auto"/>
        <w:bottom w:val="none" w:sz="0" w:space="0" w:color="auto"/>
        <w:right w:val="none" w:sz="0" w:space="0" w:color="auto"/>
      </w:divBdr>
      <w:divsChild>
        <w:div w:id="1847792562">
          <w:marLeft w:val="0"/>
          <w:marRight w:val="0"/>
          <w:marTop w:val="0"/>
          <w:marBottom w:val="0"/>
          <w:divBdr>
            <w:top w:val="none" w:sz="0" w:space="0" w:color="auto"/>
            <w:left w:val="none" w:sz="0" w:space="0" w:color="auto"/>
            <w:bottom w:val="none" w:sz="0" w:space="0" w:color="auto"/>
            <w:right w:val="none" w:sz="0" w:space="0" w:color="auto"/>
          </w:divBdr>
          <w:divsChild>
            <w:div w:id="1001352828">
              <w:marLeft w:val="0"/>
              <w:marRight w:val="0"/>
              <w:marTop w:val="0"/>
              <w:marBottom w:val="0"/>
              <w:divBdr>
                <w:top w:val="none" w:sz="0" w:space="0" w:color="auto"/>
                <w:left w:val="none" w:sz="0" w:space="0" w:color="auto"/>
                <w:bottom w:val="none" w:sz="0" w:space="0" w:color="auto"/>
                <w:right w:val="none" w:sz="0" w:space="0" w:color="auto"/>
              </w:divBdr>
            </w:div>
            <w:div w:id="1047487947">
              <w:marLeft w:val="0"/>
              <w:marRight w:val="0"/>
              <w:marTop w:val="0"/>
              <w:marBottom w:val="0"/>
              <w:divBdr>
                <w:top w:val="none" w:sz="0" w:space="0" w:color="auto"/>
                <w:left w:val="none" w:sz="0" w:space="0" w:color="auto"/>
                <w:bottom w:val="none" w:sz="0" w:space="0" w:color="auto"/>
                <w:right w:val="none" w:sz="0" w:space="0" w:color="auto"/>
              </w:divBdr>
            </w:div>
            <w:div w:id="1411732584">
              <w:marLeft w:val="0"/>
              <w:marRight w:val="0"/>
              <w:marTop w:val="0"/>
              <w:marBottom w:val="0"/>
              <w:divBdr>
                <w:top w:val="none" w:sz="0" w:space="0" w:color="auto"/>
                <w:left w:val="none" w:sz="0" w:space="0" w:color="auto"/>
                <w:bottom w:val="none" w:sz="0" w:space="0" w:color="auto"/>
                <w:right w:val="none" w:sz="0" w:space="0" w:color="auto"/>
              </w:divBdr>
            </w:div>
            <w:div w:id="1082028762">
              <w:marLeft w:val="0"/>
              <w:marRight w:val="0"/>
              <w:marTop w:val="0"/>
              <w:marBottom w:val="0"/>
              <w:divBdr>
                <w:top w:val="none" w:sz="0" w:space="0" w:color="auto"/>
                <w:left w:val="none" w:sz="0" w:space="0" w:color="auto"/>
                <w:bottom w:val="none" w:sz="0" w:space="0" w:color="auto"/>
                <w:right w:val="none" w:sz="0" w:space="0" w:color="auto"/>
              </w:divBdr>
            </w:div>
            <w:div w:id="784420351">
              <w:marLeft w:val="0"/>
              <w:marRight w:val="0"/>
              <w:marTop w:val="0"/>
              <w:marBottom w:val="0"/>
              <w:divBdr>
                <w:top w:val="none" w:sz="0" w:space="0" w:color="auto"/>
                <w:left w:val="none" w:sz="0" w:space="0" w:color="auto"/>
                <w:bottom w:val="none" w:sz="0" w:space="0" w:color="auto"/>
                <w:right w:val="none" w:sz="0" w:space="0" w:color="auto"/>
              </w:divBdr>
            </w:div>
            <w:div w:id="1131632888">
              <w:marLeft w:val="0"/>
              <w:marRight w:val="0"/>
              <w:marTop w:val="0"/>
              <w:marBottom w:val="0"/>
              <w:divBdr>
                <w:top w:val="none" w:sz="0" w:space="0" w:color="auto"/>
                <w:left w:val="none" w:sz="0" w:space="0" w:color="auto"/>
                <w:bottom w:val="none" w:sz="0" w:space="0" w:color="auto"/>
                <w:right w:val="none" w:sz="0" w:space="0" w:color="auto"/>
              </w:divBdr>
            </w:div>
            <w:div w:id="1068456057">
              <w:marLeft w:val="0"/>
              <w:marRight w:val="0"/>
              <w:marTop w:val="0"/>
              <w:marBottom w:val="0"/>
              <w:divBdr>
                <w:top w:val="none" w:sz="0" w:space="0" w:color="auto"/>
                <w:left w:val="none" w:sz="0" w:space="0" w:color="auto"/>
                <w:bottom w:val="none" w:sz="0" w:space="0" w:color="auto"/>
                <w:right w:val="none" w:sz="0" w:space="0" w:color="auto"/>
              </w:divBdr>
            </w:div>
            <w:div w:id="962073623">
              <w:marLeft w:val="0"/>
              <w:marRight w:val="0"/>
              <w:marTop w:val="0"/>
              <w:marBottom w:val="0"/>
              <w:divBdr>
                <w:top w:val="none" w:sz="0" w:space="0" w:color="auto"/>
                <w:left w:val="none" w:sz="0" w:space="0" w:color="auto"/>
                <w:bottom w:val="none" w:sz="0" w:space="0" w:color="auto"/>
                <w:right w:val="none" w:sz="0" w:space="0" w:color="auto"/>
              </w:divBdr>
            </w:div>
            <w:div w:id="1031150840">
              <w:marLeft w:val="0"/>
              <w:marRight w:val="0"/>
              <w:marTop w:val="0"/>
              <w:marBottom w:val="0"/>
              <w:divBdr>
                <w:top w:val="none" w:sz="0" w:space="0" w:color="auto"/>
                <w:left w:val="none" w:sz="0" w:space="0" w:color="auto"/>
                <w:bottom w:val="none" w:sz="0" w:space="0" w:color="auto"/>
                <w:right w:val="none" w:sz="0" w:space="0" w:color="auto"/>
              </w:divBdr>
            </w:div>
            <w:div w:id="1916208436">
              <w:marLeft w:val="0"/>
              <w:marRight w:val="0"/>
              <w:marTop w:val="0"/>
              <w:marBottom w:val="0"/>
              <w:divBdr>
                <w:top w:val="none" w:sz="0" w:space="0" w:color="auto"/>
                <w:left w:val="none" w:sz="0" w:space="0" w:color="auto"/>
                <w:bottom w:val="none" w:sz="0" w:space="0" w:color="auto"/>
                <w:right w:val="none" w:sz="0" w:space="0" w:color="auto"/>
              </w:divBdr>
            </w:div>
            <w:div w:id="817498272">
              <w:marLeft w:val="0"/>
              <w:marRight w:val="0"/>
              <w:marTop w:val="0"/>
              <w:marBottom w:val="0"/>
              <w:divBdr>
                <w:top w:val="none" w:sz="0" w:space="0" w:color="auto"/>
                <w:left w:val="none" w:sz="0" w:space="0" w:color="auto"/>
                <w:bottom w:val="none" w:sz="0" w:space="0" w:color="auto"/>
                <w:right w:val="none" w:sz="0" w:space="0" w:color="auto"/>
              </w:divBdr>
            </w:div>
            <w:div w:id="150254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566605">
      <w:bodyDiv w:val="1"/>
      <w:marLeft w:val="0"/>
      <w:marRight w:val="0"/>
      <w:marTop w:val="0"/>
      <w:marBottom w:val="0"/>
      <w:divBdr>
        <w:top w:val="none" w:sz="0" w:space="0" w:color="auto"/>
        <w:left w:val="none" w:sz="0" w:space="0" w:color="auto"/>
        <w:bottom w:val="none" w:sz="0" w:space="0" w:color="auto"/>
        <w:right w:val="none" w:sz="0" w:space="0" w:color="auto"/>
      </w:divBdr>
      <w:divsChild>
        <w:div w:id="1536574403">
          <w:marLeft w:val="0"/>
          <w:marRight w:val="0"/>
          <w:marTop w:val="0"/>
          <w:marBottom w:val="0"/>
          <w:divBdr>
            <w:top w:val="none" w:sz="0" w:space="0" w:color="auto"/>
            <w:left w:val="none" w:sz="0" w:space="0" w:color="auto"/>
            <w:bottom w:val="none" w:sz="0" w:space="0" w:color="auto"/>
            <w:right w:val="none" w:sz="0" w:space="0" w:color="auto"/>
          </w:divBdr>
        </w:div>
      </w:divsChild>
    </w:div>
    <w:div w:id="819273492">
      <w:bodyDiv w:val="1"/>
      <w:marLeft w:val="0"/>
      <w:marRight w:val="0"/>
      <w:marTop w:val="0"/>
      <w:marBottom w:val="0"/>
      <w:divBdr>
        <w:top w:val="none" w:sz="0" w:space="0" w:color="auto"/>
        <w:left w:val="none" w:sz="0" w:space="0" w:color="auto"/>
        <w:bottom w:val="none" w:sz="0" w:space="0" w:color="auto"/>
        <w:right w:val="none" w:sz="0" w:space="0" w:color="auto"/>
      </w:divBdr>
    </w:div>
    <w:div w:id="821505608">
      <w:bodyDiv w:val="1"/>
      <w:marLeft w:val="0"/>
      <w:marRight w:val="0"/>
      <w:marTop w:val="0"/>
      <w:marBottom w:val="0"/>
      <w:divBdr>
        <w:top w:val="none" w:sz="0" w:space="0" w:color="auto"/>
        <w:left w:val="none" w:sz="0" w:space="0" w:color="auto"/>
        <w:bottom w:val="none" w:sz="0" w:space="0" w:color="auto"/>
        <w:right w:val="none" w:sz="0" w:space="0" w:color="auto"/>
      </w:divBdr>
    </w:div>
    <w:div w:id="827356267">
      <w:bodyDiv w:val="1"/>
      <w:marLeft w:val="0"/>
      <w:marRight w:val="0"/>
      <w:marTop w:val="0"/>
      <w:marBottom w:val="0"/>
      <w:divBdr>
        <w:top w:val="none" w:sz="0" w:space="0" w:color="auto"/>
        <w:left w:val="none" w:sz="0" w:space="0" w:color="auto"/>
        <w:bottom w:val="none" w:sz="0" w:space="0" w:color="auto"/>
        <w:right w:val="none" w:sz="0" w:space="0" w:color="auto"/>
      </w:divBdr>
      <w:divsChild>
        <w:div w:id="1682123879">
          <w:marLeft w:val="0"/>
          <w:marRight w:val="0"/>
          <w:marTop w:val="0"/>
          <w:marBottom w:val="0"/>
          <w:divBdr>
            <w:top w:val="none" w:sz="0" w:space="0" w:color="auto"/>
            <w:left w:val="none" w:sz="0" w:space="0" w:color="auto"/>
            <w:bottom w:val="none" w:sz="0" w:space="0" w:color="auto"/>
            <w:right w:val="none" w:sz="0" w:space="0" w:color="auto"/>
          </w:divBdr>
        </w:div>
        <w:div w:id="2031909247">
          <w:marLeft w:val="0"/>
          <w:marRight w:val="0"/>
          <w:marTop w:val="0"/>
          <w:marBottom w:val="0"/>
          <w:divBdr>
            <w:top w:val="none" w:sz="0" w:space="0" w:color="auto"/>
            <w:left w:val="none" w:sz="0" w:space="0" w:color="auto"/>
            <w:bottom w:val="none" w:sz="0" w:space="0" w:color="auto"/>
            <w:right w:val="none" w:sz="0" w:space="0" w:color="auto"/>
          </w:divBdr>
        </w:div>
      </w:divsChild>
    </w:div>
    <w:div w:id="906837383">
      <w:bodyDiv w:val="1"/>
      <w:marLeft w:val="0"/>
      <w:marRight w:val="0"/>
      <w:marTop w:val="0"/>
      <w:marBottom w:val="0"/>
      <w:divBdr>
        <w:top w:val="none" w:sz="0" w:space="0" w:color="auto"/>
        <w:left w:val="none" w:sz="0" w:space="0" w:color="auto"/>
        <w:bottom w:val="none" w:sz="0" w:space="0" w:color="auto"/>
        <w:right w:val="none" w:sz="0" w:space="0" w:color="auto"/>
      </w:divBdr>
      <w:divsChild>
        <w:div w:id="777139075">
          <w:marLeft w:val="0"/>
          <w:marRight w:val="0"/>
          <w:marTop w:val="0"/>
          <w:marBottom w:val="0"/>
          <w:divBdr>
            <w:top w:val="none" w:sz="0" w:space="0" w:color="auto"/>
            <w:left w:val="none" w:sz="0" w:space="0" w:color="auto"/>
            <w:bottom w:val="none" w:sz="0" w:space="0" w:color="auto"/>
            <w:right w:val="none" w:sz="0" w:space="0" w:color="auto"/>
          </w:divBdr>
        </w:div>
      </w:divsChild>
    </w:div>
    <w:div w:id="1079401781">
      <w:bodyDiv w:val="1"/>
      <w:marLeft w:val="0"/>
      <w:marRight w:val="0"/>
      <w:marTop w:val="0"/>
      <w:marBottom w:val="0"/>
      <w:divBdr>
        <w:top w:val="none" w:sz="0" w:space="0" w:color="auto"/>
        <w:left w:val="none" w:sz="0" w:space="0" w:color="auto"/>
        <w:bottom w:val="none" w:sz="0" w:space="0" w:color="auto"/>
        <w:right w:val="none" w:sz="0" w:space="0" w:color="auto"/>
      </w:divBdr>
      <w:divsChild>
        <w:div w:id="1082797871">
          <w:marLeft w:val="0"/>
          <w:marRight w:val="0"/>
          <w:marTop w:val="0"/>
          <w:marBottom w:val="0"/>
          <w:divBdr>
            <w:top w:val="none" w:sz="0" w:space="0" w:color="auto"/>
            <w:left w:val="none" w:sz="0" w:space="0" w:color="auto"/>
            <w:bottom w:val="none" w:sz="0" w:space="0" w:color="auto"/>
            <w:right w:val="none" w:sz="0" w:space="0" w:color="auto"/>
          </w:divBdr>
        </w:div>
      </w:divsChild>
    </w:div>
    <w:div w:id="1100949421">
      <w:bodyDiv w:val="1"/>
      <w:marLeft w:val="0"/>
      <w:marRight w:val="0"/>
      <w:marTop w:val="0"/>
      <w:marBottom w:val="0"/>
      <w:divBdr>
        <w:top w:val="none" w:sz="0" w:space="0" w:color="auto"/>
        <w:left w:val="none" w:sz="0" w:space="0" w:color="auto"/>
        <w:bottom w:val="none" w:sz="0" w:space="0" w:color="auto"/>
        <w:right w:val="none" w:sz="0" w:space="0" w:color="auto"/>
      </w:divBdr>
      <w:divsChild>
        <w:div w:id="2118255274">
          <w:marLeft w:val="0"/>
          <w:marRight w:val="0"/>
          <w:marTop w:val="0"/>
          <w:marBottom w:val="0"/>
          <w:divBdr>
            <w:top w:val="none" w:sz="0" w:space="0" w:color="auto"/>
            <w:left w:val="none" w:sz="0" w:space="0" w:color="auto"/>
            <w:bottom w:val="none" w:sz="0" w:space="0" w:color="auto"/>
            <w:right w:val="none" w:sz="0" w:space="0" w:color="auto"/>
          </w:divBdr>
        </w:div>
      </w:divsChild>
    </w:div>
    <w:div w:id="1108542277">
      <w:bodyDiv w:val="1"/>
      <w:marLeft w:val="0"/>
      <w:marRight w:val="0"/>
      <w:marTop w:val="0"/>
      <w:marBottom w:val="0"/>
      <w:divBdr>
        <w:top w:val="none" w:sz="0" w:space="0" w:color="auto"/>
        <w:left w:val="none" w:sz="0" w:space="0" w:color="auto"/>
        <w:bottom w:val="none" w:sz="0" w:space="0" w:color="auto"/>
        <w:right w:val="none" w:sz="0" w:space="0" w:color="auto"/>
      </w:divBdr>
      <w:divsChild>
        <w:div w:id="373391150">
          <w:marLeft w:val="0"/>
          <w:marRight w:val="0"/>
          <w:marTop w:val="0"/>
          <w:marBottom w:val="0"/>
          <w:divBdr>
            <w:top w:val="none" w:sz="0" w:space="0" w:color="auto"/>
            <w:left w:val="none" w:sz="0" w:space="0" w:color="auto"/>
            <w:bottom w:val="none" w:sz="0" w:space="0" w:color="auto"/>
            <w:right w:val="none" w:sz="0" w:space="0" w:color="auto"/>
          </w:divBdr>
        </w:div>
      </w:divsChild>
    </w:div>
    <w:div w:id="1215197636">
      <w:bodyDiv w:val="1"/>
      <w:marLeft w:val="0"/>
      <w:marRight w:val="0"/>
      <w:marTop w:val="0"/>
      <w:marBottom w:val="0"/>
      <w:divBdr>
        <w:top w:val="none" w:sz="0" w:space="0" w:color="auto"/>
        <w:left w:val="none" w:sz="0" w:space="0" w:color="auto"/>
        <w:bottom w:val="none" w:sz="0" w:space="0" w:color="auto"/>
        <w:right w:val="none" w:sz="0" w:space="0" w:color="auto"/>
      </w:divBdr>
    </w:div>
    <w:div w:id="1289893821">
      <w:bodyDiv w:val="1"/>
      <w:marLeft w:val="0"/>
      <w:marRight w:val="0"/>
      <w:marTop w:val="0"/>
      <w:marBottom w:val="0"/>
      <w:divBdr>
        <w:top w:val="none" w:sz="0" w:space="0" w:color="auto"/>
        <w:left w:val="none" w:sz="0" w:space="0" w:color="auto"/>
        <w:bottom w:val="none" w:sz="0" w:space="0" w:color="auto"/>
        <w:right w:val="none" w:sz="0" w:space="0" w:color="auto"/>
      </w:divBdr>
    </w:div>
    <w:div w:id="1309633548">
      <w:bodyDiv w:val="1"/>
      <w:marLeft w:val="0"/>
      <w:marRight w:val="0"/>
      <w:marTop w:val="0"/>
      <w:marBottom w:val="0"/>
      <w:divBdr>
        <w:top w:val="none" w:sz="0" w:space="0" w:color="auto"/>
        <w:left w:val="none" w:sz="0" w:space="0" w:color="auto"/>
        <w:bottom w:val="none" w:sz="0" w:space="0" w:color="auto"/>
        <w:right w:val="none" w:sz="0" w:space="0" w:color="auto"/>
      </w:divBdr>
    </w:div>
    <w:div w:id="1372223439">
      <w:bodyDiv w:val="1"/>
      <w:marLeft w:val="0"/>
      <w:marRight w:val="0"/>
      <w:marTop w:val="0"/>
      <w:marBottom w:val="0"/>
      <w:divBdr>
        <w:top w:val="none" w:sz="0" w:space="0" w:color="auto"/>
        <w:left w:val="none" w:sz="0" w:space="0" w:color="auto"/>
        <w:bottom w:val="none" w:sz="0" w:space="0" w:color="auto"/>
        <w:right w:val="none" w:sz="0" w:space="0" w:color="auto"/>
      </w:divBdr>
    </w:div>
    <w:div w:id="1395742360">
      <w:bodyDiv w:val="1"/>
      <w:marLeft w:val="0"/>
      <w:marRight w:val="0"/>
      <w:marTop w:val="0"/>
      <w:marBottom w:val="0"/>
      <w:divBdr>
        <w:top w:val="none" w:sz="0" w:space="0" w:color="auto"/>
        <w:left w:val="none" w:sz="0" w:space="0" w:color="auto"/>
        <w:bottom w:val="none" w:sz="0" w:space="0" w:color="auto"/>
        <w:right w:val="none" w:sz="0" w:space="0" w:color="auto"/>
      </w:divBdr>
      <w:divsChild>
        <w:div w:id="1453134124">
          <w:marLeft w:val="0"/>
          <w:marRight w:val="0"/>
          <w:marTop w:val="0"/>
          <w:marBottom w:val="0"/>
          <w:divBdr>
            <w:top w:val="none" w:sz="0" w:space="0" w:color="auto"/>
            <w:left w:val="none" w:sz="0" w:space="0" w:color="auto"/>
            <w:bottom w:val="none" w:sz="0" w:space="0" w:color="auto"/>
            <w:right w:val="none" w:sz="0" w:space="0" w:color="auto"/>
          </w:divBdr>
        </w:div>
      </w:divsChild>
    </w:div>
    <w:div w:id="1673028054">
      <w:bodyDiv w:val="1"/>
      <w:marLeft w:val="0"/>
      <w:marRight w:val="0"/>
      <w:marTop w:val="0"/>
      <w:marBottom w:val="0"/>
      <w:divBdr>
        <w:top w:val="none" w:sz="0" w:space="0" w:color="auto"/>
        <w:left w:val="none" w:sz="0" w:space="0" w:color="auto"/>
        <w:bottom w:val="none" w:sz="0" w:space="0" w:color="auto"/>
        <w:right w:val="none" w:sz="0" w:space="0" w:color="auto"/>
      </w:divBdr>
    </w:div>
    <w:div w:id="1768844155">
      <w:bodyDiv w:val="1"/>
      <w:marLeft w:val="0"/>
      <w:marRight w:val="0"/>
      <w:marTop w:val="0"/>
      <w:marBottom w:val="0"/>
      <w:divBdr>
        <w:top w:val="none" w:sz="0" w:space="0" w:color="auto"/>
        <w:left w:val="none" w:sz="0" w:space="0" w:color="auto"/>
        <w:bottom w:val="none" w:sz="0" w:space="0" w:color="auto"/>
        <w:right w:val="none" w:sz="0" w:space="0" w:color="auto"/>
      </w:divBdr>
    </w:div>
    <w:div w:id="1770664869">
      <w:bodyDiv w:val="1"/>
      <w:marLeft w:val="0"/>
      <w:marRight w:val="0"/>
      <w:marTop w:val="0"/>
      <w:marBottom w:val="0"/>
      <w:divBdr>
        <w:top w:val="none" w:sz="0" w:space="0" w:color="auto"/>
        <w:left w:val="none" w:sz="0" w:space="0" w:color="auto"/>
        <w:bottom w:val="none" w:sz="0" w:space="0" w:color="auto"/>
        <w:right w:val="none" w:sz="0" w:space="0" w:color="auto"/>
      </w:divBdr>
    </w:div>
    <w:div w:id="1835412526">
      <w:bodyDiv w:val="1"/>
      <w:marLeft w:val="0"/>
      <w:marRight w:val="0"/>
      <w:marTop w:val="0"/>
      <w:marBottom w:val="0"/>
      <w:divBdr>
        <w:top w:val="none" w:sz="0" w:space="0" w:color="auto"/>
        <w:left w:val="none" w:sz="0" w:space="0" w:color="auto"/>
        <w:bottom w:val="none" w:sz="0" w:space="0" w:color="auto"/>
        <w:right w:val="none" w:sz="0" w:space="0" w:color="auto"/>
      </w:divBdr>
    </w:div>
    <w:div w:id="1836411714">
      <w:bodyDiv w:val="1"/>
      <w:marLeft w:val="0"/>
      <w:marRight w:val="0"/>
      <w:marTop w:val="0"/>
      <w:marBottom w:val="0"/>
      <w:divBdr>
        <w:top w:val="none" w:sz="0" w:space="0" w:color="auto"/>
        <w:left w:val="none" w:sz="0" w:space="0" w:color="auto"/>
        <w:bottom w:val="none" w:sz="0" w:space="0" w:color="auto"/>
        <w:right w:val="none" w:sz="0" w:space="0" w:color="auto"/>
      </w:divBdr>
      <w:divsChild>
        <w:div w:id="778841334">
          <w:marLeft w:val="0"/>
          <w:marRight w:val="0"/>
          <w:marTop w:val="0"/>
          <w:marBottom w:val="0"/>
          <w:divBdr>
            <w:top w:val="none" w:sz="0" w:space="0" w:color="auto"/>
            <w:left w:val="none" w:sz="0" w:space="0" w:color="auto"/>
            <w:bottom w:val="none" w:sz="0" w:space="0" w:color="auto"/>
            <w:right w:val="none" w:sz="0" w:space="0" w:color="auto"/>
          </w:divBdr>
          <w:divsChild>
            <w:div w:id="1585020851">
              <w:marLeft w:val="0"/>
              <w:marRight w:val="0"/>
              <w:marTop w:val="0"/>
              <w:marBottom w:val="0"/>
              <w:divBdr>
                <w:top w:val="none" w:sz="0" w:space="0" w:color="auto"/>
                <w:left w:val="none" w:sz="0" w:space="0" w:color="auto"/>
                <w:bottom w:val="none" w:sz="0" w:space="0" w:color="auto"/>
                <w:right w:val="none" w:sz="0" w:space="0" w:color="auto"/>
              </w:divBdr>
            </w:div>
            <w:div w:id="378632041">
              <w:marLeft w:val="0"/>
              <w:marRight w:val="0"/>
              <w:marTop w:val="0"/>
              <w:marBottom w:val="0"/>
              <w:divBdr>
                <w:top w:val="none" w:sz="0" w:space="0" w:color="auto"/>
                <w:left w:val="none" w:sz="0" w:space="0" w:color="auto"/>
                <w:bottom w:val="none" w:sz="0" w:space="0" w:color="auto"/>
                <w:right w:val="none" w:sz="0" w:space="0" w:color="auto"/>
              </w:divBdr>
            </w:div>
            <w:div w:id="697512297">
              <w:marLeft w:val="0"/>
              <w:marRight w:val="0"/>
              <w:marTop w:val="0"/>
              <w:marBottom w:val="0"/>
              <w:divBdr>
                <w:top w:val="none" w:sz="0" w:space="0" w:color="auto"/>
                <w:left w:val="none" w:sz="0" w:space="0" w:color="auto"/>
                <w:bottom w:val="none" w:sz="0" w:space="0" w:color="auto"/>
                <w:right w:val="none" w:sz="0" w:space="0" w:color="auto"/>
              </w:divBdr>
            </w:div>
            <w:div w:id="458425410">
              <w:marLeft w:val="0"/>
              <w:marRight w:val="0"/>
              <w:marTop w:val="0"/>
              <w:marBottom w:val="0"/>
              <w:divBdr>
                <w:top w:val="none" w:sz="0" w:space="0" w:color="auto"/>
                <w:left w:val="none" w:sz="0" w:space="0" w:color="auto"/>
                <w:bottom w:val="none" w:sz="0" w:space="0" w:color="auto"/>
                <w:right w:val="none" w:sz="0" w:space="0" w:color="auto"/>
              </w:divBdr>
            </w:div>
            <w:div w:id="1338534036">
              <w:marLeft w:val="0"/>
              <w:marRight w:val="0"/>
              <w:marTop w:val="0"/>
              <w:marBottom w:val="0"/>
              <w:divBdr>
                <w:top w:val="none" w:sz="0" w:space="0" w:color="auto"/>
                <w:left w:val="none" w:sz="0" w:space="0" w:color="auto"/>
                <w:bottom w:val="none" w:sz="0" w:space="0" w:color="auto"/>
                <w:right w:val="none" w:sz="0" w:space="0" w:color="auto"/>
              </w:divBdr>
            </w:div>
            <w:div w:id="359166094">
              <w:marLeft w:val="0"/>
              <w:marRight w:val="0"/>
              <w:marTop w:val="0"/>
              <w:marBottom w:val="0"/>
              <w:divBdr>
                <w:top w:val="none" w:sz="0" w:space="0" w:color="auto"/>
                <w:left w:val="none" w:sz="0" w:space="0" w:color="auto"/>
                <w:bottom w:val="none" w:sz="0" w:space="0" w:color="auto"/>
                <w:right w:val="none" w:sz="0" w:space="0" w:color="auto"/>
              </w:divBdr>
            </w:div>
            <w:div w:id="512913508">
              <w:marLeft w:val="0"/>
              <w:marRight w:val="0"/>
              <w:marTop w:val="0"/>
              <w:marBottom w:val="0"/>
              <w:divBdr>
                <w:top w:val="none" w:sz="0" w:space="0" w:color="auto"/>
                <w:left w:val="none" w:sz="0" w:space="0" w:color="auto"/>
                <w:bottom w:val="none" w:sz="0" w:space="0" w:color="auto"/>
                <w:right w:val="none" w:sz="0" w:space="0" w:color="auto"/>
              </w:divBdr>
            </w:div>
            <w:div w:id="1151674944">
              <w:marLeft w:val="0"/>
              <w:marRight w:val="0"/>
              <w:marTop w:val="0"/>
              <w:marBottom w:val="0"/>
              <w:divBdr>
                <w:top w:val="none" w:sz="0" w:space="0" w:color="auto"/>
                <w:left w:val="none" w:sz="0" w:space="0" w:color="auto"/>
                <w:bottom w:val="none" w:sz="0" w:space="0" w:color="auto"/>
                <w:right w:val="none" w:sz="0" w:space="0" w:color="auto"/>
              </w:divBdr>
            </w:div>
            <w:div w:id="1911841451">
              <w:marLeft w:val="0"/>
              <w:marRight w:val="0"/>
              <w:marTop w:val="0"/>
              <w:marBottom w:val="0"/>
              <w:divBdr>
                <w:top w:val="none" w:sz="0" w:space="0" w:color="auto"/>
                <w:left w:val="none" w:sz="0" w:space="0" w:color="auto"/>
                <w:bottom w:val="none" w:sz="0" w:space="0" w:color="auto"/>
                <w:right w:val="none" w:sz="0" w:space="0" w:color="auto"/>
              </w:divBdr>
            </w:div>
            <w:div w:id="1539928113">
              <w:marLeft w:val="0"/>
              <w:marRight w:val="0"/>
              <w:marTop w:val="0"/>
              <w:marBottom w:val="0"/>
              <w:divBdr>
                <w:top w:val="none" w:sz="0" w:space="0" w:color="auto"/>
                <w:left w:val="none" w:sz="0" w:space="0" w:color="auto"/>
                <w:bottom w:val="none" w:sz="0" w:space="0" w:color="auto"/>
                <w:right w:val="none" w:sz="0" w:space="0" w:color="auto"/>
              </w:divBdr>
            </w:div>
            <w:div w:id="901721369">
              <w:marLeft w:val="0"/>
              <w:marRight w:val="0"/>
              <w:marTop w:val="0"/>
              <w:marBottom w:val="0"/>
              <w:divBdr>
                <w:top w:val="none" w:sz="0" w:space="0" w:color="auto"/>
                <w:left w:val="none" w:sz="0" w:space="0" w:color="auto"/>
                <w:bottom w:val="none" w:sz="0" w:space="0" w:color="auto"/>
                <w:right w:val="none" w:sz="0" w:space="0" w:color="auto"/>
              </w:divBdr>
            </w:div>
            <w:div w:id="10120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97461">
      <w:bodyDiv w:val="1"/>
      <w:marLeft w:val="0"/>
      <w:marRight w:val="0"/>
      <w:marTop w:val="0"/>
      <w:marBottom w:val="0"/>
      <w:divBdr>
        <w:top w:val="none" w:sz="0" w:space="0" w:color="auto"/>
        <w:left w:val="none" w:sz="0" w:space="0" w:color="auto"/>
        <w:bottom w:val="none" w:sz="0" w:space="0" w:color="auto"/>
        <w:right w:val="none" w:sz="0" w:space="0" w:color="auto"/>
      </w:divBdr>
    </w:div>
    <w:div w:id="1934900972">
      <w:bodyDiv w:val="1"/>
      <w:marLeft w:val="0"/>
      <w:marRight w:val="0"/>
      <w:marTop w:val="0"/>
      <w:marBottom w:val="0"/>
      <w:divBdr>
        <w:top w:val="none" w:sz="0" w:space="0" w:color="auto"/>
        <w:left w:val="none" w:sz="0" w:space="0" w:color="auto"/>
        <w:bottom w:val="none" w:sz="0" w:space="0" w:color="auto"/>
        <w:right w:val="none" w:sz="0" w:space="0" w:color="auto"/>
      </w:divBdr>
      <w:divsChild>
        <w:div w:id="713624042">
          <w:marLeft w:val="0"/>
          <w:marRight w:val="0"/>
          <w:marTop w:val="0"/>
          <w:marBottom w:val="0"/>
          <w:divBdr>
            <w:top w:val="none" w:sz="0" w:space="0" w:color="auto"/>
            <w:left w:val="none" w:sz="0" w:space="0" w:color="auto"/>
            <w:bottom w:val="none" w:sz="0" w:space="0" w:color="auto"/>
            <w:right w:val="none" w:sz="0" w:space="0" w:color="auto"/>
          </w:divBdr>
          <w:divsChild>
            <w:div w:id="182985322">
              <w:marLeft w:val="0"/>
              <w:marRight w:val="0"/>
              <w:marTop w:val="0"/>
              <w:marBottom w:val="0"/>
              <w:divBdr>
                <w:top w:val="none" w:sz="0" w:space="0" w:color="auto"/>
                <w:left w:val="none" w:sz="0" w:space="0" w:color="auto"/>
                <w:bottom w:val="none" w:sz="0" w:space="0" w:color="auto"/>
                <w:right w:val="none" w:sz="0" w:space="0" w:color="auto"/>
              </w:divBdr>
            </w:div>
            <w:div w:id="1195462521">
              <w:marLeft w:val="0"/>
              <w:marRight w:val="0"/>
              <w:marTop w:val="0"/>
              <w:marBottom w:val="0"/>
              <w:divBdr>
                <w:top w:val="none" w:sz="0" w:space="0" w:color="auto"/>
                <w:left w:val="none" w:sz="0" w:space="0" w:color="auto"/>
                <w:bottom w:val="none" w:sz="0" w:space="0" w:color="auto"/>
                <w:right w:val="none" w:sz="0" w:space="0" w:color="auto"/>
              </w:divBdr>
            </w:div>
            <w:div w:id="1764178463">
              <w:marLeft w:val="0"/>
              <w:marRight w:val="0"/>
              <w:marTop w:val="0"/>
              <w:marBottom w:val="0"/>
              <w:divBdr>
                <w:top w:val="none" w:sz="0" w:space="0" w:color="auto"/>
                <w:left w:val="none" w:sz="0" w:space="0" w:color="auto"/>
                <w:bottom w:val="none" w:sz="0" w:space="0" w:color="auto"/>
                <w:right w:val="none" w:sz="0" w:space="0" w:color="auto"/>
              </w:divBdr>
            </w:div>
            <w:div w:id="1274359108">
              <w:marLeft w:val="0"/>
              <w:marRight w:val="0"/>
              <w:marTop w:val="0"/>
              <w:marBottom w:val="0"/>
              <w:divBdr>
                <w:top w:val="none" w:sz="0" w:space="0" w:color="auto"/>
                <w:left w:val="none" w:sz="0" w:space="0" w:color="auto"/>
                <w:bottom w:val="none" w:sz="0" w:space="0" w:color="auto"/>
                <w:right w:val="none" w:sz="0" w:space="0" w:color="auto"/>
              </w:divBdr>
            </w:div>
            <w:div w:id="560604598">
              <w:marLeft w:val="0"/>
              <w:marRight w:val="0"/>
              <w:marTop w:val="0"/>
              <w:marBottom w:val="0"/>
              <w:divBdr>
                <w:top w:val="none" w:sz="0" w:space="0" w:color="auto"/>
                <w:left w:val="none" w:sz="0" w:space="0" w:color="auto"/>
                <w:bottom w:val="none" w:sz="0" w:space="0" w:color="auto"/>
                <w:right w:val="none" w:sz="0" w:space="0" w:color="auto"/>
              </w:divBdr>
            </w:div>
            <w:div w:id="1071192716">
              <w:marLeft w:val="0"/>
              <w:marRight w:val="0"/>
              <w:marTop w:val="0"/>
              <w:marBottom w:val="0"/>
              <w:divBdr>
                <w:top w:val="none" w:sz="0" w:space="0" w:color="auto"/>
                <w:left w:val="none" w:sz="0" w:space="0" w:color="auto"/>
                <w:bottom w:val="none" w:sz="0" w:space="0" w:color="auto"/>
                <w:right w:val="none" w:sz="0" w:space="0" w:color="auto"/>
              </w:divBdr>
            </w:div>
            <w:div w:id="1856192086">
              <w:marLeft w:val="0"/>
              <w:marRight w:val="0"/>
              <w:marTop w:val="0"/>
              <w:marBottom w:val="0"/>
              <w:divBdr>
                <w:top w:val="none" w:sz="0" w:space="0" w:color="auto"/>
                <w:left w:val="none" w:sz="0" w:space="0" w:color="auto"/>
                <w:bottom w:val="none" w:sz="0" w:space="0" w:color="auto"/>
                <w:right w:val="none" w:sz="0" w:space="0" w:color="auto"/>
              </w:divBdr>
            </w:div>
            <w:div w:id="1926646649">
              <w:marLeft w:val="0"/>
              <w:marRight w:val="0"/>
              <w:marTop w:val="0"/>
              <w:marBottom w:val="0"/>
              <w:divBdr>
                <w:top w:val="none" w:sz="0" w:space="0" w:color="auto"/>
                <w:left w:val="none" w:sz="0" w:space="0" w:color="auto"/>
                <w:bottom w:val="none" w:sz="0" w:space="0" w:color="auto"/>
                <w:right w:val="none" w:sz="0" w:space="0" w:color="auto"/>
              </w:divBdr>
            </w:div>
            <w:div w:id="2058434408">
              <w:marLeft w:val="0"/>
              <w:marRight w:val="0"/>
              <w:marTop w:val="0"/>
              <w:marBottom w:val="0"/>
              <w:divBdr>
                <w:top w:val="none" w:sz="0" w:space="0" w:color="auto"/>
                <w:left w:val="none" w:sz="0" w:space="0" w:color="auto"/>
                <w:bottom w:val="none" w:sz="0" w:space="0" w:color="auto"/>
                <w:right w:val="none" w:sz="0" w:space="0" w:color="auto"/>
              </w:divBdr>
            </w:div>
            <w:div w:id="871454201">
              <w:marLeft w:val="0"/>
              <w:marRight w:val="0"/>
              <w:marTop w:val="0"/>
              <w:marBottom w:val="0"/>
              <w:divBdr>
                <w:top w:val="none" w:sz="0" w:space="0" w:color="auto"/>
                <w:left w:val="none" w:sz="0" w:space="0" w:color="auto"/>
                <w:bottom w:val="none" w:sz="0" w:space="0" w:color="auto"/>
                <w:right w:val="none" w:sz="0" w:space="0" w:color="auto"/>
              </w:divBdr>
            </w:div>
            <w:div w:id="1244993332">
              <w:marLeft w:val="0"/>
              <w:marRight w:val="0"/>
              <w:marTop w:val="0"/>
              <w:marBottom w:val="0"/>
              <w:divBdr>
                <w:top w:val="none" w:sz="0" w:space="0" w:color="auto"/>
                <w:left w:val="none" w:sz="0" w:space="0" w:color="auto"/>
                <w:bottom w:val="none" w:sz="0" w:space="0" w:color="auto"/>
                <w:right w:val="none" w:sz="0" w:space="0" w:color="auto"/>
              </w:divBdr>
            </w:div>
            <w:div w:id="85400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006267">
      <w:bodyDiv w:val="1"/>
      <w:marLeft w:val="0"/>
      <w:marRight w:val="0"/>
      <w:marTop w:val="0"/>
      <w:marBottom w:val="0"/>
      <w:divBdr>
        <w:top w:val="none" w:sz="0" w:space="0" w:color="auto"/>
        <w:left w:val="none" w:sz="0" w:space="0" w:color="auto"/>
        <w:bottom w:val="none" w:sz="0" w:space="0" w:color="auto"/>
        <w:right w:val="none" w:sz="0" w:space="0" w:color="auto"/>
      </w:divBdr>
    </w:div>
    <w:div w:id="1958218647">
      <w:bodyDiv w:val="1"/>
      <w:marLeft w:val="0"/>
      <w:marRight w:val="0"/>
      <w:marTop w:val="0"/>
      <w:marBottom w:val="0"/>
      <w:divBdr>
        <w:top w:val="none" w:sz="0" w:space="0" w:color="auto"/>
        <w:left w:val="none" w:sz="0" w:space="0" w:color="auto"/>
        <w:bottom w:val="none" w:sz="0" w:space="0" w:color="auto"/>
        <w:right w:val="none" w:sz="0" w:space="0" w:color="auto"/>
      </w:divBdr>
    </w:div>
    <w:div w:id="2026206027">
      <w:bodyDiv w:val="1"/>
      <w:marLeft w:val="0"/>
      <w:marRight w:val="0"/>
      <w:marTop w:val="0"/>
      <w:marBottom w:val="0"/>
      <w:divBdr>
        <w:top w:val="none" w:sz="0" w:space="0" w:color="auto"/>
        <w:left w:val="none" w:sz="0" w:space="0" w:color="auto"/>
        <w:bottom w:val="none" w:sz="0" w:space="0" w:color="auto"/>
        <w:right w:val="none" w:sz="0" w:space="0" w:color="auto"/>
      </w:divBdr>
    </w:div>
    <w:div w:id="2061784197">
      <w:bodyDiv w:val="1"/>
      <w:marLeft w:val="0"/>
      <w:marRight w:val="0"/>
      <w:marTop w:val="0"/>
      <w:marBottom w:val="0"/>
      <w:divBdr>
        <w:top w:val="none" w:sz="0" w:space="0" w:color="auto"/>
        <w:left w:val="none" w:sz="0" w:space="0" w:color="auto"/>
        <w:bottom w:val="none" w:sz="0" w:space="0" w:color="auto"/>
        <w:right w:val="none" w:sz="0" w:space="0" w:color="auto"/>
      </w:divBdr>
    </w:div>
    <w:div w:id="2067992024">
      <w:bodyDiv w:val="1"/>
      <w:marLeft w:val="0"/>
      <w:marRight w:val="0"/>
      <w:marTop w:val="0"/>
      <w:marBottom w:val="0"/>
      <w:divBdr>
        <w:top w:val="none" w:sz="0" w:space="0" w:color="auto"/>
        <w:left w:val="none" w:sz="0" w:space="0" w:color="auto"/>
        <w:bottom w:val="none" w:sz="0" w:space="0" w:color="auto"/>
        <w:right w:val="none" w:sz="0" w:space="0" w:color="auto"/>
      </w:divBdr>
      <w:divsChild>
        <w:div w:id="868834023">
          <w:marLeft w:val="0"/>
          <w:marRight w:val="0"/>
          <w:marTop w:val="0"/>
          <w:marBottom w:val="0"/>
          <w:divBdr>
            <w:top w:val="none" w:sz="0" w:space="0" w:color="auto"/>
            <w:left w:val="none" w:sz="0" w:space="0" w:color="auto"/>
            <w:bottom w:val="none" w:sz="0" w:space="0" w:color="auto"/>
            <w:right w:val="none" w:sz="0" w:space="0" w:color="auto"/>
          </w:divBdr>
          <w:divsChild>
            <w:div w:id="511264600">
              <w:marLeft w:val="0"/>
              <w:marRight w:val="0"/>
              <w:marTop w:val="0"/>
              <w:marBottom w:val="0"/>
              <w:divBdr>
                <w:top w:val="none" w:sz="0" w:space="0" w:color="auto"/>
                <w:left w:val="none" w:sz="0" w:space="0" w:color="auto"/>
                <w:bottom w:val="none" w:sz="0" w:space="0" w:color="auto"/>
                <w:right w:val="none" w:sz="0" w:space="0" w:color="auto"/>
              </w:divBdr>
              <w:divsChild>
                <w:div w:id="1034421145">
                  <w:marLeft w:val="0"/>
                  <w:marRight w:val="0"/>
                  <w:marTop w:val="0"/>
                  <w:marBottom w:val="0"/>
                  <w:divBdr>
                    <w:top w:val="none" w:sz="0" w:space="0" w:color="auto"/>
                    <w:left w:val="none" w:sz="0" w:space="0" w:color="auto"/>
                    <w:bottom w:val="none" w:sz="0" w:space="0" w:color="auto"/>
                    <w:right w:val="none" w:sz="0" w:space="0" w:color="auto"/>
                  </w:divBdr>
                </w:div>
              </w:divsChild>
            </w:div>
            <w:div w:id="1182937038">
              <w:marLeft w:val="0"/>
              <w:marRight w:val="0"/>
              <w:marTop w:val="0"/>
              <w:marBottom w:val="0"/>
              <w:divBdr>
                <w:top w:val="none" w:sz="0" w:space="0" w:color="auto"/>
                <w:left w:val="none" w:sz="0" w:space="0" w:color="auto"/>
                <w:bottom w:val="none" w:sz="0" w:space="0" w:color="auto"/>
                <w:right w:val="none" w:sz="0" w:space="0" w:color="auto"/>
              </w:divBdr>
              <w:divsChild>
                <w:div w:id="1940286940">
                  <w:marLeft w:val="0"/>
                  <w:marRight w:val="0"/>
                  <w:marTop w:val="0"/>
                  <w:marBottom w:val="0"/>
                  <w:divBdr>
                    <w:top w:val="none" w:sz="0" w:space="0" w:color="auto"/>
                    <w:left w:val="none" w:sz="0" w:space="0" w:color="auto"/>
                    <w:bottom w:val="none" w:sz="0" w:space="0" w:color="auto"/>
                    <w:right w:val="none" w:sz="0" w:space="0" w:color="auto"/>
                  </w:divBdr>
                </w:div>
              </w:divsChild>
            </w:div>
            <w:div w:id="387268932">
              <w:marLeft w:val="0"/>
              <w:marRight w:val="0"/>
              <w:marTop w:val="0"/>
              <w:marBottom w:val="0"/>
              <w:divBdr>
                <w:top w:val="none" w:sz="0" w:space="0" w:color="auto"/>
                <w:left w:val="none" w:sz="0" w:space="0" w:color="auto"/>
                <w:bottom w:val="none" w:sz="0" w:space="0" w:color="auto"/>
                <w:right w:val="none" w:sz="0" w:space="0" w:color="auto"/>
              </w:divBdr>
              <w:divsChild>
                <w:div w:id="17688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53929">
      <w:bodyDiv w:val="1"/>
      <w:marLeft w:val="0"/>
      <w:marRight w:val="0"/>
      <w:marTop w:val="0"/>
      <w:marBottom w:val="0"/>
      <w:divBdr>
        <w:top w:val="none" w:sz="0" w:space="0" w:color="auto"/>
        <w:left w:val="none" w:sz="0" w:space="0" w:color="auto"/>
        <w:bottom w:val="none" w:sz="0" w:space="0" w:color="auto"/>
        <w:right w:val="none" w:sz="0" w:space="0" w:color="auto"/>
      </w:divBdr>
      <w:divsChild>
        <w:div w:id="1695038892">
          <w:marLeft w:val="0"/>
          <w:marRight w:val="0"/>
          <w:marTop w:val="0"/>
          <w:marBottom w:val="0"/>
          <w:divBdr>
            <w:top w:val="none" w:sz="0" w:space="0" w:color="auto"/>
            <w:left w:val="none" w:sz="0" w:space="0" w:color="auto"/>
            <w:bottom w:val="none" w:sz="0" w:space="0" w:color="auto"/>
            <w:right w:val="none" w:sz="0" w:space="0" w:color="auto"/>
          </w:divBdr>
          <w:divsChild>
            <w:div w:id="1570388290">
              <w:marLeft w:val="0"/>
              <w:marRight w:val="0"/>
              <w:marTop w:val="0"/>
              <w:marBottom w:val="0"/>
              <w:divBdr>
                <w:top w:val="none" w:sz="0" w:space="0" w:color="auto"/>
                <w:left w:val="none" w:sz="0" w:space="0" w:color="auto"/>
                <w:bottom w:val="none" w:sz="0" w:space="0" w:color="auto"/>
                <w:right w:val="none" w:sz="0" w:space="0" w:color="auto"/>
              </w:divBdr>
            </w:div>
            <w:div w:id="712270899">
              <w:marLeft w:val="0"/>
              <w:marRight w:val="0"/>
              <w:marTop w:val="0"/>
              <w:marBottom w:val="0"/>
              <w:divBdr>
                <w:top w:val="none" w:sz="0" w:space="0" w:color="auto"/>
                <w:left w:val="none" w:sz="0" w:space="0" w:color="auto"/>
                <w:bottom w:val="none" w:sz="0" w:space="0" w:color="auto"/>
                <w:right w:val="none" w:sz="0" w:space="0" w:color="auto"/>
              </w:divBdr>
            </w:div>
            <w:div w:id="722555829">
              <w:marLeft w:val="0"/>
              <w:marRight w:val="0"/>
              <w:marTop w:val="0"/>
              <w:marBottom w:val="0"/>
              <w:divBdr>
                <w:top w:val="none" w:sz="0" w:space="0" w:color="auto"/>
                <w:left w:val="none" w:sz="0" w:space="0" w:color="auto"/>
                <w:bottom w:val="none" w:sz="0" w:space="0" w:color="auto"/>
                <w:right w:val="none" w:sz="0" w:space="0" w:color="auto"/>
              </w:divBdr>
            </w:div>
            <w:div w:id="2024672067">
              <w:marLeft w:val="0"/>
              <w:marRight w:val="0"/>
              <w:marTop w:val="0"/>
              <w:marBottom w:val="0"/>
              <w:divBdr>
                <w:top w:val="none" w:sz="0" w:space="0" w:color="auto"/>
                <w:left w:val="none" w:sz="0" w:space="0" w:color="auto"/>
                <w:bottom w:val="none" w:sz="0" w:space="0" w:color="auto"/>
                <w:right w:val="none" w:sz="0" w:space="0" w:color="auto"/>
              </w:divBdr>
            </w:div>
            <w:div w:id="501118006">
              <w:marLeft w:val="0"/>
              <w:marRight w:val="0"/>
              <w:marTop w:val="0"/>
              <w:marBottom w:val="0"/>
              <w:divBdr>
                <w:top w:val="none" w:sz="0" w:space="0" w:color="auto"/>
                <w:left w:val="none" w:sz="0" w:space="0" w:color="auto"/>
                <w:bottom w:val="none" w:sz="0" w:space="0" w:color="auto"/>
                <w:right w:val="none" w:sz="0" w:space="0" w:color="auto"/>
              </w:divBdr>
            </w:div>
            <w:div w:id="1458601712">
              <w:marLeft w:val="0"/>
              <w:marRight w:val="0"/>
              <w:marTop w:val="0"/>
              <w:marBottom w:val="0"/>
              <w:divBdr>
                <w:top w:val="none" w:sz="0" w:space="0" w:color="auto"/>
                <w:left w:val="none" w:sz="0" w:space="0" w:color="auto"/>
                <w:bottom w:val="none" w:sz="0" w:space="0" w:color="auto"/>
                <w:right w:val="none" w:sz="0" w:space="0" w:color="auto"/>
              </w:divBdr>
            </w:div>
            <w:div w:id="1910529358">
              <w:marLeft w:val="0"/>
              <w:marRight w:val="0"/>
              <w:marTop w:val="0"/>
              <w:marBottom w:val="0"/>
              <w:divBdr>
                <w:top w:val="none" w:sz="0" w:space="0" w:color="auto"/>
                <w:left w:val="none" w:sz="0" w:space="0" w:color="auto"/>
                <w:bottom w:val="none" w:sz="0" w:space="0" w:color="auto"/>
                <w:right w:val="none" w:sz="0" w:space="0" w:color="auto"/>
              </w:divBdr>
            </w:div>
            <w:div w:id="770855596">
              <w:marLeft w:val="0"/>
              <w:marRight w:val="0"/>
              <w:marTop w:val="0"/>
              <w:marBottom w:val="0"/>
              <w:divBdr>
                <w:top w:val="none" w:sz="0" w:space="0" w:color="auto"/>
                <w:left w:val="none" w:sz="0" w:space="0" w:color="auto"/>
                <w:bottom w:val="none" w:sz="0" w:space="0" w:color="auto"/>
                <w:right w:val="none" w:sz="0" w:space="0" w:color="auto"/>
              </w:divBdr>
            </w:div>
            <w:div w:id="874468139">
              <w:marLeft w:val="0"/>
              <w:marRight w:val="0"/>
              <w:marTop w:val="0"/>
              <w:marBottom w:val="0"/>
              <w:divBdr>
                <w:top w:val="none" w:sz="0" w:space="0" w:color="auto"/>
                <w:left w:val="none" w:sz="0" w:space="0" w:color="auto"/>
                <w:bottom w:val="none" w:sz="0" w:space="0" w:color="auto"/>
                <w:right w:val="none" w:sz="0" w:space="0" w:color="auto"/>
              </w:divBdr>
            </w:div>
            <w:div w:id="1199659239">
              <w:marLeft w:val="0"/>
              <w:marRight w:val="0"/>
              <w:marTop w:val="0"/>
              <w:marBottom w:val="0"/>
              <w:divBdr>
                <w:top w:val="none" w:sz="0" w:space="0" w:color="auto"/>
                <w:left w:val="none" w:sz="0" w:space="0" w:color="auto"/>
                <w:bottom w:val="none" w:sz="0" w:space="0" w:color="auto"/>
                <w:right w:val="none" w:sz="0" w:space="0" w:color="auto"/>
              </w:divBdr>
            </w:div>
            <w:div w:id="747843703">
              <w:marLeft w:val="0"/>
              <w:marRight w:val="0"/>
              <w:marTop w:val="0"/>
              <w:marBottom w:val="0"/>
              <w:divBdr>
                <w:top w:val="none" w:sz="0" w:space="0" w:color="auto"/>
                <w:left w:val="none" w:sz="0" w:space="0" w:color="auto"/>
                <w:bottom w:val="none" w:sz="0" w:space="0" w:color="auto"/>
                <w:right w:val="none" w:sz="0" w:space="0" w:color="auto"/>
              </w:divBdr>
            </w:div>
            <w:div w:id="148481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3.jpeg"/><Relationship Id="rId21" Type="http://schemas.openxmlformats.org/officeDocument/2006/relationships/chart" Target="charts/chart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6.xml"/><Relationship Id="rId33"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2.xm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5.xm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4.xml"/><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1.xml"/><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tt\Dropbox\College\UNI\Indie%20Project\measurment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 Temperature and Relative Humidity Baseline Comparison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Baseline!$F$2</c:f>
              <c:strCache>
                <c:ptCount val="1"/>
                <c:pt idx="0">
                  <c:v>UMI 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Baseline!$F$3:$F$15</c:f>
              <c:numCache>
                <c:formatCode>General</c:formatCode>
                <c:ptCount val="13"/>
                <c:pt idx="0">
                  <c:v>21.5</c:v>
                </c:pt>
                <c:pt idx="1">
                  <c:v>21.4</c:v>
                </c:pt>
                <c:pt idx="2">
                  <c:v>21.5</c:v>
                </c:pt>
                <c:pt idx="3">
                  <c:v>21.4</c:v>
                </c:pt>
                <c:pt idx="4">
                  <c:v>21.2</c:v>
                </c:pt>
                <c:pt idx="5">
                  <c:v>21.2</c:v>
                </c:pt>
                <c:pt idx="6">
                  <c:v>21.1</c:v>
                </c:pt>
                <c:pt idx="7">
                  <c:v>20.9</c:v>
                </c:pt>
                <c:pt idx="8">
                  <c:v>20.9</c:v>
                </c:pt>
                <c:pt idx="9">
                  <c:v>20.9</c:v>
                </c:pt>
                <c:pt idx="10">
                  <c:v>20.9</c:v>
                </c:pt>
                <c:pt idx="11">
                  <c:v>21</c:v>
                </c:pt>
                <c:pt idx="12">
                  <c:v>20.9</c:v>
                </c:pt>
              </c:numCache>
            </c:numRef>
          </c:val>
          <c:smooth val="0"/>
          <c:extLst>
            <c:ext xmlns:c16="http://schemas.microsoft.com/office/drawing/2014/chart" uri="{C3380CC4-5D6E-409C-BE32-E72D297353CC}">
              <c16:uniqueId val="{00000000-A49D-4958-A8D5-2D02D5EE3F16}"/>
            </c:ext>
          </c:extLst>
        </c:ser>
        <c:ser>
          <c:idx val="2"/>
          <c:order val="2"/>
          <c:tx>
            <c:strRef>
              <c:f>Baseline!$H$2</c:f>
              <c:strCache>
                <c:ptCount val="1"/>
                <c:pt idx="0">
                  <c:v>BME 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Baseline!$H$3:$H$15</c:f>
              <c:numCache>
                <c:formatCode>General</c:formatCode>
                <c:ptCount val="13"/>
                <c:pt idx="0">
                  <c:v>22.08</c:v>
                </c:pt>
                <c:pt idx="1">
                  <c:v>21.87</c:v>
                </c:pt>
                <c:pt idx="2">
                  <c:v>21.9</c:v>
                </c:pt>
                <c:pt idx="3">
                  <c:v>21.71</c:v>
                </c:pt>
                <c:pt idx="4">
                  <c:v>21.7</c:v>
                </c:pt>
                <c:pt idx="5">
                  <c:v>21.76</c:v>
                </c:pt>
                <c:pt idx="6">
                  <c:v>21.6</c:v>
                </c:pt>
                <c:pt idx="7">
                  <c:v>21.35</c:v>
                </c:pt>
                <c:pt idx="8">
                  <c:v>21.39</c:v>
                </c:pt>
                <c:pt idx="9">
                  <c:v>21.5</c:v>
                </c:pt>
                <c:pt idx="10">
                  <c:v>21.49</c:v>
                </c:pt>
                <c:pt idx="11">
                  <c:v>21.44</c:v>
                </c:pt>
                <c:pt idx="12">
                  <c:v>21.49</c:v>
                </c:pt>
              </c:numCache>
            </c:numRef>
          </c:val>
          <c:smooth val="0"/>
          <c:extLst>
            <c:ext xmlns:c16="http://schemas.microsoft.com/office/drawing/2014/chart" uri="{C3380CC4-5D6E-409C-BE32-E72D297353CC}">
              <c16:uniqueId val="{00000001-A49D-4958-A8D5-2D02D5EE3F16}"/>
            </c:ext>
          </c:extLst>
        </c:ser>
        <c:ser>
          <c:idx val="6"/>
          <c:order val="6"/>
          <c:tx>
            <c:strRef>
              <c:f>Baseline!$L$2</c:f>
              <c:strCache>
                <c:ptCount val="1"/>
                <c:pt idx="0">
                  <c:v>SEN T</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Baseline!$L$3:$L$15</c:f>
              <c:numCache>
                <c:formatCode>General</c:formatCode>
                <c:ptCount val="13"/>
                <c:pt idx="0">
                  <c:v>21.47</c:v>
                </c:pt>
                <c:pt idx="1">
                  <c:v>21.62</c:v>
                </c:pt>
                <c:pt idx="2">
                  <c:v>21.41</c:v>
                </c:pt>
                <c:pt idx="3">
                  <c:v>21.355</c:v>
                </c:pt>
                <c:pt idx="4">
                  <c:v>21.25</c:v>
                </c:pt>
                <c:pt idx="5">
                  <c:v>21.135000000000002</c:v>
                </c:pt>
                <c:pt idx="6">
                  <c:v>20.984999999999999</c:v>
                </c:pt>
                <c:pt idx="7">
                  <c:v>20.78</c:v>
                </c:pt>
                <c:pt idx="8">
                  <c:v>20.72</c:v>
                </c:pt>
                <c:pt idx="9">
                  <c:v>20.92</c:v>
                </c:pt>
                <c:pt idx="10">
                  <c:v>20.984999999999999</c:v>
                </c:pt>
                <c:pt idx="11">
                  <c:v>20.914999999999999</c:v>
                </c:pt>
                <c:pt idx="12">
                  <c:v>20.795000000000002</c:v>
                </c:pt>
              </c:numCache>
            </c:numRef>
          </c:val>
          <c:smooth val="0"/>
          <c:extLst>
            <c:ext xmlns:c16="http://schemas.microsoft.com/office/drawing/2014/chart" uri="{C3380CC4-5D6E-409C-BE32-E72D297353CC}">
              <c16:uniqueId val="{00000002-A49D-4958-A8D5-2D02D5EE3F16}"/>
            </c:ext>
          </c:extLst>
        </c:ser>
        <c:ser>
          <c:idx val="14"/>
          <c:order val="14"/>
          <c:tx>
            <c:strRef>
              <c:f>Baseline!$T$2</c:f>
              <c:strCache>
                <c:ptCount val="1"/>
                <c:pt idx="0">
                  <c:v>Life Basis T</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Baseline!$T$3:$T$15</c:f>
              <c:numCache>
                <c:formatCode>General</c:formatCode>
                <c:ptCount val="13"/>
                <c:pt idx="0">
                  <c:v>20</c:v>
                </c:pt>
                <c:pt idx="1">
                  <c:v>20</c:v>
                </c:pt>
                <c:pt idx="2">
                  <c:v>19</c:v>
                </c:pt>
                <c:pt idx="3">
                  <c:v>20</c:v>
                </c:pt>
                <c:pt idx="4">
                  <c:v>19</c:v>
                </c:pt>
                <c:pt idx="5">
                  <c:v>19</c:v>
                </c:pt>
                <c:pt idx="6">
                  <c:v>18</c:v>
                </c:pt>
                <c:pt idx="7">
                  <c:v>18</c:v>
                </c:pt>
                <c:pt idx="8">
                  <c:v>18</c:v>
                </c:pt>
                <c:pt idx="9">
                  <c:v>18</c:v>
                </c:pt>
                <c:pt idx="10">
                  <c:v>18</c:v>
                </c:pt>
                <c:pt idx="11">
                  <c:v>18</c:v>
                </c:pt>
                <c:pt idx="12">
                  <c:v>18</c:v>
                </c:pt>
              </c:numCache>
            </c:numRef>
          </c:val>
          <c:smooth val="0"/>
          <c:extLst>
            <c:ext xmlns:c16="http://schemas.microsoft.com/office/drawing/2014/chart" uri="{C3380CC4-5D6E-409C-BE32-E72D297353CC}">
              <c16:uniqueId val="{00000003-A49D-4958-A8D5-2D02D5EE3F16}"/>
            </c:ext>
          </c:extLst>
        </c:ser>
        <c:dLbls>
          <c:showLegendKey val="0"/>
          <c:showVal val="0"/>
          <c:showCatName val="0"/>
          <c:showSerName val="0"/>
          <c:showPercent val="0"/>
          <c:showBubbleSize val="0"/>
        </c:dLbls>
        <c:marker val="1"/>
        <c:smooth val="0"/>
        <c:axId val="1515639024"/>
        <c:axId val="1515640944"/>
        <c:extLst>
          <c:ext xmlns:c15="http://schemas.microsoft.com/office/drawing/2012/chart" uri="{02D57815-91ED-43cb-92C2-25804820EDAC}">
            <c15:filteredLineSeries>
              <c15:ser>
                <c:idx val="4"/>
                <c:order val="4"/>
                <c:tx>
                  <c:strRef>
                    <c:extLst>
                      <c:ext uri="{02D57815-91ED-43cb-92C2-25804820EDAC}">
                        <c15:formulaRef>
                          <c15:sqref>Baseline!$J$2</c15:sqref>
                        </c15:formulaRef>
                      </c:ext>
                    </c:extLst>
                    <c:strCache>
                      <c:ptCount val="1"/>
                      <c:pt idx="0">
                        <c:v>AQI</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extLst>
                      <c:ex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c:ext uri="{02D57815-91ED-43cb-92C2-25804820EDAC}">
                        <c15:formulaRef>
                          <c15:sqref>Baseline!$J$3:$J$15</c15:sqref>
                        </c15:formulaRef>
                      </c:ext>
                    </c:extLst>
                    <c:numCache>
                      <c:formatCode>General</c:formatCode>
                      <c:ptCount val="13"/>
                      <c:pt idx="0">
                        <c:v>11.22</c:v>
                      </c:pt>
                      <c:pt idx="1">
                        <c:v>11.24</c:v>
                      </c:pt>
                      <c:pt idx="2">
                        <c:v>11.24</c:v>
                      </c:pt>
                      <c:pt idx="3">
                        <c:v>11.21</c:v>
                      </c:pt>
                      <c:pt idx="4">
                        <c:v>11.24</c:v>
                      </c:pt>
                      <c:pt idx="5">
                        <c:v>11.25</c:v>
                      </c:pt>
                      <c:pt idx="6">
                        <c:v>11.22</c:v>
                      </c:pt>
                      <c:pt idx="7">
                        <c:v>11.19</c:v>
                      </c:pt>
                      <c:pt idx="8">
                        <c:v>11.19</c:v>
                      </c:pt>
                      <c:pt idx="9">
                        <c:v>11.19</c:v>
                      </c:pt>
                      <c:pt idx="10">
                        <c:v>11.19</c:v>
                      </c:pt>
                      <c:pt idx="11">
                        <c:v>11.23</c:v>
                      </c:pt>
                      <c:pt idx="12">
                        <c:v>11.21</c:v>
                      </c:pt>
                    </c:numCache>
                  </c:numRef>
                </c:val>
                <c:smooth val="0"/>
                <c:extLst>
                  <c:ext xmlns:c16="http://schemas.microsoft.com/office/drawing/2014/chart" uri="{C3380CC4-5D6E-409C-BE32-E72D297353CC}">
                    <c16:uniqueId val="{00000008-A49D-4958-A8D5-2D02D5EE3F16}"/>
                  </c:ext>
                </c:extLst>
              </c15:ser>
            </c15:filteredLineSeries>
            <c15:filteredLineSeries>
              <c15:ser>
                <c:idx val="8"/>
                <c:order val="8"/>
                <c:tx>
                  <c:strRef>
                    <c:extLst xmlns:c15="http://schemas.microsoft.com/office/drawing/2012/chart">
                      <c:ext xmlns:c15="http://schemas.microsoft.com/office/drawing/2012/chart" uri="{02D57815-91ED-43cb-92C2-25804820EDAC}">
                        <c15:formulaRef>
                          <c15:sqref>Baseline!$N$2</c15:sqref>
                        </c15:formulaRef>
                      </c:ext>
                    </c:extLst>
                    <c:strCache>
                      <c:ptCount val="1"/>
                      <c:pt idx="0">
                        <c:v>PM 1</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Baseline!$N$3:$N$15</c15:sqref>
                        </c15:formulaRef>
                      </c:ext>
                    </c:extLst>
                    <c:numCache>
                      <c:formatCode>General</c:formatCode>
                      <c:ptCount val="13"/>
                      <c:pt idx="0">
                        <c:v>1</c:v>
                      </c:pt>
                      <c:pt idx="1">
                        <c:v>0.4</c:v>
                      </c:pt>
                      <c:pt idx="2">
                        <c:v>0.6</c:v>
                      </c:pt>
                      <c:pt idx="3">
                        <c:v>0.8</c:v>
                      </c:pt>
                      <c:pt idx="4">
                        <c:v>0.3</c:v>
                      </c:pt>
                      <c:pt idx="5">
                        <c:v>1.7</c:v>
                      </c:pt>
                      <c:pt idx="6">
                        <c:v>0.7</c:v>
                      </c:pt>
                      <c:pt idx="7">
                        <c:v>0.7</c:v>
                      </c:pt>
                      <c:pt idx="8">
                        <c:v>0.8</c:v>
                      </c:pt>
                      <c:pt idx="9">
                        <c:v>1.4</c:v>
                      </c:pt>
                      <c:pt idx="10">
                        <c:v>1.7</c:v>
                      </c:pt>
                      <c:pt idx="11">
                        <c:v>1.8</c:v>
                      </c:pt>
                      <c:pt idx="12">
                        <c:v>1</c:v>
                      </c:pt>
                    </c:numCache>
                  </c:numRef>
                </c:val>
                <c:smooth val="0"/>
                <c:extLst xmlns:c15="http://schemas.microsoft.com/office/drawing/2012/chart">
                  <c:ext xmlns:c16="http://schemas.microsoft.com/office/drawing/2014/chart" uri="{C3380CC4-5D6E-409C-BE32-E72D297353CC}">
                    <c16:uniqueId val="{0000000A-A49D-4958-A8D5-2D02D5EE3F16}"/>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Baseline!$O$2</c15:sqref>
                        </c15:formulaRef>
                      </c:ext>
                    </c:extLst>
                    <c:strCache>
                      <c:ptCount val="1"/>
                      <c:pt idx="0">
                        <c:v>PM 2.5</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Baseline!$O$3:$O$15</c15:sqref>
                        </c15:formulaRef>
                      </c:ext>
                    </c:extLst>
                    <c:numCache>
                      <c:formatCode>General</c:formatCode>
                      <c:ptCount val="13"/>
                      <c:pt idx="0">
                        <c:v>1.2</c:v>
                      </c:pt>
                      <c:pt idx="1">
                        <c:v>0.7</c:v>
                      </c:pt>
                      <c:pt idx="2">
                        <c:v>0.7</c:v>
                      </c:pt>
                      <c:pt idx="3">
                        <c:v>1</c:v>
                      </c:pt>
                      <c:pt idx="4">
                        <c:v>0.4</c:v>
                      </c:pt>
                      <c:pt idx="5">
                        <c:v>2</c:v>
                      </c:pt>
                      <c:pt idx="6">
                        <c:v>0.8</c:v>
                      </c:pt>
                      <c:pt idx="7">
                        <c:v>0.8</c:v>
                      </c:pt>
                      <c:pt idx="8">
                        <c:v>0.9</c:v>
                      </c:pt>
                      <c:pt idx="9">
                        <c:v>1.5</c:v>
                      </c:pt>
                      <c:pt idx="10">
                        <c:v>2</c:v>
                      </c:pt>
                      <c:pt idx="11">
                        <c:v>2.2000000000000002</c:v>
                      </c:pt>
                      <c:pt idx="12">
                        <c:v>1.2</c:v>
                      </c:pt>
                    </c:numCache>
                  </c:numRef>
                </c:val>
                <c:smooth val="0"/>
                <c:extLst xmlns:c15="http://schemas.microsoft.com/office/drawing/2012/chart">
                  <c:ext xmlns:c16="http://schemas.microsoft.com/office/drawing/2014/chart" uri="{C3380CC4-5D6E-409C-BE32-E72D297353CC}">
                    <c16:uniqueId val="{0000000B-A49D-4958-A8D5-2D02D5EE3F16}"/>
                  </c:ext>
                </c:extLst>
              </c15:ser>
            </c15:filteredLineSeries>
            <c15:filteredLineSeries>
              <c15:ser>
                <c:idx val="10"/>
                <c:order val="10"/>
                <c:tx>
                  <c:strRef>
                    <c:extLst xmlns:c15="http://schemas.microsoft.com/office/drawing/2012/chart">
                      <c:ext xmlns:c15="http://schemas.microsoft.com/office/drawing/2012/chart" uri="{02D57815-91ED-43cb-92C2-25804820EDAC}">
                        <c15:formulaRef>
                          <c15:sqref>Baseline!$P$2</c15:sqref>
                        </c15:formulaRef>
                      </c:ext>
                    </c:extLst>
                    <c:strCache>
                      <c:ptCount val="1"/>
                      <c:pt idx="0">
                        <c:v>PM 4</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Baseline!$P$3:$P$15</c15:sqref>
                        </c15:formulaRef>
                      </c:ext>
                    </c:extLst>
                    <c:numCache>
                      <c:formatCode>General</c:formatCode>
                      <c:ptCount val="13"/>
                      <c:pt idx="0">
                        <c:v>1.7</c:v>
                      </c:pt>
                      <c:pt idx="1">
                        <c:v>0.8</c:v>
                      </c:pt>
                      <c:pt idx="2">
                        <c:v>0.7</c:v>
                      </c:pt>
                      <c:pt idx="3">
                        <c:v>1</c:v>
                      </c:pt>
                      <c:pt idx="4">
                        <c:v>0.4</c:v>
                      </c:pt>
                      <c:pt idx="5">
                        <c:v>2.1</c:v>
                      </c:pt>
                      <c:pt idx="6">
                        <c:v>0.8</c:v>
                      </c:pt>
                      <c:pt idx="7">
                        <c:v>0.8</c:v>
                      </c:pt>
                      <c:pt idx="8">
                        <c:v>1</c:v>
                      </c:pt>
                      <c:pt idx="9">
                        <c:v>1.5</c:v>
                      </c:pt>
                      <c:pt idx="10">
                        <c:v>2.2000000000000002</c:v>
                      </c:pt>
                      <c:pt idx="11">
                        <c:v>2.6</c:v>
                      </c:pt>
                      <c:pt idx="12">
                        <c:v>1.3</c:v>
                      </c:pt>
                    </c:numCache>
                  </c:numRef>
                </c:val>
                <c:smooth val="0"/>
                <c:extLst xmlns:c15="http://schemas.microsoft.com/office/drawing/2012/chart">
                  <c:ext xmlns:c16="http://schemas.microsoft.com/office/drawing/2014/chart" uri="{C3380CC4-5D6E-409C-BE32-E72D297353CC}">
                    <c16:uniqueId val="{0000000C-A49D-4958-A8D5-2D02D5EE3F16}"/>
                  </c:ext>
                </c:extLst>
              </c15:ser>
            </c15:filteredLineSeries>
            <c15:filteredLineSeries>
              <c15:ser>
                <c:idx val="11"/>
                <c:order val="11"/>
                <c:tx>
                  <c:strRef>
                    <c:extLst xmlns:c15="http://schemas.microsoft.com/office/drawing/2012/chart">
                      <c:ext xmlns:c15="http://schemas.microsoft.com/office/drawing/2012/chart" uri="{02D57815-91ED-43cb-92C2-25804820EDAC}">
                        <c15:formulaRef>
                          <c15:sqref>Baseline!$Q$2</c15:sqref>
                        </c15:formulaRef>
                      </c:ext>
                    </c:extLst>
                    <c:strCache>
                      <c:ptCount val="1"/>
                      <c:pt idx="0">
                        <c:v>PM 10</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Baseline!$Q$3:$Q$15</c15:sqref>
                        </c15:formulaRef>
                      </c:ext>
                    </c:extLst>
                    <c:numCache>
                      <c:formatCode>General</c:formatCode>
                      <c:ptCount val="13"/>
                      <c:pt idx="0">
                        <c:v>1.4</c:v>
                      </c:pt>
                      <c:pt idx="1">
                        <c:v>0.9</c:v>
                      </c:pt>
                      <c:pt idx="2">
                        <c:v>0.7</c:v>
                      </c:pt>
                      <c:pt idx="3">
                        <c:v>1.1000000000000001</c:v>
                      </c:pt>
                      <c:pt idx="4">
                        <c:v>0.4</c:v>
                      </c:pt>
                      <c:pt idx="5">
                        <c:v>2.1</c:v>
                      </c:pt>
                      <c:pt idx="6">
                        <c:v>0.9</c:v>
                      </c:pt>
                      <c:pt idx="7">
                        <c:v>0.8</c:v>
                      </c:pt>
                      <c:pt idx="8">
                        <c:v>1</c:v>
                      </c:pt>
                      <c:pt idx="9">
                        <c:v>1.5</c:v>
                      </c:pt>
                      <c:pt idx="10">
                        <c:v>2.2999999999999998</c:v>
                      </c:pt>
                      <c:pt idx="11">
                        <c:v>2.7</c:v>
                      </c:pt>
                      <c:pt idx="12">
                        <c:v>1.3</c:v>
                      </c:pt>
                    </c:numCache>
                  </c:numRef>
                </c:val>
                <c:smooth val="0"/>
                <c:extLst xmlns:c15="http://schemas.microsoft.com/office/drawing/2012/chart">
                  <c:ext xmlns:c16="http://schemas.microsoft.com/office/drawing/2014/chart" uri="{C3380CC4-5D6E-409C-BE32-E72D297353CC}">
                    <c16:uniqueId val="{0000000D-A49D-4958-A8D5-2D02D5EE3F16}"/>
                  </c:ext>
                </c:extLst>
              </c15:ser>
            </c15:filteredLineSeries>
            <c15:filteredLineSeries>
              <c15:ser>
                <c:idx val="12"/>
                <c:order val="12"/>
                <c:tx>
                  <c:strRef>
                    <c:extLst xmlns:c15="http://schemas.microsoft.com/office/drawing/2012/chart">
                      <c:ext xmlns:c15="http://schemas.microsoft.com/office/drawing/2012/chart" uri="{02D57815-91ED-43cb-92C2-25804820EDAC}">
                        <c15:formulaRef>
                          <c15:sqref>Baseline!$R$2</c15:sqref>
                        </c15:formulaRef>
                      </c:ext>
                    </c:extLst>
                    <c:strCache>
                      <c:ptCount val="1"/>
                      <c:pt idx="0">
                        <c:v>VOC Index</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Baseline!$R$3:$R$15</c15:sqref>
                        </c15:formulaRef>
                      </c:ext>
                    </c:extLst>
                    <c:numCache>
                      <c:formatCode>General</c:formatCode>
                      <c:ptCount val="13"/>
                      <c:pt idx="0">
                        <c:v>101</c:v>
                      </c:pt>
                      <c:pt idx="1">
                        <c:v>97</c:v>
                      </c:pt>
                      <c:pt idx="2">
                        <c:v>101</c:v>
                      </c:pt>
                      <c:pt idx="3">
                        <c:v>99</c:v>
                      </c:pt>
                      <c:pt idx="4">
                        <c:v>100</c:v>
                      </c:pt>
                      <c:pt idx="5">
                        <c:v>98</c:v>
                      </c:pt>
                      <c:pt idx="6">
                        <c:v>100</c:v>
                      </c:pt>
                      <c:pt idx="7">
                        <c:v>147</c:v>
                      </c:pt>
                      <c:pt idx="8">
                        <c:v>178</c:v>
                      </c:pt>
                      <c:pt idx="9">
                        <c:v>100</c:v>
                      </c:pt>
                      <c:pt idx="10">
                        <c:v>102</c:v>
                      </c:pt>
                      <c:pt idx="11">
                        <c:v>101</c:v>
                      </c:pt>
                      <c:pt idx="12">
                        <c:v>101</c:v>
                      </c:pt>
                    </c:numCache>
                  </c:numRef>
                </c:val>
                <c:smooth val="0"/>
                <c:extLst xmlns:c15="http://schemas.microsoft.com/office/drawing/2012/chart">
                  <c:ext xmlns:c16="http://schemas.microsoft.com/office/drawing/2014/chart" uri="{C3380CC4-5D6E-409C-BE32-E72D297353CC}">
                    <c16:uniqueId val="{0000000E-A49D-4958-A8D5-2D02D5EE3F16}"/>
                  </c:ext>
                </c:extLst>
              </c15:ser>
            </c15:filteredLineSeries>
            <c15:filteredLineSeries>
              <c15:ser>
                <c:idx val="13"/>
                <c:order val="13"/>
                <c:tx>
                  <c:strRef>
                    <c:extLst xmlns:c15="http://schemas.microsoft.com/office/drawing/2012/chart">
                      <c:ext xmlns:c15="http://schemas.microsoft.com/office/drawing/2012/chart" uri="{02D57815-91ED-43cb-92C2-25804820EDAC}">
                        <c15:formulaRef>
                          <c15:sqref>Baseline!$S$2</c15:sqref>
                        </c15:formulaRef>
                      </c:ext>
                    </c:extLst>
                    <c:strCache>
                      <c:ptCount val="1"/>
                      <c:pt idx="0">
                        <c:v>NOx Index</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Baseline!$S$3:$S$15</c15:sqref>
                        </c15:formulaRef>
                      </c:ext>
                    </c:extLst>
                    <c:numCache>
                      <c:formatCode>General</c:formatCode>
                      <c:ptCount val="13"/>
                      <c:pt idx="0">
                        <c:v>1</c:v>
                      </c:pt>
                      <c:pt idx="1">
                        <c:v>1</c:v>
                      </c:pt>
                      <c:pt idx="2">
                        <c:v>1</c:v>
                      </c:pt>
                      <c:pt idx="3">
                        <c:v>1</c:v>
                      </c:pt>
                      <c:pt idx="4">
                        <c:v>1</c:v>
                      </c:pt>
                      <c:pt idx="5">
                        <c:v>1</c:v>
                      </c:pt>
                      <c:pt idx="6">
                        <c:v>1</c:v>
                      </c:pt>
                      <c:pt idx="7">
                        <c:v>1</c:v>
                      </c:pt>
                      <c:pt idx="8">
                        <c:v>1</c:v>
                      </c:pt>
                      <c:pt idx="9">
                        <c:v>1</c:v>
                      </c:pt>
                      <c:pt idx="10">
                        <c:v>1</c:v>
                      </c:pt>
                      <c:pt idx="11">
                        <c:v>1</c:v>
                      </c:pt>
                      <c:pt idx="12">
                        <c:v>1</c:v>
                      </c:pt>
                    </c:numCache>
                  </c:numRef>
                </c:val>
                <c:smooth val="0"/>
                <c:extLst xmlns:c15="http://schemas.microsoft.com/office/drawing/2012/chart">
                  <c:ext xmlns:c16="http://schemas.microsoft.com/office/drawing/2014/chart" uri="{C3380CC4-5D6E-409C-BE32-E72D297353CC}">
                    <c16:uniqueId val="{0000000F-A49D-4958-A8D5-2D02D5EE3F16}"/>
                  </c:ext>
                </c:extLst>
              </c15:ser>
            </c15:filteredLineSeries>
            <c15:filteredLineSeries>
              <c15:ser>
                <c:idx val="16"/>
                <c:order val="16"/>
                <c:tx>
                  <c:strRef>
                    <c:extLst xmlns:c15="http://schemas.microsoft.com/office/drawing/2012/chart">
                      <c:ext xmlns:c15="http://schemas.microsoft.com/office/drawing/2012/chart" uri="{02D57815-91ED-43cb-92C2-25804820EDAC}">
                        <c15:formulaRef>
                          <c15:sqref>Baseline!$V$2</c15:sqref>
                        </c15:formulaRef>
                      </c:ext>
                    </c:extLst>
                    <c:strCache>
                      <c:ptCount val="1"/>
                      <c:pt idx="0">
                        <c:v>PM 1</c:v>
                      </c:pt>
                    </c:strCache>
                  </c:strRef>
                </c:tx>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Baseline!$V$3:$V$15</c15:sqref>
                        </c15:formulaRef>
                      </c:ext>
                    </c:extLst>
                    <c:numCache>
                      <c:formatCode>General</c:formatCode>
                      <c:ptCount val="13"/>
                      <c:pt idx="0">
                        <c:v>1</c:v>
                      </c:pt>
                      <c:pt idx="1">
                        <c:v>1</c:v>
                      </c:pt>
                      <c:pt idx="2">
                        <c:v>1</c:v>
                      </c:pt>
                      <c:pt idx="3">
                        <c:v>2</c:v>
                      </c:pt>
                      <c:pt idx="4">
                        <c:v>2</c:v>
                      </c:pt>
                      <c:pt idx="5">
                        <c:v>3</c:v>
                      </c:pt>
                      <c:pt idx="6">
                        <c:v>1</c:v>
                      </c:pt>
                      <c:pt idx="7">
                        <c:v>1</c:v>
                      </c:pt>
                      <c:pt idx="8">
                        <c:v>1</c:v>
                      </c:pt>
                      <c:pt idx="9">
                        <c:v>1</c:v>
                      </c:pt>
                      <c:pt idx="10">
                        <c:v>2</c:v>
                      </c:pt>
                      <c:pt idx="11">
                        <c:v>1</c:v>
                      </c:pt>
                      <c:pt idx="12">
                        <c:v>2</c:v>
                      </c:pt>
                    </c:numCache>
                  </c:numRef>
                </c:val>
                <c:smooth val="0"/>
                <c:extLst xmlns:c15="http://schemas.microsoft.com/office/drawing/2012/chart">
                  <c:ext xmlns:c16="http://schemas.microsoft.com/office/drawing/2014/chart" uri="{C3380CC4-5D6E-409C-BE32-E72D297353CC}">
                    <c16:uniqueId val="{00000010-A49D-4958-A8D5-2D02D5EE3F16}"/>
                  </c:ext>
                </c:extLst>
              </c15:ser>
            </c15:filteredLineSeries>
            <c15:filteredLineSeries>
              <c15:ser>
                <c:idx val="17"/>
                <c:order val="17"/>
                <c:tx>
                  <c:strRef>
                    <c:extLst xmlns:c15="http://schemas.microsoft.com/office/drawing/2012/chart">
                      <c:ext xmlns:c15="http://schemas.microsoft.com/office/drawing/2012/chart" uri="{02D57815-91ED-43cb-92C2-25804820EDAC}">
                        <c15:formulaRef>
                          <c15:sqref>Baseline!$W$2</c15:sqref>
                        </c15:formulaRef>
                      </c:ext>
                    </c:extLst>
                    <c:strCache>
                      <c:ptCount val="1"/>
                      <c:pt idx="0">
                        <c:v>PM 2.5</c:v>
                      </c:pt>
                    </c:strCache>
                  </c:strRef>
                </c:tx>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Baseline!$W$3:$W$15</c15:sqref>
                        </c15:formulaRef>
                      </c:ext>
                    </c:extLst>
                    <c:numCache>
                      <c:formatCode>General</c:formatCode>
                      <c:ptCount val="13"/>
                      <c:pt idx="0">
                        <c:v>3</c:v>
                      </c:pt>
                      <c:pt idx="1">
                        <c:v>3</c:v>
                      </c:pt>
                      <c:pt idx="2">
                        <c:v>3</c:v>
                      </c:pt>
                      <c:pt idx="3">
                        <c:v>3</c:v>
                      </c:pt>
                      <c:pt idx="4">
                        <c:v>3</c:v>
                      </c:pt>
                      <c:pt idx="5">
                        <c:v>5</c:v>
                      </c:pt>
                      <c:pt idx="6">
                        <c:v>3</c:v>
                      </c:pt>
                      <c:pt idx="7">
                        <c:v>4</c:v>
                      </c:pt>
                      <c:pt idx="8">
                        <c:v>3</c:v>
                      </c:pt>
                      <c:pt idx="9">
                        <c:v>3</c:v>
                      </c:pt>
                      <c:pt idx="10">
                        <c:v>4</c:v>
                      </c:pt>
                      <c:pt idx="11">
                        <c:v>4</c:v>
                      </c:pt>
                      <c:pt idx="12">
                        <c:v>4</c:v>
                      </c:pt>
                    </c:numCache>
                  </c:numRef>
                </c:val>
                <c:smooth val="0"/>
                <c:extLst xmlns:c15="http://schemas.microsoft.com/office/drawing/2012/chart">
                  <c:ext xmlns:c16="http://schemas.microsoft.com/office/drawing/2014/chart" uri="{C3380CC4-5D6E-409C-BE32-E72D297353CC}">
                    <c16:uniqueId val="{00000011-A49D-4958-A8D5-2D02D5EE3F16}"/>
                  </c:ext>
                </c:extLst>
              </c15:ser>
            </c15:filteredLineSeries>
            <c15:filteredLineSeries>
              <c15:ser>
                <c:idx val="18"/>
                <c:order val="18"/>
                <c:tx>
                  <c:strRef>
                    <c:extLst xmlns:c15="http://schemas.microsoft.com/office/drawing/2012/chart">
                      <c:ext xmlns:c15="http://schemas.microsoft.com/office/drawing/2012/chart" uri="{02D57815-91ED-43cb-92C2-25804820EDAC}">
                        <c15:formulaRef>
                          <c15:sqref>Baseline!$X$2</c15:sqref>
                        </c15:formulaRef>
                      </c:ext>
                    </c:extLst>
                    <c:strCache>
                      <c:ptCount val="1"/>
                      <c:pt idx="0">
                        <c:v>PM 10</c:v>
                      </c:pt>
                    </c:strCache>
                  </c:strRef>
                </c:tx>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Baseline!$X$3:$X$15</c15:sqref>
                        </c15:formulaRef>
                      </c:ext>
                    </c:extLst>
                    <c:numCache>
                      <c:formatCode>General</c:formatCode>
                      <c:ptCount val="13"/>
                      <c:pt idx="0">
                        <c:v>3</c:v>
                      </c:pt>
                      <c:pt idx="1">
                        <c:v>3</c:v>
                      </c:pt>
                      <c:pt idx="2">
                        <c:v>3</c:v>
                      </c:pt>
                      <c:pt idx="3">
                        <c:v>3</c:v>
                      </c:pt>
                      <c:pt idx="4">
                        <c:v>3</c:v>
                      </c:pt>
                      <c:pt idx="5">
                        <c:v>5</c:v>
                      </c:pt>
                      <c:pt idx="6">
                        <c:v>4</c:v>
                      </c:pt>
                      <c:pt idx="7">
                        <c:v>5</c:v>
                      </c:pt>
                      <c:pt idx="8">
                        <c:v>3</c:v>
                      </c:pt>
                      <c:pt idx="9">
                        <c:v>5</c:v>
                      </c:pt>
                      <c:pt idx="10">
                        <c:v>5</c:v>
                      </c:pt>
                      <c:pt idx="11">
                        <c:v>4</c:v>
                      </c:pt>
                      <c:pt idx="12">
                        <c:v>3</c:v>
                      </c:pt>
                    </c:numCache>
                  </c:numRef>
                </c:val>
                <c:smooth val="0"/>
                <c:extLst xmlns:c15="http://schemas.microsoft.com/office/drawing/2012/chart">
                  <c:ext xmlns:c16="http://schemas.microsoft.com/office/drawing/2014/chart" uri="{C3380CC4-5D6E-409C-BE32-E72D297353CC}">
                    <c16:uniqueId val="{00000012-A49D-4958-A8D5-2D02D5EE3F16}"/>
                  </c:ext>
                </c:extLst>
              </c15:ser>
            </c15:filteredLineSeries>
            <c15:filteredLineSeries>
              <c15:ser>
                <c:idx val="19"/>
                <c:order val="19"/>
                <c:tx>
                  <c:strRef>
                    <c:extLst xmlns:c15="http://schemas.microsoft.com/office/drawing/2012/chart">
                      <c:ext xmlns:c15="http://schemas.microsoft.com/office/drawing/2012/chart" uri="{02D57815-91ED-43cb-92C2-25804820EDAC}">
                        <c15:formulaRef>
                          <c15:sqref>Baseline!$Y$2</c15:sqref>
                        </c15:formulaRef>
                      </c:ext>
                    </c:extLst>
                    <c:strCache>
                      <c:ptCount val="1"/>
                      <c:pt idx="0">
                        <c:v>HCHO</c:v>
                      </c:pt>
                    </c:strCache>
                  </c:strRef>
                </c:tx>
                <c:spPr>
                  <a:ln w="28575"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Baseline!$Y$3:$Y$15</c15:sqref>
                        </c15:formulaRef>
                      </c:ext>
                    </c:extLst>
                    <c:numCache>
                      <c:formatCode>General</c:formatCode>
                      <c:ptCount val="13"/>
                      <c:pt idx="0">
                        <c:v>1.2999999999999999E-2</c:v>
                      </c:pt>
                      <c:pt idx="1">
                        <c:v>1E-3</c:v>
                      </c:pt>
                      <c:pt idx="2">
                        <c:v>0.05</c:v>
                      </c:pt>
                      <c:pt idx="3">
                        <c:v>5.1999999999999998E-2</c:v>
                      </c:pt>
                      <c:pt idx="4">
                        <c:v>0.05</c:v>
                      </c:pt>
                      <c:pt idx="5">
                        <c:v>2.1999999999999999E-2</c:v>
                      </c:pt>
                      <c:pt idx="6">
                        <c:v>4.7E-2</c:v>
                      </c:pt>
                      <c:pt idx="7">
                        <c:v>5.6000000000000001E-2</c:v>
                      </c:pt>
                      <c:pt idx="8">
                        <c:v>6.3E-2</c:v>
                      </c:pt>
                      <c:pt idx="9">
                        <c:v>6.4000000000000001E-2</c:v>
                      </c:pt>
                      <c:pt idx="10">
                        <c:v>0.06</c:v>
                      </c:pt>
                      <c:pt idx="11">
                        <c:v>0.06</c:v>
                      </c:pt>
                      <c:pt idx="12">
                        <c:v>0.06</c:v>
                      </c:pt>
                    </c:numCache>
                  </c:numRef>
                </c:val>
                <c:smooth val="0"/>
                <c:extLst xmlns:c15="http://schemas.microsoft.com/office/drawing/2012/chart">
                  <c:ext xmlns:c16="http://schemas.microsoft.com/office/drawing/2014/chart" uri="{C3380CC4-5D6E-409C-BE32-E72D297353CC}">
                    <c16:uniqueId val="{00000013-A49D-4958-A8D5-2D02D5EE3F16}"/>
                  </c:ext>
                </c:extLst>
              </c15:ser>
            </c15:filteredLineSeries>
            <c15:filteredLineSeries>
              <c15:ser>
                <c:idx val="20"/>
                <c:order val="20"/>
                <c:tx>
                  <c:strRef>
                    <c:extLst xmlns:c15="http://schemas.microsoft.com/office/drawing/2012/chart">
                      <c:ext xmlns:c15="http://schemas.microsoft.com/office/drawing/2012/chart" uri="{02D57815-91ED-43cb-92C2-25804820EDAC}">
                        <c15:formulaRef>
                          <c15:sqref>Baseline!$Z$2</c15:sqref>
                        </c15:formulaRef>
                      </c:ext>
                    </c:extLst>
                    <c:strCache>
                      <c:ptCount val="1"/>
                      <c:pt idx="0">
                        <c:v>tVOC</c:v>
                      </c:pt>
                    </c:strCache>
                  </c:strRef>
                </c:tx>
                <c:spPr>
                  <a:ln w="28575"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Baseline!$Z$3:$Z$15</c15:sqref>
                        </c15:formulaRef>
                      </c:ext>
                    </c:extLst>
                    <c:numCache>
                      <c:formatCode>General</c:formatCode>
                      <c:ptCount val="13"/>
                      <c:pt idx="0">
                        <c:v>0.06</c:v>
                      </c:pt>
                      <c:pt idx="1">
                        <c:v>1E-3</c:v>
                      </c:pt>
                      <c:pt idx="2">
                        <c:v>0.06</c:v>
                      </c:pt>
                      <c:pt idx="3">
                        <c:v>0.26500000000000001</c:v>
                      </c:pt>
                      <c:pt idx="4">
                        <c:v>0.22600000000000001</c:v>
                      </c:pt>
                      <c:pt idx="5">
                        <c:v>0.113</c:v>
                      </c:pt>
                      <c:pt idx="6">
                        <c:v>0.214</c:v>
                      </c:pt>
                      <c:pt idx="7">
                        <c:v>0.32800000000000001</c:v>
                      </c:pt>
                      <c:pt idx="8">
                        <c:v>0.39400000000000002</c:v>
                      </c:pt>
                      <c:pt idx="9">
                        <c:v>0.39300000000000002</c:v>
                      </c:pt>
                      <c:pt idx="10">
                        <c:v>0.36499999999999999</c:v>
                      </c:pt>
                      <c:pt idx="11">
                        <c:v>0.36799999999999999</c:v>
                      </c:pt>
                      <c:pt idx="12">
                        <c:v>0.36799999999999999</c:v>
                      </c:pt>
                    </c:numCache>
                  </c:numRef>
                </c:val>
                <c:smooth val="0"/>
                <c:extLst xmlns:c15="http://schemas.microsoft.com/office/drawing/2012/chart">
                  <c:ext xmlns:c16="http://schemas.microsoft.com/office/drawing/2014/chart" uri="{C3380CC4-5D6E-409C-BE32-E72D297353CC}">
                    <c16:uniqueId val="{00000014-A49D-4958-A8D5-2D02D5EE3F16}"/>
                  </c:ext>
                </c:extLst>
              </c15:ser>
            </c15:filteredLineSeries>
          </c:ext>
        </c:extLst>
      </c:lineChart>
      <c:lineChart>
        <c:grouping val="standard"/>
        <c:varyColors val="0"/>
        <c:ser>
          <c:idx val="1"/>
          <c:order val="1"/>
          <c:tx>
            <c:strRef>
              <c:f>Baseline!$G$2</c:f>
              <c:strCache>
                <c:ptCount val="1"/>
                <c:pt idx="0">
                  <c:v>UMI RH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Baseline!$G$3:$G$15</c:f>
              <c:numCache>
                <c:formatCode>General</c:formatCode>
                <c:ptCount val="13"/>
                <c:pt idx="0">
                  <c:v>47</c:v>
                </c:pt>
                <c:pt idx="1">
                  <c:v>47</c:v>
                </c:pt>
                <c:pt idx="2">
                  <c:v>47</c:v>
                </c:pt>
                <c:pt idx="3">
                  <c:v>47</c:v>
                </c:pt>
                <c:pt idx="4">
                  <c:v>48</c:v>
                </c:pt>
                <c:pt idx="5">
                  <c:v>47</c:v>
                </c:pt>
                <c:pt idx="6">
                  <c:v>47</c:v>
                </c:pt>
                <c:pt idx="7">
                  <c:v>48</c:v>
                </c:pt>
                <c:pt idx="8">
                  <c:v>48</c:v>
                </c:pt>
                <c:pt idx="9">
                  <c:v>49</c:v>
                </c:pt>
                <c:pt idx="10">
                  <c:v>49</c:v>
                </c:pt>
                <c:pt idx="11">
                  <c:v>49</c:v>
                </c:pt>
                <c:pt idx="12">
                  <c:v>49</c:v>
                </c:pt>
              </c:numCache>
            </c:numRef>
          </c:val>
          <c:smooth val="0"/>
          <c:extLst>
            <c:ext xmlns:c16="http://schemas.microsoft.com/office/drawing/2014/chart" uri="{C3380CC4-5D6E-409C-BE32-E72D297353CC}">
              <c16:uniqueId val="{00000004-A49D-4958-A8D5-2D02D5EE3F16}"/>
            </c:ext>
          </c:extLst>
        </c:ser>
        <c:ser>
          <c:idx val="3"/>
          <c:order val="3"/>
          <c:tx>
            <c:strRef>
              <c:f>Baseline!$I$2</c:f>
              <c:strCache>
                <c:ptCount val="1"/>
                <c:pt idx="0">
                  <c:v>BME RH</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Baseline!$I$3:$I$15</c:f>
              <c:numCache>
                <c:formatCode>General</c:formatCode>
                <c:ptCount val="13"/>
                <c:pt idx="0">
                  <c:v>49.344999999999999</c:v>
                </c:pt>
                <c:pt idx="1">
                  <c:v>50.58</c:v>
                </c:pt>
                <c:pt idx="2">
                  <c:v>50.399000000000001</c:v>
                </c:pt>
                <c:pt idx="3">
                  <c:v>50.927</c:v>
                </c:pt>
                <c:pt idx="4">
                  <c:v>51.185000000000002</c:v>
                </c:pt>
                <c:pt idx="5">
                  <c:v>50.558</c:v>
                </c:pt>
                <c:pt idx="6">
                  <c:v>50.951000000000001</c:v>
                </c:pt>
                <c:pt idx="7">
                  <c:v>51.820999999999998</c:v>
                </c:pt>
                <c:pt idx="8">
                  <c:v>52.051000000000002</c:v>
                </c:pt>
                <c:pt idx="9">
                  <c:v>52.116</c:v>
                </c:pt>
                <c:pt idx="10">
                  <c:v>52.972000000000001</c:v>
                </c:pt>
                <c:pt idx="11">
                  <c:v>53.04</c:v>
                </c:pt>
                <c:pt idx="12">
                  <c:v>53.524000000000001</c:v>
                </c:pt>
              </c:numCache>
            </c:numRef>
          </c:val>
          <c:smooth val="0"/>
          <c:extLst>
            <c:ext xmlns:c16="http://schemas.microsoft.com/office/drawing/2014/chart" uri="{C3380CC4-5D6E-409C-BE32-E72D297353CC}">
              <c16:uniqueId val="{00000005-A49D-4958-A8D5-2D02D5EE3F16}"/>
            </c:ext>
          </c:extLst>
        </c:ser>
        <c:ser>
          <c:idx val="7"/>
          <c:order val="7"/>
          <c:tx>
            <c:strRef>
              <c:f>Baseline!$M$2</c:f>
              <c:strCache>
                <c:ptCount val="1"/>
                <c:pt idx="0">
                  <c:v>SEN RH</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Baseline!$M$3:$M$15</c:f>
              <c:numCache>
                <c:formatCode>General</c:formatCode>
                <c:ptCount val="13"/>
                <c:pt idx="0">
                  <c:v>48.38</c:v>
                </c:pt>
                <c:pt idx="1">
                  <c:v>47.52</c:v>
                </c:pt>
                <c:pt idx="2">
                  <c:v>48.89</c:v>
                </c:pt>
                <c:pt idx="3">
                  <c:v>49.07</c:v>
                </c:pt>
                <c:pt idx="4">
                  <c:v>49.59</c:v>
                </c:pt>
                <c:pt idx="5">
                  <c:v>49.28</c:v>
                </c:pt>
                <c:pt idx="6">
                  <c:v>49.91</c:v>
                </c:pt>
                <c:pt idx="7">
                  <c:v>50.61</c:v>
                </c:pt>
                <c:pt idx="8">
                  <c:v>51.13</c:v>
                </c:pt>
                <c:pt idx="9">
                  <c:v>50.92</c:v>
                </c:pt>
                <c:pt idx="10">
                  <c:v>51.12</c:v>
                </c:pt>
                <c:pt idx="11">
                  <c:v>51.57</c:v>
                </c:pt>
                <c:pt idx="12">
                  <c:v>52.29</c:v>
                </c:pt>
              </c:numCache>
            </c:numRef>
          </c:val>
          <c:smooth val="0"/>
          <c:extLst>
            <c:ext xmlns:c16="http://schemas.microsoft.com/office/drawing/2014/chart" uri="{C3380CC4-5D6E-409C-BE32-E72D297353CC}">
              <c16:uniqueId val="{00000006-A49D-4958-A8D5-2D02D5EE3F16}"/>
            </c:ext>
          </c:extLst>
        </c:ser>
        <c:ser>
          <c:idx val="15"/>
          <c:order val="15"/>
          <c:tx>
            <c:strRef>
              <c:f>Baseline!$U$2</c:f>
              <c:strCache>
                <c:ptCount val="1"/>
                <c:pt idx="0">
                  <c:v>Life Basis RH</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Baseline!$U$3:$U$15</c:f>
              <c:numCache>
                <c:formatCode>General</c:formatCode>
                <c:ptCount val="13"/>
                <c:pt idx="0">
                  <c:v>46</c:v>
                </c:pt>
                <c:pt idx="1">
                  <c:v>46</c:v>
                </c:pt>
                <c:pt idx="2">
                  <c:v>47</c:v>
                </c:pt>
                <c:pt idx="3">
                  <c:v>47</c:v>
                </c:pt>
                <c:pt idx="4">
                  <c:v>47</c:v>
                </c:pt>
                <c:pt idx="5">
                  <c:v>48</c:v>
                </c:pt>
                <c:pt idx="6">
                  <c:v>50</c:v>
                </c:pt>
                <c:pt idx="7">
                  <c:v>50</c:v>
                </c:pt>
                <c:pt idx="8">
                  <c:v>51</c:v>
                </c:pt>
                <c:pt idx="9">
                  <c:v>51</c:v>
                </c:pt>
                <c:pt idx="10">
                  <c:v>53</c:v>
                </c:pt>
                <c:pt idx="11">
                  <c:v>53</c:v>
                </c:pt>
                <c:pt idx="12">
                  <c:v>53</c:v>
                </c:pt>
              </c:numCache>
            </c:numRef>
          </c:val>
          <c:smooth val="0"/>
          <c:extLst>
            <c:ext xmlns:c16="http://schemas.microsoft.com/office/drawing/2014/chart" uri="{C3380CC4-5D6E-409C-BE32-E72D297353CC}">
              <c16:uniqueId val="{00000007-A49D-4958-A8D5-2D02D5EE3F16}"/>
            </c:ext>
          </c:extLst>
        </c:ser>
        <c:dLbls>
          <c:showLegendKey val="0"/>
          <c:showVal val="0"/>
          <c:showCatName val="0"/>
          <c:showSerName val="0"/>
          <c:showPercent val="0"/>
          <c:showBubbleSize val="0"/>
        </c:dLbls>
        <c:marker val="1"/>
        <c:smooth val="0"/>
        <c:axId val="1515639504"/>
        <c:axId val="1515641424"/>
        <c:extLst>
          <c:ext xmlns:c15="http://schemas.microsoft.com/office/drawing/2012/chart" uri="{02D57815-91ED-43cb-92C2-25804820EDAC}">
            <c15:filteredLineSeries>
              <c15:ser>
                <c:idx val="5"/>
                <c:order val="5"/>
                <c:tx>
                  <c:strRef>
                    <c:extLst>
                      <c:ext uri="{02D57815-91ED-43cb-92C2-25804820EDAC}">
                        <c15:formulaRef>
                          <c15:sqref>Baseline!$K$2</c15:sqref>
                        </c15:formulaRef>
                      </c:ext>
                    </c:extLst>
                    <c:strCache>
                      <c:ptCount val="1"/>
                      <c:pt idx="0">
                        <c:v>BME VOC</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extLst>
                      <c:ex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c:ext uri="{02D57815-91ED-43cb-92C2-25804820EDAC}">
                        <c15:formulaRef>
                          <c15:sqref>Baseline!$K$3:$K$15</c15:sqref>
                        </c15:formulaRef>
                      </c:ext>
                    </c:extLst>
                    <c:numCache>
                      <c:formatCode>General</c:formatCode>
                      <c:ptCount val="13"/>
                      <c:pt idx="0">
                        <c:v>10484</c:v>
                      </c:pt>
                      <c:pt idx="1">
                        <c:v>10349</c:v>
                      </c:pt>
                      <c:pt idx="2">
                        <c:v>10268</c:v>
                      </c:pt>
                      <c:pt idx="3">
                        <c:v>9984</c:v>
                      </c:pt>
                      <c:pt idx="4">
                        <c:v>9900</c:v>
                      </c:pt>
                      <c:pt idx="5">
                        <c:v>10359</c:v>
                      </c:pt>
                      <c:pt idx="6">
                        <c:v>10110</c:v>
                      </c:pt>
                      <c:pt idx="7">
                        <c:v>9386</c:v>
                      </c:pt>
                      <c:pt idx="8">
                        <c:v>9007</c:v>
                      </c:pt>
                      <c:pt idx="9">
                        <c:v>9069</c:v>
                      </c:pt>
                      <c:pt idx="10">
                        <c:v>9077</c:v>
                      </c:pt>
                      <c:pt idx="11">
                        <c:v>9015</c:v>
                      </c:pt>
                      <c:pt idx="12">
                        <c:v>8877</c:v>
                      </c:pt>
                    </c:numCache>
                  </c:numRef>
                </c:val>
                <c:smooth val="0"/>
                <c:extLst>
                  <c:ext xmlns:c16="http://schemas.microsoft.com/office/drawing/2014/chart" uri="{C3380CC4-5D6E-409C-BE32-E72D297353CC}">
                    <c16:uniqueId val="{00000009-A49D-4958-A8D5-2D02D5EE3F16}"/>
                  </c:ext>
                </c:extLst>
              </c15:ser>
            </c15:filteredLineSeries>
          </c:ext>
        </c:extLst>
      </c:lineChart>
      <c:catAx>
        <c:axId val="151563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40944"/>
        <c:crosses val="autoZero"/>
        <c:auto val="1"/>
        <c:lblAlgn val="ctr"/>
        <c:lblOffset val="100"/>
        <c:noMultiLvlLbl val="0"/>
      </c:catAx>
      <c:valAx>
        <c:axId val="1515640944"/>
        <c:scaling>
          <c:orientation val="minMax"/>
          <c:max val="25"/>
          <c:min val="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Temperature</a:t>
                </a:r>
              </a:p>
              <a:p>
                <a:pPr>
                  <a:defRPr sz="1200">
                    <a:latin typeface="Times New Roman" panose="02020603050405020304" pitchFamily="18" charset="0"/>
                    <a:cs typeface="Times New Roman" panose="02020603050405020304" pitchFamily="18" charset="0"/>
                  </a:defRPr>
                </a:pPr>
                <a:r>
                  <a:rPr lang="en-GB" sz="1200" b="0" i="0" u="none" strike="noStrike" baseline="0">
                    <a:effectLst/>
                    <a:latin typeface="Times New Roman" panose="02020603050405020304" pitchFamily="18" charset="0"/>
                    <a:cs typeface="Times New Roman" panose="02020603050405020304" pitchFamily="18" charset="0"/>
                  </a:rPr>
                  <a:t>°C</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024"/>
        <c:crosses val="autoZero"/>
        <c:crossBetween val="between"/>
      </c:valAx>
      <c:valAx>
        <c:axId val="1515641424"/>
        <c:scaling>
          <c:orientation val="minMax"/>
          <c:max val="100"/>
          <c:min val="0"/>
        </c:scaling>
        <c:delete val="0"/>
        <c:axPos val="r"/>
        <c:title>
          <c:tx>
            <c:rich>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Relative</a:t>
                </a:r>
                <a:endParaRPr lang="en-GB" sz="1200" baseline="0">
                  <a:latin typeface="Times New Roman" panose="02020603050405020304" pitchFamily="18" charset="0"/>
                  <a:cs typeface="Times New Roman" panose="02020603050405020304" pitchFamily="18" charset="0"/>
                </a:endParaRPr>
              </a:p>
              <a:p>
                <a:pPr>
                  <a:defRPr sz="1200">
                    <a:latin typeface="Times New Roman" panose="02020603050405020304" pitchFamily="18" charset="0"/>
                    <a:cs typeface="Times New Roman" panose="02020603050405020304" pitchFamily="18" charset="0"/>
                  </a:defRPr>
                </a:pPr>
                <a:r>
                  <a:rPr lang="en-GB" sz="1200" baseline="0">
                    <a:latin typeface="Times New Roman" panose="02020603050405020304" pitchFamily="18" charset="0"/>
                    <a:cs typeface="Times New Roman" panose="02020603050405020304" pitchFamily="18" charset="0"/>
                  </a:rPr>
                  <a:t>Humidity</a:t>
                </a:r>
              </a:p>
              <a:p>
                <a:pPr>
                  <a:defRPr sz="1200">
                    <a:latin typeface="Times New Roman" panose="02020603050405020304" pitchFamily="18" charset="0"/>
                    <a:cs typeface="Times New Roman" panose="02020603050405020304" pitchFamily="18" charset="0"/>
                  </a:defRPr>
                </a:pPr>
                <a:r>
                  <a:rPr lang="en-GB" sz="1200" baseline="0">
                    <a:latin typeface="Times New Roman" panose="02020603050405020304" pitchFamily="18" charset="0"/>
                    <a:cs typeface="Times New Roman" panose="02020603050405020304" pitchFamily="18" charset="0"/>
                  </a:rPr>
                  <a:t>%</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504"/>
        <c:crosses val="max"/>
        <c:crossBetween val="between"/>
      </c:valAx>
      <c:catAx>
        <c:axId val="1515639504"/>
        <c:scaling>
          <c:orientation val="minMax"/>
        </c:scaling>
        <c:delete val="1"/>
        <c:axPos val="b"/>
        <c:numFmt formatCode="h:mm" sourceLinked="1"/>
        <c:majorTickMark val="out"/>
        <c:minorTickMark val="none"/>
        <c:tickLblPos val="nextTo"/>
        <c:crossAx val="151564142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0"/>
          <a:lstStyle/>
          <a:p>
            <a:pPr marL="0" marR="0" lvl="0" indent="0" algn="l"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a:t>BME680</a:t>
            </a:r>
            <a:r>
              <a:rPr lang="en-GB" baseline="0"/>
              <a:t> </a:t>
            </a:r>
            <a:r>
              <a:rPr lang="en-GB"/>
              <a:t>VOC Baseline</a:t>
            </a:r>
            <a:r>
              <a:rPr lang="en-GB" baseline="0"/>
              <a:t> </a:t>
            </a:r>
            <a:r>
              <a:rPr lang="en-GB" b="0" i="0">
                <a:effectLst/>
              </a:rPr>
              <a:t>Comparison</a:t>
            </a:r>
          </a:p>
          <a:p>
            <a:pPr marL="0" marR="0" lvl="0" indent="0" algn="l"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33021397846674216"/>
          <c:y val="3.6730945821854911E-2"/>
        </c:manualLayout>
      </c:layout>
      <c:overlay val="0"/>
      <c:spPr>
        <a:noFill/>
        <a:ln>
          <a:noFill/>
        </a:ln>
        <a:effectLst/>
      </c:spPr>
      <c:txPr>
        <a:bodyPr rot="0" spcFirstLastPara="1" vertOverflow="ellipsis" vert="horz" wrap="square" anchor="t" anchorCtr="0"/>
        <a:lstStyle/>
        <a:p>
          <a:pPr marL="0" marR="0" lvl="0" indent="0" algn="l"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9"/>
          <c:order val="19"/>
          <c:tx>
            <c:strRef>
              <c:f>Baseline!$Y$2</c:f>
              <c:strCache>
                <c:ptCount val="1"/>
                <c:pt idx="0">
                  <c:v>HCHO</c:v>
                </c:pt>
              </c:strCache>
            </c:strRef>
          </c:tx>
          <c:spPr>
            <a:ln w="28575" cap="rnd">
              <a:solidFill>
                <a:schemeClr val="accent2"/>
              </a:solidFill>
              <a:round/>
            </a:ln>
            <a:effectLst/>
          </c:spPr>
          <c:marker>
            <c:symbol val="circle"/>
            <c:size val="5"/>
            <c:spPr>
              <a:solidFill>
                <a:schemeClr val="accent2"/>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Baseline!$Y$3:$Y$15</c:f>
              <c:numCache>
                <c:formatCode>General</c:formatCode>
                <c:ptCount val="13"/>
                <c:pt idx="0">
                  <c:v>1.2999999999999999E-2</c:v>
                </c:pt>
                <c:pt idx="1">
                  <c:v>1E-3</c:v>
                </c:pt>
                <c:pt idx="2">
                  <c:v>0.05</c:v>
                </c:pt>
                <c:pt idx="3">
                  <c:v>5.1999999999999998E-2</c:v>
                </c:pt>
                <c:pt idx="4">
                  <c:v>0.05</c:v>
                </c:pt>
                <c:pt idx="5">
                  <c:v>2.1999999999999999E-2</c:v>
                </c:pt>
                <c:pt idx="6">
                  <c:v>4.7E-2</c:v>
                </c:pt>
                <c:pt idx="7">
                  <c:v>5.6000000000000001E-2</c:v>
                </c:pt>
                <c:pt idx="8">
                  <c:v>6.3E-2</c:v>
                </c:pt>
                <c:pt idx="9">
                  <c:v>6.4000000000000001E-2</c:v>
                </c:pt>
                <c:pt idx="10">
                  <c:v>0.06</c:v>
                </c:pt>
                <c:pt idx="11">
                  <c:v>0.06</c:v>
                </c:pt>
                <c:pt idx="12">
                  <c:v>0.06</c:v>
                </c:pt>
              </c:numCache>
            </c:numRef>
          </c:val>
          <c:smooth val="0"/>
          <c:extLst>
            <c:ext xmlns:c16="http://schemas.microsoft.com/office/drawing/2014/chart" uri="{C3380CC4-5D6E-409C-BE32-E72D297353CC}">
              <c16:uniqueId val="{00000000-4379-4C67-AF54-0DF68AEF07A6}"/>
            </c:ext>
          </c:extLst>
        </c:ser>
        <c:ser>
          <c:idx val="20"/>
          <c:order val="20"/>
          <c:tx>
            <c:strRef>
              <c:f>Baseline!$Z$2</c:f>
              <c:strCache>
                <c:ptCount val="1"/>
                <c:pt idx="0">
                  <c:v>tVOC</c:v>
                </c:pt>
              </c:strCache>
            </c:strRef>
          </c:tx>
          <c:spPr>
            <a:ln w="28575" cap="rnd">
              <a:solidFill>
                <a:schemeClr val="accent4"/>
              </a:solidFill>
              <a:round/>
            </a:ln>
            <a:effectLst/>
          </c:spPr>
          <c:marker>
            <c:symbol val="circle"/>
            <c:size val="5"/>
            <c:spPr>
              <a:solidFill>
                <a:schemeClr val="accent4"/>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Baseline!$Z$3:$Z$15</c:f>
              <c:numCache>
                <c:formatCode>General</c:formatCode>
                <c:ptCount val="13"/>
                <c:pt idx="0">
                  <c:v>0.06</c:v>
                </c:pt>
                <c:pt idx="1">
                  <c:v>1E-3</c:v>
                </c:pt>
                <c:pt idx="2">
                  <c:v>0.06</c:v>
                </c:pt>
                <c:pt idx="3">
                  <c:v>0.26500000000000001</c:v>
                </c:pt>
                <c:pt idx="4">
                  <c:v>0.22600000000000001</c:v>
                </c:pt>
                <c:pt idx="5">
                  <c:v>0.113</c:v>
                </c:pt>
                <c:pt idx="6">
                  <c:v>0.214</c:v>
                </c:pt>
                <c:pt idx="7">
                  <c:v>0.32800000000000001</c:v>
                </c:pt>
                <c:pt idx="8">
                  <c:v>0.39400000000000002</c:v>
                </c:pt>
                <c:pt idx="9">
                  <c:v>0.39300000000000002</c:v>
                </c:pt>
                <c:pt idx="10">
                  <c:v>0.36499999999999999</c:v>
                </c:pt>
                <c:pt idx="11">
                  <c:v>0.36799999999999999</c:v>
                </c:pt>
                <c:pt idx="12">
                  <c:v>0.36799999999999999</c:v>
                </c:pt>
              </c:numCache>
            </c:numRef>
          </c:val>
          <c:smooth val="0"/>
          <c:extLst>
            <c:ext xmlns:c16="http://schemas.microsoft.com/office/drawing/2014/chart" uri="{C3380CC4-5D6E-409C-BE32-E72D297353CC}">
              <c16:uniqueId val="{00000001-4379-4C67-AF54-0DF68AEF07A6}"/>
            </c:ext>
          </c:extLst>
        </c:ser>
        <c:dLbls>
          <c:showLegendKey val="0"/>
          <c:showVal val="0"/>
          <c:showCatName val="0"/>
          <c:showSerName val="0"/>
          <c:showPercent val="0"/>
          <c:showBubbleSize val="0"/>
        </c:dLbls>
        <c:marker val="1"/>
        <c:smooth val="0"/>
        <c:axId val="1515639024"/>
        <c:axId val="1515640944"/>
        <c:extLst>
          <c:ext xmlns:c15="http://schemas.microsoft.com/office/drawing/2012/chart" uri="{02D57815-91ED-43cb-92C2-25804820EDAC}">
            <c15:filteredLineSeries>
              <c15:ser>
                <c:idx val="0"/>
                <c:order val="0"/>
                <c:tx>
                  <c:strRef>
                    <c:extLst>
                      <c:ext uri="{02D57815-91ED-43cb-92C2-25804820EDAC}">
                        <c15:formulaRef>
                          <c15:sqref>Baseline!$F$2</c15:sqref>
                        </c15:formulaRef>
                      </c:ext>
                    </c:extLst>
                    <c:strCache>
                      <c:ptCount val="1"/>
                      <c:pt idx="0">
                        <c:v>UMI 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extLst>
                      <c:ex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c:ext uri="{02D57815-91ED-43cb-92C2-25804820EDAC}">
                        <c15:formulaRef>
                          <c15:sqref>Baseline!$F$3:$F$15</c15:sqref>
                        </c15:formulaRef>
                      </c:ext>
                    </c:extLst>
                    <c:numCache>
                      <c:formatCode>General</c:formatCode>
                      <c:ptCount val="13"/>
                      <c:pt idx="0">
                        <c:v>21.5</c:v>
                      </c:pt>
                      <c:pt idx="1">
                        <c:v>21.4</c:v>
                      </c:pt>
                      <c:pt idx="2">
                        <c:v>21.5</c:v>
                      </c:pt>
                      <c:pt idx="3">
                        <c:v>21.4</c:v>
                      </c:pt>
                      <c:pt idx="4">
                        <c:v>21.2</c:v>
                      </c:pt>
                      <c:pt idx="5">
                        <c:v>21.2</c:v>
                      </c:pt>
                      <c:pt idx="6">
                        <c:v>21.1</c:v>
                      </c:pt>
                      <c:pt idx="7">
                        <c:v>20.9</c:v>
                      </c:pt>
                      <c:pt idx="8">
                        <c:v>20.9</c:v>
                      </c:pt>
                      <c:pt idx="9">
                        <c:v>20.9</c:v>
                      </c:pt>
                      <c:pt idx="10">
                        <c:v>20.9</c:v>
                      </c:pt>
                      <c:pt idx="11">
                        <c:v>21</c:v>
                      </c:pt>
                      <c:pt idx="12">
                        <c:v>20.9</c:v>
                      </c:pt>
                    </c:numCache>
                  </c:numRef>
                </c:val>
                <c:smooth val="0"/>
                <c:extLst>
                  <c:ext xmlns:c16="http://schemas.microsoft.com/office/drawing/2014/chart" uri="{C3380CC4-5D6E-409C-BE32-E72D297353CC}">
                    <c16:uniqueId val="{00000003-4379-4C67-AF54-0DF68AEF07A6}"/>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Baseline!$G$2</c15:sqref>
                        </c15:formulaRef>
                      </c:ext>
                    </c:extLst>
                    <c:strCache>
                      <c:ptCount val="1"/>
                      <c:pt idx="0">
                        <c:v>UMI RH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Baseline!$G$3:$G$15</c15:sqref>
                        </c15:formulaRef>
                      </c:ext>
                    </c:extLst>
                    <c:numCache>
                      <c:formatCode>General</c:formatCode>
                      <c:ptCount val="13"/>
                      <c:pt idx="0">
                        <c:v>47</c:v>
                      </c:pt>
                      <c:pt idx="1">
                        <c:v>47</c:v>
                      </c:pt>
                      <c:pt idx="2">
                        <c:v>47</c:v>
                      </c:pt>
                      <c:pt idx="3">
                        <c:v>47</c:v>
                      </c:pt>
                      <c:pt idx="4">
                        <c:v>48</c:v>
                      </c:pt>
                      <c:pt idx="5">
                        <c:v>47</c:v>
                      </c:pt>
                      <c:pt idx="6">
                        <c:v>47</c:v>
                      </c:pt>
                      <c:pt idx="7">
                        <c:v>48</c:v>
                      </c:pt>
                      <c:pt idx="8">
                        <c:v>48</c:v>
                      </c:pt>
                      <c:pt idx="9">
                        <c:v>49</c:v>
                      </c:pt>
                      <c:pt idx="10">
                        <c:v>49</c:v>
                      </c:pt>
                      <c:pt idx="11">
                        <c:v>49</c:v>
                      </c:pt>
                      <c:pt idx="12">
                        <c:v>49</c:v>
                      </c:pt>
                    </c:numCache>
                  </c:numRef>
                </c:val>
                <c:smooth val="0"/>
                <c:extLst xmlns:c15="http://schemas.microsoft.com/office/drawing/2012/chart">
                  <c:ext xmlns:c16="http://schemas.microsoft.com/office/drawing/2014/chart" uri="{C3380CC4-5D6E-409C-BE32-E72D297353CC}">
                    <c16:uniqueId val="{00000004-4379-4C67-AF54-0DF68AEF07A6}"/>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Baseline!$H$2</c15:sqref>
                        </c15:formulaRef>
                      </c:ext>
                    </c:extLst>
                    <c:strCache>
                      <c:ptCount val="1"/>
                      <c:pt idx="0">
                        <c:v>BME 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Baseline!$H$3:$H$15</c15:sqref>
                        </c15:formulaRef>
                      </c:ext>
                    </c:extLst>
                    <c:numCache>
                      <c:formatCode>General</c:formatCode>
                      <c:ptCount val="13"/>
                      <c:pt idx="0">
                        <c:v>22.08</c:v>
                      </c:pt>
                      <c:pt idx="1">
                        <c:v>21.87</c:v>
                      </c:pt>
                      <c:pt idx="2">
                        <c:v>21.9</c:v>
                      </c:pt>
                      <c:pt idx="3">
                        <c:v>21.71</c:v>
                      </c:pt>
                      <c:pt idx="4">
                        <c:v>21.7</c:v>
                      </c:pt>
                      <c:pt idx="5">
                        <c:v>21.76</c:v>
                      </c:pt>
                      <c:pt idx="6">
                        <c:v>21.6</c:v>
                      </c:pt>
                      <c:pt idx="7">
                        <c:v>21.35</c:v>
                      </c:pt>
                      <c:pt idx="8">
                        <c:v>21.39</c:v>
                      </c:pt>
                      <c:pt idx="9">
                        <c:v>21.5</c:v>
                      </c:pt>
                      <c:pt idx="10">
                        <c:v>21.49</c:v>
                      </c:pt>
                      <c:pt idx="11">
                        <c:v>21.44</c:v>
                      </c:pt>
                      <c:pt idx="12">
                        <c:v>21.49</c:v>
                      </c:pt>
                    </c:numCache>
                  </c:numRef>
                </c:val>
                <c:smooth val="0"/>
                <c:extLst xmlns:c15="http://schemas.microsoft.com/office/drawing/2012/chart">
                  <c:ext xmlns:c16="http://schemas.microsoft.com/office/drawing/2014/chart" uri="{C3380CC4-5D6E-409C-BE32-E72D297353CC}">
                    <c16:uniqueId val="{00000005-4379-4C67-AF54-0DF68AEF07A6}"/>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Baseline!$I$2</c15:sqref>
                        </c15:formulaRef>
                      </c:ext>
                    </c:extLst>
                    <c:strCache>
                      <c:ptCount val="1"/>
                      <c:pt idx="0">
                        <c:v>BME RH</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Baseline!$I$3:$I$15</c15:sqref>
                        </c15:formulaRef>
                      </c:ext>
                    </c:extLst>
                    <c:numCache>
                      <c:formatCode>General</c:formatCode>
                      <c:ptCount val="13"/>
                      <c:pt idx="0">
                        <c:v>49.344999999999999</c:v>
                      </c:pt>
                      <c:pt idx="1">
                        <c:v>50.58</c:v>
                      </c:pt>
                      <c:pt idx="2">
                        <c:v>50.399000000000001</c:v>
                      </c:pt>
                      <c:pt idx="3">
                        <c:v>50.927</c:v>
                      </c:pt>
                      <c:pt idx="4">
                        <c:v>51.185000000000002</c:v>
                      </c:pt>
                      <c:pt idx="5">
                        <c:v>50.558</c:v>
                      </c:pt>
                      <c:pt idx="6">
                        <c:v>50.951000000000001</c:v>
                      </c:pt>
                      <c:pt idx="7">
                        <c:v>51.820999999999998</c:v>
                      </c:pt>
                      <c:pt idx="8">
                        <c:v>52.051000000000002</c:v>
                      </c:pt>
                      <c:pt idx="9">
                        <c:v>52.116</c:v>
                      </c:pt>
                      <c:pt idx="10">
                        <c:v>52.972000000000001</c:v>
                      </c:pt>
                      <c:pt idx="11">
                        <c:v>53.04</c:v>
                      </c:pt>
                      <c:pt idx="12">
                        <c:v>53.524000000000001</c:v>
                      </c:pt>
                    </c:numCache>
                  </c:numRef>
                </c:val>
                <c:smooth val="0"/>
                <c:extLst xmlns:c15="http://schemas.microsoft.com/office/drawing/2012/chart">
                  <c:ext xmlns:c16="http://schemas.microsoft.com/office/drawing/2014/chart" uri="{C3380CC4-5D6E-409C-BE32-E72D297353CC}">
                    <c16:uniqueId val="{00000006-4379-4C67-AF54-0DF68AEF07A6}"/>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Baseline!$J$2</c15:sqref>
                        </c15:formulaRef>
                      </c:ext>
                    </c:extLst>
                    <c:strCache>
                      <c:ptCount val="1"/>
                      <c:pt idx="0">
                        <c:v>AQI</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Baseline!$J$3:$J$15</c15:sqref>
                        </c15:formulaRef>
                      </c:ext>
                    </c:extLst>
                    <c:numCache>
                      <c:formatCode>General</c:formatCode>
                      <c:ptCount val="13"/>
                      <c:pt idx="0">
                        <c:v>11.22</c:v>
                      </c:pt>
                      <c:pt idx="1">
                        <c:v>11.24</c:v>
                      </c:pt>
                      <c:pt idx="2">
                        <c:v>11.24</c:v>
                      </c:pt>
                      <c:pt idx="3">
                        <c:v>11.21</c:v>
                      </c:pt>
                      <c:pt idx="4">
                        <c:v>11.24</c:v>
                      </c:pt>
                      <c:pt idx="5">
                        <c:v>11.25</c:v>
                      </c:pt>
                      <c:pt idx="6">
                        <c:v>11.22</c:v>
                      </c:pt>
                      <c:pt idx="7">
                        <c:v>11.19</c:v>
                      </c:pt>
                      <c:pt idx="8">
                        <c:v>11.19</c:v>
                      </c:pt>
                      <c:pt idx="9">
                        <c:v>11.19</c:v>
                      </c:pt>
                      <c:pt idx="10">
                        <c:v>11.19</c:v>
                      </c:pt>
                      <c:pt idx="11">
                        <c:v>11.23</c:v>
                      </c:pt>
                      <c:pt idx="12">
                        <c:v>11.21</c:v>
                      </c:pt>
                    </c:numCache>
                  </c:numRef>
                </c:val>
                <c:smooth val="0"/>
                <c:extLst xmlns:c15="http://schemas.microsoft.com/office/drawing/2012/chart">
                  <c:ext xmlns:c16="http://schemas.microsoft.com/office/drawing/2014/chart" uri="{C3380CC4-5D6E-409C-BE32-E72D297353CC}">
                    <c16:uniqueId val="{00000007-4379-4C67-AF54-0DF68AEF07A6}"/>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Baseline!$L$2</c15:sqref>
                        </c15:formulaRef>
                      </c:ext>
                    </c:extLst>
                    <c:strCache>
                      <c:ptCount val="1"/>
                      <c:pt idx="0">
                        <c:v>SEN T</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Baseline!$L$3:$L$15</c15:sqref>
                        </c15:formulaRef>
                      </c:ext>
                    </c:extLst>
                    <c:numCache>
                      <c:formatCode>General</c:formatCode>
                      <c:ptCount val="13"/>
                      <c:pt idx="0">
                        <c:v>21.47</c:v>
                      </c:pt>
                      <c:pt idx="1">
                        <c:v>21.62</c:v>
                      </c:pt>
                      <c:pt idx="2">
                        <c:v>21.41</c:v>
                      </c:pt>
                      <c:pt idx="3">
                        <c:v>21.355</c:v>
                      </c:pt>
                      <c:pt idx="4">
                        <c:v>21.25</c:v>
                      </c:pt>
                      <c:pt idx="5">
                        <c:v>21.135000000000002</c:v>
                      </c:pt>
                      <c:pt idx="6">
                        <c:v>20.984999999999999</c:v>
                      </c:pt>
                      <c:pt idx="7">
                        <c:v>20.78</c:v>
                      </c:pt>
                      <c:pt idx="8">
                        <c:v>20.72</c:v>
                      </c:pt>
                      <c:pt idx="9">
                        <c:v>20.92</c:v>
                      </c:pt>
                      <c:pt idx="10">
                        <c:v>20.984999999999999</c:v>
                      </c:pt>
                      <c:pt idx="11">
                        <c:v>20.914999999999999</c:v>
                      </c:pt>
                      <c:pt idx="12">
                        <c:v>20.795000000000002</c:v>
                      </c:pt>
                    </c:numCache>
                  </c:numRef>
                </c:val>
                <c:smooth val="0"/>
                <c:extLst xmlns:c15="http://schemas.microsoft.com/office/drawing/2012/chart">
                  <c:ext xmlns:c16="http://schemas.microsoft.com/office/drawing/2014/chart" uri="{C3380CC4-5D6E-409C-BE32-E72D297353CC}">
                    <c16:uniqueId val="{00000008-4379-4C67-AF54-0DF68AEF07A6}"/>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Baseline!$M$2</c15:sqref>
                        </c15:formulaRef>
                      </c:ext>
                    </c:extLst>
                    <c:strCache>
                      <c:ptCount val="1"/>
                      <c:pt idx="0">
                        <c:v>SEN RH</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Baseline!$M$3:$M$15</c15:sqref>
                        </c15:formulaRef>
                      </c:ext>
                    </c:extLst>
                    <c:numCache>
                      <c:formatCode>General</c:formatCode>
                      <c:ptCount val="13"/>
                      <c:pt idx="0">
                        <c:v>48.38</c:v>
                      </c:pt>
                      <c:pt idx="1">
                        <c:v>47.52</c:v>
                      </c:pt>
                      <c:pt idx="2">
                        <c:v>48.89</c:v>
                      </c:pt>
                      <c:pt idx="3">
                        <c:v>49.07</c:v>
                      </c:pt>
                      <c:pt idx="4">
                        <c:v>49.59</c:v>
                      </c:pt>
                      <c:pt idx="5">
                        <c:v>49.28</c:v>
                      </c:pt>
                      <c:pt idx="6">
                        <c:v>49.91</c:v>
                      </c:pt>
                      <c:pt idx="7">
                        <c:v>50.61</c:v>
                      </c:pt>
                      <c:pt idx="8">
                        <c:v>51.13</c:v>
                      </c:pt>
                      <c:pt idx="9">
                        <c:v>50.92</c:v>
                      </c:pt>
                      <c:pt idx="10">
                        <c:v>51.12</c:v>
                      </c:pt>
                      <c:pt idx="11">
                        <c:v>51.57</c:v>
                      </c:pt>
                      <c:pt idx="12">
                        <c:v>52.29</c:v>
                      </c:pt>
                    </c:numCache>
                  </c:numRef>
                </c:val>
                <c:smooth val="0"/>
                <c:extLst xmlns:c15="http://schemas.microsoft.com/office/drawing/2012/chart">
                  <c:ext xmlns:c16="http://schemas.microsoft.com/office/drawing/2014/chart" uri="{C3380CC4-5D6E-409C-BE32-E72D297353CC}">
                    <c16:uniqueId val="{00000009-4379-4C67-AF54-0DF68AEF07A6}"/>
                  </c:ext>
                </c:extLst>
              </c15:ser>
            </c15:filteredLineSeries>
            <c15:filteredLineSeries>
              <c15:ser>
                <c:idx val="8"/>
                <c:order val="8"/>
                <c:tx>
                  <c:strRef>
                    <c:extLst xmlns:c15="http://schemas.microsoft.com/office/drawing/2012/chart">
                      <c:ext xmlns:c15="http://schemas.microsoft.com/office/drawing/2012/chart" uri="{02D57815-91ED-43cb-92C2-25804820EDAC}">
                        <c15:formulaRef>
                          <c15:sqref>Baseline!$N$2</c15:sqref>
                        </c15:formulaRef>
                      </c:ext>
                    </c:extLst>
                    <c:strCache>
                      <c:ptCount val="1"/>
                      <c:pt idx="0">
                        <c:v>PM 1</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Baseline!$N$3:$N$15</c15:sqref>
                        </c15:formulaRef>
                      </c:ext>
                    </c:extLst>
                    <c:numCache>
                      <c:formatCode>General</c:formatCode>
                      <c:ptCount val="13"/>
                      <c:pt idx="0">
                        <c:v>1</c:v>
                      </c:pt>
                      <c:pt idx="1">
                        <c:v>0.4</c:v>
                      </c:pt>
                      <c:pt idx="2">
                        <c:v>0.6</c:v>
                      </c:pt>
                      <c:pt idx="3">
                        <c:v>0.8</c:v>
                      </c:pt>
                      <c:pt idx="4">
                        <c:v>0.3</c:v>
                      </c:pt>
                      <c:pt idx="5">
                        <c:v>1.7</c:v>
                      </c:pt>
                      <c:pt idx="6">
                        <c:v>0.7</c:v>
                      </c:pt>
                      <c:pt idx="7">
                        <c:v>0.7</c:v>
                      </c:pt>
                      <c:pt idx="8">
                        <c:v>0.8</c:v>
                      </c:pt>
                      <c:pt idx="9">
                        <c:v>1.4</c:v>
                      </c:pt>
                      <c:pt idx="10">
                        <c:v>1.7</c:v>
                      </c:pt>
                      <c:pt idx="11">
                        <c:v>1.8</c:v>
                      </c:pt>
                      <c:pt idx="12">
                        <c:v>1</c:v>
                      </c:pt>
                    </c:numCache>
                  </c:numRef>
                </c:val>
                <c:smooth val="0"/>
                <c:extLst xmlns:c15="http://schemas.microsoft.com/office/drawing/2012/chart">
                  <c:ext xmlns:c16="http://schemas.microsoft.com/office/drawing/2014/chart" uri="{C3380CC4-5D6E-409C-BE32-E72D297353CC}">
                    <c16:uniqueId val="{0000000A-4379-4C67-AF54-0DF68AEF07A6}"/>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Baseline!$O$2</c15:sqref>
                        </c15:formulaRef>
                      </c:ext>
                    </c:extLst>
                    <c:strCache>
                      <c:ptCount val="1"/>
                      <c:pt idx="0">
                        <c:v>PM 2.5</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Baseline!$O$3:$O$15</c15:sqref>
                        </c15:formulaRef>
                      </c:ext>
                    </c:extLst>
                    <c:numCache>
                      <c:formatCode>General</c:formatCode>
                      <c:ptCount val="13"/>
                      <c:pt idx="0">
                        <c:v>1.2</c:v>
                      </c:pt>
                      <c:pt idx="1">
                        <c:v>0.7</c:v>
                      </c:pt>
                      <c:pt idx="2">
                        <c:v>0.7</c:v>
                      </c:pt>
                      <c:pt idx="3">
                        <c:v>1</c:v>
                      </c:pt>
                      <c:pt idx="4">
                        <c:v>0.4</c:v>
                      </c:pt>
                      <c:pt idx="5">
                        <c:v>2</c:v>
                      </c:pt>
                      <c:pt idx="6">
                        <c:v>0.8</c:v>
                      </c:pt>
                      <c:pt idx="7">
                        <c:v>0.8</c:v>
                      </c:pt>
                      <c:pt idx="8">
                        <c:v>0.9</c:v>
                      </c:pt>
                      <c:pt idx="9">
                        <c:v>1.5</c:v>
                      </c:pt>
                      <c:pt idx="10">
                        <c:v>2</c:v>
                      </c:pt>
                      <c:pt idx="11">
                        <c:v>2.2000000000000002</c:v>
                      </c:pt>
                      <c:pt idx="12">
                        <c:v>1.2</c:v>
                      </c:pt>
                    </c:numCache>
                  </c:numRef>
                </c:val>
                <c:smooth val="0"/>
                <c:extLst xmlns:c15="http://schemas.microsoft.com/office/drawing/2012/chart">
                  <c:ext xmlns:c16="http://schemas.microsoft.com/office/drawing/2014/chart" uri="{C3380CC4-5D6E-409C-BE32-E72D297353CC}">
                    <c16:uniqueId val="{0000000B-4379-4C67-AF54-0DF68AEF07A6}"/>
                  </c:ext>
                </c:extLst>
              </c15:ser>
            </c15:filteredLineSeries>
            <c15:filteredLineSeries>
              <c15:ser>
                <c:idx val="10"/>
                <c:order val="10"/>
                <c:tx>
                  <c:strRef>
                    <c:extLst xmlns:c15="http://schemas.microsoft.com/office/drawing/2012/chart">
                      <c:ext xmlns:c15="http://schemas.microsoft.com/office/drawing/2012/chart" uri="{02D57815-91ED-43cb-92C2-25804820EDAC}">
                        <c15:formulaRef>
                          <c15:sqref>Baseline!$P$2</c15:sqref>
                        </c15:formulaRef>
                      </c:ext>
                    </c:extLst>
                    <c:strCache>
                      <c:ptCount val="1"/>
                      <c:pt idx="0">
                        <c:v>PM 4</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Baseline!$P$3:$P$15</c15:sqref>
                        </c15:formulaRef>
                      </c:ext>
                    </c:extLst>
                    <c:numCache>
                      <c:formatCode>General</c:formatCode>
                      <c:ptCount val="13"/>
                      <c:pt idx="0">
                        <c:v>1.7</c:v>
                      </c:pt>
                      <c:pt idx="1">
                        <c:v>0.8</c:v>
                      </c:pt>
                      <c:pt idx="2">
                        <c:v>0.7</c:v>
                      </c:pt>
                      <c:pt idx="3">
                        <c:v>1</c:v>
                      </c:pt>
                      <c:pt idx="4">
                        <c:v>0.4</c:v>
                      </c:pt>
                      <c:pt idx="5">
                        <c:v>2.1</c:v>
                      </c:pt>
                      <c:pt idx="6">
                        <c:v>0.8</c:v>
                      </c:pt>
                      <c:pt idx="7">
                        <c:v>0.8</c:v>
                      </c:pt>
                      <c:pt idx="8">
                        <c:v>1</c:v>
                      </c:pt>
                      <c:pt idx="9">
                        <c:v>1.5</c:v>
                      </c:pt>
                      <c:pt idx="10">
                        <c:v>2.2000000000000002</c:v>
                      </c:pt>
                      <c:pt idx="11">
                        <c:v>2.6</c:v>
                      </c:pt>
                      <c:pt idx="12">
                        <c:v>1.3</c:v>
                      </c:pt>
                    </c:numCache>
                  </c:numRef>
                </c:val>
                <c:smooth val="0"/>
                <c:extLst xmlns:c15="http://schemas.microsoft.com/office/drawing/2012/chart">
                  <c:ext xmlns:c16="http://schemas.microsoft.com/office/drawing/2014/chart" uri="{C3380CC4-5D6E-409C-BE32-E72D297353CC}">
                    <c16:uniqueId val="{0000000C-4379-4C67-AF54-0DF68AEF07A6}"/>
                  </c:ext>
                </c:extLst>
              </c15:ser>
            </c15:filteredLineSeries>
            <c15:filteredLineSeries>
              <c15:ser>
                <c:idx val="11"/>
                <c:order val="11"/>
                <c:tx>
                  <c:strRef>
                    <c:extLst xmlns:c15="http://schemas.microsoft.com/office/drawing/2012/chart">
                      <c:ext xmlns:c15="http://schemas.microsoft.com/office/drawing/2012/chart" uri="{02D57815-91ED-43cb-92C2-25804820EDAC}">
                        <c15:formulaRef>
                          <c15:sqref>Baseline!$Q$2</c15:sqref>
                        </c15:formulaRef>
                      </c:ext>
                    </c:extLst>
                    <c:strCache>
                      <c:ptCount val="1"/>
                      <c:pt idx="0">
                        <c:v>PM 10</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Baseline!$Q$3:$Q$15</c15:sqref>
                        </c15:formulaRef>
                      </c:ext>
                    </c:extLst>
                    <c:numCache>
                      <c:formatCode>General</c:formatCode>
                      <c:ptCount val="13"/>
                      <c:pt idx="0">
                        <c:v>1.4</c:v>
                      </c:pt>
                      <c:pt idx="1">
                        <c:v>0.9</c:v>
                      </c:pt>
                      <c:pt idx="2">
                        <c:v>0.7</c:v>
                      </c:pt>
                      <c:pt idx="3">
                        <c:v>1.1000000000000001</c:v>
                      </c:pt>
                      <c:pt idx="4">
                        <c:v>0.4</c:v>
                      </c:pt>
                      <c:pt idx="5">
                        <c:v>2.1</c:v>
                      </c:pt>
                      <c:pt idx="6">
                        <c:v>0.9</c:v>
                      </c:pt>
                      <c:pt idx="7">
                        <c:v>0.8</c:v>
                      </c:pt>
                      <c:pt idx="8">
                        <c:v>1</c:v>
                      </c:pt>
                      <c:pt idx="9">
                        <c:v>1.5</c:v>
                      </c:pt>
                      <c:pt idx="10">
                        <c:v>2.2999999999999998</c:v>
                      </c:pt>
                      <c:pt idx="11">
                        <c:v>2.7</c:v>
                      </c:pt>
                      <c:pt idx="12">
                        <c:v>1.3</c:v>
                      </c:pt>
                    </c:numCache>
                  </c:numRef>
                </c:val>
                <c:smooth val="0"/>
                <c:extLst xmlns:c15="http://schemas.microsoft.com/office/drawing/2012/chart">
                  <c:ext xmlns:c16="http://schemas.microsoft.com/office/drawing/2014/chart" uri="{C3380CC4-5D6E-409C-BE32-E72D297353CC}">
                    <c16:uniqueId val="{0000000D-4379-4C67-AF54-0DF68AEF07A6}"/>
                  </c:ext>
                </c:extLst>
              </c15:ser>
            </c15:filteredLineSeries>
            <c15:filteredLineSeries>
              <c15:ser>
                <c:idx val="12"/>
                <c:order val="12"/>
                <c:tx>
                  <c:strRef>
                    <c:extLst xmlns:c15="http://schemas.microsoft.com/office/drawing/2012/chart">
                      <c:ext xmlns:c15="http://schemas.microsoft.com/office/drawing/2012/chart" uri="{02D57815-91ED-43cb-92C2-25804820EDAC}">
                        <c15:formulaRef>
                          <c15:sqref>Baseline!$R$2</c15:sqref>
                        </c15:formulaRef>
                      </c:ext>
                    </c:extLst>
                    <c:strCache>
                      <c:ptCount val="1"/>
                      <c:pt idx="0">
                        <c:v>VOC Index</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Baseline!$R$3:$R$15</c15:sqref>
                        </c15:formulaRef>
                      </c:ext>
                    </c:extLst>
                    <c:numCache>
                      <c:formatCode>General</c:formatCode>
                      <c:ptCount val="13"/>
                      <c:pt idx="0">
                        <c:v>101</c:v>
                      </c:pt>
                      <c:pt idx="1">
                        <c:v>97</c:v>
                      </c:pt>
                      <c:pt idx="2">
                        <c:v>101</c:v>
                      </c:pt>
                      <c:pt idx="3">
                        <c:v>99</c:v>
                      </c:pt>
                      <c:pt idx="4">
                        <c:v>100</c:v>
                      </c:pt>
                      <c:pt idx="5">
                        <c:v>98</c:v>
                      </c:pt>
                      <c:pt idx="6">
                        <c:v>100</c:v>
                      </c:pt>
                      <c:pt idx="7">
                        <c:v>147</c:v>
                      </c:pt>
                      <c:pt idx="8">
                        <c:v>178</c:v>
                      </c:pt>
                      <c:pt idx="9">
                        <c:v>100</c:v>
                      </c:pt>
                      <c:pt idx="10">
                        <c:v>102</c:v>
                      </c:pt>
                      <c:pt idx="11">
                        <c:v>101</c:v>
                      </c:pt>
                      <c:pt idx="12">
                        <c:v>101</c:v>
                      </c:pt>
                    </c:numCache>
                  </c:numRef>
                </c:val>
                <c:smooth val="0"/>
                <c:extLst xmlns:c15="http://schemas.microsoft.com/office/drawing/2012/chart">
                  <c:ext xmlns:c16="http://schemas.microsoft.com/office/drawing/2014/chart" uri="{C3380CC4-5D6E-409C-BE32-E72D297353CC}">
                    <c16:uniqueId val="{0000000E-4379-4C67-AF54-0DF68AEF07A6}"/>
                  </c:ext>
                </c:extLst>
              </c15:ser>
            </c15:filteredLineSeries>
            <c15:filteredLineSeries>
              <c15:ser>
                <c:idx val="13"/>
                <c:order val="13"/>
                <c:tx>
                  <c:strRef>
                    <c:extLst xmlns:c15="http://schemas.microsoft.com/office/drawing/2012/chart">
                      <c:ext xmlns:c15="http://schemas.microsoft.com/office/drawing/2012/chart" uri="{02D57815-91ED-43cb-92C2-25804820EDAC}">
                        <c15:formulaRef>
                          <c15:sqref>Baseline!$S$2</c15:sqref>
                        </c15:formulaRef>
                      </c:ext>
                    </c:extLst>
                    <c:strCache>
                      <c:ptCount val="1"/>
                      <c:pt idx="0">
                        <c:v>NOx Index</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Baseline!$S$3:$S$15</c15:sqref>
                        </c15:formulaRef>
                      </c:ext>
                    </c:extLst>
                    <c:numCache>
                      <c:formatCode>General</c:formatCode>
                      <c:ptCount val="13"/>
                      <c:pt idx="0">
                        <c:v>1</c:v>
                      </c:pt>
                      <c:pt idx="1">
                        <c:v>1</c:v>
                      </c:pt>
                      <c:pt idx="2">
                        <c:v>1</c:v>
                      </c:pt>
                      <c:pt idx="3">
                        <c:v>1</c:v>
                      </c:pt>
                      <c:pt idx="4">
                        <c:v>1</c:v>
                      </c:pt>
                      <c:pt idx="5">
                        <c:v>1</c:v>
                      </c:pt>
                      <c:pt idx="6">
                        <c:v>1</c:v>
                      </c:pt>
                      <c:pt idx="7">
                        <c:v>1</c:v>
                      </c:pt>
                      <c:pt idx="8">
                        <c:v>1</c:v>
                      </c:pt>
                      <c:pt idx="9">
                        <c:v>1</c:v>
                      </c:pt>
                      <c:pt idx="10">
                        <c:v>1</c:v>
                      </c:pt>
                      <c:pt idx="11">
                        <c:v>1</c:v>
                      </c:pt>
                      <c:pt idx="12">
                        <c:v>1</c:v>
                      </c:pt>
                    </c:numCache>
                  </c:numRef>
                </c:val>
                <c:smooth val="0"/>
                <c:extLst xmlns:c15="http://schemas.microsoft.com/office/drawing/2012/chart">
                  <c:ext xmlns:c16="http://schemas.microsoft.com/office/drawing/2014/chart" uri="{C3380CC4-5D6E-409C-BE32-E72D297353CC}">
                    <c16:uniqueId val="{0000000F-4379-4C67-AF54-0DF68AEF07A6}"/>
                  </c:ext>
                </c:extLst>
              </c15:ser>
            </c15:filteredLineSeries>
            <c15:filteredLineSeries>
              <c15:ser>
                <c:idx val="14"/>
                <c:order val="14"/>
                <c:tx>
                  <c:strRef>
                    <c:extLst xmlns:c15="http://schemas.microsoft.com/office/drawing/2012/chart">
                      <c:ext xmlns:c15="http://schemas.microsoft.com/office/drawing/2012/chart" uri="{02D57815-91ED-43cb-92C2-25804820EDAC}">
                        <c15:formulaRef>
                          <c15:sqref>Baseline!$T$2</c15:sqref>
                        </c15:formulaRef>
                      </c:ext>
                    </c:extLst>
                    <c:strCache>
                      <c:ptCount val="1"/>
                      <c:pt idx="0">
                        <c:v>Life Basis T</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Baseline!$T$3:$T$15</c15:sqref>
                        </c15:formulaRef>
                      </c:ext>
                    </c:extLst>
                    <c:numCache>
                      <c:formatCode>General</c:formatCode>
                      <c:ptCount val="13"/>
                      <c:pt idx="0">
                        <c:v>20</c:v>
                      </c:pt>
                      <c:pt idx="1">
                        <c:v>20</c:v>
                      </c:pt>
                      <c:pt idx="2">
                        <c:v>19</c:v>
                      </c:pt>
                      <c:pt idx="3">
                        <c:v>20</c:v>
                      </c:pt>
                      <c:pt idx="4">
                        <c:v>19</c:v>
                      </c:pt>
                      <c:pt idx="5">
                        <c:v>19</c:v>
                      </c:pt>
                      <c:pt idx="6">
                        <c:v>18</c:v>
                      </c:pt>
                      <c:pt idx="7">
                        <c:v>18</c:v>
                      </c:pt>
                      <c:pt idx="8">
                        <c:v>18</c:v>
                      </c:pt>
                      <c:pt idx="9">
                        <c:v>18</c:v>
                      </c:pt>
                      <c:pt idx="10">
                        <c:v>18</c:v>
                      </c:pt>
                      <c:pt idx="11">
                        <c:v>18</c:v>
                      </c:pt>
                      <c:pt idx="12">
                        <c:v>18</c:v>
                      </c:pt>
                    </c:numCache>
                  </c:numRef>
                </c:val>
                <c:smooth val="0"/>
                <c:extLst xmlns:c15="http://schemas.microsoft.com/office/drawing/2012/chart">
                  <c:ext xmlns:c16="http://schemas.microsoft.com/office/drawing/2014/chart" uri="{C3380CC4-5D6E-409C-BE32-E72D297353CC}">
                    <c16:uniqueId val="{00000010-4379-4C67-AF54-0DF68AEF07A6}"/>
                  </c:ext>
                </c:extLst>
              </c15:ser>
            </c15:filteredLineSeries>
            <c15:filteredLineSeries>
              <c15:ser>
                <c:idx val="15"/>
                <c:order val="15"/>
                <c:tx>
                  <c:strRef>
                    <c:extLst xmlns:c15="http://schemas.microsoft.com/office/drawing/2012/chart">
                      <c:ext xmlns:c15="http://schemas.microsoft.com/office/drawing/2012/chart" uri="{02D57815-91ED-43cb-92C2-25804820EDAC}">
                        <c15:formulaRef>
                          <c15:sqref>Baseline!$U$2</c15:sqref>
                        </c15:formulaRef>
                      </c:ext>
                    </c:extLst>
                    <c:strCache>
                      <c:ptCount val="1"/>
                      <c:pt idx="0">
                        <c:v>Life Basis RH</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Baseline!$U$3:$U$15</c15:sqref>
                        </c15:formulaRef>
                      </c:ext>
                    </c:extLst>
                    <c:numCache>
                      <c:formatCode>General</c:formatCode>
                      <c:ptCount val="13"/>
                      <c:pt idx="0">
                        <c:v>46</c:v>
                      </c:pt>
                      <c:pt idx="1">
                        <c:v>46</c:v>
                      </c:pt>
                      <c:pt idx="2">
                        <c:v>47</c:v>
                      </c:pt>
                      <c:pt idx="3">
                        <c:v>47</c:v>
                      </c:pt>
                      <c:pt idx="4">
                        <c:v>47</c:v>
                      </c:pt>
                      <c:pt idx="5">
                        <c:v>48</c:v>
                      </c:pt>
                      <c:pt idx="6">
                        <c:v>50</c:v>
                      </c:pt>
                      <c:pt idx="7">
                        <c:v>50</c:v>
                      </c:pt>
                      <c:pt idx="8">
                        <c:v>51</c:v>
                      </c:pt>
                      <c:pt idx="9">
                        <c:v>51</c:v>
                      </c:pt>
                      <c:pt idx="10">
                        <c:v>53</c:v>
                      </c:pt>
                      <c:pt idx="11">
                        <c:v>53</c:v>
                      </c:pt>
                      <c:pt idx="12">
                        <c:v>53</c:v>
                      </c:pt>
                    </c:numCache>
                  </c:numRef>
                </c:val>
                <c:smooth val="0"/>
                <c:extLst xmlns:c15="http://schemas.microsoft.com/office/drawing/2012/chart">
                  <c:ext xmlns:c16="http://schemas.microsoft.com/office/drawing/2014/chart" uri="{C3380CC4-5D6E-409C-BE32-E72D297353CC}">
                    <c16:uniqueId val="{00000011-4379-4C67-AF54-0DF68AEF07A6}"/>
                  </c:ext>
                </c:extLst>
              </c15:ser>
            </c15:filteredLineSeries>
            <c15:filteredLineSeries>
              <c15:ser>
                <c:idx val="16"/>
                <c:order val="16"/>
                <c:tx>
                  <c:strRef>
                    <c:extLst xmlns:c15="http://schemas.microsoft.com/office/drawing/2012/chart">
                      <c:ext xmlns:c15="http://schemas.microsoft.com/office/drawing/2012/chart" uri="{02D57815-91ED-43cb-92C2-25804820EDAC}">
                        <c15:formulaRef>
                          <c15:sqref>Baseline!$V$2</c15:sqref>
                        </c15:formulaRef>
                      </c:ext>
                    </c:extLst>
                    <c:strCache>
                      <c:ptCount val="1"/>
                      <c:pt idx="0">
                        <c:v>PM 1</c:v>
                      </c:pt>
                    </c:strCache>
                  </c:strRef>
                </c:tx>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Baseline!$V$3:$V$15</c15:sqref>
                        </c15:formulaRef>
                      </c:ext>
                    </c:extLst>
                    <c:numCache>
                      <c:formatCode>General</c:formatCode>
                      <c:ptCount val="13"/>
                      <c:pt idx="0">
                        <c:v>1</c:v>
                      </c:pt>
                      <c:pt idx="1">
                        <c:v>1</c:v>
                      </c:pt>
                      <c:pt idx="2">
                        <c:v>1</c:v>
                      </c:pt>
                      <c:pt idx="3">
                        <c:v>2</c:v>
                      </c:pt>
                      <c:pt idx="4">
                        <c:v>2</c:v>
                      </c:pt>
                      <c:pt idx="5">
                        <c:v>3</c:v>
                      </c:pt>
                      <c:pt idx="6">
                        <c:v>1</c:v>
                      </c:pt>
                      <c:pt idx="7">
                        <c:v>1</c:v>
                      </c:pt>
                      <c:pt idx="8">
                        <c:v>1</c:v>
                      </c:pt>
                      <c:pt idx="9">
                        <c:v>1</c:v>
                      </c:pt>
                      <c:pt idx="10">
                        <c:v>2</c:v>
                      </c:pt>
                      <c:pt idx="11">
                        <c:v>1</c:v>
                      </c:pt>
                      <c:pt idx="12">
                        <c:v>2</c:v>
                      </c:pt>
                    </c:numCache>
                  </c:numRef>
                </c:val>
                <c:smooth val="0"/>
                <c:extLst xmlns:c15="http://schemas.microsoft.com/office/drawing/2012/chart">
                  <c:ext xmlns:c16="http://schemas.microsoft.com/office/drawing/2014/chart" uri="{C3380CC4-5D6E-409C-BE32-E72D297353CC}">
                    <c16:uniqueId val="{00000012-4379-4C67-AF54-0DF68AEF07A6}"/>
                  </c:ext>
                </c:extLst>
              </c15:ser>
            </c15:filteredLineSeries>
            <c15:filteredLineSeries>
              <c15:ser>
                <c:idx val="17"/>
                <c:order val="17"/>
                <c:tx>
                  <c:strRef>
                    <c:extLst xmlns:c15="http://schemas.microsoft.com/office/drawing/2012/chart">
                      <c:ext xmlns:c15="http://schemas.microsoft.com/office/drawing/2012/chart" uri="{02D57815-91ED-43cb-92C2-25804820EDAC}">
                        <c15:formulaRef>
                          <c15:sqref>Baseline!$W$2</c15:sqref>
                        </c15:formulaRef>
                      </c:ext>
                    </c:extLst>
                    <c:strCache>
                      <c:ptCount val="1"/>
                      <c:pt idx="0">
                        <c:v>PM 2.5</c:v>
                      </c:pt>
                    </c:strCache>
                  </c:strRef>
                </c:tx>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Baseline!$W$3:$W$15</c15:sqref>
                        </c15:formulaRef>
                      </c:ext>
                    </c:extLst>
                    <c:numCache>
                      <c:formatCode>General</c:formatCode>
                      <c:ptCount val="13"/>
                      <c:pt idx="0">
                        <c:v>3</c:v>
                      </c:pt>
                      <c:pt idx="1">
                        <c:v>3</c:v>
                      </c:pt>
                      <c:pt idx="2">
                        <c:v>3</c:v>
                      </c:pt>
                      <c:pt idx="3">
                        <c:v>3</c:v>
                      </c:pt>
                      <c:pt idx="4">
                        <c:v>3</c:v>
                      </c:pt>
                      <c:pt idx="5">
                        <c:v>5</c:v>
                      </c:pt>
                      <c:pt idx="6">
                        <c:v>3</c:v>
                      </c:pt>
                      <c:pt idx="7">
                        <c:v>4</c:v>
                      </c:pt>
                      <c:pt idx="8">
                        <c:v>3</c:v>
                      </c:pt>
                      <c:pt idx="9">
                        <c:v>3</c:v>
                      </c:pt>
                      <c:pt idx="10">
                        <c:v>4</c:v>
                      </c:pt>
                      <c:pt idx="11">
                        <c:v>4</c:v>
                      </c:pt>
                      <c:pt idx="12">
                        <c:v>4</c:v>
                      </c:pt>
                    </c:numCache>
                  </c:numRef>
                </c:val>
                <c:smooth val="0"/>
                <c:extLst xmlns:c15="http://schemas.microsoft.com/office/drawing/2012/chart">
                  <c:ext xmlns:c16="http://schemas.microsoft.com/office/drawing/2014/chart" uri="{C3380CC4-5D6E-409C-BE32-E72D297353CC}">
                    <c16:uniqueId val="{00000013-4379-4C67-AF54-0DF68AEF07A6}"/>
                  </c:ext>
                </c:extLst>
              </c15:ser>
            </c15:filteredLineSeries>
            <c15:filteredLineSeries>
              <c15:ser>
                <c:idx val="18"/>
                <c:order val="18"/>
                <c:tx>
                  <c:strRef>
                    <c:extLst xmlns:c15="http://schemas.microsoft.com/office/drawing/2012/chart">
                      <c:ext xmlns:c15="http://schemas.microsoft.com/office/drawing/2012/chart" uri="{02D57815-91ED-43cb-92C2-25804820EDAC}">
                        <c15:formulaRef>
                          <c15:sqref>Baseline!$X$2</c15:sqref>
                        </c15:formulaRef>
                      </c:ext>
                    </c:extLst>
                    <c:strCache>
                      <c:ptCount val="1"/>
                      <c:pt idx="0">
                        <c:v>PM 10</c:v>
                      </c:pt>
                    </c:strCache>
                  </c:strRef>
                </c:tx>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Baseline!$X$3:$X$15</c15:sqref>
                        </c15:formulaRef>
                      </c:ext>
                    </c:extLst>
                    <c:numCache>
                      <c:formatCode>General</c:formatCode>
                      <c:ptCount val="13"/>
                      <c:pt idx="0">
                        <c:v>3</c:v>
                      </c:pt>
                      <c:pt idx="1">
                        <c:v>3</c:v>
                      </c:pt>
                      <c:pt idx="2">
                        <c:v>3</c:v>
                      </c:pt>
                      <c:pt idx="3">
                        <c:v>3</c:v>
                      </c:pt>
                      <c:pt idx="4">
                        <c:v>3</c:v>
                      </c:pt>
                      <c:pt idx="5">
                        <c:v>5</c:v>
                      </c:pt>
                      <c:pt idx="6">
                        <c:v>4</c:v>
                      </c:pt>
                      <c:pt idx="7">
                        <c:v>5</c:v>
                      </c:pt>
                      <c:pt idx="8">
                        <c:v>3</c:v>
                      </c:pt>
                      <c:pt idx="9">
                        <c:v>5</c:v>
                      </c:pt>
                      <c:pt idx="10">
                        <c:v>5</c:v>
                      </c:pt>
                      <c:pt idx="11">
                        <c:v>4</c:v>
                      </c:pt>
                      <c:pt idx="12">
                        <c:v>3</c:v>
                      </c:pt>
                    </c:numCache>
                  </c:numRef>
                </c:val>
                <c:smooth val="0"/>
                <c:extLst xmlns:c15="http://schemas.microsoft.com/office/drawing/2012/chart">
                  <c:ext xmlns:c16="http://schemas.microsoft.com/office/drawing/2014/chart" uri="{C3380CC4-5D6E-409C-BE32-E72D297353CC}">
                    <c16:uniqueId val="{00000014-4379-4C67-AF54-0DF68AEF07A6}"/>
                  </c:ext>
                </c:extLst>
              </c15:ser>
            </c15:filteredLineSeries>
          </c:ext>
        </c:extLst>
      </c:lineChart>
      <c:lineChart>
        <c:grouping val="standard"/>
        <c:varyColors val="0"/>
        <c:ser>
          <c:idx val="5"/>
          <c:order val="5"/>
          <c:tx>
            <c:strRef>
              <c:f>Baseline!$K$2</c:f>
              <c:strCache>
                <c:ptCount val="1"/>
                <c:pt idx="0">
                  <c:v>BME VOC</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Baseline!$K$3:$K$15</c:f>
              <c:numCache>
                <c:formatCode>General</c:formatCode>
                <c:ptCount val="13"/>
                <c:pt idx="0">
                  <c:v>10484</c:v>
                </c:pt>
                <c:pt idx="1">
                  <c:v>10349</c:v>
                </c:pt>
                <c:pt idx="2">
                  <c:v>10268</c:v>
                </c:pt>
                <c:pt idx="3">
                  <c:v>9984</c:v>
                </c:pt>
                <c:pt idx="4">
                  <c:v>9900</c:v>
                </c:pt>
                <c:pt idx="5">
                  <c:v>10359</c:v>
                </c:pt>
                <c:pt idx="6">
                  <c:v>10110</c:v>
                </c:pt>
                <c:pt idx="7">
                  <c:v>9386</c:v>
                </c:pt>
                <c:pt idx="8">
                  <c:v>9007</c:v>
                </c:pt>
                <c:pt idx="9">
                  <c:v>9069</c:v>
                </c:pt>
                <c:pt idx="10">
                  <c:v>9077</c:v>
                </c:pt>
                <c:pt idx="11">
                  <c:v>9015</c:v>
                </c:pt>
                <c:pt idx="12">
                  <c:v>8877</c:v>
                </c:pt>
              </c:numCache>
            </c:numRef>
          </c:val>
          <c:smooth val="0"/>
          <c:extLst>
            <c:ext xmlns:c16="http://schemas.microsoft.com/office/drawing/2014/chart" uri="{C3380CC4-5D6E-409C-BE32-E72D297353CC}">
              <c16:uniqueId val="{00000002-4379-4C67-AF54-0DF68AEF07A6}"/>
            </c:ext>
          </c:extLst>
        </c:ser>
        <c:dLbls>
          <c:showLegendKey val="0"/>
          <c:showVal val="0"/>
          <c:showCatName val="0"/>
          <c:showSerName val="0"/>
          <c:showPercent val="0"/>
          <c:showBubbleSize val="0"/>
        </c:dLbls>
        <c:marker val="1"/>
        <c:smooth val="0"/>
        <c:axId val="1515639504"/>
        <c:axId val="1515641424"/>
      </c:lineChart>
      <c:catAx>
        <c:axId val="1515639024"/>
        <c:scaling>
          <c:orientation val="minMax"/>
        </c:scaling>
        <c:delete val="0"/>
        <c:axPos val="b"/>
        <c:title>
          <c:tx>
            <c:rich>
              <a:bodyPr rot="0" spcFirstLastPara="1" vertOverflow="ellipsis" vert="horz" wrap="square" anchor="t" anchorCtr="0"/>
              <a:lstStyle/>
              <a:p>
                <a:pPr>
                  <a:defRPr sz="1000" b="0" i="0" u="none" strike="noStrike" kern="120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time</a:t>
                </a:r>
              </a:p>
            </c:rich>
          </c:tx>
          <c:layout>
            <c:manualLayout>
              <c:xMode val="edge"/>
              <c:yMode val="edge"/>
              <c:x val="0.37752332961672874"/>
              <c:y val="0.90281338799592203"/>
            </c:manualLayout>
          </c:layout>
          <c:overlay val="0"/>
          <c:spPr>
            <a:noFill/>
            <a:ln>
              <a:noFill/>
            </a:ln>
            <a:effectLst/>
          </c:spPr>
          <c:txPr>
            <a:bodyPr rot="0" spcFirstLastPara="1" vertOverflow="ellipsis" vert="horz" wrap="square" anchor="t" anchorCtr="0"/>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40944"/>
        <c:crosses val="autoZero"/>
        <c:auto val="1"/>
        <c:lblAlgn val="ctr"/>
        <c:lblOffset val="100"/>
        <c:noMultiLvlLbl val="0"/>
      </c:catAx>
      <c:valAx>
        <c:axId val="151564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l-GR" sz="1200" b="0" i="0" u="none" strike="noStrike" baseline="0">
                    <a:effectLst/>
                    <a:latin typeface="Times New Roman" panose="02020603050405020304" pitchFamily="18" charset="0"/>
                    <a:cs typeface="Times New Roman" panose="02020603050405020304" pitchFamily="18" charset="0"/>
                  </a:rPr>
                  <a:t>μ</a:t>
                </a:r>
                <a:r>
                  <a:rPr lang="en-GB" sz="1200" b="0" i="0" u="none" strike="noStrike" baseline="0">
                    <a:effectLst/>
                    <a:latin typeface="Times New Roman" panose="02020603050405020304" pitchFamily="18" charset="0"/>
                    <a:cs typeface="Times New Roman" panose="02020603050405020304" pitchFamily="18" charset="0"/>
                  </a:rPr>
                  <a:t>g/m³</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024"/>
        <c:crosses val="autoZero"/>
        <c:crossBetween val="between"/>
      </c:valAx>
      <c:valAx>
        <c:axId val="1515641424"/>
        <c:scaling>
          <c:orientation val="maxMin"/>
        </c:scaling>
        <c:delete val="0"/>
        <c:axPos val="r"/>
        <c:title>
          <c:tx>
            <c:rich>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resistance</a:t>
                </a:r>
              </a:p>
              <a:p>
                <a:pPr>
                  <a:defRPr sz="1200">
                    <a:latin typeface="Times New Roman" panose="02020603050405020304" pitchFamily="18" charset="0"/>
                    <a:cs typeface="Times New Roman" panose="02020603050405020304" pitchFamily="18" charset="0"/>
                  </a:defRPr>
                </a:pPr>
                <a:r>
                  <a:rPr lang="el-GR" sz="1200" b="0" i="0" u="none" strike="noStrike" baseline="0">
                    <a:effectLst/>
                    <a:latin typeface="Times New Roman" panose="02020603050405020304" pitchFamily="18" charset="0"/>
                    <a:cs typeface="Times New Roman" panose="02020603050405020304" pitchFamily="18" charset="0"/>
                  </a:rPr>
                  <a:t>Ω</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504"/>
        <c:crosses val="max"/>
        <c:crossBetween val="between"/>
      </c:valAx>
      <c:catAx>
        <c:axId val="1515639504"/>
        <c:scaling>
          <c:orientation val="minMax"/>
        </c:scaling>
        <c:delete val="1"/>
        <c:axPos val="t"/>
        <c:numFmt formatCode="h:mm" sourceLinked="1"/>
        <c:majorTickMark val="out"/>
        <c:minorTickMark val="none"/>
        <c:tickLblPos val="nextTo"/>
        <c:crossAx val="151564142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latin typeface="Times New Roman" panose="02020603050405020304" pitchFamily="18" charset="0"/>
                <a:cs typeface="Times New Roman" panose="02020603050405020304" pitchFamily="18" charset="0"/>
              </a:rPr>
              <a:t> SEN55 Baseline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9"/>
          <c:order val="19"/>
          <c:tx>
            <c:strRef>
              <c:f>Baseline!$Y$2</c:f>
              <c:strCache>
                <c:ptCount val="1"/>
                <c:pt idx="0">
                  <c:v>HCHO</c:v>
                </c:pt>
              </c:strCache>
            </c:strRef>
          </c:tx>
          <c:spPr>
            <a:ln w="28575" cap="rnd">
              <a:solidFill>
                <a:schemeClr val="accent2"/>
              </a:solidFill>
              <a:round/>
            </a:ln>
            <a:effectLst/>
          </c:spPr>
          <c:marker>
            <c:symbol val="circle"/>
            <c:size val="5"/>
            <c:spPr>
              <a:solidFill>
                <a:schemeClr val="accent2"/>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Baseline!$Y$3:$Y$15</c:f>
              <c:numCache>
                <c:formatCode>General</c:formatCode>
                <c:ptCount val="13"/>
                <c:pt idx="0">
                  <c:v>1.2999999999999999E-2</c:v>
                </c:pt>
                <c:pt idx="1">
                  <c:v>1E-3</c:v>
                </c:pt>
                <c:pt idx="2">
                  <c:v>0.05</c:v>
                </c:pt>
                <c:pt idx="3">
                  <c:v>5.1999999999999998E-2</c:v>
                </c:pt>
                <c:pt idx="4">
                  <c:v>0.05</c:v>
                </c:pt>
                <c:pt idx="5">
                  <c:v>2.1999999999999999E-2</c:v>
                </c:pt>
                <c:pt idx="6">
                  <c:v>4.7E-2</c:v>
                </c:pt>
                <c:pt idx="7">
                  <c:v>5.6000000000000001E-2</c:v>
                </c:pt>
                <c:pt idx="8">
                  <c:v>6.3E-2</c:v>
                </c:pt>
                <c:pt idx="9">
                  <c:v>6.4000000000000001E-2</c:v>
                </c:pt>
                <c:pt idx="10">
                  <c:v>0.06</c:v>
                </c:pt>
                <c:pt idx="11">
                  <c:v>0.06</c:v>
                </c:pt>
                <c:pt idx="12">
                  <c:v>0.06</c:v>
                </c:pt>
              </c:numCache>
            </c:numRef>
          </c:val>
          <c:smooth val="0"/>
          <c:extLst>
            <c:ext xmlns:c16="http://schemas.microsoft.com/office/drawing/2014/chart" uri="{C3380CC4-5D6E-409C-BE32-E72D297353CC}">
              <c16:uniqueId val="{00000000-2B6D-4771-BE28-4D70273405B1}"/>
            </c:ext>
          </c:extLst>
        </c:ser>
        <c:ser>
          <c:idx val="20"/>
          <c:order val="20"/>
          <c:tx>
            <c:strRef>
              <c:f>Baseline!$Z$2</c:f>
              <c:strCache>
                <c:ptCount val="1"/>
                <c:pt idx="0">
                  <c:v>tVOC</c:v>
                </c:pt>
              </c:strCache>
            </c:strRef>
          </c:tx>
          <c:spPr>
            <a:ln w="28575" cap="rnd">
              <a:solidFill>
                <a:schemeClr val="accent4"/>
              </a:solidFill>
              <a:round/>
            </a:ln>
            <a:effectLst/>
          </c:spPr>
          <c:marker>
            <c:symbol val="circle"/>
            <c:size val="5"/>
            <c:spPr>
              <a:solidFill>
                <a:schemeClr val="accent4"/>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f>Baseline!$Z$3:$Z$15</c:f>
              <c:numCache>
                <c:formatCode>General</c:formatCode>
                <c:ptCount val="13"/>
                <c:pt idx="0">
                  <c:v>0.06</c:v>
                </c:pt>
                <c:pt idx="1">
                  <c:v>1E-3</c:v>
                </c:pt>
                <c:pt idx="2">
                  <c:v>0.06</c:v>
                </c:pt>
                <c:pt idx="3">
                  <c:v>0.26500000000000001</c:v>
                </c:pt>
                <c:pt idx="4">
                  <c:v>0.22600000000000001</c:v>
                </c:pt>
                <c:pt idx="5">
                  <c:v>0.113</c:v>
                </c:pt>
                <c:pt idx="6">
                  <c:v>0.214</c:v>
                </c:pt>
                <c:pt idx="7">
                  <c:v>0.32800000000000001</c:v>
                </c:pt>
                <c:pt idx="8">
                  <c:v>0.39400000000000002</c:v>
                </c:pt>
                <c:pt idx="9">
                  <c:v>0.39300000000000002</c:v>
                </c:pt>
                <c:pt idx="10">
                  <c:v>0.36499999999999999</c:v>
                </c:pt>
                <c:pt idx="11">
                  <c:v>0.36799999999999999</c:v>
                </c:pt>
                <c:pt idx="12">
                  <c:v>0.36799999999999999</c:v>
                </c:pt>
              </c:numCache>
            </c:numRef>
          </c:val>
          <c:smooth val="0"/>
          <c:extLst>
            <c:ext xmlns:c16="http://schemas.microsoft.com/office/drawing/2014/chart" uri="{C3380CC4-5D6E-409C-BE32-E72D297353CC}">
              <c16:uniqueId val="{00000001-2B6D-4771-BE28-4D70273405B1}"/>
            </c:ext>
          </c:extLst>
        </c:ser>
        <c:dLbls>
          <c:showLegendKey val="0"/>
          <c:showVal val="0"/>
          <c:showCatName val="0"/>
          <c:showSerName val="0"/>
          <c:showPercent val="0"/>
          <c:showBubbleSize val="0"/>
        </c:dLbls>
        <c:marker val="1"/>
        <c:smooth val="0"/>
        <c:axId val="1515639024"/>
        <c:axId val="1515640944"/>
        <c:extLst>
          <c:ext xmlns:c15="http://schemas.microsoft.com/office/drawing/2012/chart" uri="{02D57815-91ED-43cb-92C2-25804820EDAC}">
            <c15:filteredLineSeries>
              <c15:ser>
                <c:idx val="0"/>
                <c:order val="0"/>
                <c:tx>
                  <c:strRef>
                    <c:extLst>
                      <c:ext uri="{02D57815-91ED-43cb-92C2-25804820EDAC}">
                        <c15:formulaRef>
                          <c15:sqref>Baseline!$F$2</c15:sqref>
                        </c15:formulaRef>
                      </c:ext>
                    </c:extLst>
                    <c:strCache>
                      <c:ptCount val="1"/>
                      <c:pt idx="0">
                        <c:v>UMI 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extLst>
                      <c:ex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c:ext uri="{02D57815-91ED-43cb-92C2-25804820EDAC}">
                        <c15:formulaRef>
                          <c15:sqref>Baseline!$F$3:$F$15</c15:sqref>
                        </c15:formulaRef>
                      </c:ext>
                    </c:extLst>
                    <c:numCache>
                      <c:formatCode>General</c:formatCode>
                      <c:ptCount val="13"/>
                      <c:pt idx="0">
                        <c:v>21.5</c:v>
                      </c:pt>
                      <c:pt idx="1">
                        <c:v>21.4</c:v>
                      </c:pt>
                      <c:pt idx="2">
                        <c:v>21.5</c:v>
                      </c:pt>
                      <c:pt idx="3">
                        <c:v>21.4</c:v>
                      </c:pt>
                      <c:pt idx="4">
                        <c:v>21.2</c:v>
                      </c:pt>
                      <c:pt idx="5">
                        <c:v>21.2</c:v>
                      </c:pt>
                      <c:pt idx="6">
                        <c:v>21.1</c:v>
                      </c:pt>
                      <c:pt idx="7">
                        <c:v>20.9</c:v>
                      </c:pt>
                      <c:pt idx="8">
                        <c:v>20.9</c:v>
                      </c:pt>
                      <c:pt idx="9">
                        <c:v>20.9</c:v>
                      </c:pt>
                      <c:pt idx="10">
                        <c:v>20.9</c:v>
                      </c:pt>
                      <c:pt idx="11">
                        <c:v>21</c:v>
                      </c:pt>
                      <c:pt idx="12">
                        <c:v>20.9</c:v>
                      </c:pt>
                    </c:numCache>
                  </c:numRef>
                </c:val>
                <c:smooth val="0"/>
                <c:extLst>
                  <c:ext xmlns:c16="http://schemas.microsoft.com/office/drawing/2014/chart" uri="{C3380CC4-5D6E-409C-BE32-E72D297353CC}">
                    <c16:uniqueId val="{00000004-2B6D-4771-BE28-4D70273405B1}"/>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Baseline!$G$2</c15:sqref>
                        </c15:formulaRef>
                      </c:ext>
                    </c:extLst>
                    <c:strCache>
                      <c:ptCount val="1"/>
                      <c:pt idx="0">
                        <c:v>UMI RH</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Baseline!$G$3:$G$15</c15:sqref>
                        </c15:formulaRef>
                      </c:ext>
                    </c:extLst>
                    <c:numCache>
                      <c:formatCode>General</c:formatCode>
                      <c:ptCount val="13"/>
                      <c:pt idx="0">
                        <c:v>47</c:v>
                      </c:pt>
                      <c:pt idx="1">
                        <c:v>47</c:v>
                      </c:pt>
                      <c:pt idx="2">
                        <c:v>47</c:v>
                      </c:pt>
                      <c:pt idx="3">
                        <c:v>47</c:v>
                      </c:pt>
                      <c:pt idx="4">
                        <c:v>48</c:v>
                      </c:pt>
                      <c:pt idx="5">
                        <c:v>47</c:v>
                      </c:pt>
                      <c:pt idx="6">
                        <c:v>47</c:v>
                      </c:pt>
                      <c:pt idx="7">
                        <c:v>48</c:v>
                      </c:pt>
                      <c:pt idx="8">
                        <c:v>48</c:v>
                      </c:pt>
                      <c:pt idx="9">
                        <c:v>49</c:v>
                      </c:pt>
                      <c:pt idx="10">
                        <c:v>49</c:v>
                      </c:pt>
                      <c:pt idx="11">
                        <c:v>49</c:v>
                      </c:pt>
                      <c:pt idx="12">
                        <c:v>49</c:v>
                      </c:pt>
                    </c:numCache>
                  </c:numRef>
                </c:val>
                <c:smooth val="0"/>
                <c:extLst xmlns:c15="http://schemas.microsoft.com/office/drawing/2012/chart">
                  <c:ext xmlns:c16="http://schemas.microsoft.com/office/drawing/2014/chart" uri="{C3380CC4-5D6E-409C-BE32-E72D297353CC}">
                    <c16:uniqueId val="{00000005-2B6D-4771-BE28-4D70273405B1}"/>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Baseline!$H$2</c15:sqref>
                        </c15:formulaRef>
                      </c:ext>
                    </c:extLst>
                    <c:strCache>
                      <c:ptCount val="1"/>
                      <c:pt idx="0">
                        <c:v>BME 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Baseline!$H$3:$H$15</c15:sqref>
                        </c15:formulaRef>
                      </c:ext>
                    </c:extLst>
                    <c:numCache>
                      <c:formatCode>General</c:formatCode>
                      <c:ptCount val="13"/>
                      <c:pt idx="0">
                        <c:v>22.08</c:v>
                      </c:pt>
                      <c:pt idx="1">
                        <c:v>21.87</c:v>
                      </c:pt>
                      <c:pt idx="2">
                        <c:v>21.9</c:v>
                      </c:pt>
                      <c:pt idx="3">
                        <c:v>21.71</c:v>
                      </c:pt>
                      <c:pt idx="4">
                        <c:v>21.7</c:v>
                      </c:pt>
                      <c:pt idx="5">
                        <c:v>21.76</c:v>
                      </c:pt>
                      <c:pt idx="6">
                        <c:v>21.6</c:v>
                      </c:pt>
                      <c:pt idx="7">
                        <c:v>21.35</c:v>
                      </c:pt>
                      <c:pt idx="8">
                        <c:v>21.39</c:v>
                      </c:pt>
                      <c:pt idx="9">
                        <c:v>21.5</c:v>
                      </c:pt>
                      <c:pt idx="10">
                        <c:v>21.49</c:v>
                      </c:pt>
                      <c:pt idx="11">
                        <c:v>21.44</c:v>
                      </c:pt>
                      <c:pt idx="12">
                        <c:v>21.49</c:v>
                      </c:pt>
                    </c:numCache>
                  </c:numRef>
                </c:val>
                <c:smooth val="0"/>
                <c:extLst xmlns:c15="http://schemas.microsoft.com/office/drawing/2012/chart">
                  <c:ext xmlns:c16="http://schemas.microsoft.com/office/drawing/2014/chart" uri="{C3380CC4-5D6E-409C-BE32-E72D297353CC}">
                    <c16:uniqueId val="{00000006-2B6D-4771-BE28-4D70273405B1}"/>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Baseline!$I$2</c15:sqref>
                        </c15:formulaRef>
                      </c:ext>
                    </c:extLst>
                    <c:strCache>
                      <c:ptCount val="1"/>
                      <c:pt idx="0">
                        <c:v>BME RH</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Baseline!$I$3:$I$15</c15:sqref>
                        </c15:formulaRef>
                      </c:ext>
                    </c:extLst>
                    <c:numCache>
                      <c:formatCode>General</c:formatCode>
                      <c:ptCount val="13"/>
                      <c:pt idx="0">
                        <c:v>49.344999999999999</c:v>
                      </c:pt>
                      <c:pt idx="1">
                        <c:v>50.58</c:v>
                      </c:pt>
                      <c:pt idx="2">
                        <c:v>50.399000000000001</c:v>
                      </c:pt>
                      <c:pt idx="3">
                        <c:v>50.927</c:v>
                      </c:pt>
                      <c:pt idx="4">
                        <c:v>51.185000000000002</c:v>
                      </c:pt>
                      <c:pt idx="5">
                        <c:v>50.558</c:v>
                      </c:pt>
                      <c:pt idx="6">
                        <c:v>50.951000000000001</c:v>
                      </c:pt>
                      <c:pt idx="7">
                        <c:v>51.820999999999998</c:v>
                      </c:pt>
                      <c:pt idx="8">
                        <c:v>52.051000000000002</c:v>
                      </c:pt>
                      <c:pt idx="9">
                        <c:v>52.116</c:v>
                      </c:pt>
                      <c:pt idx="10">
                        <c:v>52.972000000000001</c:v>
                      </c:pt>
                      <c:pt idx="11">
                        <c:v>53.04</c:v>
                      </c:pt>
                      <c:pt idx="12">
                        <c:v>53.524000000000001</c:v>
                      </c:pt>
                    </c:numCache>
                  </c:numRef>
                </c:val>
                <c:smooth val="0"/>
                <c:extLst xmlns:c15="http://schemas.microsoft.com/office/drawing/2012/chart">
                  <c:ext xmlns:c16="http://schemas.microsoft.com/office/drawing/2014/chart" uri="{C3380CC4-5D6E-409C-BE32-E72D297353CC}">
                    <c16:uniqueId val="{00000007-2B6D-4771-BE28-4D70273405B1}"/>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Baseline!$J$2</c15:sqref>
                        </c15:formulaRef>
                      </c:ext>
                    </c:extLst>
                    <c:strCache>
                      <c:ptCount val="1"/>
                      <c:pt idx="0">
                        <c:v>AQI</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Baseline!$J$3:$J$15</c15:sqref>
                        </c15:formulaRef>
                      </c:ext>
                    </c:extLst>
                    <c:numCache>
                      <c:formatCode>General</c:formatCode>
                      <c:ptCount val="13"/>
                      <c:pt idx="0">
                        <c:v>11.22</c:v>
                      </c:pt>
                      <c:pt idx="1">
                        <c:v>11.24</c:v>
                      </c:pt>
                      <c:pt idx="2">
                        <c:v>11.24</c:v>
                      </c:pt>
                      <c:pt idx="3">
                        <c:v>11.21</c:v>
                      </c:pt>
                      <c:pt idx="4">
                        <c:v>11.24</c:v>
                      </c:pt>
                      <c:pt idx="5">
                        <c:v>11.25</c:v>
                      </c:pt>
                      <c:pt idx="6">
                        <c:v>11.22</c:v>
                      </c:pt>
                      <c:pt idx="7">
                        <c:v>11.19</c:v>
                      </c:pt>
                      <c:pt idx="8">
                        <c:v>11.19</c:v>
                      </c:pt>
                      <c:pt idx="9">
                        <c:v>11.19</c:v>
                      </c:pt>
                      <c:pt idx="10">
                        <c:v>11.19</c:v>
                      </c:pt>
                      <c:pt idx="11">
                        <c:v>11.23</c:v>
                      </c:pt>
                      <c:pt idx="12">
                        <c:v>11.21</c:v>
                      </c:pt>
                    </c:numCache>
                  </c:numRef>
                </c:val>
                <c:smooth val="0"/>
                <c:extLst xmlns:c15="http://schemas.microsoft.com/office/drawing/2012/chart">
                  <c:ext xmlns:c16="http://schemas.microsoft.com/office/drawing/2014/chart" uri="{C3380CC4-5D6E-409C-BE32-E72D297353CC}">
                    <c16:uniqueId val="{00000008-2B6D-4771-BE28-4D70273405B1}"/>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Baseline!$L$2</c15:sqref>
                        </c15:formulaRef>
                      </c:ext>
                    </c:extLst>
                    <c:strCache>
                      <c:ptCount val="1"/>
                      <c:pt idx="0">
                        <c:v>SEN T</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Baseline!$L$3:$L$15</c15:sqref>
                        </c15:formulaRef>
                      </c:ext>
                    </c:extLst>
                    <c:numCache>
                      <c:formatCode>General</c:formatCode>
                      <c:ptCount val="13"/>
                      <c:pt idx="0">
                        <c:v>21.47</c:v>
                      </c:pt>
                      <c:pt idx="1">
                        <c:v>21.62</c:v>
                      </c:pt>
                      <c:pt idx="2">
                        <c:v>21.41</c:v>
                      </c:pt>
                      <c:pt idx="3">
                        <c:v>21.355</c:v>
                      </c:pt>
                      <c:pt idx="4">
                        <c:v>21.25</c:v>
                      </c:pt>
                      <c:pt idx="5">
                        <c:v>21.135000000000002</c:v>
                      </c:pt>
                      <c:pt idx="6">
                        <c:v>20.984999999999999</c:v>
                      </c:pt>
                      <c:pt idx="7">
                        <c:v>20.78</c:v>
                      </c:pt>
                      <c:pt idx="8">
                        <c:v>20.72</c:v>
                      </c:pt>
                      <c:pt idx="9">
                        <c:v>20.92</c:v>
                      </c:pt>
                      <c:pt idx="10">
                        <c:v>20.984999999999999</c:v>
                      </c:pt>
                      <c:pt idx="11">
                        <c:v>20.914999999999999</c:v>
                      </c:pt>
                      <c:pt idx="12">
                        <c:v>20.795000000000002</c:v>
                      </c:pt>
                    </c:numCache>
                  </c:numRef>
                </c:val>
                <c:smooth val="0"/>
                <c:extLst xmlns:c15="http://schemas.microsoft.com/office/drawing/2012/chart">
                  <c:ext xmlns:c16="http://schemas.microsoft.com/office/drawing/2014/chart" uri="{C3380CC4-5D6E-409C-BE32-E72D297353CC}">
                    <c16:uniqueId val="{0000000A-2B6D-4771-BE28-4D70273405B1}"/>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Baseline!$M$2</c15:sqref>
                        </c15:formulaRef>
                      </c:ext>
                    </c:extLst>
                    <c:strCache>
                      <c:ptCount val="1"/>
                      <c:pt idx="0">
                        <c:v>SEN RH</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Baseline!$M$3:$M$15</c15:sqref>
                        </c15:formulaRef>
                      </c:ext>
                    </c:extLst>
                    <c:numCache>
                      <c:formatCode>General</c:formatCode>
                      <c:ptCount val="13"/>
                      <c:pt idx="0">
                        <c:v>48.38</c:v>
                      </c:pt>
                      <c:pt idx="1">
                        <c:v>47.52</c:v>
                      </c:pt>
                      <c:pt idx="2">
                        <c:v>48.89</c:v>
                      </c:pt>
                      <c:pt idx="3">
                        <c:v>49.07</c:v>
                      </c:pt>
                      <c:pt idx="4">
                        <c:v>49.59</c:v>
                      </c:pt>
                      <c:pt idx="5">
                        <c:v>49.28</c:v>
                      </c:pt>
                      <c:pt idx="6">
                        <c:v>49.91</c:v>
                      </c:pt>
                      <c:pt idx="7">
                        <c:v>50.61</c:v>
                      </c:pt>
                      <c:pt idx="8">
                        <c:v>51.13</c:v>
                      </c:pt>
                      <c:pt idx="9">
                        <c:v>50.92</c:v>
                      </c:pt>
                      <c:pt idx="10">
                        <c:v>51.12</c:v>
                      </c:pt>
                      <c:pt idx="11">
                        <c:v>51.57</c:v>
                      </c:pt>
                      <c:pt idx="12">
                        <c:v>52.29</c:v>
                      </c:pt>
                    </c:numCache>
                  </c:numRef>
                </c:val>
                <c:smooth val="0"/>
                <c:extLst xmlns:c15="http://schemas.microsoft.com/office/drawing/2012/chart">
                  <c:ext xmlns:c16="http://schemas.microsoft.com/office/drawing/2014/chart" uri="{C3380CC4-5D6E-409C-BE32-E72D297353CC}">
                    <c16:uniqueId val="{0000000B-2B6D-4771-BE28-4D70273405B1}"/>
                  </c:ext>
                </c:extLst>
              </c15:ser>
            </c15:filteredLineSeries>
            <c15:filteredLineSeries>
              <c15:ser>
                <c:idx val="8"/>
                <c:order val="8"/>
                <c:tx>
                  <c:strRef>
                    <c:extLst xmlns:c15="http://schemas.microsoft.com/office/drawing/2012/chart">
                      <c:ext xmlns:c15="http://schemas.microsoft.com/office/drawing/2012/chart" uri="{02D57815-91ED-43cb-92C2-25804820EDAC}">
                        <c15:formulaRef>
                          <c15:sqref>Baseline!$N$2</c15:sqref>
                        </c15:formulaRef>
                      </c:ext>
                    </c:extLst>
                    <c:strCache>
                      <c:ptCount val="1"/>
                      <c:pt idx="0">
                        <c:v>PM 1</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Baseline!$N$3:$N$15</c15:sqref>
                        </c15:formulaRef>
                      </c:ext>
                    </c:extLst>
                    <c:numCache>
                      <c:formatCode>General</c:formatCode>
                      <c:ptCount val="13"/>
                      <c:pt idx="0">
                        <c:v>1</c:v>
                      </c:pt>
                      <c:pt idx="1">
                        <c:v>0.4</c:v>
                      </c:pt>
                      <c:pt idx="2">
                        <c:v>0.6</c:v>
                      </c:pt>
                      <c:pt idx="3">
                        <c:v>0.8</c:v>
                      </c:pt>
                      <c:pt idx="4">
                        <c:v>0.3</c:v>
                      </c:pt>
                      <c:pt idx="5">
                        <c:v>1.7</c:v>
                      </c:pt>
                      <c:pt idx="6">
                        <c:v>0.7</c:v>
                      </c:pt>
                      <c:pt idx="7">
                        <c:v>0.7</c:v>
                      </c:pt>
                      <c:pt idx="8">
                        <c:v>0.8</c:v>
                      </c:pt>
                      <c:pt idx="9">
                        <c:v>1.4</c:v>
                      </c:pt>
                      <c:pt idx="10">
                        <c:v>1.7</c:v>
                      </c:pt>
                      <c:pt idx="11">
                        <c:v>1.8</c:v>
                      </c:pt>
                      <c:pt idx="12">
                        <c:v>1</c:v>
                      </c:pt>
                    </c:numCache>
                  </c:numRef>
                </c:val>
                <c:smooth val="0"/>
                <c:extLst xmlns:c15="http://schemas.microsoft.com/office/drawing/2012/chart">
                  <c:ext xmlns:c16="http://schemas.microsoft.com/office/drawing/2014/chart" uri="{C3380CC4-5D6E-409C-BE32-E72D297353CC}">
                    <c16:uniqueId val="{0000000C-2B6D-4771-BE28-4D70273405B1}"/>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Baseline!$O$2</c15:sqref>
                        </c15:formulaRef>
                      </c:ext>
                    </c:extLst>
                    <c:strCache>
                      <c:ptCount val="1"/>
                      <c:pt idx="0">
                        <c:v>PM 2.5</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Baseline!$O$3:$O$15</c15:sqref>
                        </c15:formulaRef>
                      </c:ext>
                    </c:extLst>
                    <c:numCache>
                      <c:formatCode>General</c:formatCode>
                      <c:ptCount val="13"/>
                      <c:pt idx="0">
                        <c:v>1.2</c:v>
                      </c:pt>
                      <c:pt idx="1">
                        <c:v>0.7</c:v>
                      </c:pt>
                      <c:pt idx="2">
                        <c:v>0.7</c:v>
                      </c:pt>
                      <c:pt idx="3">
                        <c:v>1</c:v>
                      </c:pt>
                      <c:pt idx="4">
                        <c:v>0.4</c:v>
                      </c:pt>
                      <c:pt idx="5">
                        <c:v>2</c:v>
                      </c:pt>
                      <c:pt idx="6">
                        <c:v>0.8</c:v>
                      </c:pt>
                      <c:pt idx="7">
                        <c:v>0.8</c:v>
                      </c:pt>
                      <c:pt idx="8">
                        <c:v>0.9</c:v>
                      </c:pt>
                      <c:pt idx="9">
                        <c:v>1.5</c:v>
                      </c:pt>
                      <c:pt idx="10">
                        <c:v>2</c:v>
                      </c:pt>
                      <c:pt idx="11">
                        <c:v>2.2000000000000002</c:v>
                      </c:pt>
                      <c:pt idx="12">
                        <c:v>1.2</c:v>
                      </c:pt>
                    </c:numCache>
                  </c:numRef>
                </c:val>
                <c:smooth val="0"/>
                <c:extLst xmlns:c15="http://schemas.microsoft.com/office/drawing/2012/chart">
                  <c:ext xmlns:c16="http://schemas.microsoft.com/office/drawing/2014/chart" uri="{C3380CC4-5D6E-409C-BE32-E72D297353CC}">
                    <c16:uniqueId val="{0000000D-2B6D-4771-BE28-4D70273405B1}"/>
                  </c:ext>
                </c:extLst>
              </c15:ser>
            </c15:filteredLineSeries>
            <c15:filteredLineSeries>
              <c15:ser>
                <c:idx val="10"/>
                <c:order val="10"/>
                <c:tx>
                  <c:strRef>
                    <c:extLst xmlns:c15="http://schemas.microsoft.com/office/drawing/2012/chart">
                      <c:ext xmlns:c15="http://schemas.microsoft.com/office/drawing/2012/chart" uri="{02D57815-91ED-43cb-92C2-25804820EDAC}">
                        <c15:formulaRef>
                          <c15:sqref>Baseline!$P$2</c15:sqref>
                        </c15:formulaRef>
                      </c:ext>
                    </c:extLst>
                    <c:strCache>
                      <c:ptCount val="1"/>
                      <c:pt idx="0">
                        <c:v>PM 4</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Baseline!$P$3:$P$15</c15:sqref>
                        </c15:formulaRef>
                      </c:ext>
                    </c:extLst>
                    <c:numCache>
                      <c:formatCode>General</c:formatCode>
                      <c:ptCount val="13"/>
                      <c:pt idx="0">
                        <c:v>1.7</c:v>
                      </c:pt>
                      <c:pt idx="1">
                        <c:v>0.8</c:v>
                      </c:pt>
                      <c:pt idx="2">
                        <c:v>0.7</c:v>
                      </c:pt>
                      <c:pt idx="3">
                        <c:v>1</c:v>
                      </c:pt>
                      <c:pt idx="4">
                        <c:v>0.4</c:v>
                      </c:pt>
                      <c:pt idx="5">
                        <c:v>2.1</c:v>
                      </c:pt>
                      <c:pt idx="6">
                        <c:v>0.8</c:v>
                      </c:pt>
                      <c:pt idx="7">
                        <c:v>0.8</c:v>
                      </c:pt>
                      <c:pt idx="8">
                        <c:v>1</c:v>
                      </c:pt>
                      <c:pt idx="9">
                        <c:v>1.5</c:v>
                      </c:pt>
                      <c:pt idx="10">
                        <c:v>2.2000000000000002</c:v>
                      </c:pt>
                      <c:pt idx="11">
                        <c:v>2.6</c:v>
                      </c:pt>
                      <c:pt idx="12">
                        <c:v>1.3</c:v>
                      </c:pt>
                    </c:numCache>
                  </c:numRef>
                </c:val>
                <c:smooth val="0"/>
                <c:extLst xmlns:c15="http://schemas.microsoft.com/office/drawing/2012/chart">
                  <c:ext xmlns:c16="http://schemas.microsoft.com/office/drawing/2014/chart" uri="{C3380CC4-5D6E-409C-BE32-E72D297353CC}">
                    <c16:uniqueId val="{0000000E-2B6D-4771-BE28-4D70273405B1}"/>
                  </c:ext>
                </c:extLst>
              </c15:ser>
            </c15:filteredLineSeries>
            <c15:filteredLineSeries>
              <c15:ser>
                <c:idx val="11"/>
                <c:order val="11"/>
                <c:tx>
                  <c:strRef>
                    <c:extLst xmlns:c15="http://schemas.microsoft.com/office/drawing/2012/chart">
                      <c:ext xmlns:c15="http://schemas.microsoft.com/office/drawing/2012/chart" uri="{02D57815-91ED-43cb-92C2-25804820EDAC}">
                        <c15:formulaRef>
                          <c15:sqref>Baseline!$Q$2</c15:sqref>
                        </c15:formulaRef>
                      </c:ext>
                    </c:extLst>
                    <c:strCache>
                      <c:ptCount val="1"/>
                      <c:pt idx="0">
                        <c:v>PM 10</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Baseline!$Q$3:$Q$15</c15:sqref>
                        </c15:formulaRef>
                      </c:ext>
                    </c:extLst>
                    <c:numCache>
                      <c:formatCode>General</c:formatCode>
                      <c:ptCount val="13"/>
                      <c:pt idx="0">
                        <c:v>1.4</c:v>
                      </c:pt>
                      <c:pt idx="1">
                        <c:v>0.9</c:v>
                      </c:pt>
                      <c:pt idx="2">
                        <c:v>0.7</c:v>
                      </c:pt>
                      <c:pt idx="3">
                        <c:v>1.1000000000000001</c:v>
                      </c:pt>
                      <c:pt idx="4">
                        <c:v>0.4</c:v>
                      </c:pt>
                      <c:pt idx="5">
                        <c:v>2.1</c:v>
                      </c:pt>
                      <c:pt idx="6">
                        <c:v>0.9</c:v>
                      </c:pt>
                      <c:pt idx="7">
                        <c:v>0.8</c:v>
                      </c:pt>
                      <c:pt idx="8">
                        <c:v>1</c:v>
                      </c:pt>
                      <c:pt idx="9">
                        <c:v>1.5</c:v>
                      </c:pt>
                      <c:pt idx="10">
                        <c:v>2.2999999999999998</c:v>
                      </c:pt>
                      <c:pt idx="11">
                        <c:v>2.7</c:v>
                      </c:pt>
                      <c:pt idx="12">
                        <c:v>1.3</c:v>
                      </c:pt>
                    </c:numCache>
                  </c:numRef>
                </c:val>
                <c:smooth val="0"/>
                <c:extLst xmlns:c15="http://schemas.microsoft.com/office/drawing/2012/chart">
                  <c:ext xmlns:c16="http://schemas.microsoft.com/office/drawing/2014/chart" uri="{C3380CC4-5D6E-409C-BE32-E72D297353CC}">
                    <c16:uniqueId val="{0000000F-2B6D-4771-BE28-4D70273405B1}"/>
                  </c:ext>
                </c:extLst>
              </c15:ser>
            </c15:filteredLineSeries>
            <c15:filteredLineSeries>
              <c15:ser>
                <c:idx val="14"/>
                <c:order val="14"/>
                <c:tx>
                  <c:strRef>
                    <c:extLst xmlns:c15="http://schemas.microsoft.com/office/drawing/2012/chart">
                      <c:ext xmlns:c15="http://schemas.microsoft.com/office/drawing/2012/chart" uri="{02D57815-91ED-43cb-92C2-25804820EDAC}">
                        <c15:formulaRef>
                          <c15:sqref>Baseline!$T$2</c15:sqref>
                        </c15:formulaRef>
                      </c:ext>
                    </c:extLst>
                    <c:strCache>
                      <c:ptCount val="1"/>
                      <c:pt idx="0">
                        <c:v>Life Basis T</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Baseline!$T$3:$T$15</c15:sqref>
                        </c15:formulaRef>
                      </c:ext>
                    </c:extLst>
                    <c:numCache>
                      <c:formatCode>General</c:formatCode>
                      <c:ptCount val="13"/>
                      <c:pt idx="0">
                        <c:v>20</c:v>
                      </c:pt>
                      <c:pt idx="1">
                        <c:v>20</c:v>
                      </c:pt>
                      <c:pt idx="2">
                        <c:v>19</c:v>
                      </c:pt>
                      <c:pt idx="3">
                        <c:v>20</c:v>
                      </c:pt>
                      <c:pt idx="4">
                        <c:v>19</c:v>
                      </c:pt>
                      <c:pt idx="5">
                        <c:v>19</c:v>
                      </c:pt>
                      <c:pt idx="6">
                        <c:v>18</c:v>
                      </c:pt>
                      <c:pt idx="7">
                        <c:v>18</c:v>
                      </c:pt>
                      <c:pt idx="8">
                        <c:v>18</c:v>
                      </c:pt>
                      <c:pt idx="9">
                        <c:v>18</c:v>
                      </c:pt>
                      <c:pt idx="10">
                        <c:v>18</c:v>
                      </c:pt>
                      <c:pt idx="11">
                        <c:v>18</c:v>
                      </c:pt>
                      <c:pt idx="12">
                        <c:v>18</c:v>
                      </c:pt>
                    </c:numCache>
                  </c:numRef>
                </c:val>
                <c:smooth val="0"/>
                <c:extLst xmlns:c15="http://schemas.microsoft.com/office/drawing/2012/chart">
                  <c:ext xmlns:c16="http://schemas.microsoft.com/office/drawing/2014/chart" uri="{C3380CC4-5D6E-409C-BE32-E72D297353CC}">
                    <c16:uniqueId val="{00000010-2B6D-4771-BE28-4D70273405B1}"/>
                  </c:ext>
                </c:extLst>
              </c15:ser>
            </c15:filteredLineSeries>
            <c15:filteredLineSeries>
              <c15:ser>
                <c:idx val="15"/>
                <c:order val="15"/>
                <c:tx>
                  <c:strRef>
                    <c:extLst xmlns:c15="http://schemas.microsoft.com/office/drawing/2012/chart">
                      <c:ext xmlns:c15="http://schemas.microsoft.com/office/drawing/2012/chart" uri="{02D57815-91ED-43cb-92C2-25804820EDAC}">
                        <c15:formulaRef>
                          <c15:sqref>Baseline!$U$2</c15:sqref>
                        </c15:formulaRef>
                      </c:ext>
                    </c:extLst>
                    <c:strCache>
                      <c:ptCount val="1"/>
                      <c:pt idx="0">
                        <c:v>Life Basis RH</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Baseline!$U$3:$U$15</c15:sqref>
                        </c15:formulaRef>
                      </c:ext>
                    </c:extLst>
                    <c:numCache>
                      <c:formatCode>General</c:formatCode>
                      <c:ptCount val="13"/>
                      <c:pt idx="0">
                        <c:v>46</c:v>
                      </c:pt>
                      <c:pt idx="1">
                        <c:v>46</c:v>
                      </c:pt>
                      <c:pt idx="2">
                        <c:v>47</c:v>
                      </c:pt>
                      <c:pt idx="3">
                        <c:v>47</c:v>
                      </c:pt>
                      <c:pt idx="4">
                        <c:v>47</c:v>
                      </c:pt>
                      <c:pt idx="5">
                        <c:v>48</c:v>
                      </c:pt>
                      <c:pt idx="6">
                        <c:v>50</c:v>
                      </c:pt>
                      <c:pt idx="7">
                        <c:v>50</c:v>
                      </c:pt>
                      <c:pt idx="8">
                        <c:v>51</c:v>
                      </c:pt>
                      <c:pt idx="9">
                        <c:v>51</c:v>
                      </c:pt>
                      <c:pt idx="10">
                        <c:v>53</c:v>
                      </c:pt>
                      <c:pt idx="11">
                        <c:v>53</c:v>
                      </c:pt>
                      <c:pt idx="12">
                        <c:v>53</c:v>
                      </c:pt>
                    </c:numCache>
                  </c:numRef>
                </c:val>
                <c:smooth val="0"/>
                <c:extLst xmlns:c15="http://schemas.microsoft.com/office/drawing/2012/chart">
                  <c:ext xmlns:c16="http://schemas.microsoft.com/office/drawing/2014/chart" uri="{C3380CC4-5D6E-409C-BE32-E72D297353CC}">
                    <c16:uniqueId val="{00000011-2B6D-4771-BE28-4D70273405B1}"/>
                  </c:ext>
                </c:extLst>
              </c15:ser>
            </c15:filteredLineSeries>
            <c15:filteredLineSeries>
              <c15:ser>
                <c:idx val="16"/>
                <c:order val="16"/>
                <c:tx>
                  <c:strRef>
                    <c:extLst xmlns:c15="http://schemas.microsoft.com/office/drawing/2012/chart">
                      <c:ext xmlns:c15="http://schemas.microsoft.com/office/drawing/2012/chart" uri="{02D57815-91ED-43cb-92C2-25804820EDAC}">
                        <c15:formulaRef>
                          <c15:sqref>Baseline!$V$2</c15:sqref>
                        </c15:formulaRef>
                      </c:ext>
                    </c:extLst>
                    <c:strCache>
                      <c:ptCount val="1"/>
                      <c:pt idx="0">
                        <c:v>PM 1</c:v>
                      </c:pt>
                    </c:strCache>
                  </c:strRef>
                </c:tx>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Baseline!$V$3:$V$15</c15:sqref>
                        </c15:formulaRef>
                      </c:ext>
                    </c:extLst>
                    <c:numCache>
                      <c:formatCode>General</c:formatCode>
                      <c:ptCount val="13"/>
                      <c:pt idx="0">
                        <c:v>1</c:v>
                      </c:pt>
                      <c:pt idx="1">
                        <c:v>1</c:v>
                      </c:pt>
                      <c:pt idx="2">
                        <c:v>1</c:v>
                      </c:pt>
                      <c:pt idx="3">
                        <c:v>2</c:v>
                      </c:pt>
                      <c:pt idx="4">
                        <c:v>2</c:v>
                      </c:pt>
                      <c:pt idx="5">
                        <c:v>3</c:v>
                      </c:pt>
                      <c:pt idx="6">
                        <c:v>1</c:v>
                      </c:pt>
                      <c:pt idx="7">
                        <c:v>1</c:v>
                      </c:pt>
                      <c:pt idx="8">
                        <c:v>1</c:v>
                      </c:pt>
                      <c:pt idx="9">
                        <c:v>1</c:v>
                      </c:pt>
                      <c:pt idx="10">
                        <c:v>2</c:v>
                      </c:pt>
                      <c:pt idx="11">
                        <c:v>1</c:v>
                      </c:pt>
                      <c:pt idx="12">
                        <c:v>2</c:v>
                      </c:pt>
                    </c:numCache>
                  </c:numRef>
                </c:val>
                <c:smooth val="0"/>
                <c:extLst xmlns:c15="http://schemas.microsoft.com/office/drawing/2012/chart">
                  <c:ext xmlns:c16="http://schemas.microsoft.com/office/drawing/2014/chart" uri="{C3380CC4-5D6E-409C-BE32-E72D297353CC}">
                    <c16:uniqueId val="{00000012-2B6D-4771-BE28-4D70273405B1}"/>
                  </c:ext>
                </c:extLst>
              </c15:ser>
            </c15:filteredLineSeries>
            <c15:filteredLineSeries>
              <c15:ser>
                <c:idx val="17"/>
                <c:order val="17"/>
                <c:tx>
                  <c:strRef>
                    <c:extLst xmlns:c15="http://schemas.microsoft.com/office/drawing/2012/chart">
                      <c:ext xmlns:c15="http://schemas.microsoft.com/office/drawing/2012/chart" uri="{02D57815-91ED-43cb-92C2-25804820EDAC}">
                        <c15:formulaRef>
                          <c15:sqref>Baseline!$W$2</c15:sqref>
                        </c15:formulaRef>
                      </c:ext>
                    </c:extLst>
                    <c:strCache>
                      <c:ptCount val="1"/>
                      <c:pt idx="0">
                        <c:v>PM 2.5</c:v>
                      </c:pt>
                    </c:strCache>
                  </c:strRef>
                </c:tx>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Baseline!$W$3:$W$15</c15:sqref>
                        </c15:formulaRef>
                      </c:ext>
                    </c:extLst>
                    <c:numCache>
                      <c:formatCode>General</c:formatCode>
                      <c:ptCount val="13"/>
                      <c:pt idx="0">
                        <c:v>3</c:v>
                      </c:pt>
                      <c:pt idx="1">
                        <c:v>3</c:v>
                      </c:pt>
                      <c:pt idx="2">
                        <c:v>3</c:v>
                      </c:pt>
                      <c:pt idx="3">
                        <c:v>3</c:v>
                      </c:pt>
                      <c:pt idx="4">
                        <c:v>3</c:v>
                      </c:pt>
                      <c:pt idx="5">
                        <c:v>5</c:v>
                      </c:pt>
                      <c:pt idx="6">
                        <c:v>3</c:v>
                      </c:pt>
                      <c:pt idx="7">
                        <c:v>4</c:v>
                      </c:pt>
                      <c:pt idx="8">
                        <c:v>3</c:v>
                      </c:pt>
                      <c:pt idx="9">
                        <c:v>3</c:v>
                      </c:pt>
                      <c:pt idx="10">
                        <c:v>4</c:v>
                      </c:pt>
                      <c:pt idx="11">
                        <c:v>4</c:v>
                      </c:pt>
                      <c:pt idx="12">
                        <c:v>4</c:v>
                      </c:pt>
                    </c:numCache>
                  </c:numRef>
                </c:val>
                <c:smooth val="0"/>
                <c:extLst xmlns:c15="http://schemas.microsoft.com/office/drawing/2012/chart">
                  <c:ext xmlns:c16="http://schemas.microsoft.com/office/drawing/2014/chart" uri="{C3380CC4-5D6E-409C-BE32-E72D297353CC}">
                    <c16:uniqueId val="{00000013-2B6D-4771-BE28-4D70273405B1}"/>
                  </c:ext>
                </c:extLst>
              </c15:ser>
            </c15:filteredLineSeries>
            <c15:filteredLineSeries>
              <c15:ser>
                <c:idx val="18"/>
                <c:order val="18"/>
                <c:tx>
                  <c:strRef>
                    <c:extLst xmlns:c15="http://schemas.microsoft.com/office/drawing/2012/chart">
                      <c:ext xmlns:c15="http://schemas.microsoft.com/office/drawing/2012/chart" uri="{02D57815-91ED-43cb-92C2-25804820EDAC}">
                        <c15:formulaRef>
                          <c15:sqref>Baseline!$X$2</c15:sqref>
                        </c15:formulaRef>
                      </c:ext>
                    </c:extLst>
                    <c:strCache>
                      <c:ptCount val="1"/>
                      <c:pt idx="0">
                        <c:v>PM 10</c:v>
                      </c:pt>
                    </c:strCache>
                  </c:strRef>
                </c:tx>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cat>
                  <c:numRef>
                    <c:extLst xmlns:c15="http://schemas.microsoft.com/office/drawing/2012/chart">
                      <c:ext xmlns:c15="http://schemas.microsoft.com/office/drawing/2012/char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xmlns:c15="http://schemas.microsoft.com/office/drawing/2012/chart">
                      <c:ext xmlns:c15="http://schemas.microsoft.com/office/drawing/2012/chart" uri="{02D57815-91ED-43cb-92C2-25804820EDAC}">
                        <c15:formulaRef>
                          <c15:sqref>Baseline!$X$3:$X$15</c15:sqref>
                        </c15:formulaRef>
                      </c:ext>
                    </c:extLst>
                    <c:numCache>
                      <c:formatCode>General</c:formatCode>
                      <c:ptCount val="13"/>
                      <c:pt idx="0">
                        <c:v>3</c:v>
                      </c:pt>
                      <c:pt idx="1">
                        <c:v>3</c:v>
                      </c:pt>
                      <c:pt idx="2">
                        <c:v>3</c:v>
                      </c:pt>
                      <c:pt idx="3">
                        <c:v>3</c:v>
                      </c:pt>
                      <c:pt idx="4">
                        <c:v>3</c:v>
                      </c:pt>
                      <c:pt idx="5">
                        <c:v>5</c:v>
                      </c:pt>
                      <c:pt idx="6">
                        <c:v>4</c:v>
                      </c:pt>
                      <c:pt idx="7">
                        <c:v>5</c:v>
                      </c:pt>
                      <c:pt idx="8">
                        <c:v>3</c:v>
                      </c:pt>
                      <c:pt idx="9">
                        <c:v>5</c:v>
                      </c:pt>
                      <c:pt idx="10">
                        <c:v>5</c:v>
                      </c:pt>
                      <c:pt idx="11">
                        <c:v>4</c:v>
                      </c:pt>
                      <c:pt idx="12">
                        <c:v>3</c:v>
                      </c:pt>
                    </c:numCache>
                  </c:numRef>
                </c:val>
                <c:smooth val="0"/>
                <c:extLst xmlns:c15="http://schemas.microsoft.com/office/drawing/2012/chart">
                  <c:ext xmlns:c16="http://schemas.microsoft.com/office/drawing/2014/chart" uri="{C3380CC4-5D6E-409C-BE32-E72D297353CC}">
                    <c16:uniqueId val="{00000014-2B6D-4771-BE28-4D70273405B1}"/>
                  </c:ext>
                </c:extLst>
              </c15:ser>
            </c15:filteredLineSeries>
          </c:ext>
        </c:extLst>
      </c:lineChart>
      <c:lineChart>
        <c:grouping val="standard"/>
        <c:varyColors val="0"/>
        <c:ser>
          <c:idx val="12"/>
          <c:order val="12"/>
          <c:tx>
            <c:strRef>
              <c:f>Baseline!$R$2</c:f>
              <c:strCache>
                <c:ptCount val="1"/>
                <c:pt idx="0">
                  <c:v>VOC Index</c:v>
                </c:pt>
              </c:strCache>
              <c:extLst xmlns:c15="http://schemas.microsoft.com/office/drawing/2012/chart"/>
            </c:strRef>
          </c:tx>
          <c:spPr>
            <a:ln w="28575" cap="rnd">
              <a:solidFill>
                <a:schemeClr val="accent6"/>
              </a:solidFill>
              <a:round/>
            </a:ln>
            <a:effectLst/>
          </c:spPr>
          <c:marker>
            <c:symbol val="circle"/>
            <c:size val="5"/>
            <c:spPr>
              <a:solidFill>
                <a:schemeClr val="accent6"/>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extLst xmlns:c15="http://schemas.microsoft.com/office/drawing/2012/chart"/>
            </c:numRef>
          </c:cat>
          <c:val>
            <c:numRef>
              <c:f>Baseline!$R$3:$R$15</c:f>
              <c:numCache>
                <c:formatCode>General</c:formatCode>
                <c:ptCount val="13"/>
                <c:pt idx="0">
                  <c:v>101</c:v>
                </c:pt>
                <c:pt idx="1">
                  <c:v>97</c:v>
                </c:pt>
                <c:pt idx="2">
                  <c:v>101</c:v>
                </c:pt>
                <c:pt idx="3">
                  <c:v>99</c:v>
                </c:pt>
                <c:pt idx="4">
                  <c:v>100</c:v>
                </c:pt>
                <c:pt idx="5">
                  <c:v>98</c:v>
                </c:pt>
                <c:pt idx="6">
                  <c:v>100</c:v>
                </c:pt>
                <c:pt idx="7">
                  <c:v>147</c:v>
                </c:pt>
                <c:pt idx="8">
                  <c:v>178</c:v>
                </c:pt>
                <c:pt idx="9">
                  <c:v>100</c:v>
                </c:pt>
                <c:pt idx="10">
                  <c:v>102</c:v>
                </c:pt>
                <c:pt idx="11">
                  <c:v>101</c:v>
                </c:pt>
                <c:pt idx="12">
                  <c:v>101</c:v>
                </c:pt>
              </c:numCache>
              <c:extLst xmlns:c15="http://schemas.microsoft.com/office/drawing/2012/chart"/>
            </c:numRef>
          </c:val>
          <c:smooth val="0"/>
          <c:extLst>
            <c:ext xmlns:c16="http://schemas.microsoft.com/office/drawing/2014/chart" uri="{C3380CC4-5D6E-409C-BE32-E72D297353CC}">
              <c16:uniqueId val="{00000002-2B6D-4771-BE28-4D70273405B1}"/>
            </c:ext>
          </c:extLst>
        </c:ser>
        <c:ser>
          <c:idx val="13"/>
          <c:order val="13"/>
          <c:tx>
            <c:strRef>
              <c:f>Baseline!$S$2</c:f>
              <c:strCache>
                <c:ptCount val="1"/>
                <c:pt idx="0">
                  <c:v>NOx Index</c:v>
                </c:pt>
              </c:strCache>
              <c:extLst xmlns:c15="http://schemas.microsoft.com/office/drawing/2012/chart"/>
            </c:strRef>
          </c:tx>
          <c:spPr>
            <a:ln w="28575" cap="rnd">
              <a:solidFill>
                <a:schemeClr val="accent6">
                  <a:lumMod val="75000"/>
                </a:schemeClr>
              </a:solidFill>
              <a:round/>
            </a:ln>
            <a:effectLst/>
          </c:spPr>
          <c:marker>
            <c:symbol val="circle"/>
            <c:size val="5"/>
            <c:spPr>
              <a:solidFill>
                <a:schemeClr val="accent6">
                  <a:lumMod val="75000"/>
                </a:schemeClr>
              </a:solidFill>
              <a:ln w="9525">
                <a:noFill/>
              </a:ln>
              <a:effectLst/>
            </c:spPr>
          </c:marker>
          <c:cat>
            <c:numRef>
              <c:f>Baseline!$D$3:$D$15</c:f>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extLst xmlns:c15="http://schemas.microsoft.com/office/drawing/2012/chart"/>
            </c:numRef>
          </c:cat>
          <c:val>
            <c:numRef>
              <c:f>Baseline!$S$3:$S$15</c:f>
              <c:numCache>
                <c:formatCode>General</c:formatCode>
                <c:ptCount val="13"/>
                <c:pt idx="0">
                  <c:v>1</c:v>
                </c:pt>
                <c:pt idx="1">
                  <c:v>1</c:v>
                </c:pt>
                <c:pt idx="2">
                  <c:v>1</c:v>
                </c:pt>
                <c:pt idx="3">
                  <c:v>1</c:v>
                </c:pt>
                <c:pt idx="4">
                  <c:v>1</c:v>
                </c:pt>
                <c:pt idx="5">
                  <c:v>1</c:v>
                </c:pt>
                <c:pt idx="6">
                  <c:v>1</c:v>
                </c:pt>
                <c:pt idx="7">
                  <c:v>1</c:v>
                </c:pt>
                <c:pt idx="8">
                  <c:v>1</c:v>
                </c:pt>
                <c:pt idx="9">
                  <c:v>1</c:v>
                </c:pt>
                <c:pt idx="10">
                  <c:v>1</c:v>
                </c:pt>
                <c:pt idx="11">
                  <c:v>1</c:v>
                </c:pt>
                <c:pt idx="12">
                  <c:v>1</c:v>
                </c:pt>
              </c:numCache>
              <c:extLst xmlns:c15="http://schemas.microsoft.com/office/drawing/2012/chart"/>
            </c:numRef>
          </c:val>
          <c:smooth val="0"/>
          <c:extLst>
            <c:ext xmlns:c16="http://schemas.microsoft.com/office/drawing/2014/chart" uri="{C3380CC4-5D6E-409C-BE32-E72D297353CC}">
              <c16:uniqueId val="{00000003-2B6D-4771-BE28-4D70273405B1}"/>
            </c:ext>
          </c:extLst>
        </c:ser>
        <c:dLbls>
          <c:showLegendKey val="0"/>
          <c:showVal val="0"/>
          <c:showCatName val="0"/>
          <c:showSerName val="0"/>
          <c:showPercent val="0"/>
          <c:showBubbleSize val="0"/>
        </c:dLbls>
        <c:marker val="1"/>
        <c:smooth val="0"/>
        <c:axId val="1515639504"/>
        <c:axId val="1515641424"/>
        <c:extLst>
          <c:ext xmlns:c15="http://schemas.microsoft.com/office/drawing/2012/chart" uri="{02D57815-91ED-43cb-92C2-25804820EDAC}">
            <c15:filteredLineSeries>
              <c15:ser>
                <c:idx val="5"/>
                <c:order val="5"/>
                <c:tx>
                  <c:strRef>
                    <c:extLst>
                      <c:ext uri="{02D57815-91ED-43cb-92C2-25804820EDAC}">
                        <c15:formulaRef>
                          <c15:sqref>Baseline!$K$2</c15:sqref>
                        </c15:formulaRef>
                      </c:ext>
                    </c:extLst>
                    <c:strCache>
                      <c:ptCount val="1"/>
                      <c:pt idx="0">
                        <c:v>BME VOC</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extLst>
                      <c:ext uri="{02D57815-91ED-43cb-92C2-25804820EDAC}">
                        <c15:formulaRef>
                          <c15:sqref>Baseline!$D$3:$D$15</c15:sqref>
                        </c15:formulaRef>
                      </c:ext>
                    </c:extLst>
                    <c:numCache>
                      <c:formatCode>h:mm</c:formatCode>
                      <c:ptCount val="13"/>
                      <c:pt idx="0">
                        <c:v>7.9861111111111105E-2</c:v>
                      </c:pt>
                      <c:pt idx="1">
                        <c:v>8.6805555555555566E-2</c:v>
                      </c:pt>
                      <c:pt idx="2">
                        <c:v>9.375E-2</c:v>
                      </c:pt>
                      <c:pt idx="3">
                        <c:v>0.10069444444444443</c:v>
                      </c:pt>
                      <c:pt idx="4">
                        <c:v>0.1076388888888889</c:v>
                      </c:pt>
                      <c:pt idx="5">
                        <c:v>0.11458333333333333</c:v>
                      </c:pt>
                      <c:pt idx="6">
                        <c:v>0.12152777777777778</c:v>
                      </c:pt>
                      <c:pt idx="7">
                        <c:v>0.12847222222222224</c:v>
                      </c:pt>
                      <c:pt idx="8">
                        <c:v>0.13541666666666666</c:v>
                      </c:pt>
                      <c:pt idx="9">
                        <c:v>0.1423611111111111</c:v>
                      </c:pt>
                      <c:pt idx="10">
                        <c:v>0.14930555555555555</c:v>
                      </c:pt>
                      <c:pt idx="11">
                        <c:v>0.15625</c:v>
                      </c:pt>
                      <c:pt idx="12">
                        <c:v>0.16319444444444445</c:v>
                      </c:pt>
                    </c:numCache>
                  </c:numRef>
                </c:cat>
                <c:val>
                  <c:numRef>
                    <c:extLst>
                      <c:ext uri="{02D57815-91ED-43cb-92C2-25804820EDAC}">
                        <c15:formulaRef>
                          <c15:sqref>Baseline!$K$3:$K$15</c15:sqref>
                        </c15:formulaRef>
                      </c:ext>
                    </c:extLst>
                    <c:numCache>
                      <c:formatCode>General</c:formatCode>
                      <c:ptCount val="13"/>
                      <c:pt idx="0">
                        <c:v>10484</c:v>
                      </c:pt>
                      <c:pt idx="1">
                        <c:v>10349</c:v>
                      </c:pt>
                      <c:pt idx="2">
                        <c:v>10268</c:v>
                      </c:pt>
                      <c:pt idx="3">
                        <c:v>9984</c:v>
                      </c:pt>
                      <c:pt idx="4">
                        <c:v>9900</c:v>
                      </c:pt>
                      <c:pt idx="5">
                        <c:v>10359</c:v>
                      </c:pt>
                      <c:pt idx="6">
                        <c:v>10110</c:v>
                      </c:pt>
                      <c:pt idx="7">
                        <c:v>9386</c:v>
                      </c:pt>
                      <c:pt idx="8">
                        <c:v>9007</c:v>
                      </c:pt>
                      <c:pt idx="9">
                        <c:v>9069</c:v>
                      </c:pt>
                      <c:pt idx="10">
                        <c:v>9077</c:v>
                      </c:pt>
                      <c:pt idx="11">
                        <c:v>9015</c:v>
                      </c:pt>
                      <c:pt idx="12">
                        <c:v>8877</c:v>
                      </c:pt>
                    </c:numCache>
                  </c:numRef>
                </c:val>
                <c:smooth val="0"/>
                <c:extLst>
                  <c:ext xmlns:c16="http://schemas.microsoft.com/office/drawing/2014/chart" uri="{C3380CC4-5D6E-409C-BE32-E72D297353CC}">
                    <c16:uniqueId val="{00000009-2B6D-4771-BE28-4D70273405B1}"/>
                  </c:ext>
                </c:extLst>
              </c15:ser>
            </c15:filteredLineSeries>
          </c:ext>
        </c:extLst>
      </c:lineChart>
      <c:catAx>
        <c:axId val="151563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40944"/>
        <c:crosses val="autoZero"/>
        <c:auto val="1"/>
        <c:lblAlgn val="ctr"/>
        <c:lblOffset val="100"/>
        <c:noMultiLvlLbl val="0"/>
      </c:catAx>
      <c:valAx>
        <c:axId val="151564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100" b="0" i="0" u="none" strike="noStrike" kern="1200" baseline="0">
                    <a:solidFill>
                      <a:schemeClr val="tx1">
                        <a:lumMod val="65000"/>
                        <a:lumOff val="35000"/>
                      </a:schemeClr>
                    </a:solidFill>
                    <a:latin typeface="+mn-lt"/>
                    <a:ea typeface="+mn-ea"/>
                    <a:cs typeface="+mn-cs"/>
                  </a:defRPr>
                </a:pPr>
                <a:r>
                  <a:rPr lang="el-GR" sz="1200" b="0" i="0" baseline="0">
                    <a:effectLst/>
                    <a:latin typeface="Times New Roman" panose="02020603050405020304" pitchFamily="18" charset="0"/>
                    <a:cs typeface="Times New Roman" panose="02020603050405020304" pitchFamily="18" charset="0"/>
                  </a:rPr>
                  <a:t>μ</a:t>
                </a:r>
                <a:r>
                  <a:rPr lang="en-GB" sz="1200" b="0" i="0" baseline="0">
                    <a:effectLst/>
                    <a:latin typeface="Times New Roman" panose="02020603050405020304" pitchFamily="18" charset="0"/>
                    <a:cs typeface="Times New Roman" panose="02020603050405020304" pitchFamily="18" charset="0"/>
                  </a:rPr>
                  <a:t>g/m³</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024"/>
        <c:crosses val="autoZero"/>
        <c:crossBetween val="between"/>
      </c:valAx>
      <c:valAx>
        <c:axId val="1515641424"/>
        <c:scaling>
          <c:orientation val="minMax"/>
          <c:max val="200"/>
        </c:scaling>
        <c:delete val="0"/>
        <c:axPos val="r"/>
        <c:title>
          <c:tx>
            <c:rich>
              <a:bodyPr rot="0" spcFirstLastPara="1" vertOverflow="ellipsis" wrap="square" anchor="b" anchorCtr="0"/>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latin typeface="Times New Roman" panose="02020603050405020304" pitchFamily="18" charset="0"/>
                    <a:cs typeface="Times New Roman" panose="02020603050405020304" pitchFamily="18" charset="0"/>
                  </a:rPr>
                  <a:t>Index</a:t>
                </a:r>
              </a:p>
            </c:rich>
          </c:tx>
          <c:overlay val="0"/>
          <c:spPr>
            <a:noFill/>
            <a:ln>
              <a:noFill/>
            </a:ln>
            <a:effectLst/>
          </c:spPr>
          <c:txPr>
            <a:bodyPr rot="0" spcFirstLastPara="1" vertOverflow="ellipsis" wrap="square" anchor="b" anchorCtr="0"/>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39504"/>
        <c:crosses val="max"/>
        <c:crossBetween val="between"/>
      </c:valAx>
      <c:catAx>
        <c:axId val="1515639504"/>
        <c:scaling>
          <c:orientation val="minMax"/>
        </c:scaling>
        <c:delete val="1"/>
        <c:axPos val="b"/>
        <c:numFmt formatCode="h:mm" sourceLinked="1"/>
        <c:majorTickMark val="out"/>
        <c:minorTickMark val="none"/>
        <c:tickLblPos val="nextTo"/>
        <c:crossAx val="1515641424"/>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400">
                <a:latin typeface="Times New Roman" panose="02020603050405020304" pitchFamily="18" charset="0"/>
                <a:cs typeface="Times New Roman" panose="02020603050405020304" pitchFamily="18" charset="0"/>
              </a:rPr>
              <a:t>Acetone BME680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18"/>
          <c:order val="18"/>
          <c:tx>
            <c:strRef>
              <c:f>Acetone!$T$2</c:f>
              <c:strCache>
                <c:ptCount val="1"/>
                <c:pt idx="0">
                  <c:v>HCHO</c:v>
                </c:pt>
              </c:strCache>
            </c:strRef>
          </c:tx>
          <c:spPr>
            <a:ln w="28575" cap="rnd">
              <a:solidFill>
                <a:schemeClr val="accent1">
                  <a:lumMod val="80000"/>
                </a:schemeClr>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f>Acetone!$T$3:$T$80</c:f>
              <c:numCache>
                <c:formatCode>General</c:formatCode>
                <c:ptCount val="78"/>
                <c:pt idx="0">
                  <c:v>4.1000000000000002E-2</c:v>
                </c:pt>
                <c:pt idx="1">
                  <c:v>3.9E-2</c:v>
                </c:pt>
                <c:pt idx="2">
                  <c:v>3.5000000000000003E-2</c:v>
                </c:pt>
                <c:pt idx="3">
                  <c:v>3.2000000000000001E-2</c:v>
                </c:pt>
                <c:pt idx="4">
                  <c:v>1.9990000000000001</c:v>
                </c:pt>
                <c:pt idx="5">
                  <c:v>1.9990000000000001</c:v>
                </c:pt>
                <c:pt idx="6">
                  <c:v>1.9990000000000001</c:v>
                </c:pt>
                <c:pt idx="7">
                  <c:v>1.9990000000000001</c:v>
                </c:pt>
                <c:pt idx="8">
                  <c:v>1.9990000000000001</c:v>
                </c:pt>
                <c:pt idx="9">
                  <c:v>1.9990000000000001</c:v>
                </c:pt>
                <c:pt idx="10">
                  <c:v>1.9990000000000001</c:v>
                </c:pt>
                <c:pt idx="11">
                  <c:v>1.9990000000000001</c:v>
                </c:pt>
                <c:pt idx="12">
                  <c:v>1.9990000000000001</c:v>
                </c:pt>
                <c:pt idx="13">
                  <c:v>1.9990000000000001</c:v>
                </c:pt>
                <c:pt idx="14">
                  <c:v>1.9990000000000001</c:v>
                </c:pt>
                <c:pt idx="15">
                  <c:v>1.9990000000000001</c:v>
                </c:pt>
                <c:pt idx="16">
                  <c:v>1.9990000000000001</c:v>
                </c:pt>
                <c:pt idx="17">
                  <c:v>1.9990000000000001</c:v>
                </c:pt>
                <c:pt idx="18">
                  <c:v>1.9990000000000001</c:v>
                </c:pt>
                <c:pt idx="19">
                  <c:v>1.9990000000000001</c:v>
                </c:pt>
                <c:pt idx="20">
                  <c:v>1.9990000000000001</c:v>
                </c:pt>
                <c:pt idx="21">
                  <c:v>1.9990000000000001</c:v>
                </c:pt>
                <c:pt idx="22">
                  <c:v>1.9990000000000001</c:v>
                </c:pt>
                <c:pt idx="23">
                  <c:v>1.3879999999999999</c:v>
                </c:pt>
                <c:pt idx="24">
                  <c:v>1.347</c:v>
                </c:pt>
                <c:pt idx="25">
                  <c:v>1.2749999999999999</c:v>
                </c:pt>
                <c:pt idx="26">
                  <c:v>1.208</c:v>
                </c:pt>
                <c:pt idx="27">
                  <c:v>1.1220000000000001</c:v>
                </c:pt>
                <c:pt idx="28">
                  <c:v>1.0669999999999999</c:v>
                </c:pt>
                <c:pt idx="29">
                  <c:v>1.0149999999999999</c:v>
                </c:pt>
                <c:pt idx="30">
                  <c:v>0.95799999999999996</c:v>
                </c:pt>
                <c:pt idx="31">
                  <c:v>0.90400000000000003</c:v>
                </c:pt>
                <c:pt idx="32">
                  <c:v>0.84399999999999997</c:v>
                </c:pt>
                <c:pt idx="33">
                  <c:v>0.81100000000000005</c:v>
                </c:pt>
                <c:pt idx="34">
                  <c:v>0.76400000000000001</c:v>
                </c:pt>
                <c:pt idx="35">
                  <c:v>0.71299999999999997</c:v>
                </c:pt>
                <c:pt idx="36">
                  <c:v>0.69199999999999995</c:v>
                </c:pt>
                <c:pt idx="37">
                  <c:v>0.66400000000000003</c:v>
                </c:pt>
                <c:pt idx="38">
                  <c:v>0.64500000000000002</c:v>
                </c:pt>
                <c:pt idx="39">
                  <c:v>0.60099999999999998</c:v>
                </c:pt>
                <c:pt idx="40">
                  <c:v>0.57599999999999996</c:v>
                </c:pt>
                <c:pt idx="41">
                  <c:v>0.54100000000000004</c:v>
                </c:pt>
                <c:pt idx="42">
                  <c:v>0.51600000000000001</c:v>
                </c:pt>
                <c:pt idx="43">
                  <c:v>0.48699999999999999</c:v>
                </c:pt>
                <c:pt idx="44">
                  <c:v>0.45300000000000001</c:v>
                </c:pt>
                <c:pt idx="45">
                  <c:v>0.42399999999999999</c:v>
                </c:pt>
                <c:pt idx="46">
                  <c:v>0.40300000000000002</c:v>
                </c:pt>
                <c:pt idx="47">
                  <c:v>0.377</c:v>
                </c:pt>
                <c:pt idx="48">
                  <c:v>0.36199999999999999</c:v>
                </c:pt>
                <c:pt idx="49">
                  <c:v>0.34200000000000003</c:v>
                </c:pt>
                <c:pt idx="50">
                  <c:v>0.32700000000000001</c:v>
                </c:pt>
                <c:pt idx="51">
                  <c:v>0.307</c:v>
                </c:pt>
                <c:pt idx="52">
                  <c:v>0.27900000000000003</c:v>
                </c:pt>
                <c:pt idx="53">
                  <c:v>0.254</c:v>
                </c:pt>
                <c:pt idx="54">
                  <c:v>0.24099999999999999</c:v>
                </c:pt>
                <c:pt idx="55">
                  <c:v>0.219</c:v>
                </c:pt>
                <c:pt idx="56">
                  <c:v>0.20899999999999999</c:v>
                </c:pt>
                <c:pt idx="57">
                  <c:v>0.19900000000000001</c:v>
                </c:pt>
                <c:pt idx="58">
                  <c:v>0.19700000000000001</c:v>
                </c:pt>
                <c:pt idx="59">
                  <c:v>0.193</c:v>
                </c:pt>
                <c:pt idx="60">
                  <c:v>0.189</c:v>
                </c:pt>
                <c:pt idx="61">
                  <c:v>0.187</c:v>
                </c:pt>
                <c:pt idx="62">
                  <c:v>0.183</c:v>
                </c:pt>
                <c:pt idx="63">
                  <c:v>0.18</c:v>
                </c:pt>
                <c:pt idx="64">
                  <c:v>0.17799999999999999</c:v>
                </c:pt>
                <c:pt idx="65">
                  <c:v>0.17599999999999999</c:v>
                </c:pt>
                <c:pt idx="66">
                  <c:v>0.17399999999999999</c:v>
                </c:pt>
                <c:pt idx="67">
                  <c:v>0.17</c:v>
                </c:pt>
                <c:pt idx="68">
                  <c:v>0.17</c:v>
                </c:pt>
                <c:pt idx="69">
                  <c:v>0.16800000000000001</c:v>
                </c:pt>
                <c:pt idx="70">
                  <c:v>0.16500000000000001</c:v>
                </c:pt>
                <c:pt idx="71">
                  <c:v>0.16300000000000001</c:v>
                </c:pt>
                <c:pt idx="72">
                  <c:v>0.14599999999999999</c:v>
                </c:pt>
                <c:pt idx="73">
                  <c:v>0.13700000000000001</c:v>
                </c:pt>
                <c:pt idx="74">
                  <c:v>0.12</c:v>
                </c:pt>
                <c:pt idx="75">
                  <c:v>0.123</c:v>
                </c:pt>
                <c:pt idx="76">
                  <c:v>0.11899999999999999</c:v>
                </c:pt>
                <c:pt idx="77">
                  <c:v>0.113</c:v>
                </c:pt>
              </c:numCache>
            </c:numRef>
          </c:val>
          <c:smooth val="0"/>
          <c:extLst>
            <c:ext xmlns:c16="http://schemas.microsoft.com/office/drawing/2014/chart" uri="{C3380CC4-5D6E-409C-BE32-E72D297353CC}">
              <c16:uniqueId val="{00000000-4220-4B39-B66A-D84C5531EE3E}"/>
            </c:ext>
          </c:extLst>
        </c:ser>
        <c:ser>
          <c:idx val="19"/>
          <c:order val="19"/>
          <c:tx>
            <c:strRef>
              <c:f>Acetone!$U$2</c:f>
              <c:strCache>
                <c:ptCount val="1"/>
                <c:pt idx="0">
                  <c:v>tVOC</c:v>
                </c:pt>
              </c:strCache>
            </c:strRef>
          </c:tx>
          <c:spPr>
            <a:ln w="28575" cap="rnd">
              <a:solidFill>
                <a:schemeClr val="accent2">
                  <a:lumMod val="80000"/>
                </a:schemeClr>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f>Acetone!$U$3:$U$80</c:f>
              <c:numCache>
                <c:formatCode>General</c:formatCode>
                <c:ptCount val="78"/>
                <c:pt idx="0">
                  <c:v>0.19500000000000001</c:v>
                </c:pt>
                <c:pt idx="1">
                  <c:v>0.185</c:v>
                </c:pt>
                <c:pt idx="2">
                  <c:v>0.16800000000000001</c:v>
                </c:pt>
                <c:pt idx="3">
                  <c:v>0.152</c:v>
                </c:pt>
                <c:pt idx="4">
                  <c:v>9.9990000000000006</c:v>
                </c:pt>
                <c:pt idx="5">
                  <c:v>9.9990000000000006</c:v>
                </c:pt>
                <c:pt idx="6">
                  <c:v>9.9990000000000006</c:v>
                </c:pt>
                <c:pt idx="7">
                  <c:v>9.9990000000000006</c:v>
                </c:pt>
                <c:pt idx="8">
                  <c:v>9.9990000000000006</c:v>
                </c:pt>
                <c:pt idx="9">
                  <c:v>9.9990000000000006</c:v>
                </c:pt>
                <c:pt idx="10">
                  <c:v>9.9990000000000006</c:v>
                </c:pt>
                <c:pt idx="11">
                  <c:v>9.9990000000000006</c:v>
                </c:pt>
                <c:pt idx="12">
                  <c:v>9.9990000000000006</c:v>
                </c:pt>
                <c:pt idx="13">
                  <c:v>9.9990000000000006</c:v>
                </c:pt>
                <c:pt idx="14">
                  <c:v>9.9990000000000006</c:v>
                </c:pt>
                <c:pt idx="15">
                  <c:v>9.9990000000000006</c:v>
                </c:pt>
                <c:pt idx="16">
                  <c:v>9.9990000000000006</c:v>
                </c:pt>
                <c:pt idx="17">
                  <c:v>9.9990000000000006</c:v>
                </c:pt>
                <c:pt idx="18">
                  <c:v>9.9990000000000006</c:v>
                </c:pt>
                <c:pt idx="19">
                  <c:v>9.9990000000000006</c:v>
                </c:pt>
                <c:pt idx="20">
                  <c:v>9.9990000000000006</c:v>
                </c:pt>
                <c:pt idx="21">
                  <c:v>9.9990000000000006</c:v>
                </c:pt>
                <c:pt idx="22">
                  <c:v>9.9990000000000006</c:v>
                </c:pt>
                <c:pt idx="23">
                  <c:v>9.9990000000000006</c:v>
                </c:pt>
                <c:pt idx="24">
                  <c:v>9.9990000000000006</c:v>
                </c:pt>
                <c:pt idx="25">
                  <c:v>9.9990000000000006</c:v>
                </c:pt>
                <c:pt idx="26">
                  <c:v>9.9990000000000006</c:v>
                </c:pt>
                <c:pt idx="27">
                  <c:v>9.9990000000000006</c:v>
                </c:pt>
                <c:pt idx="28">
                  <c:v>9.9990000000000006</c:v>
                </c:pt>
                <c:pt idx="29">
                  <c:v>9.9990000000000006</c:v>
                </c:pt>
                <c:pt idx="30">
                  <c:v>9.9990000000000006</c:v>
                </c:pt>
                <c:pt idx="31">
                  <c:v>9.9990000000000006</c:v>
                </c:pt>
                <c:pt idx="32">
                  <c:v>9.9990000000000006</c:v>
                </c:pt>
                <c:pt idx="33">
                  <c:v>9.9990000000000006</c:v>
                </c:pt>
                <c:pt idx="34">
                  <c:v>9.9990000000000006</c:v>
                </c:pt>
                <c:pt idx="35">
                  <c:v>9.9990000000000006</c:v>
                </c:pt>
                <c:pt idx="36">
                  <c:v>9.9990000000000006</c:v>
                </c:pt>
                <c:pt idx="37">
                  <c:v>8.4849999999999994</c:v>
                </c:pt>
                <c:pt idx="38">
                  <c:v>7.7649999999999997</c:v>
                </c:pt>
                <c:pt idx="39">
                  <c:v>6.55</c:v>
                </c:pt>
                <c:pt idx="40">
                  <c:v>5.56</c:v>
                </c:pt>
                <c:pt idx="41">
                  <c:v>4.4349999999999996</c:v>
                </c:pt>
                <c:pt idx="42">
                  <c:v>5</c:v>
                </c:pt>
                <c:pt idx="43">
                  <c:v>4.633</c:v>
                </c:pt>
                <c:pt idx="44">
                  <c:v>4.2160000000000002</c:v>
                </c:pt>
                <c:pt idx="45">
                  <c:v>3.9159999999999999</c:v>
                </c:pt>
                <c:pt idx="46">
                  <c:v>3.6160000000000001</c:v>
                </c:pt>
                <c:pt idx="47">
                  <c:v>3.3159999999999998</c:v>
                </c:pt>
                <c:pt idx="48">
                  <c:v>3.133</c:v>
                </c:pt>
                <c:pt idx="49">
                  <c:v>2.95</c:v>
                </c:pt>
                <c:pt idx="50">
                  <c:v>2.7749999999999999</c:v>
                </c:pt>
                <c:pt idx="51">
                  <c:v>2.6949999999999998</c:v>
                </c:pt>
                <c:pt idx="52">
                  <c:v>2.63</c:v>
                </c:pt>
                <c:pt idx="53">
                  <c:v>2.54</c:v>
                </c:pt>
                <c:pt idx="54">
                  <c:v>2.44</c:v>
                </c:pt>
                <c:pt idx="55">
                  <c:v>2.38</c:v>
                </c:pt>
                <c:pt idx="56">
                  <c:v>2.34</c:v>
                </c:pt>
                <c:pt idx="57">
                  <c:v>2.29</c:v>
                </c:pt>
                <c:pt idx="58">
                  <c:v>2.25</c:v>
                </c:pt>
                <c:pt idx="59">
                  <c:v>2.19</c:v>
                </c:pt>
                <c:pt idx="60">
                  <c:v>2.1150000000000002</c:v>
                </c:pt>
                <c:pt idx="61">
                  <c:v>2.08</c:v>
                </c:pt>
                <c:pt idx="62">
                  <c:v>1.9750000000000001</c:v>
                </c:pt>
                <c:pt idx="63">
                  <c:v>1.9350000000000001</c:v>
                </c:pt>
                <c:pt idx="64">
                  <c:v>1.855</c:v>
                </c:pt>
                <c:pt idx="65">
                  <c:v>1.83</c:v>
                </c:pt>
                <c:pt idx="66">
                  <c:v>1.825</c:v>
                </c:pt>
                <c:pt idx="67">
                  <c:v>1.8149999999999999</c:v>
                </c:pt>
                <c:pt idx="68">
                  <c:v>1.7689999999999999</c:v>
                </c:pt>
                <c:pt idx="69">
                  <c:v>1.752</c:v>
                </c:pt>
                <c:pt idx="70">
                  <c:v>1.72</c:v>
                </c:pt>
                <c:pt idx="71">
                  <c:v>1.6890000000000001</c:v>
                </c:pt>
                <c:pt idx="72">
                  <c:v>1.44</c:v>
                </c:pt>
                <c:pt idx="73">
                  <c:v>1.234</c:v>
                </c:pt>
                <c:pt idx="74">
                  <c:v>1.157</c:v>
                </c:pt>
                <c:pt idx="75">
                  <c:v>1.04</c:v>
                </c:pt>
                <c:pt idx="76">
                  <c:v>0.99</c:v>
                </c:pt>
                <c:pt idx="77">
                  <c:v>0.92700000000000005</c:v>
                </c:pt>
              </c:numCache>
            </c:numRef>
          </c:val>
          <c:smooth val="0"/>
          <c:extLst>
            <c:ext xmlns:c16="http://schemas.microsoft.com/office/drawing/2014/chart" uri="{C3380CC4-5D6E-409C-BE32-E72D297353CC}">
              <c16:uniqueId val="{00000001-4220-4B39-B66A-D84C5531EE3E}"/>
            </c:ext>
          </c:extLst>
        </c:ser>
        <c:dLbls>
          <c:showLegendKey val="0"/>
          <c:showVal val="0"/>
          <c:showCatName val="0"/>
          <c:showSerName val="0"/>
          <c:showPercent val="0"/>
          <c:showBubbleSize val="0"/>
        </c:dLbls>
        <c:marker val="1"/>
        <c:smooth val="0"/>
        <c:axId val="1517485344"/>
        <c:axId val="1526483984"/>
        <c:extLst>
          <c:ext xmlns:c15="http://schemas.microsoft.com/office/drawing/2012/chart" uri="{02D57815-91ED-43cb-92C2-25804820EDAC}">
            <c15:filteredLineSeries>
              <c15:ser>
                <c:idx val="0"/>
                <c:order val="0"/>
                <c:tx>
                  <c:strRef>
                    <c:extLst>
                      <c:ext uri="{02D57815-91ED-43cb-92C2-25804820EDAC}">
                        <c15:formulaRef>
                          <c15:sqref>Acetone!$B$2</c15:sqref>
                        </c15:formulaRef>
                      </c:ext>
                    </c:extLst>
                    <c:strCache>
                      <c:ptCount val="1"/>
                      <c:pt idx="0">
                        <c:v>temp</c:v>
                      </c:pt>
                    </c:strCache>
                  </c:strRef>
                </c:tx>
                <c:spPr>
                  <a:ln w="28575" cap="rnd">
                    <a:solidFill>
                      <a:schemeClr val="accent1"/>
                    </a:solidFill>
                    <a:round/>
                  </a:ln>
                  <a:effectLst/>
                </c:spPr>
                <c:marker>
                  <c:symbol val="none"/>
                </c:marker>
                <c:cat>
                  <c:numRef>
                    <c:extLst>
                      <c:ex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c:ext uri="{02D57815-91ED-43cb-92C2-25804820EDAC}">
                        <c15:formulaRef>
                          <c15:sqref>Acetone!$B$3:$B$80</c15:sqref>
                        </c15:formulaRef>
                      </c:ext>
                    </c:extLst>
                    <c:numCache>
                      <c:formatCode>General</c:formatCode>
                      <c:ptCount val="78"/>
                      <c:pt idx="0">
                        <c:v>21.2</c:v>
                      </c:pt>
                      <c:pt idx="1">
                        <c:v>21.2</c:v>
                      </c:pt>
                      <c:pt idx="2">
                        <c:v>21.2</c:v>
                      </c:pt>
                      <c:pt idx="3">
                        <c:v>21.2</c:v>
                      </c:pt>
                    </c:numCache>
                  </c:numRef>
                </c:val>
                <c:smooth val="0"/>
                <c:extLst>
                  <c:ext xmlns:c16="http://schemas.microsoft.com/office/drawing/2014/chart" uri="{C3380CC4-5D6E-409C-BE32-E72D297353CC}">
                    <c16:uniqueId val="{00000003-4220-4B39-B66A-D84C5531EE3E}"/>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Acetone!$C$2</c15:sqref>
                        </c15:formulaRef>
                      </c:ext>
                    </c:extLst>
                    <c:strCache>
                      <c:ptCount val="1"/>
                      <c:pt idx="0">
                        <c:v>RH</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Acetone!$C$3:$C$80</c15:sqref>
                        </c15:formulaRef>
                      </c:ext>
                    </c:extLst>
                    <c:numCache>
                      <c:formatCode>General</c:formatCode>
                      <c:ptCount val="78"/>
                      <c:pt idx="0">
                        <c:v>49</c:v>
                      </c:pt>
                      <c:pt idx="1">
                        <c:v>49</c:v>
                      </c:pt>
                      <c:pt idx="2">
                        <c:v>49</c:v>
                      </c:pt>
                      <c:pt idx="3">
                        <c:v>49</c:v>
                      </c:pt>
                    </c:numCache>
                  </c:numRef>
                </c:val>
                <c:smooth val="0"/>
                <c:extLst xmlns:c15="http://schemas.microsoft.com/office/drawing/2012/chart">
                  <c:ext xmlns:c16="http://schemas.microsoft.com/office/drawing/2014/chart" uri="{C3380CC4-5D6E-409C-BE32-E72D297353CC}">
                    <c16:uniqueId val="{00000004-4220-4B39-B66A-D84C5531EE3E}"/>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Acetone!$D$2</c15:sqref>
                        </c15:formulaRef>
                      </c:ext>
                    </c:extLst>
                    <c:strCache>
                      <c:ptCount val="1"/>
                      <c:pt idx="0">
                        <c:v>temp</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Acetone!$D$3:$D$80</c15:sqref>
                        </c15:formulaRef>
                      </c:ext>
                    </c:extLst>
                    <c:numCache>
                      <c:formatCode>General</c:formatCode>
                      <c:ptCount val="78"/>
                      <c:pt idx="0">
                        <c:v>21.67</c:v>
                      </c:pt>
                      <c:pt idx="1">
                        <c:v>21.69</c:v>
                      </c:pt>
                      <c:pt idx="2">
                        <c:v>21.72</c:v>
                      </c:pt>
                      <c:pt idx="3">
                        <c:v>21.71</c:v>
                      </c:pt>
                    </c:numCache>
                  </c:numRef>
                </c:val>
                <c:smooth val="0"/>
                <c:extLst xmlns:c15="http://schemas.microsoft.com/office/drawing/2012/chart">
                  <c:ext xmlns:c16="http://schemas.microsoft.com/office/drawing/2014/chart" uri="{C3380CC4-5D6E-409C-BE32-E72D297353CC}">
                    <c16:uniqueId val="{00000005-4220-4B39-B66A-D84C5531EE3E}"/>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Acetone!$E$2</c15:sqref>
                        </c15:formulaRef>
                      </c:ext>
                    </c:extLst>
                    <c:strCache>
                      <c:ptCount val="1"/>
                      <c:pt idx="0">
                        <c:v>RH</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Acetone!$E$3:$E$80</c15:sqref>
                        </c15:formulaRef>
                      </c:ext>
                    </c:extLst>
                    <c:numCache>
                      <c:formatCode>General</c:formatCode>
                      <c:ptCount val="78"/>
                      <c:pt idx="0">
                        <c:v>51.975000000000001</c:v>
                      </c:pt>
                      <c:pt idx="1">
                        <c:v>51.895000000000003</c:v>
                      </c:pt>
                      <c:pt idx="2">
                        <c:v>51.798000000000002</c:v>
                      </c:pt>
                      <c:pt idx="3">
                        <c:v>51.941000000000003</c:v>
                      </c:pt>
                    </c:numCache>
                  </c:numRef>
                </c:val>
                <c:smooth val="0"/>
                <c:extLst xmlns:c15="http://schemas.microsoft.com/office/drawing/2012/chart">
                  <c:ext xmlns:c16="http://schemas.microsoft.com/office/drawing/2014/chart" uri="{C3380CC4-5D6E-409C-BE32-E72D297353CC}">
                    <c16:uniqueId val="{00000006-4220-4B39-B66A-D84C5531EE3E}"/>
                  </c:ext>
                </c:extLst>
              </c15:ser>
            </c15:filteredLineSeries>
            <c15:filteredLineSeries>
              <c15:ser>
                <c:idx val="5"/>
                <c:order val="5"/>
                <c:tx>
                  <c:strRef>
                    <c:extLst xmlns:c15="http://schemas.microsoft.com/office/drawing/2012/chart">
                      <c:ext xmlns:c15="http://schemas.microsoft.com/office/drawing/2012/chart" uri="{02D57815-91ED-43cb-92C2-25804820EDAC}">
                        <c15:formulaRef>
                          <c15:sqref>Acetone!$G$2</c15:sqref>
                        </c15:formulaRef>
                      </c:ext>
                    </c:extLst>
                    <c:strCache>
                      <c:ptCount val="1"/>
                      <c:pt idx="0">
                        <c:v>temp</c:v>
                      </c:pt>
                    </c:strCache>
                  </c:strRef>
                </c:tx>
                <c:spPr>
                  <a:ln w="28575" cap="rnd">
                    <a:solidFill>
                      <a:schemeClr val="accent6"/>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Acetone!$G$3:$G$80</c15:sqref>
                        </c15:formulaRef>
                      </c:ext>
                    </c:extLst>
                    <c:numCache>
                      <c:formatCode>General</c:formatCode>
                      <c:ptCount val="78"/>
                      <c:pt idx="0">
                        <c:v>21.145</c:v>
                      </c:pt>
                      <c:pt idx="1">
                        <c:v>21.135000000000002</c:v>
                      </c:pt>
                      <c:pt idx="2">
                        <c:v>21.125</c:v>
                      </c:pt>
                      <c:pt idx="3">
                        <c:v>21.114999999999998</c:v>
                      </c:pt>
                    </c:numCache>
                  </c:numRef>
                </c:val>
                <c:smooth val="0"/>
                <c:extLst xmlns:c15="http://schemas.microsoft.com/office/drawing/2012/chart">
                  <c:ext xmlns:c16="http://schemas.microsoft.com/office/drawing/2014/chart" uri="{C3380CC4-5D6E-409C-BE32-E72D297353CC}">
                    <c16:uniqueId val="{00000007-4220-4B39-B66A-D84C5531EE3E}"/>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Acetone!$H$2</c15:sqref>
                        </c15:formulaRef>
                      </c:ext>
                    </c:extLst>
                    <c:strCache>
                      <c:ptCount val="1"/>
                      <c:pt idx="0">
                        <c:v>RH</c:v>
                      </c:pt>
                    </c:strCache>
                  </c:strRef>
                </c:tx>
                <c:spPr>
                  <a:ln w="28575" cap="rnd">
                    <a:solidFill>
                      <a:schemeClr val="accent1">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Acetone!$H$3:$H$80</c15:sqref>
                        </c15:formulaRef>
                      </c:ext>
                    </c:extLst>
                    <c:numCache>
                      <c:formatCode>General</c:formatCode>
                      <c:ptCount val="78"/>
                      <c:pt idx="0">
                        <c:v>50.4</c:v>
                      </c:pt>
                      <c:pt idx="1">
                        <c:v>50.42</c:v>
                      </c:pt>
                      <c:pt idx="2">
                        <c:v>50.41</c:v>
                      </c:pt>
                      <c:pt idx="3">
                        <c:v>50.51</c:v>
                      </c:pt>
                    </c:numCache>
                  </c:numRef>
                </c:val>
                <c:smooth val="0"/>
                <c:extLst xmlns:c15="http://schemas.microsoft.com/office/drawing/2012/chart">
                  <c:ext xmlns:c16="http://schemas.microsoft.com/office/drawing/2014/chart" uri="{C3380CC4-5D6E-409C-BE32-E72D297353CC}">
                    <c16:uniqueId val="{00000008-4220-4B39-B66A-D84C5531EE3E}"/>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Acetone!$I$2</c15:sqref>
                        </c15:formulaRef>
                      </c:ext>
                    </c:extLst>
                    <c:strCache>
                      <c:ptCount val="1"/>
                      <c:pt idx="0">
                        <c:v>PM 1</c:v>
                      </c:pt>
                    </c:strCache>
                  </c:strRef>
                </c:tx>
                <c:spPr>
                  <a:ln w="28575" cap="rnd">
                    <a:solidFill>
                      <a:schemeClr val="accent2">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Acetone!$I$3:$I$80</c15:sqref>
                        </c15:formulaRef>
                      </c:ext>
                    </c:extLst>
                    <c:numCache>
                      <c:formatCode>General</c:formatCode>
                      <c:ptCount val="78"/>
                      <c:pt idx="0">
                        <c:v>0.7</c:v>
                      </c:pt>
                      <c:pt idx="1">
                        <c:v>0.6</c:v>
                      </c:pt>
                      <c:pt idx="2">
                        <c:v>0.6</c:v>
                      </c:pt>
                      <c:pt idx="3">
                        <c:v>0.7</c:v>
                      </c:pt>
                      <c:pt idx="4">
                        <c:v>3.9</c:v>
                      </c:pt>
                      <c:pt idx="5">
                        <c:v>3.1</c:v>
                      </c:pt>
                      <c:pt idx="6">
                        <c:v>2.2000000000000002</c:v>
                      </c:pt>
                      <c:pt idx="7">
                        <c:v>1.7</c:v>
                      </c:pt>
                      <c:pt idx="8">
                        <c:v>1.3</c:v>
                      </c:pt>
                      <c:pt idx="9">
                        <c:v>1.1000000000000001</c:v>
                      </c:pt>
                      <c:pt idx="10">
                        <c:v>1.1000000000000001</c:v>
                      </c:pt>
                      <c:pt idx="11">
                        <c:v>1</c:v>
                      </c:pt>
                      <c:pt idx="12">
                        <c:v>0.9</c:v>
                      </c:pt>
                    </c:numCache>
                  </c:numRef>
                </c:val>
                <c:smooth val="0"/>
                <c:extLst xmlns:c15="http://schemas.microsoft.com/office/drawing/2012/chart">
                  <c:ext xmlns:c16="http://schemas.microsoft.com/office/drawing/2014/chart" uri="{C3380CC4-5D6E-409C-BE32-E72D297353CC}">
                    <c16:uniqueId val="{00000009-4220-4B39-B66A-D84C5531EE3E}"/>
                  </c:ext>
                </c:extLst>
              </c15:ser>
            </c15:filteredLineSeries>
            <c15:filteredLineSeries>
              <c15:ser>
                <c:idx val="8"/>
                <c:order val="8"/>
                <c:tx>
                  <c:strRef>
                    <c:extLst xmlns:c15="http://schemas.microsoft.com/office/drawing/2012/chart">
                      <c:ext xmlns:c15="http://schemas.microsoft.com/office/drawing/2012/chart" uri="{02D57815-91ED-43cb-92C2-25804820EDAC}">
                        <c15:formulaRef>
                          <c15:sqref>Acetone!$J$2</c15:sqref>
                        </c15:formulaRef>
                      </c:ext>
                    </c:extLst>
                    <c:strCache>
                      <c:ptCount val="1"/>
                      <c:pt idx="0">
                        <c:v>PM2.5</c:v>
                      </c:pt>
                    </c:strCache>
                  </c:strRef>
                </c:tx>
                <c:spPr>
                  <a:ln w="28575" cap="rnd">
                    <a:solidFill>
                      <a:schemeClr val="accent3">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Acetone!$J$3:$J$80</c15:sqref>
                        </c15:formulaRef>
                      </c:ext>
                    </c:extLst>
                    <c:numCache>
                      <c:formatCode>General</c:formatCode>
                      <c:ptCount val="78"/>
                      <c:pt idx="0">
                        <c:v>0.8</c:v>
                      </c:pt>
                      <c:pt idx="1">
                        <c:v>0.6</c:v>
                      </c:pt>
                      <c:pt idx="2">
                        <c:v>7.0000000000000007E-2</c:v>
                      </c:pt>
                      <c:pt idx="3">
                        <c:v>0.7</c:v>
                      </c:pt>
                      <c:pt idx="4">
                        <c:v>4.2</c:v>
                      </c:pt>
                      <c:pt idx="5">
                        <c:v>3.3</c:v>
                      </c:pt>
                      <c:pt idx="6">
                        <c:v>2.4</c:v>
                      </c:pt>
                      <c:pt idx="7">
                        <c:v>1.8</c:v>
                      </c:pt>
                      <c:pt idx="8">
                        <c:v>1.4</c:v>
                      </c:pt>
                      <c:pt idx="9">
                        <c:v>1.2</c:v>
                      </c:pt>
                      <c:pt idx="10">
                        <c:v>1.1000000000000001</c:v>
                      </c:pt>
                      <c:pt idx="11">
                        <c:v>1.1000000000000001</c:v>
                      </c:pt>
                      <c:pt idx="12">
                        <c:v>1</c:v>
                      </c:pt>
                    </c:numCache>
                  </c:numRef>
                </c:val>
                <c:smooth val="0"/>
                <c:extLst xmlns:c15="http://schemas.microsoft.com/office/drawing/2012/chart">
                  <c:ext xmlns:c16="http://schemas.microsoft.com/office/drawing/2014/chart" uri="{C3380CC4-5D6E-409C-BE32-E72D297353CC}">
                    <c16:uniqueId val="{0000000A-4220-4B39-B66A-D84C5531EE3E}"/>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Acetone!$K$2</c15:sqref>
                        </c15:formulaRef>
                      </c:ext>
                    </c:extLst>
                    <c:strCache>
                      <c:ptCount val="1"/>
                      <c:pt idx="0">
                        <c:v>PM 4</c:v>
                      </c:pt>
                    </c:strCache>
                  </c:strRef>
                </c:tx>
                <c:spPr>
                  <a:ln w="28575" cap="rnd">
                    <a:solidFill>
                      <a:schemeClr val="accent4">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Acetone!$K$3:$K$80</c15:sqref>
                        </c15:formulaRef>
                      </c:ext>
                    </c:extLst>
                    <c:numCache>
                      <c:formatCode>General</c:formatCode>
                      <c:ptCount val="78"/>
                      <c:pt idx="0">
                        <c:v>0.8</c:v>
                      </c:pt>
                      <c:pt idx="1">
                        <c:v>0.6</c:v>
                      </c:pt>
                      <c:pt idx="2">
                        <c:v>0.7</c:v>
                      </c:pt>
                      <c:pt idx="3">
                        <c:v>0.7</c:v>
                      </c:pt>
                      <c:pt idx="4">
                        <c:v>4.3</c:v>
                      </c:pt>
                      <c:pt idx="5">
                        <c:v>3.4</c:v>
                      </c:pt>
                      <c:pt idx="6">
                        <c:v>2.4</c:v>
                      </c:pt>
                      <c:pt idx="7">
                        <c:v>1.8</c:v>
                      </c:pt>
                      <c:pt idx="8">
                        <c:v>1.5</c:v>
                      </c:pt>
                      <c:pt idx="9">
                        <c:v>1.3</c:v>
                      </c:pt>
                      <c:pt idx="10">
                        <c:v>1.2</c:v>
                      </c:pt>
                      <c:pt idx="11">
                        <c:v>1.1000000000000001</c:v>
                      </c:pt>
                      <c:pt idx="12">
                        <c:v>1</c:v>
                      </c:pt>
                    </c:numCache>
                  </c:numRef>
                </c:val>
                <c:smooth val="0"/>
                <c:extLst xmlns:c15="http://schemas.microsoft.com/office/drawing/2012/chart">
                  <c:ext xmlns:c16="http://schemas.microsoft.com/office/drawing/2014/chart" uri="{C3380CC4-5D6E-409C-BE32-E72D297353CC}">
                    <c16:uniqueId val="{0000000B-4220-4B39-B66A-D84C5531EE3E}"/>
                  </c:ext>
                </c:extLst>
              </c15:ser>
            </c15:filteredLineSeries>
            <c15:filteredLineSeries>
              <c15:ser>
                <c:idx val="10"/>
                <c:order val="10"/>
                <c:tx>
                  <c:strRef>
                    <c:extLst xmlns:c15="http://schemas.microsoft.com/office/drawing/2012/chart">
                      <c:ext xmlns:c15="http://schemas.microsoft.com/office/drawing/2012/chart" uri="{02D57815-91ED-43cb-92C2-25804820EDAC}">
                        <c15:formulaRef>
                          <c15:sqref>Acetone!$L$2</c15:sqref>
                        </c15:formulaRef>
                      </c:ext>
                    </c:extLst>
                    <c:strCache>
                      <c:ptCount val="1"/>
                      <c:pt idx="0">
                        <c:v>PM 10</c:v>
                      </c:pt>
                    </c:strCache>
                  </c:strRef>
                </c:tx>
                <c:spPr>
                  <a:ln w="28575" cap="rnd">
                    <a:solidFill>
                      <a:schemeClr val="accent5">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Acetone!$L$3:$L$80</c15:sqref>
                        </c15:formulaRef>
                      </c:ext>
                    </c:extLst>
                    <c:numCache>
                      <c:formatCode>General</c:formatCode>
                      <c:ptCount val="78"/>
                      <c:pt idx="0">
                        <c:v>0</c:v>
                      </c:pt>
                      <c:pt idx="1">
                        <c:v>0.6</c:v>
                      </c:pt>
                      <c:pt idx="2">
                        <c:v>0.7</c:v>
                      </c:pt>
                      <c:pt idx="3">
                        <c:v>0.7</c:v>
                      </c:pt>
                      <c:pt idx="4">
                        <c:v>4.3</c:v>
                      </c:pt>
                      <c:pt idx="5">
                        <c:v>3.4</c:v>
                      </c:pt>
                      <c:pt idx="6">
                        <c:v>2.5</c:v>
                      </c:pt>
                      <c:pt idx="7">
                        <c:v>1.9</c:v>
                      </c:pt>
                      <c:pt idx="8">
                        <c:v>1.5</c:v>
                      </c:pt>
                      <c:pt idx="9">
                        <c:v>1.3</c:v>
                      </c:pt>
                      <c:pt idx="10">
                        <c:v>1.2</c:v>
                      </c:pt>
                      <c:pt idx="11">
                        <c:v>1.1000000000000001</c:v>
                      </c:pt>
                      <c:pt idx="12">
                        <c:v>1</c:v>
                      </c:pt>
                    </c:numCache>
                  </c:numRef>
                </c:val>
                <c:smooth val="0"/>
                <c:extLst xmlns:c15="http://schemas.microsoft.com/office/drawing/2012/chart">
                  <c:ext xmlns:c16="http://schemas.microsoft.com/office/drawing/2014/chart" uri="{C3380CC4-5D6E-409C-BE32-E72D297353CC}">
                    <c16:uniqueId val="{0000000C-4220-4B39-B66A-D84C5531EE3E}"/>
                  </c:ext>
                </c:extLst>
              </c15:ser>
            </c15:filteredLineSeries>
            <c15:filteredLineSeries>
              <c15:ser>
                <c:idx val="11"/>
                <c:order val="11"/>
                <c:tx>
                  <c:strRef>
                    <c:extLst xmlns:c15="http://schemas.microsoft.com/office/drawing/2012/chart">
                      <c:ext xmlns:c15="http://schemas.microsoft.com/office/drawing/2012/chart" uri="{02D57815-91ED-43cb-92C2-25804820EDAC}">
                        <c15:formulaRef>
                          <c15:sqref>Acetone!$M$2</c15:sqref>
                        </c15:formulaRef>
                      </c:ext>
                    </c:extLst>
                    <c:strCache>
                      <c:ptCount val="1"/>
                      <c:pt idx="0">
                        <c:v>VOC Index</c:v>
                      </c:pt>
                    </c:strCache>
                  </c:strRef>
                </c:tx>
                <c:spPr>
                  <a:ln w="28575" cap="rnd">
                    <a:solidFill>
                      <a:schemeClr val="accent6">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Acetone!$M$3:$M$80</c15:sqref>
                        </c15:formulaRef>
                      </c:ext>
                    </c:extLst>
                    <c:numCache>
                      <c:formatCode>General</c:formatCode>
                      <c:ptCount val="78"/>
                      <c:pt idx="0">
                        <c:v>103</c:v>
                      </c:pt>
                      <c:pt idx="1">
                        <c:v>102</c:v>
                      </c:pt>
                      <c:pt idx="2">
                        <c:v>102</c:v>
                      </c:pt>
                      <c:pt idx="3">
                        <c:v>101</c:v>
                      </c:pt>
                      <c:pt idx="4">
                        <c:v>132</c:v>
                      </c:pt>
                      <c:pt idx="5">
                        <c:v>197</c:v>
                      </c:pt>
                      <c:pt idx="6">
                        <c:v>263</c:v>
                      </c:pt>
                      <c:pt idx="7">
                        <c:v>314</c:v>
                      </c:pt>
                      <c:pt idx="8">
                        <c:v>354</c:v>
                      </c:pt>
                      <c:pt idx="9">
                        <c:v>386</c:v>
                      </c:pt>
                      <c:pt idx="10">
                        <c:v>410</c:v>
                      </c:pt>
                      <c:pt idx="11">
                        <c:v>430</c:v>
                      </c:pt>
                      <c:pt idx="12">
                        <c:v>445</c:v>
                      </c:pt>
                      <c:pt idx="13">
                        <c:v>457</c:v>
                      </c:pt>
                      <c:pt idx="14">
                        <c:v>466</c:v>
                      </c:pt>
                      <c:pt idx="15">
                        <c:v>473</c:v>
                      </c:pt>
                      <c:pt idx="16">
                        <c:v>478</c:v>
                      </c:pt>
                      <c:pt idx="17">
                        <c:v>482</c:v>
                      </c:pt>
                      <c:pt idx="18">
                        <c:v>484</c:v>
                      </c:pt>
                      <c:pt idx="19">
                        <c:v>484</c:v>
                      </c:pt>
                      <c:pt idx="20">
                        <c:v>483</c:v>
                      </c:pt>
                      <c:pt idx="21">
                        <c:v>479</c:v>
                      </c:pt>
                      <c:pt idx="22">
                        <c:v>472</c:v>
                      </c:pt>
                      <c:pt idx="23">
                        <c:v>464</c:v>
                      </c:pt>
                      <c:pt idx="24">
                        <c:v>456</c:v>
                      </c:pt>
                      <c:pt idx="25">
                        <c:v>445</c:v>
                      </c:pt>
                      <c:pt idx="26">
                        <c:v>436</c:v>
                      </c:pt>
                      <c:pt idx="27">
                        <c:v>424</c:v>
                      </c:pt>
                      <c:pt idx="28">
                        <c:v>414</c:v>
                      </c:pt>
                      <c:pt idx="29">
                        <c:v>407</c:v>
                      </c:pt>
                      <c:pt idx="30">
                        <c:v>400</c:v>
                      </c:pt>
                      <c:pt idx="31">
                        <c:v>391</c:v>
                      </c:pt>
                      <c:pt idx="32">
                        <c:v>384</c:v>
                      </c:pt>
                      <c:pt idx="33">
                        <c:v>377</c:v>
                      </c:pt>
                      <c:pt idx="34">
                        <c:v>370</c:v>
                      </c:pt>
                      <c:pt idx="35">
                        <c:v>364</c:v>
                      </c:pt>
                      <c:pt idx="36">
                        <c:v>357</c:v>
                      </c:pt>
                      <c:pt idx="37">
                        <c:v>348</c:v>
                      </c:pt>
                      <c:pt idx="38">
                        <c:v>338</c:v>
                      </c:pt>
                      <c:pt idx="39">
                        <c:v>331</c:v>
                      </c:pt>
                      <c:pt idx="40">
                        <c:v>323</c:v>
                      </c:pt>
                      <c:pt idx="41">
                        <c:v>316</c:v>
                      </c:pt>
                      <c:pt idx="42">
                        <c:v>310</c:v>
                      </c:pt>
                      <c:pt idx="43">
                        <c:v>305</c:v>
                      </c:pt>
                      <c:pt idx="44">
                        <c:v>299</c:v>
                      </c:pt>
                      <c:pt idx="45">
                        <c:v>294</c:v>
                      </c:pt>
                      <c:pt idx="46">
                        <c:v>290</c:v>
                      </c:pt>
                      <c:pt idx="47">
                        <c:v>287</c:v>
                      </c:pt>
                      <c:pt idx="48">
                        <c:v>284</c:v>
                      </c:pt>
                      <c:pt idx="49">
                        <c:v>281</c:v>
                      </c:pt>
                      <c:pt idx="50">
                        <c:v>279</c:v>
                      </c:pt>
                      <c:pt idx="51">
                        <c:v>275</c:v>
                      </c:pt>
                      <c:pt idx="52">
                        <c:v>272</c:v>
                      </c:pt>
                      <c:pt idx="53">
                        <c:v>268</c:v>
                      </c:pt>
                      <c:pt idx="54">
                        <c:v>266</c:v>
                      </c:pt>
                      <c:pt idx="55">
                        <c:v>263</c:v>
                      </c:pt>
                      <c:pt idx="56">
                        <c:v>261</c:v>
                      </c:pt>
                      <c:pt idx="57">
                        <c:v>259</c:v>
                      </c:pt>
                      <c:pt idx="58">
                        <c:v>256</c:v>
                      </c:pt>
                      <c:pt idx="59">
                        <c:v>254</c:v>
                      </c:pt>
                      <c:pt idx="60">
                        <c:v>253</c:v>
                      </c:pt>
                      <c:pt idx="61">
                        <c:v>252</c:v>
                      </c:pt>
                      <c:pt idx="62">
                        <c:v>250</c:v>
                      </c:pt>
                      <c:pt idx="63">
                        <c:v>248</c:v>
                      </c:pt>
                      <c:pt idx="64">
                        <c:v>245</c:v>
                      </c:pt>
                      <c:pt idx="65">
                        <c:v>243</c:v>
                      </c:pt>
                      <c:pt idx="66">
                        <c:v>241</c:v>
                      </c:pt>
                      <c:pt idx="67">
                        <c:v>239</c:v>
                      </c:pt>
                      <c:pt idx="68">
                        <c:v>237</c:v>
                      </c:pt>
                      <c:pt idx="69">
                        <c:v>236</c:v>
                      </c:pt>
                      <c:pt idx="70">
                        <c:v>234</c:v>
                      </c:pt>
                      <c:pt idx="71">
                        <c:v>233</c:v>
                      </c:pt>
                      <c:pt idx="72">
                        <c:v>225</c:v>
                      </c:pt>
                      <c:pt idx="73">
                        <c:v>220</c:v>
                      </c:pt>
                      <c:pt idx="74">
                        <c:v>213</c:v>
                      </c:pt>
                      <c:pt idx="75">
                        <c:v>200</c:v>
                      </c:pt>
                      <c:pt idx="76">
                        <c:v>191</c:v>
                      </c:pt>
                      <c:pt idx="77">
                        <c:v>185</c:v>
                      </c:pt>
                    </c:numCache>
                  </c:numRef>
                </c:val>
                <c:smooth val="0"/>
                <c:extLst xmlns:c15="http://schemas.microsoft.com/office/drawing/2012/chart">
                  <c:ext xmlns:c16="http://schemas.microsoft.com/office/drawing/2014/chart" uri="{C3380CC4-5D6E-409C-BE32-E72D297353CC}">
                    <c16:uniqueId val="{0000000D-4220-4B39-B66A-D84C5531EE3E}"/>
                  </c:ext>
                </c:extLst>
              </c15:ser>
            </c15:filteredLineSeries>
            <c15:filteredLineSeries>
              <c15:ser>
                <c:idx val="12"/>
                <c:order val="12"/>
                <c:tx>
                  <c:strRef>
                    <c:extLst xmlns:c15="http://schemas.microsoft.com/office/drawing/2012/chart">
                      <c:ext xmlns:c15="http://schemas.microsoft.com/office/drawing/2012/chart" uri="{02D57815-91ED-43cb-92C2-25804820EDAC}">
                        <c15:formulaRef>
                          <c15:sqref>Acetone!$N$2</c15:sqref>
                        </c15:formulaRef>
                      </c:ext>
                    </c:extLst>
                    <c:strCache>
                      <c:ptCount val="1"/>
                      <c:pt idx="0">
                        <c:v>NOx Index</c:v>
                      </c:pt>
                    </c:strCache>
                  </c:strRef>
                </c:tx>
                <c:spPr>
                  <a:ln w="28575" cap="rnd">
                    <a:solidFill>
                      <a:schemeClr val="accent1">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Acetone!$N$3:$N$80</c15:sqref>
                        </c15:formulaRef>
                      </c:ext>
                    </c:extLst>
                    <c:numCache>
                      <c:formatCode>General</c:formatCode>
                      <c:ptCount val="78"/>
                      <c:pt idx="0">
                        <c:v>1</c:v>
                      </c:pt>
                      <c:pt idx="1">
                        <c:v>1</c:v>
                      </c:pt>
                      <c:pt idx="2">
                        <c:v>1</c:v>
                      </c:pt>
                      <c:pt idx="3">
                        <c:v>1</c:v>
                      </c:pt>
                      <c:pt idx="4">
                        <c:v>1</c:v>
                      </c:pt>
                      <c:pt idx="5">
                        <c:v>1</c:v>
                      </c:pt>
                      <c:pt idx="6">
                        <c:v>1</c:v>
                      </c:pt>
                      <c:pt idx="7">
                        <c:v>1</c:v>
                      </c:pt>
                      <c:pt idx="8">
                        <c:v>1</c:v>
                      </c:pt>
                      <c:pt idx="9">
                        <c:v>1</c:v>
                      </c:pt>
                      <c:pt idx="10">
                        <c:v>1</c:v>
                      </c:pt>
                      <c:pt idx="11">
                        <c:v>1</c:v>
                      </c:pt>
                      <c:pt idx="12">
                        <c:v>1</c:v>
                      </c:pt>
                    </c:numCache>
                  </c:numRef>
                </c:val>
                <c:smooth val="0"/>
                <c:extLst xmlns:c15="http://schemas.microsoft.com/office/drawing/2012/chart">
                  <c:ext xmlns:c16="http://schemas.microsoft.com/office/drawing/2014/chart" uri="{C3380CC4-5D6E-409C-BE32-E72D297353CC}">
                    <c16:uniqueId val="{0000000E-4220-4B39-B66A-D84C5531EE3E}"/>
                  </c:ext>
                </c:extLst>
              </c15:ser>
            </c15:filteredLineSeries>
            <c15:filteredLineSeries>
              <c15:ser>
                <c:idx val="13"/>
                <c:order val="13"/>
                <c:tx>
                  <c:strRef>
                    <c:extLst xmlns:c15="http://schemas.microsoft.com/office/drawing/2012/chart">
                      <c:ext xmlns:c15="http://schemas.microsoft.com/office/drawing/2012/chart" uri="{02D57815-91ED-43cb-92C2-25804820EDAC}">
                        <c15:formulaRef>
                          <c15:sqref>Acetone!$O$2</c15:sqref>
                        </c15:formulaRef>
                      </c:ext>
                    </c:extLst>
                    <c:strCache>
                      <c:ptCount val="1"/>
                      <c:pt idx="0">
                        <c:v>temp</c:v>
                      </c:pt>
                    </c:strCache>
                  </c:strRef>
                </c:tx>
                <c:spPr>
                  <a:ln w="28575" cap="rnd">
                    <a:solidFill>
                      <a:schemeClr val="accent2">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Acetone!$O$3:$O$80</c15:sqref>
                        </c15:formulaRef>
                      </c:ext>
                    </c:extLst>
                    <c:numCache>
                      <c:formatCode>General</c:formatCode>
                      <c:ptCount val="78"/>
                      <c:pt idx="0">
                        <c:v>18</c:v>
                      </c:pt>
                      <c:pt idx="1">
                        <c:v>18</c:v>
                      </c:pt>
                      <c:pt idx="2">
                        <c:v>18</c:v>
                      </c:pt>
                      <c:pt idx="3">
                        <c:v>18</c:v>
                      </c:pt>
                    </c:numCache>
                  </c:numRef>
                </c:val>
                <c:smooth val="0"/>
                <c:extLst xmlns:c15="http://schemas.microsoft.com/office/drawing/2012/chart">
                  <c:ext xmlns:c16="http://schemas.microsoft.com/office/drawing/2014/chart" uri="{C3380CC4-5D6E-409C-BE32-E72D297353CC}">
                    <c16:uniqueId val="{0000000F-4220-4B39-B66A-D84C5531EE3E}"/>
                  </c:ext>
                </c:extLst>
              </c15:ser>
            </c15:filteredLineSeries>
            <c15:filteredLineSeries>
              <c15:ser>
                <c:idx val="14"/>
                <c:order val="14"/>
                <c:tx>
                  <c:strRef>
                    <c:extLst xmlns:c15="http://schemas.microsoft.com/office/drawing/2012/chart">
                      <c:ext xmlns:c15="http://schemas.microsoft.com/office/drawing/2012/chart" uri="{02D57815-91ED-43cb-92C2-25804820EDAC}">
                        <c15:formulaRef>
                          <c15:sqref>Acetone!$P$2</c15:sqref>
                        </c15:formulaRef>
                      </c:ext>
                    </c:extLst>
                    <c:strCache>
                      <c:ptCount val="1"/>
                      <c:pt idx="0">
                        <c:v>RH</c:v>
                      </c:pt>
                    </c:strCache>
                  </c:strRef>
                </c:tx>
                <c:spPr>
                  <a:ln w="28575" cap="rnd">
                    <a:solidFill>
                      <a:schemeClr val="accent3">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Acetone!$P$3:$P$80</c15:sqref>
                        </c15:formulaRef>
                      </c:ext>
                    </c:extLst>
                    <c:numCache>
                      <c:formatCode>General</c:formatCode>
                      <c:ptCount val="78"/>
                      <c:pt idx="0">
                        <c:v>52</c:v>
                      </c:pt>
                      <c:pt idx="1">
                        <c:v>54</c:v>
                      </c:pt>
                      <c:pt idx="2">
                        <c:v>53</c:v>
                      </c:pt>
                      <c:pt idx="3">
                        <c:v>52</c:v>
                      </c:pt>
                    </c:numCache>
                  </c:numRef>
                </c:val>
                <c:smooth val="0"/>
                <c:extLst xmlns:c15="http://schemas.microsoft.com/office/drawing/2012/chart">
                  <c:ext xmlns:c16="http://schemas.microsoft.com/office/drawing/2014/chart" uri="{C3380CC4-5D6E-409C-BE32-E72D297353CC}">
                    <c16:uniqueId val="{00000010-4220-4B39-B66A-D84C5531EE3E}"/>
                  </c:ext>
                </c:extLst>
              </c15:ser>
            </c15:filteredLineSeries>
            <c15:filteredLineSeries>
              <c15:ser>
                <c:idx val="15"/>
                <c:order val="15"/>
                <c:tx>
                  <c:strRef>
                    <c:extLst xmlns:c15="http://schemas.microsoft.com/office/drawing/2012/chart">
                      <c:ext xmlns:c15="http://schemas.microsoft.com/office/drawing/2012/chart" uri="{02D57815-91ED-43cb-92C2-25804820EDAC}">
                        <c15:formulaRef>
                          <c15:sqref>Acetone!$Q$2</c15:sqref>
                        </c15:formulaRef>
                      </c:ext>
                    </c:extLst>
                    <c:strCache>
                      <c:ptCount val="1"/>
                      <c:pt idx="0">
                        <c:v>PM 1</c:v>
                      </c:pt>
                    </c:strCache>
                  </c:strRef>
                </c:tx>
                <c:spPr>
                  <a:ln w="28575" cap="rnd">
                    <a:solidFill>
                      <a:schemeClr val="accent4">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Acetone!$Q$3:$Q$80</c15:sqref>
                        </c15:formulaRef>
                      </c:ext>
                    </c:extLst>
                    <c:numCache>
                      <c:formatCode>General</c:formatCode>
                      <c:ptCount val="78"/>
                      <c:pt idx="0">
                        <c:v>1</c:v>
                      </c:pt>
                      <c:pt idx="1">
                        <c:v>1</c:v>
                      </c:pt>
                      <c:pt idx="2">
                        <c:v>2</c:v>
                      </c:pt>
                      <c:pt idx="3">
                        <c:v>1</c:v>
                      </c:pt>
                      <c:pt idx="4">
                        <c:v>2</c:v>
                      </c:pt>
                      <c:pt idx="5">
                        <c:v>3</c:v>
                      </c:pt>
                      <c:pt idx="6">
                        <c:v>3</c:v>
                      </c:pt>
                      <c:pt idx="7">
                        <c:v>2</c:v>
                      </c:pt>
                      <c:pt idx="8">
                        <c:v>1</c:v>
                      </c:pt>
                      <c:pt idx="9">
                        <c:v>1</c:v>
                      </c:pt>
                      <c:pt idx="10">
                        <c:v>1</c:v>
                      </c:pt>
                      <c:pt idx="11">
                        <c:v>2</c:v>
                      </c:pt>
                      <c:pt idx="12">
                        <c:v>2</c:v>
                      </c:pt>
                    </c:numCache>
                  </c:numRef>
                </c:val>
                <c:smooth val="0"/>
                <c:extLst xmlns:c15="http://schemas.microsoft.com/office/drawing/2012/chart">
                  <c:ext xmlns:c16="http://schemas.microsoft.com/office/drawing/2014/chart" uri="{C3380CC4-5D6E-409C-BE32-E72D297353CC}">
                    <c16:uniqueId val="{00000011-4220-4B39-B66A-D84C5531EE3E}"/>
                  </c:ext>
                </c:extLst>
              </c15:ser>
            </c15:filteredLineSeries>
            <c15:filteredLineSeries>
              <c15:ser>
                <c:idx val="16"/>
                <c:order val="16"/>
                <c:tx>
                  <c:strRef>
                    <c:extLst xmlns:c15="http://schemas.microsoft.com/office/drawing/2012/chart">
                      <c:ext xmlns:c15="http://schemas.microsoft.com/office/drawing/2012/chart" uri="{02D57815-91ED-43cb-92C2-25804820EDAC}">
                        <c15:formulaRef>
                          <c15:sqref>Acetone!$R$2</c15:sqref>
                        </c15:formulaRef>
                      </c:ext>
                    </c:extLst>
                    <c:strCache>
                      <c:ptCount val="1"/>
                      <c:pt idx="0">
                        <c:v>PM2.5</c:v>
                      </c:pt>
                    </c:strCache>
                  </c:strRef>
                </c:tx>
                <c:spPr>
                  <a:ln w="28575" cap="rnd">
                    <a:solidFill>
                      <a:schemeClr val="accent5">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Acetone!$R$3:$R$80</c15:sqref>
                        </c15:formulaRef>
                      </c:ext>
                    </c:extLst>
                    <c:numCache>
                      <c:formatCode>General</c:formatCode>
                      <c:ptCount val="78"/>
                      <c:pt idx="0">
                        <c:v>3</c:v>
                      </c:pt>
                      <c:pt idx="1">
                        <c:v>3</c:v>
                      </c:pt>
                      <c:pt idx="2">
                        <c:v>4</c:v>
                      </c:pt>
                      <c:pt idx="3">
                        <c:v>3</c:v>
                      </c:pt>
                      <c:pt idx="4">
                        <c:v>5</c:v>
                      </c:pt>
                      <c:pt idx="5">
                        <c:v>6</c:v>
                      </c:pt>
                      <c:pt idx="6">
                        <c:v>6</c:v>
                      </c:pt>
                      <c:pt idx="7">
                        <c:v>5</c:v>
                      </c:pt>
                      <c:pt idx="8">
                        <c:v>3</c:v>
                      </c:pt>
                      <c:pt idx="9">
                        <c:v>3</c:v>
                      </c:pt>
                      <c:pt idx="10">
                        <c:v>3</c:v>
                      </c:pt>
                      <c:pt idx="11">
                        <c:v>4</c:v>
                      </c:pt>
                      <c:pt idx="12">
                        <c:v>4</c:v>
                      </c:pt>
                    </c:numCache>
                  </c:numRef>
                </c:val>
                <c:smooth val="0"/>
                <c:extLst xmlns:c15="http://schemas.microsoft.com/office/drawing/2012/chart">
                  <c:ext xmlns:c16="http://schemas.microsoft.com/office/drawing/2014/chart" uri="{C3380CC4-5D6E-409C-BE32-E72D297353CC}">
                    <c16:uniqueId val="{00000012-4220-4B39-B66A-D84C5531EE3E}"/>
                  </c:ext>
                </c:extLst>
              </c15:ser>
            </c15:filteredLineSeries>
            <c15:filteredLineSeries>
              <c15:ser>
                <c:idx val="17"/>
                <c:order val="17"/>
                <c:tx>
                  <c:strRef>
                    <c:extLst xmlns:c15="http://schemas.microsoft.com/office/drawing/2012/chart">
                      <c:ext xmlns:c15="http://schemas.microsoft.com/office/drawing/2012/chart" uri="{02D57815-91ED-43cb-92C2-25804820EDAC}">
                        <c15:formulaRef>
                          <c15:sqref>Acetone!$S$2</c15:sqref>
                        </c15:formulaRef>
                      </c:ext>
                    </c:extLst>
                    <c:strCache>
                      <c:ptCount val="1"/>
                      <c:pt idx="0">
                        <c:v>PM 10</c:v>
                      </c:pt>
                    </c:strCache>
                  </c:strRef>
                </c:tx>
                <c:spPr>
                  <a:ln w="28575" cap="rnd">
                    <a:solidFill>
                      <a:schemeClr val="accent6">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Acetone!$S$3:$S$80</c15:sqref>
                        </c15:formulaRef>
                      </c:ext>
                    </c:extLst>
                    <c:numCache>
                      <c:formatCode>General</c:formatCode>
                      <c:ptCount val="78"/>
                      <c:pt idx="0">
                        <c:v>3</c:v>
                      </c:pt>
                      <c:pt idx="1">
                        <c:v>3</c:v>
                      </c:pt>
                      <c:pt idx="2">
                        <c:v>3</c:v>
                      </c:pt>
                      <c:pt idx="3">
                        <c:v>4</c:v>
                      </c:pt>
                      <c:pt idx="4">
                        <c:v>5</c:v>
                      </c:pt>
                      <c:pt idx="5">
                        <c:v>7</c:v>
                      </c:pt>
                      <c:pt idx="6">
                        <c:v>7</c:v>
                      </c:pt>
                      <c:pt idx="7">
                        <c:v>6</c:v>
                      </c:pt>
                      <c:pt idx="8">
                        <c:v>3</c:v>
                      </c:pt>
                      <c:pt idx="9">
                        <c:v>2</c:v>
                      </c:pt>
                      <c:pt idx="10">
                        <c:v>3</c:v>
                      </c:pt>
                      <c:pt idx="11">
                        <c:v>4</c:v>
                      </c:pt>
                      <c:pt idx="12">
                        <c:v>5</c:v>
                      </c:pt>
                    </c:numCache>
                  </c:numRef>
                </c:val>
                <c:smooth val="0"/>
                <c:extLst xmlns:c15="http://schemas.microsoft.com/office/drawing/2012/chart">
                  <c:ext xmlns:c16="http://schemas.microsoft.com/office/drawing/2014/chart" uri="{C3380CC4-5D6E-409C-BE32-E72D297353CC}">
                    <c16:uniqueId val="{00000013-4220-4B39-B66A-D84C5531EE3E}"/>
                  </c:ext>
                </c:extLst>
              </c15:ser>
            </c15:filteredLineSeries>
          </c:ext>
        </c:extLst>
      </c:lineChart>
      <c:lineChart>
        <c:grouping val="standard"/>
        <c:varyColors val="0"/>
        <c:ser>
          <c:idx val="4"/>
          <c:order val="4"/>
          <c:tx>
            <c:strRef>
              <c:f>Acetone!$F$2</c:f>
              <c:strCache>
                <c:ptCount val="1"/>
                <c:pt idx="0">
                  <c:v>VOC</c:v>
                </c:pt>
              </c:strCache>
            </c:strRef>
          </c:tx>
          <c:spPr>
            <a:ln w="28575" cap="rnd">
              <a:solidFill>
                <a:schemeClr val="accent6"/>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f>Acetone!$F$3:$F$80</c:f>
              <c:numCache>
                <c:formatCode>General</c:formatCode>
                <c:ptCount val="78"/>
                <c:pt idx="0">
                  <c:v>8892</c:v>
                </c:pt>
                <c:pt idx="1">
                  <c:v>8915</c:v>
                </c:pt>
                <c:pt idx="2">
                  <c:v>8892</c:v>
                </c:pt>
                <c:pt idx="3">
                  <c:v>8815</c:v>
                </c:pt>
                <c:pt idx="4">
                  <c:v>8795</c:v>
                </c:pt>
                <c:pt idx="5">
                  <c:v>638</c:v>
                </c:pt>
                <c:pt idx="6">
                  <c:v>579</c:v>
                </c:pt>
                <c:pt idx="7">
                  <c:v>617</c:v>
                </c:pt>
                <c:pt idx="8">
                  <c:v>748</c:v>
                </c:pt>
                <c:pt idx="9">
                  <c:v>689</c:v>
                </c:pt>
                <c:pt idx="10">
                  <c:v>665</c:v>
                </c:pt>
                <c:pt idx="11">
                  <c:v>840</c:v>
                </c:pt>
                <c:pt idx="12">
                  <c:v>879</c:v>
                </c:pt>
                <c:pt idx="13">
                  <c:v>974</c:v>
                </c:pt>
                <c:pt idx="14">
                  <c:v>790</c:v>
                </c:pt>
                <c:pt idx="15">
                  <c:v>852</c:v>
                </c:pt>
                <c:pt idx="16">
                  <c:v>907</c:v>
                </c:pt>
                <c:pt idx="17">
                  <c:v>1230</c:v>
                </c:pt>
                <c:pt idx="18">
                  <c:v>1707</c:v>
                </c:pt>
                <c:pt idx="19">
                  <c:v>1946</c:v>
                </c:pt>
                <c:pt idx="20">
                  <c:v>2155</c:v>
                </c:pt>
                <c:pt idx="21">
                  <c:v>2560</c:v>
                </c:pt>
                <c:pt idx="22">
                  <c:v>3145</c:v>
                </c:pt>
                <c:pt idx="23">
                  <c:v>2871</c:v>
                </c:pt>
                <c:pt idx="24">
                  <c:v>3607</c:v>
                </c:pt>
                <c:pt idx="25">
                  <c:v>3605</c:v>
                </c:pt>
                <c:pt idx="26">
                  <c:v>3930</c:v>
                </c:pt>
                <c:pt idx="27">
                  <c:v>4205</c:v>
                </c:pt>
                <c:pt idx="28">
                  <c:v>4002</c:v>
                </c:pt>
                <c:pt idx="29">
                  <c:v>3948</c:v>
                </c:pt>
                <c:pt idx="30">
                  <c:v>4529</c:v>
                </c:pt>
                <c:pt idx="31">
                  <c:v>4414</c:v>
                </c:pt>
                <c:pt idx="32">
                  <c:v>4521</c:v>
                </c:pt>
                <c:pt idx="33">
                  <c:v>4790</c:v>
                </c:pt>
                <c:pt idx="34">
                  <c:v>4871</c:v>
                </c:pt>
                <c:pt idx="35">
                  <c:v>5064</c:v>
                </c:pt>
                <c:pt idx="36">
                  <c:v>5154</c:v>
                </c:pt>
                <c:pt idx="37">
                  <c:v>5290</c:v>
                </c:pt>
                <c:pt idx="38">
                  <c:v>5258</c:v>
                </c:pt>
                <c:pt idx="39">
                  <c:v>5333</c:v>
                </c:pt>
                <c:pt idx="40">
                  <c:v>5554</c:v>
                </c:pt>
                <c:pt idx="41">
                  <c:v>5554</c:v>
                </c:pt>
                <c:pt idx="42">
                  <c:v>5427</c:v>
                </c:pt>
                <c:pt idx="43">
                  <c:v>5892</c:v>
                </c:pt>
                <c:pt idx="44">
                  <c:v>6026</c:v>
                </c:pt>
                <c:pt idx="45">
                  <c:v>5807</c:v>
                </c:pt>
                <c:pt idx="46">
                  <c:v>5718</c:v>
                </c:pt>
                <c:pt idx="47">
                  <c:v>5762</c:v>
                </c:pt>
                <c:pt idx="48">
                  <c:v>5892</c:v>
                </c:pt>
                <c:pt idx="49">
                  <c:v>5912</c:v>
                </c:pt>
                <c:pt idx="50">
                  <c:v>5954</c:v>
                </c:pt>
                <c:pt idx="51">
                  <c:v>6005</c:v>
                </c:pt>
                <c:pt idx="52">
                  <c:v>5991</c:v>
                </c:pt>
                <c:pt idx="53">
                  <c:v>6278</c:v>
                </c:pt>
                <c:pt idx="54">
                  <c:v>6164</c:v>
                </c:pt>
                <c:pt idx="55">
                  <c:v>6178</c:v>
                </c:pt>
                <c:pt idx="56">
                  <c:v>6082</c:v>
                </c:pt>
                <c:pt idx="57">
                  <c:v>6189</c:v>
                </c:pt>
                <c:pt idx="58">
                  <c:v>6153</c:v>
                </c:pt>
                <c:pt idx="59">
                  <c:v>6248</c:v>
                </c:pt>
                <c:pt idx="60">
                  <c:v>6178</c:v>
                </c:pt>
                <c:pt idx="61">
                  <c:v>6309</c:v>
                </c:pt>
                <c:pt idx="62">
                  <c:v>6328</c:v>
                </c:pt>
                <c:pt idx="63">
                  <c:v>6335</c:v>
                </c:pt>
                <c:pt idx="64">
                  <c:v>6370</c:v>
                </c:pt>
                <c:pt idx="65">
                  <c:v>6464</c:v>
                </c:pt>
                <c:pt idx="66">
                  <c:v>6464</c:v>
                </c:pt>
                <c:pt idx="67">
                  <c:v>6488</c:v>
                </c:pt>
                <c:pt idx="68">
                  <c:v>6496</c:v>
                </c:pt>
                <c:pt idx="69">
                  <c:v>6529</c:v>
                </c:pt>
                <c:pt idx="70">
                  <c:v>6537</c:v>
                </c:pt>
                <c:pt idx="71">
                  <c:v>6598</c:v>
                </c:pt>
                <c:pt idx="72">
                  <c:v>6799</c:v>
                </c:pt>
                <c:pt idx="73">
                  <c:v>6934</c:v>
                </c:pt>
                <c:pt idx="74">
                  <c:v>7037</c:v>
                </c:pt>
                <c:pt idx="75">
                  <c:v>7157</c:v>
                </c:pt>
                <c:pt idx="76">
                  <c:v>7201</c:v>
                </c:pt>
                <c:pt idx="77">
                  <c:v>7301</c:v>
                </c:pt>
              </c:numCache>
            </c:numRef>
          </c:val>
          <c:smooth val="0"/>
          <c:extLst>
            <c:ext xmlns:c16="http://schemas.microsoft.com/office/drawing/2014/chart" uri="{C3380CC4-5D6E-409C-BE32-E72D297353CC}">
              <c16:uniqueId val="{00000002-4220-4B39-B66A-D84C5531EE3E}"/>
            </c:ext>
          </c:extLst>
        </c:ser>
        <c:dLbls>
          <c:showLegendKey val="0"/>
          <c:showVal val="0"/>
          <c:showCatName val="0"/>
          <c:showSerName val="0"/>
          <c:showPercent val="0"/>
          <c:showBubbleSize val="0"/>
        </c:dLbls>
        <c:marker val="1"/>
        <c:smooth val="0"/>
        <c:axId val="1563028432"/>
        <c:axId val="1563026032"/>
      </c:lineChart>
      <c:catAx>
        <c:axId val="1517485344"/>
        <c:scaling>
          <c:orientation val="minMax"/>
        </c:scaling>
        <c:delete val="0"/>
        <c:axPos val="b"/>
        <c:numFmt formatCode="mm:ss;@" sourceLinked="0"/>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526483984"/>
        <c:crosses val="autoZero"/>
        <c:auto val="0"/>
        <c:lblAlgn val="ctr"/>
        <c:lblOffset val="100"/>
        <c:noMultiLvlLbl val="0"/>
      </c:catAx>
      <c:valAx>
        <c:axId val="1526483984"/>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l-GR" sz="1200" b="0" i="0" baseline="0">
                    <a:effectLst/>
                    <a:latin typeface="Times New Roman" panose="02020603050405020304" pitchFamily="18" charset="0"/>
                    <a:cs typeface="Times New Roman" panose="02020603050405020304" pitchFamily="18" charset="0"/>
                  </a:rPr>
                  <a:t>μ</a:t>
                </a:r>
                <a:r>
                  <a:rPr lang="en-GB" sz="1200" b="0" i="0" baseline="0">
                    <a:effectLst/>
                    <a:latin typeface="Times New Roman" panose="02020603050405020304" pitchFamily="18" charset="0"/>
                    <a:cs typeface="Times New Roman" panose="02020603050405020304" pitchFamily="18" charset="0"/>
                  </a:rPr>
                  <a:t>g/m³</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485344"/>
        <c:crosses val="autoZero"/>
        <c:crossBetween val="between"/>
      </c:valAx>
      <c:valAx>
        <c:axId val="1563026032"/>
        <c:scaling>
          <c:orientation val="maxMin"/>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0" i="0" baseline="0">
                    <a:effectLst/>
                    <a:latin typeface="Times New Roman" panose="02020603050405020304" pitchFamily="18" charset="0"/>
                    <a:cs typeface="Times New Roman" panose="02020603050405020304" pitchFamily="18" charset="0"/>
                  </a:rPr>
                  <a:t>resistance</a:t>
                </a:r>
                <a:endParaRPr lang="en-GB" sz="1200">
                  <a:effectLst/>
                  <a:latin typeface="Times New Roman" panose="02020603050405020304" pitchFamily="18" charset="0"/>
                  <a:cs typeface="Times New Roman" panose="02020603050405020304" pitchFamily="18" charset="0"/>
                </a:endParaRPr>
              </a:p>
              <a:p>
                <a:pPr>
                  <a:defRPr/>
                </a:pPr>
                <a:r>
                  <a:rPr lang="el-GR" sz="1200" b="0" i="0" baseline="0">
                    <a:effectLst/>
                    <a:latin typeface="Times New Roman" panose="02020603050405020304" pitchFamily="18" charset="0"/>
                    <a:cs typeface="Times New Roman" panose="02020603050405020304" pitchFamily="18" charset="0"/>
                  </a:rPr>
                  <a:t>Ω</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3028432"/>
        <c:crosses val="max"/>
        <c:crossBetween val="between"/>
      </c:valAx>
      <c:catAx>
        <c:axId val="1563028432"/>
        <c:scaling>
          <c:orientation val="minMax"/>
        </c:scaling>
        <c:delete val="1"/>
        <c:axPos val="t"/>
        <c:numFmt formatCode="h:mm:ss" sourceLinked="1"/>
        <c:majorTickMark val="out"/>
        <c:minorTickMark val="none"/>
        <c:tickLblPos val="nextTo"/>
        <c:crossAx val="1563026032"/>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latin typeface="Times New Roman" panose="02020603050405020304" pitchFamily="18" charset="0"/>
                <a:cs typeface="Times New Roman" panose="02020603050405020304" pitchFamily="18" charset="0"/>
              </a:rPr>
              <a:t>Acetone SEN55</a:t>
            </a:r>
            <a:endParaRPr lang="en-GB" sz="14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18"/>
          <c:order val="18"/>
          <c:tx>
            <c:strRef>
              <c:f>Acetone!$T$2</c:f>
              <c:strCache>
                <c:ptCount val="1"/>
                <c:pt idx="0">
                  <c:v>HCHO</c:v>
                </c:pt>
              </c:strCache>
            </c:strRef>
          </c:tx>
          <c:spPr>
            <a:ln w="28575" cap="rnd">
              <a:solidFill>
                <a:schemeClr val="accent1">
                  <a:lumMod val="80000"/>
                </a:schemeClr>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f>Acetone!$T$3:$T$80</c:f>
              <c:numCache>
                <c:formatCode>General</c:formatCode>
                <c:ptCount val="78"/>
                <c:pt idx="0">
                  <c:v>4.1000000000000002E-2</c:v>
                </c:pt>
                <c:pt idx="1">
                  <c:v>3.9E-2</c:v>
                </c:pt>
                <c:pt idx="2">
                  <c:v>3.5000000000000003E-2</c:v>
                </c:pt>
                <c:pt idx="3">
                  <c:v>3.2000000000000001E-2</c:v>
                </c:pt>
                <c:pt idx="4">
                  <c:v>1.9990000000000001</c:v>
                </c:pt>
                <c:pt idx="5">
                  <c:v>1.9990000000000001</c:v>
                </c:pt>
                <c:pt idx="6">
                  <c:v>1.9990000000000001</c:v>
                </c:pt>
                <c:pt idx="7">
                  <c:v>1.9990000000000001</c:v>
                </c:pt>
                <c:pt idx="8">
                  <c:v>1.9990000000000001</c:v>
                </c:pt>
                <c:pt idx="9">
                  <c:v>1.9990000000000001</c:v>
                </c:pt>
                <c:pt idx="10">
                  <c:v>1.9990000000000001</c:v>
                </c:pt>
                <c:pt idx="11">
                  <c:v>1.9990000000000001</c:v>
                </c:pt>
                <c:pt idx="12">
                  <c:v>1.9990000000000001</c:v>
                </c:pt>
                <c:pt idx="13">
                  <c:v>1.9990000000000001</c:v>
                </c:pt>
                <c:pt idx="14">
                  <c:v>1.9990000000000001</c:v>
                </c:pt>
                <c:pt idx="15">
                  <c:v>1.9990000000000001</c:v>
                </c:pt>
                <c:pt idx="16">
                  <c:v>1.9990000000000001</c:v>
                </c:pt>
                <c:pt idx="17">
                  <c:v>1.9990000000000001</c:v>
                </c:pt>
                <c:pt idx="18">
                  <c:v>1.9990000000000001</c:v>
                </c:pt>
                <c:pt idx="19">
                  <c:v>1.9990000000000001</c:v>
                </c:pt>
                <c:pt idx="20">
                  <c:v>1.9990000000000001</c:v>
                </c:pt>
                <c:pt idx="21">
                  <c:v>1.9990000000000001</c:v>
                </c:pt>
                <c:pt idx="22">
                  <c:v>1.9990000000000001</c:v>
                </c:pt>
                <c:pt idx="23">
                  <c:v>1.3879999999999999</c:v>
                </c:pt>
                <c:pt idx="24">
                  <c:v>1.347</c:v>
                </c:pt>
                <c:pt idx="25">
                  <c:v>1.2749999999999999</c:v>
                </c:pt>
                <c:pt idx="26">
                  <c:v>1.208</c:v>
                </c:pt>
                <c:pt idx="27">
                  <c:v>1.1220000000000001</c:v>
                </c:pt>
                <c:pt idx="28">
                  <c:v>1.0669999999999999</c:v>
                </c:pt>
                <c:pt idx="29">
                  <c:v>1.0149999999999999</c:v>
                </c:pt>
                <c:pt idx="30">
                  <c:v>0.95799999999999996</c:v>
                </c:pt>
                <c:pt idx="31">
                  <c:v>0.90400000000000003</c:v>
                </c:pt>
                <c:pt idx="32">
                  <c:v>0.84399999999999997</c:v>
                </c:pt>
                <c:pt idx="33">
                  <c:v>0.81100000000000005</c:v>
                </c:pt>
                <c:pt idx="34">
                  <c:v>0.76400000000000001</c:v>
                </c:pt>
                <c:pt idx="35">
                  <c:v>0.71299999999999997</c:v>
                </c:pt>
                <c:pt idx="36">
                  <c:v>0.69199999999999995</c:v>
                </c:pt>
                <c:pt idx="37">
                  <c:v>0.66400000000000003</c:v>
                </c:pt>
                <c:pt idx="38">
                  <c:v>0.64500000000000002</c:v>
                </c:pt>
                <c:pt idx="39">
                  <c:v>0.60099999999999998</c:v>
                </c:pt>
                <c:pt idx="40">
                  <c:v>0.57599999999999996</c:v>
                </c:pt>
                <c:pt idx="41">
                  <c:v>0.54100000000000004</c:v>
                </c:pt>
                <c:pt idx="42">
                  <c:v>0.51600000000000001</c:v>
                </c:pt>
                <c:pt idx="43">
                  <c:v>0.48699999999999999</c:v>
                </c:pt>
                <c:pt idx="44">
                  <c:v>0.45300000000000001</c:v>
                </c:pt>
                <c:pt idx="45">
                  <c:v>0.42399999999999999</c:v>
                </c:pt>
                <c:pt idx="46">
                  <c:v>0.40300000000000002</c:v>
                </c:pt>
                <c:pt idx="47">
                  <c:v>0.377</c:v>
                </c:pt>
                <c:pt idx="48">
                  <c:v>0.36199999999999999</c:v>
                </c:pt>
                <c:pt idx="49">
                  <c:v>0.34200000000000003</c:v>
                </c:pt>
                <c:pt idx="50">
                  <c:v>0.32700000000000001</c:v>
                </c:pt>
                <c:pt idx="51">
                  <c:v>0.307</c:v>
                </c:pt>
                <c:pt idx="52">
                  <c:v>0.27900000000000003</c:v>
                </c:pt>
                <c:pt idx="53">
                  <c:v>0.254</c:v>
                </c:pt>
                <c:pt idx="54">
                  <c:v>0.24099999999999999</c:v>
                </c:pt>
                <c:pt idx="55">
                  <c:v>0.219</c:v>
                </c:pt>
                <c:pt idx="56">
                  <c:v>0.20899999999999999</c:v>
                </c:pt>
                <c:pt idx="57">
                  <c:v>0.19900000000000001</c:v>
                </c:pt>
                <c:pt idx="58">
                  <c:v>0.19700000000000001</c:v>
                </c:pt>
                <c:pt idx="59">
                  <c:v>0.193</c:v>
                </c:pt>
                <c:pt idx="60">
                  <c:v>0.189</c:v>
                </c:pt>
                <c:pt idx="61">
                  <c:v>0.187</c:v>
                </c:pt>
                <c:pt idx="62">
                  <c:v>0.183</c:v>
                </c:pt>
                <c:pt idx="63">
                  <c:v>0.18</c:v>
                </c:pt>
                <c:pt idx="64">
                  <c:v>0.17799999999999999</c:v>
                </c:pt>
                <c:pt idx="65">
                  <c:v>0.17599999999999999</c:v>
                </c:pt>
                <c:pt idx="66">
                  <c:v>0.17399999999999999</c:v>
                </c:pt>
                <c:pt idx="67">
                  <c:v>0.17</c:v>
                </c:pt>
                <c:pt idx="68">
                  <c:v>0.17</c:v>
                </c:pt>
                <c:pt idx="69">
                  <c:v>0.16800000000000001</c:v>
                </c:pt>
                <c:pt idx="70">
                  <c:v>0.16500000000000001</c:v>
                </c:pt>
                <c:pt idx="71">
                  <c:v>0.16300000000000001</c:v>
                </c:pt>
                <c:pt idx="72">
                  <c:v>0.14599999999999999</c:v>
                </c:pt>
                <c:pt idx="73">
                  <c:v>0.13700000000000001</c:v>
                </c:pt>
                <c:pt idx="74">
                  <c:v>0.12</c:v>
                </c:pt>
                <c:pt idx="75">
                  <c:v>0.123</c:v>
                </c:pt>
                <c:pt idx="76">
                  <c:v>0.11899999999999999</c:v>
                </c:pt>
                <c:pt idx="77">
                  <c:v>0.113</c:v>
                </c:pt>
              </c:numCache>
            </c:numRef>
          </c:val>
          <c:smooth val="0"/>
          <c:extLst>
            <c:ext xmlns:c16="http://schemas.microsoft.com/office/drawing/2014/chart" uri="{C3380CC4-5D6E-409C-BE32-E72D297353CC}">
              <c16:uniqueId val="{00000000-037E-45F7-A98C-2B869C846561}"/>
            </c:ext>
          </c:extLst>
        </c:ser>
        <c:ser>
          <c:idx val="19"/>
          <c:order val="19"/>
          <c:tx>
            <c:strRef>
              <c:f>Acetone!$U$2</c:f>
              <c:strCache>
                <c:ptCount val="1"/>
                <c:pt idx="0">
                  <c:v>tVOC</c:v>
                </c:pt>
              </c:strCache>
            </c:strRef>
          </c:tx>
          <c:spPr>
            <a:ln w="28575" cap="rnd">
              <a:solidFill>
                <a:schemeClr val="accent2">
                  <a:lumMod val="80000"/>
                </a:schemeClr>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f>Acetone!$U$3:$U$80</c:f>
              <c:numCache>
                <c:formatCode>General</c:formatCode>
                <c:ptCount val="78"/>
                <c:pt idx="0">
                  <c:v>0.19500000000000001</c:v>
                </c:pt>
                <c:pt idx="1">
                  <c:v>0.185</c:v>
                </c:pt>
                <c:pt idx="2">
                  <c:v>0.16800000000000001</c:v>
                </c:pt>
                <c:pt idx="3">
                  <c:v>0.152</c:v>
                </c:pt>
                <c:pt idx="4">
                  <c:v>9.9990000000000006</c:v>
                </c:pt>
                <c:pt idx="5">
                  <c:v>9.9990000000000006</c:v>
                </c:pt>
                <c:pt idx="6">
                  <c:v>9.9990000000000006</c:v>
                </c:pt>
                <c:pt idx="7">
                  <c:v>9.9990000000000006</c:v>
                </c:pt>
                <c:pt idx="8">
                  <c:v>9.9990000000000006</c:v>
                </c:pt>
                <c:pt idx="9">
                  <c:v>9.9990000000000006</c:v>
                </c:pt>
                <c:pt idx="10">
                  <c:v>9.9990000000000006</c:v>
                </c:pt>
                <c:pt idx="11">
                  <c:v>9.9990000000000006</c:v>
                </c:pt>
                <c:pt idx="12">
                  <c:v>9.9990000000000006</c:v>
                </c:pt>
                <c:pt idx="13">
                  <c:v>9.9990000000000006</c:v>
                </c:pt>
                <c:pt idx="14">
                  <c:v>9.9990000000000006</c:v>
                </c:pt>
                <c:pt idx="15">
                  <c:v>9.9990000000000006</c:v>
                </c:pt>
                <c:pt idx="16">
                  <c:v>9.9990000000000006</c:v>
                </c:pt>
                <c:pt idx="17">
                  <c:v>9.9990000000000006</c:v>
                </c:pt>
                <c:pt idx="18">
                  <c:v>9.9990000000000006</c:v>
                </c:pt>
                <c:pt idx="19">
                  <c:v>9.9990000000000006</c:v>
                </c:pt>
                <c:pt idx="20">
                  <c:v>9.9990000000000006</c:v>
                </c:pt>
                <c:pt idx="21">
                  <c:v>9.9990000000000006</c:v>
                </c:pt>
                <c:pt idx="22">
                  <c:v>9.9990000000000006</c:v>
                </c:pt>
                <c:pt idx="23">
                  <c:v>9.9990000000000006</c:v>
                </c:pt>
                <c:pt idx="24">
                  <c:v>9.9990000000000006</c:v>
                </c:pt>
                <c:pt idx="25">
                  <c:v>9.9990000000000006</c:v>
                </c:pt>
                <c:pt idx="26">
                  <c:v>9.9990000000000006</c:v>
                </c:pt>
                <c:pt idx="27">
                  <c:v>9.9990000000000006</c:v>
                </c:pt>
                <c:pt idx="28">
                  <c:v>9.9990000000000006</c:v>
                </c:pt>
                <c:pt idx="29">
                  <c:v>9.9990000000000006</c:v>
                </c:pt>
                <c:pt idx="30">
                  <c:v>9.9990000000000006</c:v>
                </c:pt>
                <c:pt idx="31">
                  <c:v>9.9990000000000006</c:v>
                </c:pt>
                <c:pt idx="32">
                  <c:v>9.9990000000000006</c:v>
                </c:pt>
                <c:pt idx="33">
                  <c:v>9.9990000000000006</c:v>
                </c:pt>
                <c:pt idx="34">
                  <c:v>9.9990000000000006</c:v>
                </c:pt>
                <c:pt idx="35">
                  <c:v>9.9990000000000006</c:v>
                </c:pt>
                <c:pt idx="36">
                  <c:v>9.9990000000000006</c:v>
                </c:pt>
                <c:pt idx="37">
                  <c:v>8.4849999999999994</c:v>
                </c:pt>
                <c:pt idx="38">
                  <c:v>7.7649999999999997</c:v>
                </c:pt>
                <c:pt idx="39">
                  <c:v>6.55</c:v>
                </c:pt>
                <c:pt idx="40">
                  <c:v>5.56</c:v>
                </c:pt>
                <c:pt idx="41">
                  <c:v>4.4349999999999996</c:v>
                </c:pt>
                <c:pt idx="42">
                  <c:v>5</c:v>
                </c:pt>
                <c:pt idx="43">
                  <c:v>4.633</c:v>
                </c:pt>
                <c:pt idx="44">
                  <c:v>4.2160000000000002</c:v>
                </c:pt>
                <c:pt idx="45">
                  <c:v>3.9159999999999999</c:v>
                </c:pt>
                <c:pt idx="46">
                  <c:v>3.6160000000000001</c:v>
                </c:pt>
                <c:pt idx="47">
                  <c:v>3.3159999999999998</c:v>
                </c:pt>
                <c:pt idx="48">
                  <c:v>3.133</c:v>
                </c:pt>
                <c:pt idx="49">
                  <c:v>2.95</c:v>
                </c:pt>
                <c:pt idx="50">
                  <c:v>2.7749999999999999</c:v>
                </c:pt>
                <c:pt idx="51">
                  <c:v>2.6949999999999998</c:v>
                </c:pt>
                <c:pt idx="52">
                  <c:v>2.63</c:v>
                </c:pt>
                <c:pt idx="53">
                  <c:v>2.54</c:v>
                </c:pt>
                <c:pt idx="54">
                  <c:v>2.44</c:v>
                </c:pt>
                <c:pt idx="55">
                  <c:v>2.38</c:v>
                </c:pt>
                <c:pt idx="56">
                  <c:v>2.34</c:v>
                </c:pt>
                <c:pt idx="57">
                  <c:v>2.29</c:v>
                </c:pt>
                <c:pt idx="58">
                  <c:v>2.25</c:v>
                </c:pt>
                <c:pt idx="59">
                  <c:v>2.19</c:v>
                </c:pt>
                <c:pt idx="60">
                  <c:v>2.1150000000000002</c:v>
                </c:pt>
                <c:pt idx="61">
                  <c:v>2.08</c:v>
                </c:pt>
                <c:pt idx="62">
                  <c:v>1.9750000000000001</c:v>
                </c:pt>
                <c:pt idx="63">
                  <c:v>1.9350000000000001</c:v>
                </c:pt>
                <c:pt idx="64">
                  <c:v>1.855</c:v>
                </c:pt>
                <c:pt idx="65">
                  <c:v>1.83</c:v>
                </c:pt>
                <c:pt idx="66">
                  <c:v>1.825</c:v>
                </c:pt>
                <c:pt idx="67">
                  <c:v>1.8149999999999999</c:v>
                </c:pt>
                <c:pt idx="68">
                  <c:v>1.7689999999999999</c:v>
                </c:pt>
                <c:pt idx="69">
                  <c:v>1.752</c:v>
                </c:pt>
                <c:pt idx="70">
                  <c:v>1.72</c:v>
                </c:pt>
                <c:pt idx="71">
                  <c:v>1.6890000000000001</c:v>
                </c:pt>
                <c:pt idx="72">
                  <c:v>1.44</c:v>
                </c:pt>
                <c:pt idx="73">
                  <c:v>1.234</c:v>
                </c:pt>
                <c:pt idx="74">
                  <c:v>1.157</c:v>
                </c:pt>
                <c:pt idx="75">
                  <c:v>1.04</c:v>
                </c:pt>
                <c:pt idx="76">
                  <c:v>0.99</c:v>
                </c:pt>
                <c:pt idx="77">
                  <c:v>0.92700000000000005</c:v>
                </c:pt>
              </c:numCache>
            </c:numRef>
          </c:val>
          <c:smooth val="0"/>
          <c:extLst>
            <c:ext xmlns:c16="http://schemas.microsoft.com/office/drawing/2014/chart" uri="{C3380CC4-5D6E-409C-BE32-E72D297353CC}">
              <c16:uniqueId val="{00000001-037E-45F7-A98C-2B869C846561}"/>
            </c:ext>
          </c:extLst>
        </c:ser>
        <c:dLbls>
          <c:showLegendKey val="0"/>
          <c:showVal val="0"/>
          <c:showCatName val="0"/>
          <c:showSerName val="0"/>
          <c:showPercent val="0"/>
          <c:showBubbleSize val="0"/>
        </c:dLbls>
        <c:marker val="1"/>
        <c:smooth val="0"/>
        <c:axId val="1517485344"/>
        <c:axId val="1526483984"/>
        <c:extLst>
          <c:ext xmlns:c15="http://schemas.microsoft.com/office/drawing/2012/chart" uri="{02D57815-91ED-43cb-92C2-25804820EDAC}">
            <c15:filteredLineSeries>
              <c15:ser>
                <c:idx val="0"/>
                <c:order val="0"/>
                <c:tx>
                  <c:strRef>
                    <c:extLst>
                      <c:ext uri="{02D57815-91ED-43cb-92C2-25804820EDAC}">
                        <c15:formulaRef>
                          <c15:sqref>Acetone!$B$2</c15:sqref>
                        </c15:formulaRef>
                      </c:ext>
                    </c:extLst>
                    <c:strCache>
                      <c:ptCount val="1"/>
                      <c:pt idx="0">
                        <c:v>temp</c:v>
                      </c:pt>
                    </c:strCache>
                  </c:strRef>
                </c:tx>
                <c:spPr>
                  <a:ln w="28575" cap="rnd">
                    <a:solidFill>
                      <a:schemeClr val="accent1"/>
                    </a:solidFill>
                    <a:round/>
                  </a:ln>
                  <a:effectLst/>
                </c:spPr>
                <c:marker>
                  <c:symbol val="none"/>
                </c:marker>
                <c:cat>
                  <c:numRef>
                    <c:extLst>
                      <c:ex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c:ext uri="{02D57815-91ED-43cb-92C2-25804820EDAC}">
                        <c15:formulaRef>
                          <c15:sqref>Acetone!$B$3:$B$80</c15:sqref>
                        </c15:formulaRef>
                      </c:ext>
                    </c:extLst>
                    <c:numCache>
                      <c:formatCode>General</c:formatCode>
                      <c:ptCount val="78"/>
                      <c:pt idx="0">
                        <c:v>21.2</c:v>
                      </c:pt>
                      <c:pt idx="1">
                        <c:v>21.2</c:v>
                      </c:pt>
                      <c:pt idx="2">
                        <c:v>21.2</c:v>
                      </c:pt>
                      <c:pt idx="3">
                        <c:v>21.2</c:v>
                      </c:pt>
                    </c:numCache>
                  </c:numRef>
                </c:val>
                <c:smooth val="0"/>
                <c:extLst>
                  <c:ext xmlns:c16="http://schemas.microsoft.com/office/drawing/2014/chart" uri="{C3380CC4-5D6E-409C-BE32-E72D297353CC}">
                    <c16:uniqueId val="{00000003-037E-45F7-A98C-2B869C846561}"/>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Acetone!$C$2</c15:sqref>
                        </c15:formulaRef>
                      </c:ext>
                    </c:extLst>
                    <c:strCache>
                      <c:ptCount val="1"/>
                      <c:pt idx="0">
                        <c:v>RH</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Acetone!$C$3:$C$80</c15:sqref>
                        </c15:formulaRef>
                      </c:ext>
                    </c:extLst>
                    <c:numCache>
                      <c:formatCode>General</c:formatCode>
                      <c:ptCount val="78"/>
                      <c:pt idx="0">
                        <c:v>49</c:v>
                      </c:pt>
                      <c:pt idx="1">
                        <c:v>49</c:v>
                      </c:pt>
                      <c:pt idx="2">
                        <c:v>49</c:v>
                      </c:pt>
                      <c:pt idx="3">
                        <c:v>49</c:v>
                      </c:pt>
                    </c:numCache>
                  </c:numRef>
                </c:val>
                <c:smooth val="0"/>
                <c:extLst xmlns:c15="http://schemas.microsoft.com/office/drawing/2012/chart">
                  <c:ext xmlns:c16="http://schemas.microsoft.com/office/drawing/2014/chart" uri="{C3380CC4-5D6E-409C-BE32-E72D297353CC}">
                    <c16:uniqueId val="{00000004-037E-45F7-A98C-2B869C846561}"/>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Acetone!$D$2</c15:sqref>
                        </c15:formulaRef>
                      </c:ext>
                    </c:extLst>
                    <c:strCache>
                      <c:ptCount val="1"/>
                      <c:pt idx="0">
                        <c:v>temp</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Acetone!$D$3:$D$80</c15:sqref>
                        </c15:formulaRef>
                      </c:ext>
                    </c:extLst>
                    <c:numCache>
                      <c:formatCode>General</c:formatCode>
                      <c:ptCount val="78"/>
                      <c:pt idx="0">
                        <c:v>21.67</c:v>
                      </c:pt>
                      <c:pt idx="1">
                        <c:v>21.69</c:v>
                      </c:pt>
                      <c:pt idx="2">
                        <c:v>21.72</c:v>
                      </c:pt>
                      <c:pt idx="3">
                        <c:v>21.71</c:v>
                      </c:pt>
                    </c:numCache>
                  </c:numRef>
                </c:val>
                <c:smooth val="0"/>
                <c:extLst xmlns:c15="http://schemas.microsoft.com/office/drawing/2012/chart">
                  <c:ext xmlns:c16="http://schemas.microsoft.com/office/drawing/2014/chart" uri="{C3380CC4-5D6E-409C-BE32-E72D297353CC}">
                    <c16:uniqueId val="{00000005-037E-45F7-A98C-2B869C846561}"/>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Acetone!$E$2</c15:sqref>
                        </c15:formulaRef>
                      </c:ext>
                    </c:extLst>
                    <c:strCache>
                      <c:ptCount val="1"/>
                      <c:pt idx="0">
                        <c:v>RH</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Acetone!$E$3:$E$80</c15:sqref>
                        </c15:formulaRef>
                      </c:ext>
                    </c:extLst>
                    <c:numCache>
                      <c:formatCode>General</c:formatCode>
                      <c:ptCount val="78"/>
                      <c:pt idx="0">
                        <c:v>51.975000000000001</c:v>
                      </c:pt>
                      <c:pt idx="1">
                        <c:v>51.895000000000003</c:v>
                      </c:pt>
                      <c:pt idx="2">
                        <c:v>51.798000000000002</c:v>
                      </c:pt>
                      <c:pt idx="3">
                        <c:v>51.941000000000003</c:v>
                      </c:pt>
                    </c:numCache>
                  </c:numRef>
                </c:val>
                <c:smooth val="0"/>
                <c:extLst xmlns:c15="http://schemas.microsoft.com/office/drawing/2012/chart">
                  <c:ext xmlns:c16="http://schemas.microsoft.com/office/drawing/2014/chart" uri="{C3380CC4-5D6E-409C-BE32-E72D297353CC}">
                    <c16:uniqueId val="{00000006-037E-45F7-A98C-2B869C846561}"/>
                  </c:ext>
                </c:extLst>
              </c15:ser>
            </c15:filteredLineSeries>
            <c15:filteredLineSeries>
              <c15:ser>
                <c:idx val="5"/>
                <c:order val="5"/>
                <c:tx>
                  <c:strRef>
                    <c:extLst xmlns:c15="http://schemas.microsoft.com/office/drawing/2012/chart">
                      <c:ext xmlns:c15="http://schemas.microsoft.com/office/drawing/2012/chart" uri="{02D57815-91ED-43cb-92C2-25804820EDAC}">
                        <c15:formulaRef>
                          <c15:sqref>Acetone!$G$2</c15:sqref>
                        </c15:formulaRef>
                      </c:ext>
                    </c:extLst>
                    <c:strCache>
                      <c:ptCount val="1"/>
                      <c:pt idx="0">
                        <c:v>temp</c:v>
                      </c:pt>
                    </c:strCache>
                  </c:strRef>
                </c:tx>
                <c:spPr>
                  <a:ln w="28575" cap="rnd">
                    <a:solidFill>
                      <a:schemeClr val="accent6"/>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Acetone!$G$3:$G$80</c15:sqref>
                        </c15:formulaRef>
                      </c:ext>
                    </c:extLst>
                    <c:numCache>
                      <c:formatCode>General</c:formatCode>
                      <c:ptCount val="78"/>
                      <c:pt idx="0">
                        <c:v>21.145</c:v>
                      </c:pt>
                      <c:pt idx="1">
                        <c:v>21.135000000000002</c:v>
                      </c:pt>
                      <c:pt idx="2">
                        <c:v>21.125</c:v>
                      </c:pt>
                      <c:pt idx="3">
                        <c:v>21.114999999999998</c:v>
                      </c:pt>
                    </c:numCache>
                  </c:numRef>
                </c:val>
                <c:smooth val="0"/>
                <c:extLst xmlns:c15="http://schemas.microsoft.com/office/drawing/2012/chart">
                  <c:ext xmlns:c16="http://schemas.microsoft.com/office/drawing/2014/chart" uri="{C3380CC4-5D6E-409C-BE32-E72D297353CC}">
                    <c16:uniqueId val="{00000008-037E-45F7-A98C-2B869C846561}"/>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Acetone!$H$2</c15:sqref>
                        </c15:formulaRef>
                      </c:ext>
                    </c:extLst>
                    <c:strCache>
                      <c:ptCount val="1"/>
                      <c:pt idx="0">
                        <c:v>RH</c:v>
                      </c:pt>
                    </c:strCache>
                  </c:strRef>
                </c:tx>
                <c:spPr>
                  <a:ln w="28575" cap="rnd">
                    <a:solidFill>
                      <a:schemeClr val="accent1">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Acetone!$H$3:$H$80</c15:sqref>
                        </c15:formulaRef>
                      </c:ext>
                    </c:extLst>
                    <c:numCache>
                      <c:formatCode>General</c:formatCode>
                      <c:ptCount val="78"/>
                      <c:pt idx="0">
                        <c:v>50.4</c:v>
                      </c:pt>
                      <c:pt idx="1">
                        <c:v>50.42</c:v>
                      </c:pt>
                      <c:pt idx="2">
                        <c:v>50.41</c:v>
                      </c:pt>
                      <c:pt idx="3">
                        <c:v>50.51</c:v>
                      </c:pt>
                    </c:numCache>
                  </c:numRef>
                </c:val>
                <c:smooth val="0"/>
                <c:extLst xmlns:c15="http://schemas.microsoft.com/office/drawing/2012/chart">
                  <c:ext xmlns:c16="http://schemas.microsoft.com/office/drawing/2014/chart" uri="{C3380CC4-5D6E-409C-BE32-E72D297353CC}">
                    <c16:uniqueId val="{00000009-037E-45F7-A98C-2B869C846561}"/>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Acetone!$I$2</c15:sqref>
                        </c15:formulaRef>
                      </c:ext>
                    </c:extLst>
                    <c:strCache>
                      <c:ptCount val="1"/>
                      <c:pt idx="0">
                        <c:v>PM 1</c:v>
                      </c:pt>
                    </c:strCache>
                  </c:strRef>
                </c:tx>
                <c:spPr>
                  <a:ln w="28575" cap="rnd">
                    <a:solidFill>
                      <a:schemeClr val="accent2">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Acetone!$I$3:$I$80</c15:sqref>
                        </c15:formulaRef>
                      </c:ext>
                    </c:extLst>
                    <c:numCache>
                      <c:formatCode>General</c:formatCode>
                      <c:ptCount val="78"/>
                      <c:pt idx="0">
                        <c:v>0.7</c:v>
                      </c:pt>
                      <c:pt idx="1">
                        <c:v>0.6</c:v>
                      </c:pt>
                      <c:pt idx="2">
                        <c:v>0.6</c:v>
                      </c:pt>
                      <c:pt idx="3">
                        <c:v>0.7</c:v>
                      </c:pt>
                      <c:pt idx="4">
                        <c:v>3.9</c:v>
                      </c:pt>
                      <c:pt idx="5">
                        <c:v>3.1</c:v>
                      </c:pt>
                      <c:pt idx="6">
                        <c:v>2.2000000000000002</c:v>
                      </c:pt>
                      <c:pt idx="7">
                        <c:v>1.7</c:v>
                      </c:pt>
                      <c:pt idx="8">
                        <c:v>1.3</c:v>
                      </c:pt>
                      <c:pt idx="9">
                        <c:v>1.1000000000000001</c:v>
                      </c:pt>
                      <c:pt idx="10">
                        <c:v>1.1000000000000001</c:v>
                      </c:pt>
                      <c:pt idx="11">
                        <c:v>1</c:v>
                      </c:pt>
                      <c:pt idx="12">
                        <c:v>0.9</c:v>
                      </c:pt>
                    </c:numCache>
                  </c:numRef>
                </c:val>
                <c:smooth val="0"/>
                <c:extLst xmlns:c15="http://schemas.microsoft.com/office/drawing/2012/chart">
                  <c:ext xmlns:c16="http://schemas.microsoft.com/office/drawing/2014/chart" uri="{C3380CC4-5D6E-409C-BE32-E72D297353CC}">
                    <c16:uniqueId val="{0000000A-037E-45F7-A98C-2B869C846561}"/>
                  </c:ext>
                </c:extLst>
              </c15:ser>
            </c15:filteredLineSeries>
            <c15:filteredLineSeries>
              <c15:ser>
                <c:idx val="8"/>
                <c:order val="8"/>
                <c:tx>
                  <c:strRef>
                    <c:extLst xmlns:c15="http://schemas.microsoft.com/office/drawing/2012/chart">
                      <c:ext xmlns:c15="http://schemas.microsoft.com/office/drawing/2012/chart" uri="{02D57815-91ED-43cb-92C2-25804820EDAC}">
                        <c15:formulaRef>
                          <c15:sqref>Acetone!$J$2</c15:sqref>
                        </c15:formulaRef>
                      </c:ext>
                    </c:extLst>
                    <c:strCache>
                      <c:ptCount val="1"/>
                      <c:pt idx="0">
                        <c:v>PM2.5</c:v>
                      </c:pt>
                    </c:strCache>
                  </c:strRef>
                </c:tx>
                <c:spPr>
                  <a:ln w="28575" cap="rnd">
                    <a:solidFill>
                      <a:schemeClr val="accent3">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Acetone!$J$3:$J$80</c15:sqref>
                        </c15:formulaRef>
                      </c:ext>
                    </c:extLst>
                    <c:numCache>
                      <c:formatCode>General</c:formatCode>
                      <c:ptCount val="78"/>
                      <c:pt idx="0">
                        <c:v>0.8</c:v>
                      </c:pt>
                      <c:pt idx="1">
                        <c:v>0.6</c:v>
                      </c:pt>
                      <c:pt idx="2">
                        <c:v>7.0000000000000007E-2</c:v>
                      </c:pt>
                      <c:pt idx="3">
                        <c:v>0.7</c:v>
                      </c:pt>
                      <c:pt idx="4">
                        <c:v>4.2</c:v>
                      </c:pt>
                      <c:pt idx="5">
                        <c:v>3.3</c:v>
                      </c:pt>
                      <c:pt idx="6">
                        <c:v>2.4</c:v>
                      </c:pt>
                      <c:pt idx="7">
                        <c:v>1.8</c:v>
                      </c:pt>
                      <c:pt idx="8">
                        <c:v>1.4</c:v>
                      </c:pt>
                      <c:pt idx="9">
                        <c:v>1.2</c:v>
                      </c:pt>
                      <c:pt idx="10">
                        <c:v>1.1000000000000001</c:v>
                      </c:pt>
                      <c:pt idx="11">
                        <c:v>1.1000000000000001</c:v>
                      </c:pt>
                      <c:pt idx="12">
                        <c:v>1</c:v>
                      </c:pt>
                    </c:numCache>
                  </c:numRef>
                </c:val>
                <c:smooth val="0"/>
                <c:extLst xmlns:c15="http://schemas.microsoft.com/office/drawing/2012/chart">
                  <c:ext xmlns:c16="http://schemas.microsoft.com/office/drawing/2014/chart" uri="{C3380CC4-5D6E-409C-BE32-E72D297353CC}">
                    <c16:uniqueId val="{0000000B-037E-45F7-A98C-2B869C846561}"/>
                  </c:ext>
                </c:extLst>
              </c15:ser>
            </c15:filteredLineSeries>
            <c15:filteredLineSeries>
              <c15:ser>
                <c:idx val="9"/>
                <c:order val="9"/>
                <c:tx>
                  <c:strRef>
                    <c:extLst xmlns:c15="http://schemas.microsoft.com/office/drawing/2012/chart">
                      <c:ext xmlns:c15="http://schemas.microsoft.com/office/drawing/2012/chart" uri="{02D57815-91ED-43cb-92C2-25804820EDAC}">
                        <c15:formulaRef>
                          <c15:sqref>Acetone!$K$2</c15:sqref>
                        </c15:formulaRef>
                      </c:ext>
                    </c:extLst>
                    <c:strCache>
                      <c:ptCount val="1"/>
                      <c:pt idx="0">
                        <c:v>PM 4</c:v>
                      </c:pt>
                    </c:strCache>
                  </c:strRef>
                </c:tx>
                <c:spPr>
                  <a:ln w="28575" cap="rnd">
                    <a:solidFill>
                      <a:schemeClr val="accent4">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Acetone!$K$3:$K$80</c15:sqref>
                        </c15:formulaRef>
                      </c:ext>
                    </c:extLst>
                    <c:numCache>
                      <c:formatCode>General</c:formatCode>
                      <c:ptCount val="78"/>
                      <c:pt idx="0">
                        <c:v>0.8</c:v>
                      </c:pt>
                      <c:pt idx="1">
                        <c:v>0.6</c:v>
                      </c:pt>
                      <c:pt idx="2">
                        <c:v>0.7</c:v>
                      </c:pt>
                      <c:pt idx="3">
                        <c:v>0.7</c:v>
                      </c:pt>
                      <c:pt idx="4">
                        <c:v>4.3</c:v>
                      </c:pt>
                      <c:pt idx="5">
                        <c:v>3.4</c:v>
                      </c:pt>
                      <c:pt idx="6">
                        <c:v>2.4</c:v>
                      </c:pt>
                      <c:pt idx="7">
                        <c:v>1.8</c:v>
                      </c:pt>
                      <c:pt idx="8">
                        <c:v>1.5</c:v>
                      </c:pt>
                      <c:pt idx="9">
                        <c:v>1.3</c:v>
                      </c:pt>
                      <c:pt idx="10">
                        <c:v>1.2</c:v>
                      </c:pt>
                      <c:pt idx="11">
                        <c:v>1.1000000000000001</c:v>
                      </c:pt>
                      <c:pt idx="12">
                        <c:v>1</c:v>
                      </c:pt>
                    </c:numCache>
                  </c:numRef>
                </c:val>
                <c:smooth val="0"/>
                <c:extLst xmlns:c15="http://schemas.microsoft.com/office/drawing/2012/chart">
                  <c:ext xmlns:c16="http://schemas.microsoft.com/office/drawing/2014/chart" uri="{C3380CC4-5D6E-409C-BE32-E72D297353CC}">
                    <c16:uniqueId val="{0000000C-037E-45F7-A98C-2B869C846561}"/>
                  </c:ext>
                </c:extLst>
              </c15:ser>
            </c15:filteredLineSeries>
            <c15:filteredLineSeries>
              <c15:ser>
                <c:idx val="10"/>
                <c:order val="10"/>
                <c:tx>
                  <c:strRef>
                    <c:extLst xmlns:c15="http://schemas.microsoft.com/office/drawing/2012/chart">
                      <c:ext xmlns:c15="http://schemas.microsoft.com/office/drawing/2012/chart" uri="{02D57815-91ED-43cb-92C2-25804820EDAC}">
                        <c15:formulaRef>
                          <c15:sqref>Acetone!$L$2</c15:sqref>
                        </c15:formulaRef>
                      </c:ext>
                    </c:extLst>
                    <c:strCache>
                      <c:ptCount val="1"/>
                      <c:pt idx="0">
                        <c:v>PM 10</c:v>
                      </c:pt>
                    </c:strCache>
                  </c:strRef>
                </c:tx>
                <c:spPr>
                  <a:ln w="28575" cap="rnd">
                    <a:solidFill>
                      <a:schemeClr val="accent5">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Acetone!$L$3:$L$80</c15:sqref>
                        </c15:formulaRef>
                      </c:ext>
                    </c:extLst>
                    <c:numCache>
                      <c:formatCode>General</c:formatCode>
                      <c:ptCount val="78"/>
                      <c:pt idx="0">
                        <c:v>0</c:v>
                      </c:pt>
                      <c:pt idx="1">
                        <c:v>0.6</c:v>
                      </c:pt>
                      <c:pt idx="2">
                        <c:v>0.7</c:v>
                      </c:pt>
                      <c:pt idx="3">
                        <c:v>0.7</c:v>
                      </c:pt>
                      <c:pt idx="4">
                        <c:v>4.3</c:v>
                      </c:pt>
                      <c:pt idx="5">
                        <c:v>3.4</c:v>
                      </c:pt>
                      <c:pt idx="6">
                        <c:v>2.5</c:v>
                      </c:pt>
                      <c:pt idx="7">
                        <c:v>1.9</c:v>
                      </c:pt>
                      <c:pt idx="8">
                        <c:v>1.5</c:v>
                      </c:pt>
                      <c:pt idx="9">
                        <c:v>1.3</c:v>
                      </c:pt>
                      <c:pt idx="10">
                        <c:v>1.2</c:v>
                      </c:pt>
                      <c:pt idx="11">
                        <c:v>1.1000000000000001</c:v>
                      </c:pt>
                      <c:pt idx="12">
                        <c:v>1</c:v>
                      </c:pt>
                    </c:numCache>
                  </c:numRef>
                </c:val>
                <c:smooth val="0"/>
                <c:extLst xmlns:c15="http://schemas.microsoft.com/office/drawing/2012/chart">
                  <c:ext xmlns:c16="http://schemas.microsoft.com/office/drawing/2014/chart" uri="{C3380CC4-5D6E-409C-BE32-E72D297353CC}">
                    <c16:uniqueId val="{0000000D-037E-45F7-A98C-2B869C846561}"/>
                  </c:ext>
                </c:extLst>
              </c15:ser>
            </c15:filteredLineSeries>
            <c15:filteredLineSeries>
              <c15:ser>
                <c:idx val="12"/>
                <c:order val="12"/>
                <c:tx>
                  <c:strRef>
                    <c:extLst xmlns:c15="http://schemas.microsoft.com/office/drawing/2012/chart">
                      <c:ext xmlns:c15="http://schemas.microsoft.com/office/drawing/2012/chart" uri="{02D57815-91ED-43cb-92C2-25804820EDAC}">
                        <c15:formulaRef>
                          <c15:sqref>Acetone!$N$2</c15:sqref>
                        </c15:formulaRef>
                      </c:ext>
                    </c:extLst>
                    <c:strCache>
                      <c:ptCount val="1"/>
                      <c:pt idx="0">
                        <c:v>NOx Index</c:v>
                      </c:pt>
                    </c:strCache>
                  </c:strRef>
                </c:tx>
                <c:spPr>
                  <a:ln w="28575" cap="rnd">
                    <a:solidFill>
                      <a:schemeClr val="accent1">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Acetone!$N$3:$N$80</c15:sqref>
                        </c15:formulaRef>
                      </c:ext>
                    </c:extLst>
                    <c:numCache>
                      <c:formatCode>General</c:formatCode>
                      <c:ptCount val="78"/>
                      <c:pt idx="0">
                        <c:v>1</c:v>
                      </c:pt>
                      <c:pt idx="1">
                        <c:v>1</c:v>
                      </c:pt>
                      <c:pt idx="2">
                        <c:v>1</c:v>
                      </c:pt>
                      <c:pt idx="3">
                        <c:v>1</c:v>
                      </c:pt>
                      <c:pt idx="4">
                        <c:v>1</c:v>
                      </c:pt>
                      <c:pt idx="5">
                        <c:v>1</c:v>
                      </c:pt>
                      <c:pt idx="6">
                        <c:v>1</c:v>
                      </c:pt>
                      <c:pt idx="7">
                        <c:v>1</c:v>
                      </c:pt>
                      <c:pt idx="8">
                        <c:v>1</c:v>
                      </c:pt>
                      <c:pt idx="9">
                        <c:v>1</c:v>
                      </c:pt>
                      <c:pt idx="10">
                        <c:v>1</c:v>
                      </c:pt>
                      <c:pt idx="11">
                        <c:v>1</c:v>
                      </c:pt>
                      <c:pt idx="12">
                        <c:v>1</c:v>
                      </c:pt>
                    </c:numCache>
                  </c:numRef>
                </c:val>
                <c:smooth val="0"/>
                <c:extLst xmlns:c15="http://schemas.microsoft.com/office/drawing/2012/chart">
                  <c:ext xmlns:c16="http://schemas.microsoft.com/office/drawing/2014/chart" uri="{C3380CC4-5D6E-409C-BE32-E72D297353CC}">
                    <c16:uniqueId val="{0000000E-037E-45F7-A98C-2B869C846561}"/>
                  </c:ext>
                </c:extLst>
              </c15:ser>
            </c15:filteredLineSeries>
            <c15:filteredLineSeries>
              <c15:ser>
                <c:idx val="13"/>
                <c:order val="13"/>
                <c:tx>
                  <c:strRef>
                    <c:extLst xmlns:c15="http://schemas.microsoft.com/office/drawing/2012/chart">
                      <c:ext xmlns:c15="http://schemas.microsoft.com/office/drawing/2012/chart" uri="{02D57815-91ED-43cb-92C2-25804820EDAC}">
                        <c15:formulaRef>
                          <c15:sqref>Acetone!$O$2</c15:sqref>
                        </c15:formulaRef>
                      </c:ext>
                    </c:extLst>
                    <c:strCache>
                      <c:ptCount val="1"/>
                      <c:pt idx="0">
                        <c:v>temp</c:v>
                      </c:pt>
                    </c:strCache>
                  </c:strRef>
                </c:tx>
                <c:spPr>
                  <a:ln w="28575" cap="rnd">
                    <a:solidFill>
                      <a:schemeClr val="accent2">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Acetone!$O$3:$O$80</c15:sqref>
                        </c15:formulaRef>
                      </c:ext>
                    </c:extLst>
                    <c:numCache>
                      <c:formatCode>General</c:formatCode>
                      <c:ptCount val="78"/>
                      <c:pt idx="0">
                        <c:v>18</c:v>
                      </c:pt>
                      <c:pt idx="1">
                        <c:v>18</c:v>
                      </c:pt>
                      <c:pt idx="2">
                        <c:v>18</c:v>
                      </c:pt>
                      <c:pt idx="3">
                        <c:v>18</c:v>
                      </c:pt>
                    </c:numCache>
                  </c:numRef>
                </c:val>
                <c:smooth val="0"/>
                <c:extLst xmlns:c15="http://schemas.microsoft.com/office/drawing/2012/chart">
                  <c:ext xmlns:c16="http://schemas.microsoft.com/office/drawing/2014/chart" uri="{C3380CC4-5D6E-409C-BE32-E72D297353CC}">
                    <c16:uniqueId val="{0000000F-037E-45F7-A98C-2B869C846561}"/>
                  </c:ext>
                </c:extLst>
              </c15:ser>
            </c15:filteredLineSeries>
            <c15:filteredLineSeries>
              <c15:ser>
                <c:idx val="14"/>
                <c:order val="14"/>
                <c:tx>
                  <c:strRef>
                    <c:extLst xmlns:c15="http://schemas.microsoft.com/office/drawing/2012/chart">
                      <c:ext xmlns:c15="http://schemas.microsoft.com/office/drawing/2012/chart" uri="{02D57815-91ED-43cb-92C2-25804820EDAC}">
                        <c15:formulaRef>
                          <c15:sqref>Acetone!$P$2</c15:sqref>
                        </c15:formulaRef>
                      </c:ext>
                    </c:extLst>
                    <c:strCache>
                      <c:ptCount val="1"/>
                      <c:pt idx="0">
                        <c:v>RH</c:v>
                      </c:pt>
                    </c:strCache>
                  </c:strRef>
                </c:tx>
                <c:spPr>
                  <a:ln w="28575" cap="rnd">
                    <a:solidFill>
                      <a:schemeClr val="accent3">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Acetone!$P$3:$P$80</c15:sqref>
                        </c15:formulaRef>
                      </c:ext>
                    </c:extLst>
                    <c:numCache>
                      <c:formatCode>General</c:formatCode>
                      <c:ptCount val="78"/>
                      <c:pt idx="0">
                        <c:v>52</c:v>
                      </c:pt>
                      <c:pt idx="1">
                        <c:v>54</c:v>
                      </c:pt>
                      <c:pt idx="2">
                        <c:v>53</c:v>
                      </c:pt>
                      <c:pt idx="3">
                        <c:v>52</c:v>
                      </c:pt>
                    </c:numCache>
                  </c:numRef>
                </c:val>
                <c:smooth val="0"/>
                <c:extLst xmlns:c15="http://schemas.microsoft.com/office/drawing/2012/chart">
                  <c:ext xmlns:c16="http://schemas.microsoft.com/office/drawing/2014/chart" uri="{C3380CC4-5D6E-409C-BE32-E72D297353CC}">
                    <c16:uniqueId val="{00000010-037E-45F7-A98C-2B869C846561}"/>
                  </c:ext>
                </c:extLst>
              </c15:ser>
            </c15:filteredLineSeries>
            <c15:filteredLineSeries>
              <c15:ser>
                <c:idx val="15"/>
                <c:order val="15"/>
                <c:tx>
                  <c:strRef>
                    <c:extLst xmlns:c15="http://schemas.microsoft.com/office/drawing/2012/chart">
                      <c:ext xmlns:c15="http://schemas.microsoft.com/office/drawing/2012/chart" uri="{02D57815-91ED-43cb-92C2-25804820EDAC}">
                        <c15:formulaRef>
                          <c15:sqref>Acetone!$Q$2</c15:sqref>
                        </c15:formulaRef>
                      </c:ext>
                    </c:extLst>
                    <c:strCache>
                      <c:ptCount val="1"/>
                      <c:pt idx="0">
                        <c:v>PM 1</c:v>
                      </c:pt>
                    </c:strCache>
                  </c:strRef>
                </c:tx>
                <c:spPr>
                  <a:ln w="28575" cap="rnd">
                    <a:solidFill>
                      <a:schemeClr val="accent4">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Acetone!$Q$3:$Q$80</c15:sqref>
                        </c15:formulaRef>
                      </c:ext>
                    </c:extLst>
                    <c:numCache>
                      <c:formatCode>General</c:formatCode>
                      <c:ptCount val="78"/>
                      <c:pt idx="0">
                        <c:v>1</c:v>
                      </c:pt>
                      <c:pt idx="1">
                        <c:v>1</c:v>
                      </c:pt>
                      <c:pt idx="2">
                        <c:v>2</c:v>
                      </c:pt>
                      <c:pt idx="3">
                        <c:v>1</c:v>
                      </c:pt>
                      <c:pt idx="4">
                        <c:v>2</c:v>
                      </c:pt>
                      <c:pt idx="5">
                        <c:v>3</c:v>
                      </c:pt>
                      <c:pt idx="6">
                        <c:v>3</c:v>
                      </c:pt>
                      <c:pt idx="7">
                        <c:v>2</c:v>
                      </c:pt>
                      <c:pt idx="8">
                        <c:v>1</c:v>
                      </c:pt>
                      <c:pt idx="9">
                        <c:v>1</c:v>
                      </c:pt>
                      <c:pt idx="10">
                        <c:v>1</c:v>
                      </c:pt>
                      <c:pt idx="11">
                        <c:v>2</c:v>
                      </c:pt>
                      <c:pt idx="12">
                        <c:v>2</c:v>
                      </c:pt>
                    </c:numCache>
                  </c:numRef>
                </c:val>
                <c:smooth val="0"/>
                <c:extLst xmlns:c15="http://schemas.microsoft.com/office/drawing/2012/chart">
                  <c:ext xmlns:c16="http://schemas.microsoft.com/office/drawing/2014/chart" uri="{C3380CC4-5D6E-409C-BE32-E72D297353CC}">
                    <c16:uniqueId val="{00000011-037E-45F7-A98C-2B869C846561}"/>
                  </c:ext>
                </c:extLst>
              </c15:ser>
            </c15:filteredLineSeries>
            <c15:filteredLineSeries>
              <c15:ser>
                <c:idx val="16"/>
                <c:order val="16"/>
                <c:tx>
                  <c:strRef>
                    <c:extLst xmlns:c15="http://schemas.microsoft.com/office/drawing/2012/chart">
                      <c:ext xmlns:c15="http://schemas.microsoft.com/office/drawing/2012/chart" uri="{02D57815-91ED-43cb-92C2-25804820EDAC}">
                        <c15:formulaRef>
                          <c15:sqref>Acetone!$R$2</c15:sqref>
                        </c15:formulaRef>
                      </c:ext>
                    </c:extLst>
                    <c:strCache>
                      <c:ptCount val="1"/>
                      <c:pt idx="0">
                        <c:v>PM2.5</c:v>
                      </c:pt>
                    </c:strCache>
                  </c:strRef>
                </c:tx>
                <c:spPr>
                  <a:ln w="28575" cap="rnd">
                    <a:solidFill>
                      <a:schemeClr val="accent5">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Acetone!$R$3:$R$80</c15:sqref>
                        </c15:formulaRef>
                      </c:ext>
                    </c:extLst>
                    <c:numCache>
                      <c:formatCode>General</c:formatCode>
                      <c:ptCount val="78"/>
                      <c:pt idx="0">
                        <c:v>3</c:v>
                      </c:pt>
                      <c:pt idx="1">
                        <c:v>3</c:v>
                      </c:pt>
                      <c:pt idx="2">
                        <c:v>4</c:v>
                      </c:pt>
                      <c:pt idx="3">
                        <c:v>3</c:v>
                      </c:pt>
                      <c:pt idx="4">
                        <c:v>5</c:v>
                      </c:pt>
                      <c:pt idx="5">
                        <c:v>6</c:v>
                      </c:pt>
                      <c:pt idx="6">
                        <c:v>6</c:v>
                      </c:pt>
                      <c:pt idx="7">
                        <c:v>5</c:v>
                      </c:pt>
                      <c:pt idx="8">
                        <c:v>3</c:v>
                      </c:pt>
                      <c:pt idx="9">
                        <c:v>3</c:v>
                      </c:pt>
                      <c:pt idx="10">
                        <c:v>3</c:v>
                      </c:pt>
                      <c:pt idx="11">
                        <c:v>4</c:v>
                      </c:pt>
                      <c:pt idx="12">
                        <c:v>4</c:v>
                      </c:pt>
                    </c:numCache>
                  </c:numRef>
                </c:val>
                <c:smooth val="0"/>
                <c:extLst xmlns:c15="http://schemas.microsoft.com/office/drawing/2012/chart">
                  <c:ext xmlns:c16="http://schemas.microsoft.com/office/drawing/2014/chart" uri="{C3380CC4-5D6E-409C-BE32-E72D297353CC}">
                    <c16:uniqueId val="{00000012-037E-45F7-A98C-2B869C846561}"/>
                  </c:ext>
                </c:extLst>
              </c15:ser>
            </c15:filteredLineSeries>
            <c15:filteredLineSeries>
              <c15:ser>
                <c:idx val="17"/>
                <c:order val="17"/>
                <c:tx>
                  <c:strRef>
                    <c:extLst xmlns:c15="http://schemas.microsoft.com/office/drawing/2012/chart">
                      <c:ext xmlns:c15="http://schemas.microsoft.com/office/drawing/2012/chart" uri="{02D57815-91ED-43cb-92C2-25804820EDAC}">
                        <c15:formulaRef>
                          <c15:sqref>Acetone!$S$2</c15:sqref>
                        </c15:formulaRef>
                      </c:ext>
                    </c:extLst>
                    <c:strCache>
                      <c:ptCount val="1"/>
                      <c:pt idx="0">
                        <c:v>PM 10</c:v>
                      </c:pt>
                    </c:strCache>
                  </c:strRef>
                </c:tx>
                <c:spPr>
                  <a:ln w="28575" cap="rnd">
                    <a:solidFill>
                      <a:schemeClr val="accent6">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xmlns:c15="http://schemas.microsoft.com/office/drawing/2012/chart">
                      <c:ext xmlns:c15="http://schemas.microsoft.com/office/drawing/2012/chart" uri="{02D57815-91ED-43cb-92C2-25804820EDAC}">
                        <c15:formulaRef>
                          <c15:sqref>Acetone!$S$3:$S$80</c15:sqref>
                        </c15:formulaRef>
                      </c:ext>
                    </c:extLst>
                    <c:numCache>
                      <c:formatCode>General</c:formatCode>
                      <c:ptCount val="78"/>
                      <c:pt idx="0">
                        <c:v>3</c:v>
                      </c:pt>
                      <c:pt idx="1">
                        <c:v>3</c:v>
                      </c:pt>
                      <c:pt idx="2">
                        <c:v>3</c:v>
                      </c:pt>
                      <c:pt idx="3">
                        <c:v>4</c:v>
                      </c:pt>
                      <c:pt idx="4">
                        <c:v>5</c:v>
                      </c:pt>
                      <c:pt idx="5">
                        <c:v>7</c:v>
                      </c:pt>
                      <c:pt idx="6">
                        <c:v>7</c:v>
                      </c:pt>
                      <c:pt idx="7">
                        <c:v>6</c:v>
                      </c:pt>
                      <c:pt idx="8">
                        <c:v>3</c:v>
                      </c:pt>
                      <c:pt idx="9">
                        <c:v>2</c:v>
                      </c:pt>
                      <c:pt idx="10">
                        <c:v>3</c:v>
                      </c:pt>
                      <c:pt idx="11">
                        <c:v>4</c:v>
                      </c:pt>
                      <c:pt idx="12">
                        <c:v>5</c:v>
                      </c:pt>
                    </c:numCache>
                  </c:numRef>
                </c:val>
                <c:smooth val="0"/>
                <c:extLst xmlns:c15="http://schemas.microsoft.com/office/drawing/2012/chart">
                  <c:ext xmlns:c16="http://schemas.microsoft.com/office/drawing/2014/chart" uri="{C3380CC4-5D6E-409C-BE32-E72D297353CC}">
                    <c16:uniqueId val="{00000013-037E-45F7-A98C-2B869C846561}"/>
                  </c:ext>
                </c:extLst>
              </c15:ser>
            </c15:filteredLineSeries>
          </c:ext>
        </c:extLst>
      </c:lineChart>
      <c:lineChart>
        <c:grouping val="standard"/>
        <c:varyColors val="0"/>
        <c:ser>
          <c:idx val="11"/>
          <c:order val="11"/>
          <c:tx>
            <c:strRef>
              <c:f>Acetone!$M$2</c:f>
              <c:strCache>
                <c:ptCount val="1"/>
                <c:pt idx="0">
                  <c:v>VOC Index</c:v>
                </c:pt>
              </c:strCache>
              <c:extLst xmlns:c15="http://schemas.microsoft.com/office/drawing/2012/chart"/>
            </c:strRef>
          </c:tx>
          <c:spPr>
            <a:ln w="28575" cap="rnd">
              <a:solidFill>
                <a:schemeClr val="accent6"/>
              </a:solidFill>
              <a:round/>
            </a:ln>
            <a:effectLst/>
          </c:spPr>
          <c:marker>
            <c:symbol val="none"/>
          </c:marker>
          <c:cat>
            <c:numRef>
              <c:f>Acetone!$A$3:$A$80</c:f>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extLst xmlns:c15="http://schemas.microsoft.com/office/drawing/2012/chart"/>
            </c:numRef>
          </c:cat>
          <c:val>
            <c:numRef>
              <c:f>Acetone!$M$3:$M$80</c:f>
              <c:numCache>
                <c:formatCode>General</c:formatCode>
                <c:ptCount val="78"/>
                <c:pt idx="0">
                  <c:v>103</c:v>
                </c:pt>
                <c:pt idx="1">
                  <c:v>102</c:v>
                </c:pt>
                <c:pt idx="2">
                  <c:v>102</c:v>
                </c:pt>
                <c:pt idx="3">
                  <c:v>101</c:v>
                </c:pt>
                <c:pt idx="4">
                  <c:v>132</c:v>
                </c:pt>
                <c:pt idx="5">
                  <c:v>197</c:v>
                </c:pt>
                <c:pt idx="6">
                  <c:v>263</c:v>
                </c:pt>
                <c:pt idx="7">
                  <c:v>314</c:v>
                </c:pt>
                <c:pt idx="8">
                  <c:v>354</c:v>
                </c:pt>
                <c:pt idx="9">
                  <c:v>386</c:v>
                </c:pt>
                <c:pt idx="10">
                  <c:v>410</c:v>
                </c:pt>
                <c:pt idx="11">
                  <c:v>430</c:v>
                </c:pt>
                <c:pt idx="12">
                  <c:v>445</c:v>
                </c:pt>
                <c:pt idx="13">
                  <c:v>457</c:v>
                </c:pt>
                <c:pt idx="14">
                  <c:v>466</c:v>
                </c:pt>
                <c:pt idx="15">
                  <c:v>473</c:v>
                </c:pt>
                <c:pt idx="16">
                  <c:v>478</c:v>
                </c:pt>
                <c:pt idx="17">
                  <c:v>482</c:v>
                </c:pt>
                <c:pt idx="18">
                  <c:v>484</c:v>
                </c:pt>
                <c:pt idx="19">
                  <c:v>484</c:v>
                </c:pt>
                <c:pt idx="20">
                  <c:v>483</c:v>
                </c:pt>
                <c:pt idx="21">
                  <c:v>479</c:v>
                </c:pt>
                <c:pt idx="22">
                  <c:v>472</c:v>
                </c:pt>
                <c:pt idx="23">
                  <c:v>464</c:v>
                </c:pt>
                <c:pt idx="24">
                  <c:v>456</c:v>
                </c:pt>
                <c:pt idx="25">
                  <c:v>445</c:v>
                </c:pt>
                <c:pt idx="26">
                  <c:v>436</c:v>
                </c:pt>
                <c:pt idx="27">
                  <c:v>424</c:v>
                </c:pt>
                <c:pt idx="28">
                  <c:v>414</c:v>
                </c:pt>
                <c:pt idx="29">
                  <c:v>407</c:v>
                </c:pt>
                <c:pt idx="30">
                  <c:v>400</c:v>
                </c:pt>
                <c:pt idx="31">
                  <c:v>391</c:v>
                </c:pt>
                <c:pt idx="32">
                  <c:v>384</c:v>
                </c:pt>
                <c:pt idx="33">
                  <c:v>377</c:v>
                </c:pt>
                <c:pt idx="34">
                  <c:v>370</c:v>
                </c:pt>
                <c:pt idx="35">
                  <c:v>364</c:v>
                </c:pt>
                <c:pt idx="36">
                  <c:v>357</c:v>
                </c:pt>
                <c:pt idx="37">
                  <c:v>348</c:v>
                </c:pt>
                <c:pt idx="38">
                  <c:v>338</c:v>
                </c:pt>
                <c:pt idx="39">
                  <c:v>331</c:v>
                </c:pt>
                <c:pt idx="40">
                  <c:v>323</c:v>
                </c:pt>
                <c:pt idx="41">
                  <c:v>316</c:v>
                </c:pt>
                <c:pt idx="42">
                  <c:v>310</c:v>
                </c:pt>
                <c:pt idx="43">
                  <c:v>305</c:v>
                </c:pt>
                <c:pt idx="44">
                  <c:v>299</c:v>
                </c:pt>
                <c:pt idx="45">
                  <c:v>294</c:v>
                </c:pt>
                <c:pt idx="46">
                  <c:v>290</c:v>
                </c:pt>
                <c:pt idx="47">
                  <c:v>287</c:v>
                </c:pt>
                <c:pt idx="48">
                  <c:v>284</c:v>
                </c:pt>
                <c:pt idx="49">
                  <c:v>281</c:v>
                </c:pt>
                <c:pt idx="50">
                  <c:v>279</c:v>
                </c:pt>
                <c:pt idx="51">
                  <c:v>275</c:v>
                </c:pt>
                <c:pt idx="52">
                  <c:v>272</c:v>
                </c:pt>
                <c:pt idx="53">
                  <c:v>268</c:v>
                </c:pt>
                <c:pt idx="54">
                  <c:v>266</c:v>
                </c:pt>
                <c:pt idx="55">
                  <c:v>263</c:v>
                </c:pt>
                <c:pt idx="56">
                  <c:v>261</c:v>
                </c:pt>
                <c:pt idx="57">
                  <c:v>259</c:v>
                </c:pt>
                <c:pt idx="58">
                  <c:v>256</c:v>
                </c:pt>
                <c:pt idx="59">
                  <c:v>254</c:v>
                </c:pt>
                <c:pt idx="60">
                  <c:v>253</c:v>
                </c:pt>
                <c:pt idx="61">
                  <c:v>252</c:v>
                </c:pt>
                <c:pt idx="62">
                  <c:v>250</c:v>
                </c:pt>
                <c:pt idx="63">
                  <c:v>248</c:v>
                </c:pt>
                <c:pt idx="64">
                  <c:v>245</c:v>
                </c:pt>
                <c:pt idx="65">
                  <c:v>243</c:v>
                </c:pt>
                <c:pt idx="66">
                  <c:v>241</c:v>
                </c:pt>
                <c:pt idx="67">
                  <c:v>239</c:v>
                </c:pt>
                <c:pt idx="68">
                  <c:v>237</c:v>
                </c:pt>
                <c:pt idx="69">
                  <c:v>236</c:v>
                </c:pt>
                <c:pt idx="70">
                  <c:v>234</c:v>
                </c:pt>
                <c:pt idx="71">
                  <c:v>233</c:v>
                </c:pt>
                <c:pt idx="72">
                  <c:v>225</c:v>
                </c:pt>
                <c:pt idx="73">
                  <c:v>220</c:v>
                </c:pt>
                <c:pt idx="74">
                  <c:v>213</c:v>
                </c:pt>
                <c:pt idx="75">
                  <c:v>200</c:v>
                </c:pt>
                <c:pt idx="76">
                  <c:v>191</c:v>
                </c:pt>
                <c:pt idx="77">
                  <c:v>185</c:v>
                </c:pt>
              </c:numCache>
              <c:extLst xmlns:c15="http://schemas.microsoft.com/office/drawing/2012/chart"/>
            </c:numRef>
          </c:val>
          <c:smooth val="0"/>
          <c:extLst>
            <c:ext xmlns:c16="http://schemas.microsoft.com/office/drawing/2014/chart" uri="{C3380CC4-5D6E-409C-BE32-E72D297353CC}">
              <c16:uniqueId val="{00000002-037E-45F7-A98C-2B869C846561}"/>
            </c:ext>
          </c:extLst>
        </c:ser>
        <c:dLbls>
          <c:showLegendKey val="0"/>
          <c:showVal val="0"/>
          <c:showCatName val="0"/>
          <c:showSerName val="0"/>
          <c:showPercent val="0"/>
          <c:showBubbleSize val="0"/>
        </c:dLbls>
        <c:marker val="1"/>
        <c:smooth val="0"/>
        <c:axId val="1563028432"/>
        <c:axId val="1563026032"/>
        <c:extLst>
          <c:ext xmlns:c15="http://schemas.microsoft.com/office/drawing/2012/chart" uri="{02D57815-91ED-43cb-92C2-25804820EDAC}">
            <c15:filteredLineSeries>
              <c15:ser>
                <c:idx val="4"/>
                <c:order val="4"/>
                <c:tx>
                  <c:strRef>
                    <c:extLst>
                      <c:ext uri="{02D57815-91ED-43cb-92C2-25804820EDAC}">
                        <c15:formulaRef>
                          <c15:sqref>Acetone!$F$2</c15:sqref>
                        </c15:formulaRef>
                      </c:ext>
                    </c:extLst>
                    <c:strCache>
                      <c:ptCount val="1"/>
                      <c:pt idx="0">
                        <c:v>VOC</c:v>
                      </c:pt>
                    </c:strCache>
                  </c:strRef>
                </c:tx>
                <c:spPr>
                  <a:ln w="28575" cap="rnd">
                    <a:solidFill>
                      <a:schemeClr val="accent5"/>
                    </a:solidFill>
                    <a:round/>
                  </a:ln>
                  <a:effectLst/>
                </c:spPr>
                <c:marker>
                  <c:symbol val="none"/>
                </c:marker>
                <c:cat>
                  <c:numRef>
                    <c:extLst>
                      <c:ext uri="{02D57815-91ED-43cb-92C2-25804820EDAC}">
                        <c15:formulaRef>
                          <c15:sqref>Acetone!$A$3:$A$80</c15:sqref>
                        </c15:formulaRef>
                      </c:ext>
                    </c:extLst>
                    <c:numCache>
                      <c:formatCode>h:mm:ss</c:formatCode>
                      <c:ptCount val="78"/>
                      <c:pt idx="0">
                        <c:v>0</c:v>
                      </c:pt>
                      <c:pt idx="1">
                        <c:v>1.388888888888884E-3</c:v>
                      </c:pt>
                      <c:pt idx="2">
                        <c:v>2.7777777777777679E-3</c:v>
                      </c:pt>
                      <c:pt idx="3">
                        <c:v>4.1666666666667074E-3</c:v>
                      </c:pt>
                      <c:pt idx="4">
                        <c:v>5.5555555555555913E-3</c:v>
                      </c:pt>
                      <c:pt idx="5">
                        <c:v>5.5787037037037801E-3</c:v>
                      </c:pt>
                      <c:pt idx="6">
                        <c:v>5.6018518518519134E-3</c:v>
                      </c:pt>
                      <c:pt idx="7">
                        <c:v>5.6249999999996025E-3</c:v>
                      </c:pt>
                      <c:pt idx="8">
                        <c:v>5.6481481481485685E-3</c:v>
                      </c:pt>
                      <c:pt idx="9">
                        <c:v>5.6712962962965907E-3</c:v>
                      </c:pt>
                      <c:pt idx="10">
                        <c:v>5.6944444444445574E-3</c:v>
                      </c:pt>
                      <c:pt idx="11">
                        <c:v>5.7175925925925797E-3</c:v>
                      </c:pt>
                      <c:pt idx="12">
                        <c:v>5.7407407407406019E-3</c:v>
                      </c:pt>
                      <c:pt idx="13">
                        <c:v>5.7638888888885687E-3</c:v>
                      </c:pt>
                      <c:pt idx="14">
                        <c:v>5.7870370370365909E-3</c:v>
                      </c:pt>
                      <c:pt idx="15">
                        <c:v>5.8101851851855568E-3</c:v>
                      </c:pt>
                      <c:pt idx="16">
                        <c:v>5.8333333333335791E-3</c:v>
                      </c:pt>
                      <c:pt idx="17">
                        <c:v>5.8564814814816013E-3</c:v>
                      </c:pt>
                      <c:pt idx="18">
                        <c:v>5.879629629629568E-3</c:v>
                      </c:pt>
                      <c:pt idx="19">
                        <c:v>5.9027777777775903E-3</c:v>
                      </c:pt>
                      <c:pt idx="20">
                        <c:v>5.925925925925557E-3</c:v>
                      </c:pt>
                      <c:pt idx="21">
                        <c:v>5.9490740740735792E-3</c:v>
                      </c:pt>
                      <c:pt idx="22">
                        <c:v>5.9722222222216015E-3</c:v>
                      </c:pt>
                      <c:pt idx="23">
                        <c:v>5.9953703703705674E-3</c:v>
                      </c:pt>
                      <c:pt idx="24">
                        <c:v>6.0185185185185897E-3</c:v>
                      </c:pt>
                      <c:pt idx="25">
                        <c:v>6.0416666666665564E-3</c:v>
                      </c:pt>
                      <c:pt idx="26">
                        <c:v>6.0648148148145786E-3</c:v>
                      </c:pt>
                      <c:pt idx="27">
                        <c:v>6.0879629629626009E-3</c:v>
                      </c:pt>
                      <c:pt idx="28">
                        <c:v>6.1111111111105676E-3</c:v>
                      </c:pt>
                      <c:pt idx="29">
                        <c:v>6.1342592592585898E-3</c:v>
                      </c:pt>
                      <c:pt idx="30">
                        <c:v>6.1574074074075558E-3</c:v>
                      </c:pt>
                      <c:pt idx="31">
                        <c:v>6.180555555555578E-3</c:v>
                      </c:pt>
                      <c:pt idx="32">
                        <c:v>6.2037037037036002E-3</c:v>
                      </c:pt>
                      <c:pt idx="33">
                        <c:v>6.226851851851567E-3</c:v>
                      </c:pt>
                      <c:pt idx="34">
                        <c:v>6.2499999999995892E-3</c:v>
                      </c:pt>
                      <c:pt idx="35">
                        <c:v>6.2731481481475559E-3</c:v>
                      </c:pt>
                      <c:pt idx="36">
                        <c:v>6.2962962962955782E-3</c:v>
                      </c:pt>
                      <c:pt idx="37">
                        <c:v>6.3194444444436004E-3</c:v>
                      </c:pt>
                      <c:pt idx="38">
                        <c:v>6.3425925925925664E-3</c:v>
                      </c:pt>
                      <c:pt idx="39">
                        <c:v>6.3657407407405886E-3</c:v>
                      </c:pt>
                      <c:pt idx="40">
                        <c:v>6.3888888888885553E-3</c:v>
                      </c:pt>
                      <c:pt idx="41">
                        <c:v>6.4120370370365776E-3</c:v>
                      </c:pt>
                      <c:pt idx="42">
                        <c:v>6.4351851851845998E-3</c:v>
                      </c:pt>
                      <c:pt idx="43">
                        <c:v>6.4583333333325665E-3</c:v>
                      </c:pt>
                      <c:pt idx="44">
                        <c:v>6.4814814814805888E-3</c:v>
                      </c:pt>
                      <c:pt idx="45">
                        <c:v>6.5046296296295547E-3</c:v>
                      </c:pt>
                      <c:pt idx="46">
                        <c:v>6.527777777777577E-3</c:v>
                      </c:pt>
                      <c:pt idx="47">
                        <c:v>6.5509259259255992E-3</c:v>
                      </c:pt>
                      <c:pt idx="48">
                        <c:v>6.5740740740735659E-3</c:v>
                      </c:pt>
                      <c:pt idx="49">
                        <c:v>6.5972222222215882E-3</c:v>
                      </c:pt>
                      <c:pt idx="50">
                        <c:v>6.6203703703695549E-3</c:v>
                      </c:pt>
                      <c:pt idx="51">
                        <c:v>6.6435185185175771E-3</c:v>
                      </c:pt>
                      <c:pt idx="52">
                        <c:v>6.6666666666655994E-3</c:v>
                      </c:pt>
                      <c:pt idx="53">
                        <c:v>6.6898148148145653E-3</c:v>
                      </c:pt>
                      <c:pt idx="54">
                        <c:v>6.7129629629625875E-3</c:v>
                      </c:pt>
                      <c:pt idx="55">
                        <c:v>6.7361111111105543E-3</c:v>
                      </c:pt>
                      <c:pt idx="56">
                        <c:v>6.7592592592585765E-3</c:v>
                      </c:pt>
                      <c:pt idx="57">
                        <c:v>6.7824074074065988E-3</c:v>
                      </c:pt>
                      <c:pt idx="58">
                        <c:v>6.8055555555545655E-3</c:v>
                      </c:pt>
                      <c:pt idx="59">
                        <c:v>6.8287037037025877E-3</c:v>
                      </c:pt>
                      <c:pt idx="60">
                        <c:v>6.8518518518515537E-3</c:v>
                      </c:pt>
                      <c:pt idx="61">
                        <c:v>6.8749999999995759E-3</c:v>
                      </c:pt>
                      <c:pt idx="62">
                        <c:v>6.8981481481475981E-3</c:v>
                      </c:pt>
                      <c:pt idx="63">
                        <c:v>6.9212962962955649E-3</c:v>
                      </c:pt>
                      <c:pt idx="64">
                        <c:v>6.9444444444435871E-3</c:v>
                      </c:pt>
                      <c:pt idx="65">
                        <c:v>6.9675925925915538E-3</c:v>
                      </c:pt>
                      <c:pt idx="66">
                        <c:v>6.9907407407395761E-3</c:v>
                      </c:pt>
                      <c:pt idx="67">
                        <c:v>7.0138888888875983E-3</c:v>
                      </c:pt>
                      <c:pt idx="68">
                        <c:v>7.0370370370365642E-3</c:v>
                      </c:pt>
                      <c:pt idx="69">
                        <c:v>7.0601851851845865E-3</c:v>
                      </c:pt>
                      <c:pt idx="70">
                        <c:v>7.0833333333325532E-3</c:v>
                      </c:pt>
                      <c:pt idx="71">
                        <c:v>7.6388888888888886E-3</c:v>
                      </c:pt>
                      <c:pt idx="72">
                        <c:v>8.3333333333333332E-3</c:v>
                      </c:pt>
                      <c:pt idx="73">
                        <c:v>9.0277777777777787E-3</c:v>
                      </c:pt>
                      <c:pt idx="74">
                        <c:v>9.7222222222222206E-3</c:v>
                      </c:pt>
                      <c:pt idx="75">
                        <c:v>1.0416666666666701E-2</c:v>
                      </c:pt>
                      <c:pt idx="76">
                        <c:v>1.1111111111111099E-2</c:v>
                      </c:pt>
                      <c:pt idx="77">
                        <c:v>1.18055555555556E-2</c:v>
                      </c:pt>
                    </c:numCache>
                  </c:numRef>
                </c:cat>
                <c:val>
                  <c:numRef>
                    <c:extLst>
                      <c:ext uri="{02D57815-91ED-43cb-92C2-25804820EDAC}">
                        <c15:formulaRef>
                          <c15:sqref>Acetone!$F$3:$F$80</c15:sqref>
                        </c15:formulaRef>
                      </c:ext>
                    </c:extLst>
                    <c:numCache>
                      <c:formatCode>General</c:formatCode>
                      <c:ptCount val="78"/>
                      <c:pt idx="0">
                        <c:v>8892</c:v>
                      </c:pt>
                      <c:pt idx="1">
                        <c:v>8915</c:v>
                      </c:pt>
                      <c:pt idx="2">
                        <c:v>8892</c:v>
                      </c:pt>
                      <c:pt idx="3">
                        <c:v>8815</c:v>
                      </c:pt>
                      <c:pt idx="4">
                        <c:v>8795</c:v>
                      </c:pt>
                      <c:pt idx="5">
                        <c:v>638</c:v>
                      </c:pt>
                      <c:pt idx="6">
                        <c:v>579</c:v>
                      </c:pt>
                      <c:pt idx="7">
                        <c:v>617</c:v>
                      </c:pt>
                      <c:pt idx="8">
                        <c:v>748</c:v>
                      </c:pt>
                      <c:pt idx="9">
                        <c:v>689</c:v>
                      </c:pt>
                      <c:pt idx="10">
                        <c:v>665</c:v>
                      </c:pt>
                      <c:pt idx="11">
                        <c:v>840</c:v>
                      </c:pt>
                      <c:pt idx="12">
                        <c:v>879</c:v>
                      </c:pt>
                      <c:pt idx="13">
                        <c:v>974</c:v>
                      </c:pt>
                      <c:pt idx="14">
                        <c:v>790</c:v>
                      </c:pt>
                      <c:pt idx="15">
                        <c:v>852</c:v>
                      </c:pt>
                      <c:pt idx="16">
                        <c:v>907</c:v>
                      </c:pt>
                      <c:pt idx="17">
                        <c:v>1230</c:v>
                      </c:pt>
                      <c:pt idx="18">
                        <c:v>1707</c:v>
                      </c:pt>
                      <c:pt idx="19">
                        <c:v>1946</c:v>
                      </c:pt>
                      <c:pt idx="20">
                        <c:v>2155</c:v>
                      </c:pt>
                      <c:pt idx="21">
                        <c:v>2560</c:v>
                      </c:pt>
                      <c:pt idx="22">
                        <c:v>3145</c:v>
                      </c:pt>
                      <c:pt idx="23">
                        <c:v>2871</c:v>
                      </c:pt>
                      <c:pt idx="24">
                        <c:v>3607</c:v>
                      </c:pt>
                      <c:pt idx="25">
                        <c:v>3605</c:v>
                      </c:pt>
                      <c:pt idx="26">
                        <c:v>3930</c:v>
                      </c:pt>
                      <c:pt idx="27">
                        <c:v>4205</c:v>
                      </c:pt>
                      <c:pt idx="28">
                        <c:v>4002</c:v>
                      </c:pt>
                      <c:pt idx="29">
                        <c:v>3948</c:v>
                      </c:pt>
                      <c:pt idx="30">
                        <c:v>4529</c:v>
                      </c:pt>
                      <c:pt idx="31">
                        <c:v>4414</c:v>
                      </c:pt>
                      <c:pt idx="32">
                        <c:v>4521</c:v>
                      </c:pt>
                      <c:pt idx="33">
                        <c:v>4790</c:v>
                      </c:pt>
                      <c:pt idx="34">
                        <c:v>4871</c:v>
                      </c:pt>
                      <c:pt idx="35">
                        <c:v>5064</c:v>
                      </c:pt>
                      <c:pt idx="36">
                        <c:v>5154</c:v>
                      </c:pt>
                      <c:pt idx="37">
                        <c:v>5290</c:v>
                      </c:pt>
                      <c:pt idx="38">
                        <c:v>5258</c:v>
                      </c:pt>
                      <c:pt idx="39">
                        <c:v>5333</c:v>
                      </c:pt>
                      <c:pt idx="40">
                        <c:v>5554</c:v>
                      </c:pt>
                      <c:pt idx="41">
                        <c:v>5554</c:v>
                      </c:pt>
                      <c:pt idx="42">
                        <c:v>5427</c:v>
                      </c:pt>
                      <c:pt idx="43">
                        <c:v>5892</c:v>
                      </c:pt>
                      <c:pt idx="44">
                        <c:v>6026</c:v>
                      </c:pt>
                      <c:pt idx="45">
                        <c:v>5807</c:v>
                      </c:pt>
                      <c:pt idx="46">
                        <c:v>5718</c:v>
                      </c:pt>
                      <c:pt idx="47">
                        <c:v>5762</c:v>
                      </c:pt>
                      <c:pt idx="48">
                        <c:v>5892</c:v>
                      </c:pt>
                      <c:pt idx="49">
                        <c:v>5912</c:v>
                      </c:pt>
                      <c:pt idx="50">
                        <c:v>5954</c:v>
                      </c:pt>
                      <c:pt idx="51">
                        <c:v>6005</c:v>
                      </c:pt>
                      <c:pt idx="52">
                        <c:v>5991</c:v>
                      </c:pt>
                      <c:pt idx="53">
                        <c:v>6278</c:v>
                      </c:pt>
                      <c:pt idx="54">
                        <c:v>6164</c:v>
                      </c:pt>
                      <c:pt idx="55">
                        <c:v>6178</c:v>
                      </c:pt>
                      <c:pt idx="56">
                        <c:v>6082</c:v>
                      </c:pt>
                      <c:pt idx="57">
                        <c:v>6189</c:v>
                      </c:pt>
                      <c:pt idx="58">
                        <c:v>6153</c:v>
                      </c:pt>
                      <c:pt idx="59">
                        <c:v>6248</c:v>
                      </c:pt>
                      <c:pt idx="60">
                        <c:v>6178</c:v>
                      </c:pt>
                      <c:pt idx="61">
                        <c:v>6309</c:v>
                      </c:pt>
                      <c:pt idx="62">
                        <c:v>6328</c:v>
                      </c:pt>
                      <c:pt idx="63">
                        <c:v>6335</c:v>
                      </c:pt>
                      <c:pt idx="64">
                        <c:v>6370</c:v>
                      </c:pt>
                      <c:pt idx="65">
                        <c:v>6464</c:v>
                      </c:pt>
                      <c:pt idx="66">
                        <c:v>6464</c:v>
                      </c:pt>
                      <c:pt idx="67">
                        <c:v>6488</c:v>
                      </c:pt>
                      <c:pt idx="68">
                        <c:v>6496</c:v>
                      </c:pt>
                      <c:pt idx="69">
                        <c:v>6529</c:v>
                      </c:pt>
                      <c:pt idx="70">
                        <c:v>6537</c:v>
                      </c:pt>
                      <c:pt idx="71">
                        <c:v>6598</c:v>
                      </c:pt>
                      <c:pt idx="72">
                        <c:v>6799</c:v>
                      </c:pt>
                      <c:pt idx="73">
                        <c:v>6934</c:v>
                      </c:pt>
                      <c:pt idx="74">
                        <c:v>7037</c:v>
                      </c:pt>
                      <c:pt idx="75">
                        <c:v>7157</c:v>
                      </c:pt>
                      <c:pt idx="76">
                        <c:v>7201</c:v>
                      </c:pt>
                      <c:pt idx="77">
                        <c:v>7301</c:v>
                      </c:pt>
                    </c:numCache>
                  </c:numRef>
                </c:val>
                <c:smooth val="0"/>
                <c:extLst>
                  <c:ext xmlns:c16="http://schemas.microsoft.com/office/drawing/2014/chart" uri="{C3380CC4-5D6E-409C-BE32-E72D297353CC}">
                    <c16:uniqueId val="{00000007-037E-45F7-A98C-2B869C846561}"/>
                  </c:ext>
                </c:extLst>
              </c15:ser>
            </c15:filteredLineSeries>
          </c:ext>
        </c:extLst>
      </c:lineChart>
      <c:catAx>
        <c:axId val="1517485344"/>
        <c:scaling>
          <c:orientation val="minMax"/>
        </c:scaling>
        <c:delete val="0"/>
        <c:axPos val="b"/>
        <c:numFmt formatCode="mm:ss;@" sourceLinked="0"/>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526483984"/>
        <c:crosses val="autoZero"/>
        <c:auto val="0"/>
        <c:lblAlgn val="ctr"/>
        <c:lblOffset val="100"/>
        <c:noMultiLvlLbl val="0"/>
      </c:catAx>
      <c:valAx>
        <c:axId val="1526483984"/>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000" b="0" i="0" u="none" strike="noStrike" baseline="0">
                    <a:effectLst/>
                  </a:rPr>
                  <a:t>μ</a:t>
                </a:r>
                <a:r>
                  <a:rPr lang="en-GB" sz="1000" b="0" i="0" u="none" strike="noStrike" baseline="0">
                    <a:effectLst/>
                  </a:rPr>
                  <a:t>g/m³</a:t>
                </a:r>
                <a:endParaRPr lang="en-GB"/>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485344"/>
        <c:crosses val="autoZero"/>
        <c:crossBetween val="between"/>
      </c:valAx>
      <c:valAx>
        <c:axId val="1563026032"/>
        <c:scaling>
          <c:orientation val="minMax"/>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Index</a:t>
                </a:r>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3028432"/>
        <c:crosses val="max"/>
        <c:crossBetween val="between"/>
      </c:valAx>
      <c:catAx>
        <c:axId val="1563028432"/>
        <c:scaling>
          <c:orientation val="minMax"/>
        </c:scaling>
        <c:delete val="1"/>
        <c:axPos val="b"/>
        <c:numFmt formatCode="h:mm:ss" sourceLinked="1"/>
        <c:majorTickMark val="out"/>
        <c:minorTickMark val="none"/>
        <c:tickLblPos val="nextTo"/>
        <c:crossAx val="1563026032"/>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400">
                <a:latin typeface="Times New Roman" panose="02020603050405020304" pitchFamily="18" charset="0"/>
                <a:cs typeface="Times New Roman" panose="02020603050405020304" pitchFamily="18" charset="0"/>
              </a:rPr>
              <a:t>Particulate</a:t>
            </a:r>
            <a:r>
              <a:rPr lang="en-GB" sz="1400" baseline="0">
                <a:latin typeface="Times New Roman" panose="02020603050405020304" pitchFamily="18" charset="0"/>
                <a:cs typeface="Times New Roman" panose="02020603050405020304" pitchFamily="18" charset="0"/>
              </a:rPr>
              <a:t> Matter</a:t>
            </a:r>
            <a:endParaRPr lang="en-GB"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7"/>
          <c:order val="7"/>
          <c:tx>
            <c:strRef>
              <c:f>Antiperspirant!$I$3</c:f>
              <c:strCache>
                <c:ptCount val="1"/>
                <c:pt idx="0">
                  <c:v>PM 1 (SEN)</c:v>
                </c:pt>
              </c:strCache>
            </c:strRef>
          </c:tx>
          <c:spPr>
            <a:ln w="28575" cap="rnd">
              <a:solidFill>
                <a:schemeClr val="accent2">
                  <a:lumMod val="6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Antiperspirant!$I$4:$I$25</c:f>
              <c:numCache>
                <c:formatCode>General</c:formatCode>
                <c:ptCount val="22"/>
                <c:pt idx="0">
                  <c:v>0.5</c:v>
                </c:pt>
                <c:pt idx="1">
                  <c:v>506.7</c:v>
                </c:pt>
                <c:pt idx="2">
                  <c:v>780.5</c:v>
                </c:pt>
                <c:pt idx="3">
                  <c:v>325.39999999999998</c:v>
                </c:pt>
                <c:pt idx="4">
                  <c:v>109.8</c:v>
                </c:pt>
                <c:pt idx="5">
                  <c:v>102.3</c:v>
                </c:pt>
                <c:pt idx="6">
                  <c:v>71.8</c:v>
                </c:pt>
                <c:pt idx="7">
                  <c:v>40.1</c:v>
                </c:pt>
                <c:pt idx="8">
                  <c:v>36.4</c:v>
                </c:pt>
                <c:pt idx="9">
                  <c:v>32.200000000000003</c:v>
                </c:pt>
                <c:pt idx="10">
                  <c:v>30.9</c:v>
                </c:pt>
                <c:pt idx="11">
                  <c:v>28.9</c:v>
                </c:pt>
                <c:pt idx="12">
                  <c:v>26.2</c:v>
                </c:pt>
                <c:pt idx="13">
                  <c:v>12.4</c:v>
                </c:pt>
                <c:pt idx="14">
                  <c:v>7.9</c:v>
                </c:pt>
                <c:pt idx="15">
                  <c:v>6.5</c:v>
                </c:pt>
                <c:pt idx="16">
                  <c:v>4.8</c:v>
                </c:pt>
                <c:pt idx="17">
                  <c:v>3.7</c:v>
                </c:pt>
                <c:pt idx="18">
                  <c:v>3.6</c:v>
                </c:pt>
                <c:pt idx="19">
                  <c:v>3.2</c:v>
                </c:pt>
                <c:pt idx="20">
                  <c:v>2.2999999999999998</c:v>
                </c:pt>
                <c:pt idx="21">
                  <c:v>2.4</c:v>
                </c:pt>
              </c:numCache>
            </c:numRef>
          </c:val>
          <c:smooth val="0"/>
          <c:extLst>
            <c:ext xmlns:c16="http://schemas.microsoft.com/office/drawing/2014/chart" uri="{C3380CC4-5D6E-409C-BE32-E72D297353CC}">
              <c16:uniqueId val="{00000000-334A-4F2C-A707-E9001F393E64}"/>
            </c:ext>
          </c:extLst>
        </c:ser>
        <c:ser>
          <c:idx val="8"/>
          <c:order val="8"/>
          <c:tx>
            <c:strRef>
              <c:f>Antiperspirant!$J$3</c:f>
              <c:strCache>
                <c:ptCount val="1"/>
                <c:pt idx="0">
                  <c:v>PM2.5 (SEN)</c:v>
                </c:pt>
              </c:strCache>
            </c:strRef>
          </c:tx>
          <c:spPr>
            <a:ln w="28575" cap="rnd">
              <a:solidFill>
                <a:schemeClr val="accent3">
                  <a:lumMod val="6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Antiperspirant!$J$4:$J$25</c:f>
              <c:numCache>
                <c:formatCode>General</c:formatCode>
                <c:ptCount val="22"/>
                <c:pt idx="0">
                  <c:v>0.5</c:v>
                </c:pt>
                <c:pt idx="1">
                  <c:v>564.70000000000005</c:v>
                </c:pt>
                <c:pt idx="2">
                  <c:v>1105.5</c:v>
                </c:pt>
                <c:pt idx="3">
                  <c:v>501.1</c:v>
                </c:pt>
                <c:pt idx="4">
                  <c:v>175.3</c:v>
                </c:pt>
                <c:pt idx="5">
                  <c:v>163</c:v>
                </c:pt>
                <c:pt idx="6">
                  <c:v>112.7</c:v>
                </c:pt>
                <c:pt idx="7">
                  <c:v>61.7</c:v>
                </c:pt>
                <c:pt idx="8">
                  <c:v>55.6</c:v>
                </c:pt>
                <c:pt idx="9">
                  <c:v>49.8</c:v>
                </c:pt>
                <c:pt idx="10">
                  <c:v>48.2</c:v>
                </c:pt>
                <c:pt idx="11">
                  <c:v>45.3</c:v>
                </c:pt>
                <c:pt idx="12">
                  <c:v>41.1</c:v>
                </c:pt>
                <c:pt idx="13">
                  <c:v>19.7</c:v>
                </c:pt>
                <c:pt idx="14">
                  <c:v>12.5</c:v>
                </c:pt>
                <c:pt idx="15">
                  <c:v>10.3</c:v>
                </c:pt>
                <c:pt idx="16">
                  <c:v>7.7</c:v>
                </c:pt>
                <c:pt idx="17">
                  <c:v>5.9</c:v>
                </c:pt>
                <c:pt idx="18">
                  <c:v>5.8</c:v>
                </c:pt>
                <c:pt idx="19">
                  <c:v>5.0999999999999996</c:v>
                </c:pt>
                <c:pt idx="20">
                  <c:v>3.7</c:v>
                </c:pt>
                <c:pt idx="21">
                  <c:v>3.9</c:v>
                </c:pt>
              </c:numCache>
            </c:numRef>
          </c:val>
          <c:smooth val="0"/>
          <c:extLst>
            <c:ext xmlns:c16="http://schemas.microsoft.com/office/drawing/2014/chart" uri="{C3380CC4-5D6E-409C-BE32-E72D297353CC}">
              <c16:uniqueId val="{00000001-334A-4F2C-A707-E9001F393E64}"/>
            </c:ext>
          </c:extLst>
        </c:ser>
        <c:ser>
          <c:idx val="9"/>
          <c:order val="9"/>
          <c:tx>
            <c:strRef>
              <c:f>Antiperspirant!$K$3</c:f>
              <c:strCache>
                <c:ptCount val="1"/>
                <c:pt idx="0">
                  <c:v>PM 4 (SEN)</c:v>
                </c:pt>
              </c:strCache>
            </c:strRef>
          </c:tx>
          <c:spPr>
            <a:ln w="28575" cap="rnd">
              <a:solidFill>
                <a:schemeClr val="accent4">
                  <a:lumMod val="6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Antiperspirant!$K$4:$K$25</c:f>
              <c:numCache>
                <c:formatCode>General</c:formatCode>
                <c:ptCount val="22"/>
                <c:pt idx="0">
                  <c:v>0.5</c:v>
                </c:pt>
                <c:pt idx="1">
                  <c:v>592.6</c:v>
                </c:pt>
                <c:pt idx="2">
                  <c:v>1181.2</c:v>
                </c:pt>
                <c:pt idx="3">
                  <c:v>635.5</c:v>
                </c:pt>
                <c:pt idx="4">
                  <c:v>225.9</c:v>
                </c:pt>
                <c:pt idx="5">
                  <c:v>209.9</c:v>
                </c:pt>
                <c:pt idx="6">
                  <c:v>144.1</c:v>
                </c:pt>
                <c:pt idx="7">
                  <c:v>78.3</c:v>
                </c:pt>
                <c:pt idx="8">
                  <c:v>70.2</c:v>
                </c:pt>
                <c:pt idx="9">
                  <c:v>63.2</c:v>
                </c:pt>
                <c:pt idx="10">
                  <c:v>61.4</c:v>
                </c:pt>
                <c:pt idx="11">
                  <c:v>57.9</c:v>
                </c:pt>
                <c:pt idx="12">
                  <c:v>52.7</c:v>
                </c:pt>
                <c:pt idx="13">
                  <c:v>25.4</c:v>
                </c:pt>
                <c:pt idx="14">
                  <c:v>16</c:v>
                </c:pt>
                <c:pt idx="15">
                  <c:v>13.2</c:v>
                </c:pt>
                <c:pt idx="16">
                  <c:v>9.9</c:v>
                </c:pt>
                <c:pt idx="17">
                  <c:v>7.7</c:v>
                </c:pt>
                <c:pt idx="18">
                  <c:v>7.5</c:v>
                </c:pt>
                <c:pt idx="19">
                  <c:v>6.6</c:v>
                </c:pt>
                <c:pt idx="20">
                  <c:v>4.8</c:v>
                </c:pt>
                <c:pt idx="21">
                  <c:v>5</c:v>
                </c:pt>
              </c:numCache>
            </c:numRef>
          </c:val>
          <c:smooth val="0"/>
          <c:extLst>
            <c:ext xmlns:c16="http://schemas.microsoft.com/office/drawing/2014/chart" uri="{C3380CC4-5D6E-409C-BE32-E72D297353CC}">
              <c16:uniqueId val="{00000002-334A-4F2C-A707-E9001F393E64}"/>
            </c:ext>
          </c:extLst>
        </c:ser>
        <c:ser>
          <c:idx val="10"/>
          <c:order val="10"/>
          <c:tx>
            <c:strRef>
              <c:f>Antiperspirant!$L$3</c:f>
              <c:strCache>
                <c:ptCount val="1"/>
                <c:pt idx="0">
                  <c:v>PM 10 (SEN)</c:v>
                </c:pt>
              </c:strCache>
            </c:strRef>
          </c:tx>
          <c:spPr>
            <a:ln w="28575" cap="rnd">
              <a:solidFill>
                <a:schemeClr val="accent5">
                  <a:lumMod val="6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Antiperspirant!$L$4:$L$25</c:f>
              <c:numCache>
                <c:formatCode>General</c:formatCode>
                <c:ptCount val="22"/>
                <c:pt idx="0">
                  <c:v>0.5</c:v>
                </c:pt>
                <c:pt idx="1">
                  <c:v>604.70000000000005</c:v>
                </c:pt>
                <c:pt idx="2">
                  <c:v>1252.5999999999999</c:v>
                </c:pt>
                <c:pt idx="3">
                  <c:v>693.4</c:v>
                </c:pt>
                <c:pt idx="4">
                  <c:v>247.7</c:v>
                </c:pt>
                <c:pt idx="5">
                  <c:v>230.1</c:v>
                </c:pt>
                <c:pt idx="6">
                  <c:v>157.69999999999999</c:v>
                </c:pt>
                <c:pt idx="7">
                  <c:v>85.4</c:v>
                </c:pt>
                <c:pt idx="8">
                  <c:v>76.5</c:v>
                </c:pt>
                <c:pt idx="9">
                  <c:v>69</c:v>
                </c:pt>
                <c:pt idx="10">
                  <c:v>67.099999999999994</c:v>
                </c:pt>
                <c:pt idx="11">
                  <c:v>63.3</c:v>
                </c:pt>
                <c:pt idx="12">
                  <c:v>57.7</c:v>
                </c:pt>
                <c:pt idx="13">
                  <c:v>27.8</c:v>
                </c:pt>
                <c:pt idx="14">
                  <c:v>17.5</c:v>
                </c:pt>
                <c:pt idx="15">
                  <c:v>14.5</c:v>
                </c:pt>
                <c:pt idx="16">
                  <c:v>19.8</c:v>
                </c:pt>
                <c:pt idx="17">
                  <c:v>8.4</c:v>
                </c:pt>
                <c:pt idx="18">
                  <c:v>8.1999999999999993</c:v>
                </c:pt>
                <c:pt idx="19">
                  <c:v>7.2</c:v>
                </c:pt>
                <c:pt idx="20">
                  <c:v>5.2</c:v>
                </c:pt>
                <c:pt idx="21">
                  <c:v>5.4</c:v>
                </c:pt>
              </c:numCache>
            </c:numRef>
          </c:val>
          <c:smooth val="0"/>
          <c:extLst>
            <c:ext xmlns:c16="http://schemas.microsoft.com/office/drawing/2014/chart" uri="{C3380CC4-5D6E-409C-BE32-E72D297353CC}">
              <c16:uniqueId val="{00000003-334A-4F2C-A707-E9001F393E64}"/>
            </c:ext>
          </c:extLst>
        </c:ser>
        <c:ser>
          <c:idx val="15"/>
          <c:order val="15"/>
          <c:tx>
            <c:strRef>
              <c:f>Antiperspirant!$Q$3</c:f>
              <c:strCache>
                <c:ptCount val="1"/>
                <c:pt idx="0">
                  <c:v>PM 1 (reference)</c:v>
                </c:pt>
              </c:strCache>
            </c:strRef>
          </c:tx>
          <c:spPr>
            <a:ln w="28575" cap="rnd">
              <a:solidFill>
                <a:schemeClr val="accent4">
                  <a:lumMod val="80000"/>
                  <a:lumOff val="2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Antiperspirant!$Q$4:$Q$25</c:f>
              <c:numCache>
                <c:formatCode>General</c:formatCode>
                <c:ptCount val="22"/>
                <c:pt idx="0">
                  <c:v>2</c:v>
                </c:pt>
                <c:pt idx="1">
                  <c:v>17</c:v>
                </c:pt>
                <c:pt idx="2">
                  <c:v>201</c:v>
                </c:pt>
                <c:pt idx="3">
                  <c:v>246</c:v>
                </c:pt>
                <c:pt idx="4">
                  <c:v>219</c:v>
                </c:pt>
                <c:pt idx="5">
                  <c:v>100</c:v>
                </c:pt>
                <c:pt idx="6">
                  <c:v>80</c:v>
                </c:pt>
                <c:pt idx="7">
                  <c:v>75</c:v>
                </c:pt>
                <c:pt idx="8">
                  <c:v>55</c:v>
                </c:pt>
                <c:pt idx="9">
                  <c:v>45</c:v>
                </c:pt>
                <c:pt idx="10">
                  <c:v>33</c:v>
                </c:pt>
                <c:pt idx="11">
                  <c:v>28</c:v>
                </c:pt>
                <c:pt idx="12">
                  <c:v>21</c:v>
                </c:pt>
                <c:pt idx="13">
                  <c:v>9</c:v>
                </c:pt>
                <c:pt idx="14">
                  <c:v>8</c:v>
                </c:pt>
                <c:pt idx="15">
                  <c:v>5</c:v>
                </c:pt>
                <c:pt idx="16">
                  <c:v>5</c:v>
                </c:pt>
                <c:pt idx="17">
                  <c:v>5</c:v>
                </c:pt>
                <c:pt idx="18">
                  <c:v>4</c:v>
                </c:pt>
                <c:pt idx="19">
                  <c:v>4</c:v>
                </c:pt>
                <c:pt idx="20">
                  <c:v>4</c:v>
                </c:pt>
                <c:pt idx="21">
                  <c:v>2</c:v>
                </c:pt>
              </c:numCache>
            </c:numRef>
          </c:val>
          <c:smooth val="0"/>
          <c:extLst>
            <c:ext xmlns:c16="http://schemas.microsoft.com/office/drawing/2014/chart" uri="{C3380CC4-5D6E-409C-BE32-E72D297353CC}">
              <c16:uniqueId val="{00000004-334A-4F2C-A707-E9001F393E64}"/>
            </c:ext>
          </c:extLst>
        </c:ser>
        <c:ser>
          <c:idx val="16"/>
          <c:order val="16"/>
          <c:tx>
            <c:strRef>
              <c:f>Antiperspirant!$R$3</c:f>
              <c:strCache>
                <c:ptCount val="1"/>
                <c:pt idx="0">
                  <c:v>PM2.5 (reference)</c:v>
                </c:pt>
              </c:strCache>
            </c:strRef>
          </c:tx>
          <c:spPr>
            <a:ln w="28575" cap="rnd">
              <a:solidFill>
                <a:schemeClr val="accent5">
                  <a:lumMod val="80000"/>
                  <a:lumOff val="2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Antiperspirant!$R$4:$R$25</c:f>
              <c:numCache>
                <c:formatCode>General</c:formatCode>
                <c:ptCount val="22"/>
                <c:pt idx="0">
                  <c:v>4</c:v>
                </c:pt>
                <c:pt idx="1">
                  <c:v>29</c:v>
                </c:pt>
                <c:pt idx="2">
                  <c:v>308</c:v>
                </c:pt>
                <c:pt idx="3">
                  <c:v>408</c:v>
                </c:pt>
                <c:pt idx="4">
                  <c:v>388</c:v>
                </c:pt>
                <c:pt idx="5">
                  <c:v>166</c:v>
                </c:pt>
                <c:pt idx="6">
                  <c:v>137</c:v>
                </c:pt>
                <c:pt idx="7">
                  <c:v>119</c:v>
                </c:pt>
                <c:pt idx="8">
                  <c:v>98</c:v>
                </c:pt>
                <c:pt idx="9">
                  <c:v>73</c:v>
                </c:pt>
                <c:pt idx="10">
                  <c:v>58</c:v>
                </c:pt>
                <c:pt idx="11">
                  <c:v>44</c:v>
                </c:pt>
                <c:pt idx="12">
                  <c:v>37</c:v>
                </c:pt>
                <c:pt idx="13">
                  <c:v>16</c:v>
                </c:pt>
                <c:pt idx="14">
                  <c:v>13</c:v>
                </c:pt>
                <c:pt idx="15">
                  <c:v>10</c:v>
                </c:pt>
                <c:pt idx="16">
                  <c:v>9</c:v>
                </c:pt>
                <c:pt idx="17">
                  <c:v>8</c:v>
                </c:pt>
                <c:pt idx="18">
                  <c:v>7</c:v>
                </c:pt>
                <c:pt idx="19">
                  <c:v>7</c:v>
                </c:pt>
                <c:pt idx="20">
                  <c:v>7</c:v>
                </c:pt>
                <c:pt idx="21">
                  <c:v>4</c:v>
                </c:pt>
              </c:numCache>
            </c:numRef>
          </c:val>
          <c:smooth val="0"/>
          <c:extLst>
            <c:ext xmlns:c16="http://schemas.microsoft.com/office/drawing/2014/chart" uri="{C3380CC4-5D6E-409C-BE32-E72D297353CC}">
              <c16:uniqueId val="{00000005-334A-4F2C-A707-E9001F393E64}"/>
            </c:ext>
          </c:extLst>
        </c:ser>
        <c:ser>
          <c:idx val="17"/>
          <c:order val="17"/>
          <c:tx>
            <c:strRef>
              <c:f>Antiperspirant!$S$3</c:f>
              <c:strCache>
                <c:ptCount val="1"/>
                <c:pt idx="0">
                  <c:v>PM 10 (reference)</c:v>
                </c:pt>
              </c:strCache>
            </c:strRef>
          </c:tx>
          <c:spPr>
            <a:ln w="28575" cap="rnd">
              <a:solidFill>
                <a:schemeClr val="accent6">
                  <a:lumMod val="80000"/>
                  <a:lumOff val="20000"/>
                </a:schemeClr>
              </a:solidFill>
              <a:round/>
            </a:ln>
            <a:effectLst/>
          </c:spPr>
          <c:marker>
            <c:symbol val="none"/>
          </c:marker>
          <c:cat>
            <c:numRef>
              <c:f>Antiperspirant!$A$4:$A$25</c:f>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f>Antiperspirant!$S$4:$S$25</c:f>
              <c:numCache>
                <c:formatCode>General</c:formatCode>
                <c:ptCount val="22"/>
                <c:pt idx="0">
                  <c:v>5</c:v>
                </c:pt>
                <c:pt idx="1">
                  <c:v>37</c:v>
                </c:pt>
                <c:pt idx="2">
                  <c:v>412</c:v>
                </c:pt>
                <c:pt idx="3">
                  <c:v>526</c:v>
                </c:pt>
                <c:pt idx="4">
                  <c:v>486</c:v>
                </c:pt>
                <c:pt idx="5">
                  <c:v>213</c:v>
                </c:pt>
                <c:pt idx="6">
                  <c:v>174</c:v>
                </c:pt>
                <c:pt idx="7">
                  <c:v>157</c:v>
                </c:pt>
                <c:pt idx="8">
                  <c:v>123</c:v>
                </c:pt>
                <c:pt idx="9">
                  <c:v>95</c:v>
                </c:pt>
                <c:pt idx="10">
                  <c:v>73</c:v>
                </c:pt>
                <c:pt idx="11">
                  <c:v>58</c:v>
                </c:pt>
                <c:pt idx="12">
                  <c:v>46</c:v>
                </c:pt>
                <c:pt idx="13">
                  <c:v>20</c:v>
                </c:pt>
                <c:pt idx="14">
                  <c:v>17</c:v>
                </c:pt>
                <c:pt idx="15">
                  <c:v>12</c:v>
                </c:pt>
                <c:pt idx="16">
                  <c:v>11</c:v>
                </c:pt>
                <c:pt idx="17">
                  <c:v>10</c:v>
                </c:pt>
                <c:pt idx="18">
                  <c:v>9</c:v>
                </c:pt>
                <c:pt idx="19">
                  <c:v>9</c:v>
                </c:pt>
                <c:pt idx="20">
                  <c:v>9</c:v>
                </c:pt>
                <c:pt idx="21">
                  <c:v>5</c:v>
                </c:pt>
              </c:numCache>
            </c:numRef>
          </c:val>
          <c:smooth val="0"/>
          <c:extLst>
            <c:ext xmlns:c16="http://schemas.microsoft.com/office/drawing/2014/chart" uri="{C3380CC4-5D6E-409C-BE32-E72D297353CC}">
              <c16:uniqueId val="{00000006-334A-4F2C-A707-E9001F393E64}"/>
            </c:ext>
          </c:extLst>
        </c:ser>
        <c:dLbls>
          <c:showLegendKey val="0"/>
          <c:showVal val="0"/>
          <c:showCatName val="0"/>
          <c:showSerName val="0"/>
          <c:showPercent val="0"/>
          <c:showBubbleSize val="0"/>
        </c:dLbls>
        <c:smooth val="0"/>
        <c:axId val="1565131392"/>
        <c:axId val="1565133792"/>
        <c:extLst>
          <c:ext xmlns:c15="http://schemas.microsoft.com/office/drawing/2012/chart" uri="{02D57815-91ED-43cb-92C2-25804820EDAC}">
            <c15:filteredLineSeries>
              <c15:ser>
                <c:idx val="0"/>
                <c:order val="0"/>
                <c:tx>
                  <c:strRef>
                    <c:extLst>
                      <c:ext uri="{02D57815-91ED-43cb-92C2-25804820EDAC}">
                        <c15:formulaRef>
                          <c15:sqref>Antiperspirant!$B$3</c15:sqref>
                        </c15:formulaRef>
                      </c:ext>
                    </c:extLst>
                    <c:strCache>
                      <c:ptCount val="1"/>
                      <c:pt idx="0">
                        <c:v>temp</c:v>
                      </c:pt>
                    </c:strCache>
                  </c:strRef>
                </c:tx>
                <c:spPr>
                  <a:ln w="28575" cap="rnd">
                    <a:solidFill>
                      <a:schemeClr val="accent1"/>
                    </a:solidFill>
                    <a:round/>
                  </a:ln>
                  <a:effectLst/>
                </c:spPr>
                <c:marker>
                  <c:symbol val="none"/>
                </c:marker>
                <c:cat>
                  <c:numRef>
                    <c:extLst>
                      <c:ex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c:ext uri="{02D57815-91ED-43cb-92C2-25804820EDAC}">
                        <c15:formulaRef>
                          <c15:sqref>Antiperspirant!$B$4:$B$25</c15:sqref>
                        </c15:formulaRef>
                      </c:ext>
                    </c:extLst>
                    <c:numCache>
                      <c:formatCode>General</c:formatCode>
                      <c:ptCount val="22"/>
                      <c:pt idx="0">
                        <c:v>20.7</c:v>
                      </c:pt>
                    </c:numCache>
                  </c:numRef>
                </c:val>
                <c:smooth val="0"/>
                <c:extLst>
                  <c:ext xmlns:c16="http://schemas.microsoft.com/office/drawing/2014/chart" uri="{C3380CC4-5D6E-409C-BE32-E72D297353CC}">
                    <c16:uniqueId val="{00000007-334A-4F2C-A707-E9001F393E64}"/>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Antiperspirant!$C$3</c15:sqref>
                        </c15:formulaRef>
                      </c:ext>
                    </c:extLst>
                    <c:strCache>
                      <c:ptCount val="1"/>
                      <c:pt idx="0">
                        <c:v>RH</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Antiperspirant!$C$4:$C$25</c15:sqref>
                        </c15:formulaRef>
                      </c:ext>
                    </c:extLst>
                    <c:numCache>
                      <c:formatCode>General</c:formatCode>
                      <c:ptCount val="22"/>
                      <c:pt idx="0">
                        <c:v>46</c:v>
                      </c:pt>
                    </c:numCache>
                  </c:numRef>
                </c:val>
                <c:smooth val="0"/>
                <c:extLst xmlns:c15="http://schemas.microsoft.com/office/drawing/2012/chart">
                  <c:ext xmlns:c16="http://schemas.microsoft.com/office/drawing/2014/chart" uri="{C3380CC4-5D6E-409C-BE32-E72D297353CC}">
                    <c16:uniqueId val="{00000008-334A-4F2C-A707-E9001F393E64}"/>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Antiperspirant!$D$3</c15:sqref>
                        </c15:formulaRef>
                      </c:ext>
                    </c:extLst>
                    <c:strCache>
                      <c:ptCount val="1"/>
                      <c:pt idx="0">
                        <c:v>temp</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Antiperspirant!$D$4:$D$25</c15:sqref>
                        </c15:formulaRef>
                      </c:ext>
                    </c:extLst>
                    <c:numCache>
                      <c:formatCode>General</c:formatCode>
                      <c:ptCount val="22"/>
                      <c:pt idx="0">
                        <c:v>21.58</c:v>
                      </c:pt>
                    </c:numCache>
                  </c:numRef>
                </c:val>
                <c:smooth val="0"/>
                <c:extLst xmlns:c15="http://schemas.microsoft.com/office/drawing/2012/chart">
                  <c:ext xmlns:c16="http://schemas.microsoft.com/office/drawing/2014/chart" uri="{C3380CC4-5D6E-409C-BE32-E72D297353CC}">
                    <c16:uniqueId val="{00000009-334A-4F2C-A707-E9001F393E64}"/>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Antiperspirant!$E$3</c15:sqref>
                        </c15:formulaRef>
                      </c:ext>
                    </c:extLst>
                    <c:strCache>
                      <c:ptCount val="1"/>
                      <c:pt idx="0">
                        <c:v>RH</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Antiperspirant!$E$4:$E$25</c15:sqref>
                        </c15:formulaRef>
                      </c:ext>
                    </c:extLst>
                    <c:numCache>
                      <c:formatCode>General</c:formatCode>
                      <c:ptCount val="22"/>
                      <c:pt idx="0">
                        <c:v>47.472999999999999</c:v>
                      </c:pt>
                    </c:numCache>
                  </c:numRef>
                </c:val>
                <c:smooth val="0"/>
                <c:extLst xmlns:c15="http://schemas.microsoft.com/office/drawing/2012/chart">
                  <c:ext xmlns:c16="http://schemas.microsoft.com/office/drawing/2014/chart" uri="{C3380CC4-5D6E-409C-BE32-E72D297353CC}">
                    <c16:uniqueId val="{0000000A-334A-4F2C-A707-E9001F393E64}"/>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Antiperspirant!$F$3</c15:sqref>
                        </c15:formulaRef>
                      </c:ext>
                    </c:extLst>
                    <c:strCache>
                      <c:ptCount val="1"/>
                      <c:pt idx="0">
                        <c:v>VOC</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Antiperspirant!$F$4:$F$25</c15:sqref>
                        </c15:formulaRef>
                      </c:ext>
                    </c:extLst>
                    <c:numCache>
                      <c:formatCode>General</c:formatCode>
                      <c:ptCount val="22"/>
                      <c:pt idx="0">
                        <c:v>10611</c:v>
                      </c:pt>
                    </c:numCache>
                  </c:numRef>
                </c:val>
                <c:smooth val="0"/>
                <c:extLst xmlns:c15="http://schemas.microsoft.com/office/drawing/2012/chart">
                  <c:ext xmlns:c16="http://schemas.microsoft.com/office/drawing/2014/chart" uri="{C3380CC4-5D6E-409C-BE32-E72D297353CC}">
                    <c16:uniqueId val="{0000000B-334A-4F2C-A707-E9001F393E64}"/>
                  </c:ext>
                </c:extLst>
              </c15:ser>
            </c15:filteredLineSeries>
            <c15:filteredLineSeries>
              <c15:ser>
                <c:idx val="5"/>
                <c:order val="5"/>
                <c:tx>
                  <c:strRef>
                    <c:extLst xmlns:c15="http://schemas.microsoft.com/office/drawing/2012/chart">
                      <c:ext xmlns:c15="http://schemas.microsoft.com/office/drawing/2012/chart" uri="{02D57815-91ED-43cb-92C2-25804820EDAC}">
                        <c15:formulaRef>
                          <c15:sqref>Antiperspirant!$G$3</c15:sqref>
                        </c15:formulaRef>
                      </c:ext>
                    </c:extLst>
                    <c:strCache>
                      <c:ptCount val="1"/>
                      <c:pt idx="0">
                        <c:v>temp</c:v>
                      </c:pt>
                    </c:strCache>
                  </c:strRef>
                </c:tx>
                <c:spPr>
                  <a:ln w="28575" cap="rnd">
                    <a:solidFill>
                      <a:schemeClr val="accent6"/>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Antiperspirant!$G$4:$G$25</c15:sqref>
                        </c15:formulaRef>
                      </c:ext>
                    </c:extLst>
                    <c:numCache>
                      <c:formatCode>General</c:formatCode>
                      <c:ptCount val="22"/>
                      <c:pt idx="0">
                        <c:v>21.58</c:v>
                      </c:pt>
                    </c:numCache>
                  </c:numRef>
                </c:val>
                <c:smooth val="0"/>
                <c:extLst xmlns:c15="http://schemas.microsoft.com/office/drawing/2012/chart">
                  <c:ext xmlns:c16="http://schemas.microsoft.com/office/drawing/2014/chart" uri="{C3380CC4-5D6E-409C-BE32-E72D297353CC}">
                    <c16:uniqueId val="{0000000C-334A-4F2C-A707-E9001F393E64}"/>
                  </c:ext>
                </c:extLst>
              </c15:ser>
            </c15:filteredLineSeries>
            <c15:filteredLineSeries>
              <c15:ser>
                <c:idx val="6"/>
                <c:order val="6"/>
                <c:tx>
                  <c:strRef>
                    <c:extLst xmlns:c15="http://schemas.microsoft.com/office/drawing/2012/chart">
                      <c:ext xmlns:c15="http://schemas.microsoft.com/office/drawing/2012/chart" uri="{02D57815-91ED-43cb-92C2-25804820EDAC}">
                        <c15:formulaRef>
                          <c15:sqref>Antiperspirant!$H$3</c15:sqref>
                        </c15:formulaRef>
                      </c:ext>
                    </c:extLst>
                    <c:strCache>
                      <c:ptCount val="1"/>
                      <c:pt idx="0">
                        <c:v>RH</c:v>
                      </c:pt>
                    </c:strCache>
                  </c:strRef>
                </c:tx>
                <c:spPr>
                  <a:ln w="28575" cap="rnd">
                    <a:solidFill>
                      <a:schemeClr val="accent1">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Antiperspirant!$H$4:$H$25</c15:sqref>
                        </c15:formulaRef>
                      </c:ext>
                    </c:extLst>
                    <c:numCache>
                      <c:formatCode>General</c:formatCode>
                      <c:ptCount val="22"/>
                      <c:pt idx="0">
                        <c:v>47.472999999999999</c:v>
                      </c:pt>
                    </c:numCache>
                  </c:numRef>
                </c:val>
                <c:smooth val="0"/>
                <c:extLst xmlns:c15="http://schemas.microsoft.com/office/drawing/2012/chart">
                  <c:ext xmlns:c16="http://schemas.microsoft.com/office/drawing/2014/chart" uri="{C3380CC4-5D6E-409C-BE32-E72D297353CC}">
                    <c16:uniqueId val="{0000000D-334A-4F2C-A707-E9001F393E64}"/>
                  </c:ext>
                </c:extLst>
              </c15:ser>
            </c15:filteredLineSeries>
            <c15:filteredLineSeries>
              <c15:ser>
                <c:idx val="11"/>
                <c:order val="11"/>
                <c:tx>
                  <c:strRef>
                    <c:extLst xmlns:c15="http://schemas.microsoft.com/office/drawing/2012/chart">
                      <c:ext xmlns:c15="http://schemas.microsoft.com/office/drawing/2012/chart" uri="{02D57815-91ED-43cb-92C2-25804820EDAC}">
                        <c15:formulaRef>
                          <c15:sqref>Antiperspirant!$M$3</c15:sqref>
                        </c15:formulaRef>
                      </c:ext>
                    </c:extLst>
                    <c:strCache>
                      <c:ptCount val="1"/>
                      <c:pt idx="0">
                        <c:v>VOC Index</c:v>
                      </c:pt>
                    </c:strCache>
                  </c:strRef>
                </c:tx>
                <c:spPr>
                  <a:ln w="28575" cap="rnd">
                    <a:solidFill>
                      <a:schemeClr val="accent6">
                        <a:lumMod val="6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Antiperspirant!$M$4:$M$25</c15:sqref>
                        </c15:formulaRef>
                      </c:ext>
                    </c:extLst>
                    <c:numCache>
                      <c:formatCode>General</c:formatCode>
                      <c:ptCount val="22"/>
                      <c:pt idx="0">
                        <c:v>102</c:v>
                      </c:pt>
                      <c:pt idx="1">
                        <c:v>102</c:v>
                      </c:pt>
                      <c:pt idx="2">
                        <c:v>104</c:v>
                      </c:pt>
                      <c:pt idx="3">
                        <c:v>125</c:v>
                      </c:pt>
                      <c:pt idx="4">
                        <c:v>151</c:v>
                      </c:pt>
                      <c:pt idx="5">
                        <c:v>170</c:v>
                      </c:pt>
                      <c:pt idx="6">
                        <c:v>180</c:v>
                      </c:pt>
                      <c:pt idx="7">
                        <c:v>183</c:v>
                      </c:pt>
                      <c:pt idx="8">
                        <c:v>180</c:v>
                      </c:pt>
                      <c:pt idx="9">
                        <c:v>173</c:v>
                      </c:pt>
                      <c:pt idx="10">
                        <c:v>164</c:v>
                      </c:pt>
                      <c:pt idx="11">
                        <c:v>155</c:v>
                      </c:pt>
                      <c:pt idx="12">
                        <c:v>146</c:v>
                      </c:pt>
                      <c:pt idx="13">
                        <c:v>113</c:v>
                      </c:pt>
                      <c:pt idx="14">
                        <c:v>103</c:v>
                      </c:pt>
                      <c:pt idx="15">
                        <c:v>100</c:v>
                      </c:pt>
                      <c:pt idx="16">
                        <c:v>100</c:v>
                      </c:pt>
                      <c:pt idx="17">
                        <c:v>100</c:v>
                      </c:pt>
                      <c:pt idx="18">
                        <c:v>100</c:v>
                      </c:pt>
                      <c:pt idx="19">
                        <c:v>100</c:v>
                      </c:pt>
                      <c:pt idx="20">
                        <c:v>100</c:v>
                      </c:pt>
                      <c:pt idx="21">
                        <c:v>100</c:v>
                      </c:pt>
                    </c:numCache>
                  </c:numRef>
                </c:val>
                <c:smooth val="0"/>
                <c:extLst xmlns:c15="http://schemas.microsoft.com/office/drawing/2012/chart">
                  <c:ext xmlns:c16="http://schemas.microsoft.com/office/drawing/2014/chart" uri="{C3380CC4-5D6E-409C-BE32-E72D297353CC}">
                    <c16:uniqueId val="{0000000E-334A-4F2C-A707-E9001F393E64}"/>
                  </c:ext>
                </c:extLst>
              </c15:ser>
            </c15:filteredLineSeries>
            <c15:filteredLineSeries>
              <c15:ser>
                <c:idx val="12"/>
                <c:order val="12"/>
                <c:tx>
                  <c:strRef>
                    <c:extLst xmlns:c15="http://schemas.microsoft.com/office/drawing/2012/chart">
                      <c:ext xmlns:c15="http://schemas.microsoft.com/office/drawing/2012/chart" uri="{02D57815-91ED-43cb-92C2-25804820EDAC}">
                        <c15:formulaRef>
                          <c15:sqref>Antiperspirant!$N$3</c15:sqref>
                        </c15:formulaRef>
                      </c:ext>
                    </c:extLst>
                    <c:strCache>
                      <c:ptCount val="1"/>
                      <c:pt idx="0">
                        <c:v>NOx Index</c:v>
                      </c:pt>
                    </c:strCache>
                  </c:strRef>
                </c:tx>
                <c:spPr>
                  <a:ln w="28575" cap="rnd">
                    <a:solidFill>
                      <a:schemeClr val="accent1">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Antiperspirant!$N$4:$N$25</c15:sqref>
                        </c15:formulaRef>
                      </c:ext>
                    </c:extLst>
                    <c:numCache>
                      <c:formatCode>General</c:formatCode>
                      <c:ptCount val="22"/>
                      <c:pt idx="0">
                        <c:v>1</c:v>
                      </c:pt>
                    </c:numCache>
                  </c:numRef>
                </c:val>
                <c:smooth val="0"/>
                <c:extLst xmlns:c15="http://schemas.microsoft.com/office/drawing/2012/chart">
                  <c:ext xmlns:c16="http://schemas.microsoft.com/office/drawing/2014/chart" uri="{C3380CC4-5D6E-409C-BE32-E72D297353CC}">
                    <c16:uniqueId val="{0000000F-334A-4F2C-A707-E9001F393E64}"/>
                  </c:ext>
                </c:extLst>
              </c15:ser>
            </c15:filteredLineSeries>
            <c15:filteredLineSeries>
              <c15:ser>
                <c:idx val="13"/>
                <c:order val="13"/>
                <c:tx>
                  <c:strRef>
                    <c:extLst xmlns:c15="http://schemas.microsoft.com/office/drawing/2012/chart">
                      <c:ext xmlns:c15="http://schemas.microsoft.com/office/drawing/2012/chart" uri="{02D57815-91ED-43cb-92C2-25804820EDAC}">
                        <c15:formulaRef>
                          <c15:sqref>Antiperspirant!$O$3</c15:sqref>
                        </c15:formulaRef>
                      </c:ext>
                    </c:extLst>
                    <c:strCache>
                      <c:ptCount val="1"/>
                      <c:pt idx="0">
                        <c:v>temp</c:v>
                      </c:pt>
                    </c:strCache>
                  </c:strRef>
                </c:tx>
                <c:spPr>
                  <a:ln w="28575" cap="rnd">
                    <a:solidFill>
                      <a:schemeClr val="accent2">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Antiperspirant!$O$4:$O$25</c15:sqref>
                        </c15:formulaRef>
                      </c:ext>
                    </c:extLst>
                    <c:numCache>
                      <c:formatCode>General</c:formatCode>
                      <c:ptCount val="22"/>
                      <c:pt idx="0">
                        <c:v>18</c:v>
                      </c:pt>
                    </c:numCache>
                  </c:numRef>
                </c:val>
                <c:smooth val="0"/>
                <c:extLst xmlns:c15="http://schemas.microsoft.com/office/drawing/2012/chart">
                  <c:ext xmlns:c16="http://schemas.microsoft.com/office/drawing/2014/chart" uri="{C3380CC4-5D6E-409C-BE32-E72D297353CC}">
                    <c16:uniqueId val="{00000010-334A-4F2C-A707-E9001F393E64}"/>
                  </c:ext>
                </c:extLst>
              </c15:ser>
            </c15:filteredLineSeries>
            <c15:filteredLineSeries>
              <c15:ser>
                <c:idx val="14"/>
                <c:order val="14"/>
                <c:tx>
                  <c:strRef>
                    <c:extLst xmlns:c15="http://schemas.microsoft.com/office/drawing/2012/chart">
                      <c:ext xmlns:c15="http://schemas.microsoft.com/office/drawing/2012/chart" uri="{02D57815-91ED-43cb-92C2-25804820EDAC}">
                        <c15:formulaRef>
                          <c15:sqref>Antiperspirant!$P$3</c15:sqref>
                        </c15:formulaRef>
                      </c:ext>
                    </c:extLst>
                    <c:strCache>
                      <c:ptCount val="1"/>
                      <c:pt idx="0">
                        <c:v>RH</c:v>
                      </c:pt>
                    </c:strCache>
                  </c:strRef>
                </c:tx>
                <c:spPr>
                  <a:ln w="28575" cap="rnd">
                    <a:solidFill>
                      <a:schemeClr val="accent3">
                        <a:lumMod val="80000"/>
                        <a:lumOff val="2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Antiperspirant!$P$4:$P$25</c15:sqref>
                        </c15:formulaRef>
                      </c:ext>
                    </c:extLst>
                    <c:numCache>
                      <c:formatCode>General</c:formatCode>
                      <c:ptCount val="22"/>
                      <c:pt idx="0">
                        <c:v>48</c:v>
                      </c:pt>
                    </c:numCache>
                  </c:numRef>
                </c:val>
                <c:smooth val="0"/>
                <c:extLst xmlns:c15="http://schemas.microsoft.com/office/drawing/2012/chart">
                  <c:ext xmlns:c16="http://schemas.microsoft.com/office/drawing/2014/chart" uri="{C3380CC4-5D6E-409C-BE32-E72D297353CC}">
                    <c16:uniqueId val="{00000011-334A-4F2C-A707-E9001F393E64}"/>
                  </c:ext>
                </c:extLst>
              </c15:ser>
            </c15:filteredLineSeries>
            <c15:filteredLineSeries>
              <c15:ser>
                <c:idx val="18"/>
                <c:order val="18"/>
                <c:tx>
                  <c:strRef>
                    <c:extLst xmlns:c15="http://schemas.microsoft.com/office/drawing/2012/chart">
                      <c:ext xmlns:c15="http://schemas.microsoft.com/office/drawing/2012/chart" uri="{02D57815-91ED-43cb-92C2-25804820EDAC}">
                        <c15:formulaRef>
                          <c15:sqref>Antiperspirant!$T$3</c15:sqref>
                        </c15:formulaRef>
                      </c:ext>
                    </c:extLst>
                    <c:strCache>
                      <c:ptCount val="1"/>
                      <c:pt idx="0">
                        <c:v>HCHO</c:v>
                      </c:pt>
                    </c:strCache>
                  </c:strRef>
                </c:tx>
                <c:spPr>
                  <a:ln w="28575" cap="rnd">
                    <a:solidFill>
                      <a:schemeClr val="accent1">
                        <a:lumMod val="8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Antiperspirant!$T$4:$T$25</c15:sqref>
                        </c15:formulaRef>
                      </c:ext>
                    </c:extLst>
                    <c:numCache>
                      <c:formatCode>General</c:formatCode>
                      <c:ptCount val="22"/>
                      <c:pt idx="0">
                        <c:v>4.3999999999999997E-2</c:v>
                      </c:pt>
                    </c:numCache>
                  </c:numRef>
                </c:val>
                <c:smooth val="0"/>
                <c:extLst xmlns:c15="http://schemas.microsoft.com/office/drawing/2012/chart">
                  <c:ext xmlns:c16="http://schemas.microsoft.com/office/drawing/2014/chart" uri="{C3380CC4-5D6E-409C-BE32-E72D297353CC}">
                    <c16:uniqueId val="{00000012-334A-4F2C-A707-E9001F393E64}"/>
                  </c:ext>
                </c:extLst>
              </c15:ser>
            </c15:filteredLineSeries>
            <c15:filteredLineSeries>
              <c15:ser>
                <c:idx val="19"/>
                <c:order val="19"/>
                <c:tx>
                  <c:strRef>
                    <c:extLst xmlns:c15="http://schemas.microsoft.com/office/drawing/2012/chart">
                      <c:ext xmlns:c15="http://schemas.microsoft.com/office/drawing/2012/chart" uri="{02D57815-91ED-43cb-92C2-25804820EDAC}">
                        <c15:formulaRef>
                          <c15:sqref>Antiperspirant!$U$3</c15:sqref>
                        </c15:formulaRef>
                      </c:ext>
                    </c:extLst>
                    <c:strCache>
                      <c:ptCount val="1"/>
                      <c:pt idx="0">
                        <c:v>tVOC</c:v>
                      </c:pt>
                    </c:strCache>
                  </c:strRef>
                </c:tx>
                <c:spPr>
                  <a:ln w="28575" cap="rnd">
                    <a:solidFill>
                      <a:schemeClr val="accent2">
                        <a:lumMod val="80000"/>
                      </a:schemeClr>
                    </a:solidFill>
                    <a:round/>
                  </a:ln>
                  <a:effectLst/>
                </c:spPr>
                <c:marker>
                  <c:symbol val="none"/>
                </c:marker>
                <c:cat>
                  <c:numRef>
                    <c:extLst xmlns:c15="http://schemas.microsoft.com/office/drawing/2012/chart">
                      <c:ext xmlns:c15="http://schemas.microsoft.com/office/drawing/2012/chart" uri="{02D57815-91ED-43cb-92C2-25804820EDAC}">
                        <c15:formulaRef>
                          <c15:sqref>Antiperspirant!$A$4:$A$25</c15:sqref>
                        </c15:formulaRef>
                      </c:ext>
                    </c:extLst>
                    <c:numCache>
                      <c:formatCode>h:mm</c:formatCode>
                      <c:ptCount val="22"/>
                      <c:pt idx="0">
                        <c:v>0</c:v>
                      </c:pt>
                      <c:pt idx="1">
                        <c:v>1.3888888888888889E-3</c:v>
                      </c:pt>
                      <c:pt idx="2">
                        <c:v>2.7777777777777779E-3</c:v>
                      </c:pt>
                      <c:pt idx="3">
                        <c:v>4.1666666666666701E-3</c:v>
                      </c:pt>
                      <c:pt idx="4">
                        <c:v>5.5555555555555601E-3</c:v>
                      </c:pt>
                      <c:pt idx="5">
                        <c:v>6.9444444444444501E-3</c:v>
                      </c:pt>
                      <c:pt idx="6">
                        <c:v>8.3333333333333297E-3</c:v>
                      </c:pt>
                      <c:pt idx="7">
                        <c:v>9.7222222222222206E-3</c:v>
                      </c:pt>
                      <c:pt idx="8">
                        <c:v>1.1111111111111099E-2</c:v>
                      </c:pt>
                      <c:pt idx="9">
                        <c:v>1.2500000000000001E-2</c:v>
                      </c:pt>
                      <c:pt idx="10">
                        <c:v>1.38888888888889E-2</c:v>
                      </c:pt>
                      <c:pt idx="11">
                        <c:v>1.52777777777778E-2</c:v>
                      </c:pt>
                      <c:pt idx="12">
                        <c:v>4.1666666666666664E-2</c:v>
                      </c:pt>
                      <c:pt idx="13">
                        <c:v>8.3333333333333329E-2</c:v>
                      </c:pt>
                      <c:pt idx="14">
                        <c:v>0.125</c:v>
                      </c:pt>
                      <c:pt idx="15">
                        <c:v>0.16666666666666699</c:v>
                      </c:pt>
                      <c:pt idx="16">
                        <c:v>0.20833333333333401</c:v>
                      </c:pt>
                      <c:pt idx="17">
                        <c:v>0.25</c:v>
                      </c:pt>
                      <c:pt idx="18">
                        <c:v>0.29166666666666702</c:v>
                      </c:pt>
                      <c:pt idx="19">
                        <c:v>0.33333333333333398</c:v>
                      </c:pt>
                      <c:pt idx="20">
                        <c:v>0.375</c:v>
                      </c:pt>
                      <c:pt idx="21">
                        <c:v>0.41666666666666702</c:v>
                      </c:pt>
                    </c:numCache>
                  </c:numRef>
                </c:cat>
                <c:val>
                  <c:numRef>
                    <c:extLst xmlns:c15="http://schemas.microsoft.com/office/drawing/2012/chart">
                      <c:ext xmlns:c15="http://schemas.microsoft.com/office/drawing/2012/chart" uri="{02D57815-91ED-43cb-92C2-25804820EDAC}">
                        <c15:formulaRef>
                          <c15:sqref>Antiperspirant!$U$4:$U$25</c15:sqref>
                        </c15:formulaRef>
                      </c:ext>
                    </c:extLst>
                    <c:numCache>
                      <c:formatCode>General</c:formatCode>
                      <c:ptCount val="22"/>
                      <c:pt idx="0">
                        <c:v>0.20200000000000001</c:v>
                      </c:pt>
                    </c:numCache>
                  </c:numRef>
                </c:val>
                <c:smooth val="0"/>
                <c:extLst xmlns:c15="http://schemas.microsoft.com/office/drawing/2012/chart">
                  <c:ext xmlns:c16="http://schemas.microsoft.com/office/drawing/2014/chart" uri="{C3380CC4-5D6E-409C-BE32-E72D297353CC}">
                    <c16:uniqueId val="{00000013-334A-4F2C-A707-E9001F393E64}"/>
                  </c:ext>
                </c:extLst>
              </c15:ser>
            </c15:filteredLineSeries>
          </c:ext>
        </c:extLst>
      </c:lineChart>
      <c:catAx>
        <c:axId val="1565131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133792"/>
        <c:crosses val="autoZero"/>
        <c:auto val="1"/>
        <c:lblAlgn val="ctr"/>
        <c:lblOffset val="100"/>
        <c:noMultiLvlLbl val="0"/>
      </c:catAx>
      <c:valAx>
        <c:axId val="1565133792"/>
        <c:scaling>
          <c:orientation val="minMax"/>
          <c:max val="140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200" b="0" i="0" baseline="0">
                    <a:effectLst/>
                    <a:latin typeface="Times New Roman" panose="02020603050405020304" pitchFamily="18" charset="0"/>
                    <a:cs typeface="Times New Roman" panose="02020603050405020304" pitchFamily="18" charset="0"/>
                  </a:rPr>
                  <a:t>μ</a:t>
                </a:r>
                <a:r>
                  <a:rPr lang="en-GB" sz="1200" b="0" i="0" baseline="0">
                    <a:effectLst/>
                    <a:latin typeface="Times New Roman" panose="02020603050405020304" pitchFamily="18" charset="0"/>
                    <a:cs typeface="Times New Roman" panose="02020603050405020304" pitchFamily="18" charset="0"/>
                  </a:rPr>
                  <a:t>g/m³</a:t>
                </a:r>
                <a:endParaRPr lang="en-GB" sz="120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1313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 dockstate="right" visibility="0" width="438"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CB6C9C6-CCCC-4B0A-8D6F-9A8358FAF1BD}">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649970D-B636-43FC-AF15-FE03F9F0F4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26C1BC-CF9A-4C70-8C97-A0E183D3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42492</TotalTime>
  <Pages>30</Pages>
  <Words>20908</Words>
  <Characters>119176</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TAY17837698 (Matthew David Taylor)</dc:creator>
  <cp:keywords/>
  <dc:description/>
  <cp:lastModifiedBy>Matthew Taylor (1707686)</cp:lastModifiedBy>
  <cp:revision>98</cp:revision>
  <cp:lastPrinted>2023-04-25T17:26:00Z</cp:lastPrinted>
  <dcterms:created xsi:type="dcterms:W3CDTF">2021-12-31T14:01:00Z</dcterms:created>
  <dcterms:modified xsi:type="dcterms:W3CDTF">2023-04-25T19:10:00Z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id="wgbWliTL"/&gt;&lt;style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