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752EA6" w14:textId="562BACA2" w:rsidR="002E576D" w:rsidRDefault="008903E0">
      <w:r>
        <w:t xml:space="preserve">Analyse the ways in which Claudian attacks Eutropius in his </w:t>
      </w:r>
      <w:r>
        <w:rPr>
          <w:i/>
          <w:iCs/>
        </w:rPr>
        <w:t>In Eutropium</w:t>
      </w:r>
      <w:r>
        <w:t>.</w:t>
      </w:r>
    </w:p>
    <w:p w14:paraId="36D1EB25" w14:textId="77777777" w:rsidR="008903E0" w:rsidRDefault="008903E0"/>
    <w:p w14:paraId="7D07FF35" w14:textId="3B31B563" w:rsidR="00770692" w:rsidRDefault="007F014C">
      <w:r w:rsidRPr="007F014C">
        <w:rPr>
          <w:i/>
          <w:iCs/>
        </w:rPr>
        <w:t>In Eutropium</w:t>
      </w:r>
      <w:r>
        <w:t xml:space="preserve"> is a</w:t>
      </w:r>
      <w:r w:rsidR="0026636E">
        <w:t xml:space="preserve"> Latin</w:t>
      </w:r>
      <w:r>
        <w:t xml:space="preserve"> invective</w:t>
      </w:r>
      <w:r w:rsidR="00971CE4">
        <w:t xml:space="preserve"> poem </w:t>
      </w:r>
      <w:r w:rsidR="0026636E">
        <w:t>authored</w:t>
      </w:r>
      <w:r w:rsidR="005A7A73">
        <w:t xml:space="preserve"> by the Alexandrian poet Claudian</w:t>
      </w:r>
      <w:r w:rsidR="00971CE4">
        <w:t xml:space="preserve">, </w:t>
      </w:r>
      <w:r w:rsidR="002F0763">
        <w:t xml:space="preserve">attacking Eutropius, </w:t>
      </w:r>
      <w:r w:rsidR="00E640F0">
        <w:t xml:space="preserve">the </w:t>
      </w:r>
      <w:r w:rsidR="002F0763">
        <w:t xml:space="preserve">grand chamberlain </w:t>
      </w:r>
      <w:r w:rsidR="00146748">
        <w:t>(</w:t>
      </w:r>
      <w:r w:rsidR="00146748" w:rsidRPr="00146748">
        <w:rPr>
          <w:i/>
          <w:iCs/>
        </w:rPr>
        <w:t>praepositus sacri cubiculi</w:t>
      </w:r>
      <w:r w:rsidR="00146748">
        <w:t xml:space="preserve">) </w:t>
      </w:r>
      <w:r w:rsidR="00E640F0">
        <w:t>and Eastern consul of</w:t>
      </w:r>
      <w:r w:rsidR="002F0763">
        <w:t xml:space="preserve"> </w:t>
      </w:r>
      <w:r w:rsidR="00E640F0">
        <w:t>399CE, the year the poem was written</w:t>
      </w:r>
      <w:r w:rsidR="002F0763">
        <w:t>.</w:t>
      </w:r>
      <w:r w:rsidR="00146748">
        <w:fldChar w:fldCharType="begin"/>
      </w:r>
      <w:r w:rsidR="007B7F09">
        <w:instrText xml:space="preserve"> ADDIN ZOTERO_ITEM CSL_CITATION {"citationID":"rsiThdRK","properties":{"formattedCitation":"(Long, 1996; Tougher, 2015; Elm, 2019)","plainCitation":"(Long, 1996; Tougher, 2015; Elm, 2019)","dontUpdate":true,"noteIndex":0},"citationItems":[{"id":57,"uris":["http://zotero.org/users/local/z5ohplVy/items/2EZ6U7YK"],"itemData":{"id":57,"type":"article-journal","abstract":"The article analyzes the poetry book of satire called \"In Eutropium,\" by Claudian, or Claudius Claudianus, a poet in the fourth century, focusing on his invective depiction of Roman consul eunuch Eutropius. Topics include Claudian's influence by Roman satire poet Juvenal, the depiction of Eutropius's rise and fall in the Roman consulate, and the depiction of homosexuality in Juvenal and Claudian.","container-title":"International Journal of the Classical Tradition","issue":"3","note":"publisher: Springer Nature","page":"321-335","title":"Juvenal renewed in Claudian's In Eutropium.","volume":"2","author":[{"family":"Long","given":"Jacqueline"}],"issued":{"date-parts":[["1996"]]}}},{"id":58,"uris":["http://zotero.org/users/local/z5ohplVy/items/9ZY8SBP4"],"itemData":{"id":58,"type":"chapter","abstract":"In the narrative of relations between East and West in the Roman Empire in the fourth century AD, the tensions between the eastern and western imperial courts at the end of the century loom large. The decision of Theodosius I to “split” the empire between his young sons Arcadius and Honorius (the teenage Arcadius in the east and the ten-year-old Honorius in the west) ushered in a period of intense hostility and competition between the courts, famously focused on the figure of Stilicho.¹ Stilicho, half-Vandal general and son-in-law of Theodosius I (Stilicho was married to Serena, Theodosius’ niece and adopted","collection-title":"An End to Unity?","container-title":"East and West in the Roman Empire of the Fourth Century","page":"147-163","publisher":"Brill","title":"Eunuchs in the East, Men in the West? Dis/unity, Gender and Orientalism in the Fourth Century","title-short":"Eunuchs in the East, Men in the West?","author":[{"family":"Tougher","given":"Shaun"}],"editor":[{"family":"Dijkstra","given":"Roald"},{"family":"Poppel","given":"Sanne","non-dropping-particle":"van"},{"family":"Slootjes","given":"Daniëlle"}],"issued":{"date-parts":[["2015"]]}}},{"id":26,"uris":["http://zotero.org/users/local/z5ohplVy/items/ASPVX8M6"],"itemData":{"id":26,"type":"article-journal","abstract":"Theoretically, ugliness as aesthetic concept—more than the absence of beauty—first came to the fore in the 19th century. This contribution uses the late Latin poet Claudian (370–404 CE) to show that his invective epic against the consul and eunuch Eutropius (d. 399 CE) already created a notion of ugliness through the juxtaposition of the splendid consular robes and the \"ugliness\" of Eutropius's body.","container-title":"RIHA Journal","title":"An Icon of Ugliness – Eutropius the Eunuch","author":[{"family":"Elm","given":"Susanna"}],"issued":{"date-parts":[["2019"]]}}}],"schema":"https://github.com/citation-style-language/schema/raw/master/csl-citation.json"} </w:instrText>
      </w:r>
      <w:r w:rsidR="00146748">
        <w:fldChar w:fldCharType="separate"/>
      </w:r>
      <w:r w:rsidR="00146748">
        <w:rPr>
          <w:rStyle w:val="FootnoteReference"/>
        </w:rPr>
        <w:footnoteReference w:id="1"/>
      </w:r>
      <w:r w:rsidR="00146748">
        <w:fldChar w:fldCharType="end"/>
      </w:r>
      <w:r w:rsidR="00146748">
        <w:t xml:space="preserve"> </w:t>
      </w:r>
      <w:r w:rsidR="00E10533">
        <w:t>Eutropius was the</w:t>
      </w:r>
      <w:r w:rsidR="001A01C5">
        <w:t xml:space="preserve"> first, </w:t>
      </w:r>
      <w:r w:rsidR="001A01C5" w:rsidRPr="00E72C11">
        <w:t>and</w:t>
      </w:r>
      <w:r w:rsidR="00E10533" w:rsidRPr="00E72C11">
        <w:t xml:space="preserve"> only</w:t>
      </w:r>
      <w:r w:rsidR="001A01C5">
        <w:t xml:space="preserve">, </w:t>
      </w:r>
      <w:r w:rsidR="00E10533">
        <w:t>eunuch to ever be made consul</w:t>
      </w:r>
      <w:r w:rsidR="005A7A5D">
        <w:t>.</w:t>
      </w:r>
      <w:r w:rsidR="005A7A5D">
        <w:rPr>
          <w:rStyle w:val="FootnoteReference"/>
        </w:rPr>
        <w:footnoteReference w:id="2"/>
      </w:r>
      <w:r w:rsidR="005A7A5D">
        <w:t xml:space="preserve"> Claudian’s poem takes</w:t>
      </w:r>
      <w:r w:rsidR="00145E9F">
        <w:t xml:space="preserve"> form </w:t>
      </w:r>
      <w:r w:rsidR="001E2F6F">
        <w:t>as</w:t>
      </w:r>
      <w:r w:rsidR="00145E9F">
        <w:t xml:space="preserve"> an inverted consular panegyric</w:t>
      </w:r>
      <w:r w:rsidR="00CC4D74">
        <w:t xml:space="preserve">, utilising common tropes from consular panegyric and turning them on their head, consolidating his criticism of Eutropius by </w:t>
      </w:r>
      <w:r w:rsidR="00B40DAB">
        <w:t>making a mockery of the consul’s position and highlighting his supposed deficiencies through the poem’s very structure.</w:t>
      </w:r>
      <w:r w:rsidR="002F4A58">
        <w:rPr>
          <w:rStyle w:val="FootnoteReference"/>
        </w:rPr>
        <w:footnoteReference w:id="3"/>
      </w:r>
      <w:r w:rsidR="00BE4933">
        <w:t xml:space="preserve"> Claudian’s long term patron, Stilicho, </w:t>
      </w:r>
      <w:r w:rsidR="00250E2B">
        <w:t xml:space="preserve">was regent of Honorius, the young emperor of </w:t>
      </w:r>
      <w:r w:rsidR="00863E11">
        <w:t xml:space="preserve">the </w:t>
      </w:r>
      <w:r w:rsidR="00250E2B">
        <w:t>Western court</w:t>
      </w:r>
      <w:r w:rsidR="00E6522E">
        <w:t xml:space="preserve">, however, he also claimed to have been granted guardianship over Arcadius, Honorius’ brother and emperor </w:t>
      </w:r>
      <w:r w:rsidR="00863E11">
        <w:t>to</w:t>
      </w:r>
      <w:r w:rsidR="00E6522E">
        <w:t xml:space="preserve"> the Eastern part of the empire.</w:t>
      </w:r>
      <w:r w:rsidR="000F322F">
        <w:t xml:space="preserve"> </w:t>
      </w:r>
      <w:r w:rsidR="00E6522E">
        <w:t>Eutropius’ position in</w:t>
      </w:r>
      <w:r w:rsidR="00B0090D">
        <w:t xml:space="preserve">, and influence over, </w:t>
      </w:r>
      <w:r w:rsidR="00E6522E">
        <w:t xml:space="preserve">the Eastern court </w:t>
      </w:r>
      <w:r w:rsidR="00B0090D">
        <w:t xml:space="preserve">was an obvious threat to </w:t>
      </w:r>
      <w:r w:rsidR="0054160F">
        <w:t>Stilicho</w:t>
      </w:r>
      <w:r w:rsidR="00F30B7C">
        <w:t>’s claim</w:t>
      </w:r>
      <w:r w:rsidR="003414CA">
        <w:t>, creating dissent between the two</w:t>
      </w:r>
      <w:r w:rsidR="00272F99">
        <w:t xml:space="preserve">, </w:t>
      </w:r>
      <w:r w:rsidR="004742A9">
        <w:t>with Eutropius even declaring Stilicho a</w:t>
      </w:r>
      <w:r w:rsidR="00373147">
        <w:t xml:space="preserve"> public enemy</w:t>
      </w:r>
      <w:r w:rsidR="00F30B7C">
        <w:t>.</w:t>
      </w:r>
      <w:r w:rsidR="000F322F">
        <w:rPr>
          <w:rStyle w:val="FootnoteReference"/>
        </w:rPr>
        <w:footnoteReference w:id="4"/>
      </w:r>
      <w:r w:rsidR="000A261A">
        <w:t xml:space="preserve"> M</w:t>
      </w:r>
      <w:r w:rsidR="00250E2B">
        <w:t xml:space="preserve">uch of Claudian’s major works </w:t>
      </w:r>
      <w:r w:rsidR="0091161A">
        <w:t>engage in promoting</w:t>
      </w:r>
      <w:r w:rsidR="001B270B">
        <w:t xml:space="preserve"> Stilicho</w:t>
      </w:r>
      <w:r w:rsidR="00151A79">
        <w:t xml:space="preserve"> and his claims of regency, even if Stilicho does not explicitly feature as a main subject, </w:t>
      </w:r>
      <w:r w:rsidR="00126E60">
        <w:t>and</w:t>
      </w:r>
      <w:r w:rsidR="00151A79">
        <w:t xml:space="preserve"> the abuse directed at Eutropius in </w:t>
      </w:r>
      <w:r w:rsidR="00151A79">
        <w:rPr>
          <w:i/>
          <w:iCs/>
        </w:rPr>
        <w:t>In Eutropium</w:t>
      </w:r>
      <w:r w:rsidR="00151A79">
        <w:t xml:space="preserve"> must be understood within this context.</w:t>
      </w:r>
      <w:r w:rsidR="004C51ED">
        <w:rPr>
          <w:rStyle w:val="FootnoteReference"/>
        </w:rPr>
        <w:footnoteReference w:id="5"/>
      </w:r>
      <w:r w:rsidR="005870D2">
        <w:t xml:space="preserve"> </w:t>
      </w:r>
      <w:r w:rsidR="00392DC9">
        <w:t>The poem was s</w:t>
      </w:r>
      <w:r w:rsidR="005870D2">
        <w:t xml:space="preserve">plit into two books, </w:t>
      </w:r>
      <w:r w:rsidR="00392DC9">
        <w:t xml:space="preserve">both delivered at the Western imperial court in Milan in 399CE to </w:t>
      </w:r>
      <w:r w:rsidR="00C54273">
        <w:t>an</w:t>
      </w:r>
      <w:r w:rsidR="00392DC9">
        <w:t xml:space="preserve"> aristocratic audience </w:t>
      </w:r>
      <w:r w:rsidR="00C54273">
        <w:t>at</w:t>
      </w:r>
      <w:r w:rsidR="00392DC9">
        <w:t xml:space="preserve"> imperial ceremonies.</w:t>
      </w:r>
      <w:r w:rsidR="00F87CBF">
        <w:rPr>
          <w:rStyle w:val="FootnoteReference"/>
        </w:rPr>
        <w:footnoteReference w:id="6"/>
      </w:r>
      <w:r w:rsidR="00C54273">
        <w:t xml:space="preserve"> Before the second book was completed, Eutropius fell from favour and was deposed, stripped of his titles and possessions, exiled to Cyprus, and eventually executed.</w:t>
      </w:r>
      <w:r w:rsidR="00DC5EA6">
        <w:rPr>
          <w:rStyle w:val="FootnoteReference"/>
        </w:rPr>
        <w:footnoteReference w:id="7"/>
      </w:r>
    </w:p>
    <w:p w14:paraId="2A3A9AA3" w14:textId="184749A9" w:rsidR="00B46E24" w:rsidRDefault="004A0F05">
      <w:r>
        <w:t xml:space="preserve">One of the main things that Claudian highlights throughout </w:t>
      </w:r>
      <w:r>
        <w:rPr>
          <w:i/>
          <w:iCs/>
        </w:rPr>
        <w:t>In Eutropium</w:t>
      </w:r>
      <w:r>
        <w:t xml:space="preserve"> in order to </w:t>
      </w:r>
      <w:r w:rsidR="00846BF9">
        <w:t xml:space="preserve">denigrate Eutropius is the latter’s status as a eunuch. </w:t>
      </w:r>
      <w:r w:rsidR="00CD3091">
        <w:t>E</w:t>
      </w:r>
      <w:r w:rsidR="00846BF9">
        <w:t>unuchs</w:t>
      </w:r>
      <w:r w:rsidR="00CD3091">
        <w:t>, due to their</w:t>
      </w:r>
      <w:r w:rsidR="00846BF9">
        <w:t xml:space="preserve"> castr</w:t>
      </w:r>
      <w:r w:rsidR="00CD3091">
        <w:t>ation, were ambiguously gendered, and a</w:t>
      </w:r>
      <w:r w:rsidR="00846BF9">
        <w:t>ncient Roman and Greek writing</w:t>
      </w:r>
      <w:r w:rsidR="00CD3091">
        <w:t>s</w:t>
      </w:r>
      <w:r w:rsidR="00846BF9">
        <w:t xml:space="preserve"> had a</w:t>
      </w:r>
      <w:r w:rsidR="009C515A">
        <w:t>n established</w:t>
      </w:r>
      <w:r w:rsidR="00846BF9">
        <w:t xml:space="preserve"> history of</w:t>
      </w:r>
      <w:r w:rsidR="00CD3091">
        <w:t xml:space="preserve"> utilising the eunuch as a figure of effeminacy, and eastern effeminacy in particular, something Claudian draws on </w:t>
      </w:r>
      <w:r w:rsidR="00657018">
        <w:t>throughout the poem.</w:t>
      </w:r>
      <w:r w:rsidR="00E701D4">
        <w:rPr>
          <w:rStyle w:val="FootnoteReference"/>
        </w:rPr>
        <w:footnoteReference w:id="8"/>
      </w:r>
      <w:r w:rsidR="00CB036B">
        <w:t xml:space="preserve"> </w:t>
      </w:r>
      <w:r w:rsidR="008308B0">
        <w:t xml:space="preserve">Claudian uses the association of eunuchs with the East to </w:t>
      </w:r>
      <w:r w:rsidR="00AF6A6E">
        <w:t>portray</w:t>
      </w:r>
      <w:r w:rsidR="00353BB9">
        <w:t xml:space="preserve"> Eutropius</w:t>
      </w:r>
      <w:r w:rsidR="009E5FD1">
        <w:t xml:space="preserve"> as</w:t>
      </w:r>
      <w:r w:rsidR="009A20A9">
        <w:t xml:space="preserve"> </w:t>
      </w:r>
      <w:r w:rsidR="00353BB9">
        <w:t>un-Roman</w:t>
      </w:r>
      <w:r w:rsidR="009E5FD1">
        <w:t xml:space="preserve"> and</w:t>
      </w:r>
      <w:r w:rsidR="00353BB9">
        <w:t xml:space="preserve"> foreign</w:t>
      </w:r>
      <w:r w:rsidR="007A1008">
        <w:t xml:space="preserve">, one example of </w:t>
      </w:r>
      <w:r w:rsidR="000E40C8">
        <w:t>this occurs in</w:t>
      </w:r>
      <w:r w:rsidR="008308B0">
        <w:t xml:space="preserve"> lines </w:t>
      </w:r>
      <w:r w:rsidR="00B82ADE">
        <w:t>1.</w:t>
      </w:r>
      <w:r w:rsidR="00625615">
        <w:t>338-345</w:t>
      </w:r>
      <w:r w:rsidR="00596475">
        <w:t xml:space="preserve"> where </w:t>
      </w:r>
      <w:r w:rsidR="003600FE">
        <w:t xml:space="preserve">he ponders upon the invention of eunuchs and </w:t>
      </w:r>
      <w:r w:rsidR="00747BE3">
        <w:t>attributes it to either the Assyrian queen Semiramis, choosing to surround herself with effeminate men in order to disguise her own sex, or to the Parthians</w:t>
      </w:r>
      <w:r w:rsidR="00CA7DC6">
        <w:t xml:space="preserve">, </w:t>
      </w:r>
      <w:r w:rsidR="0013501B">
        <w:t>to “serve their lusts” by castrating young boys in order to preserve their youth.</w:t>
      </w:r>
      <w:r w:rsidR="00573FC0">
        <w:rPr>
          <w:rStyle w:val="FootnoteReference"/>
        </w:rPr>
        <w:footnoteReference w:id="9"/>
      </w:r>
      <w:r w:rsidR="00F0483C">
        <w:t xml:space="preserve"> </w:t>
      </w:r>
      <w:r w:rsidR="0042024F">
        <w:t xml:space="preserve">He also </w:t>
      </w:r>
      <w:r w:rsidR="00E42B67" w:rsidRPr="00E42B67">
        <w:t xml:space="preserve">alludes to a passage </w:t>
      </w:r>
      <w:r w:rsidR="00B17777">
        <w:t>by</w:t>
      </w:r>
      <w:r w:rsidR="00E42B67" w:rsidRPr="00E42B67">
        <w:t xml:space="preserve"> Lucan </w:t>
      </w:r>
      <w:r w:rsidR="00E42B67">
        <w:t>by identifying</w:t>
      </w:r>
      <w:r w:rsidR="0042024F">
        <w:t xml:space="preserve"> Eutropius with Pothinus, the eunuch </w:t>
      </w:r>
      <w:r w:rsidR="0042024F">
        <w:lastRenderedPageBreak/>
        <w:t xml:space="preserve">responsible for the death of Pompey, </w:t>
      </w:r>
      <w:r w:rsidR="00B45229">
        <w:t>attacking him by utilising the image of the scheming eunuch and allying him with enemies of Rome.</w:t>
      </w:r>
      <w:r w:rsidR="00D80122">
        <w:rPr>
          <w:rStyle w:val="FootnoteReference"/>
        </w:rPr>
        <w:footnoteReference w:id="10"/>
      </w:r>
      <w:r w:rsidR="001161A4">
        <w:rPr>
          <w:color w:val="FF0000"/>
        </w:rPr>
        <w:t xml:space="preserve"> </w:t>
      </w:r>
      <w:r w:rsidR="00F66E0B">
        <w:t xml:space="preserve">In his 2015 article, Tougher </w:t>
      </w:r>
      <w:r w:rsidR="00B17777">
        <w:t xml:space="preserve">explains </w:t>
      </w:r>
      <w:r w:rsidR="00510EFF">
        <w:t>that this presentation of eunuchs as being foreign to the</w:t>
      </w:r>
      <w:r w:rsidR="00793A9D">
        <w:t xml:space="preserve"> </w:t>
      </w:r>
      <w:r w:rsidR="00A0733E">
        <w:t>W</w:t>
      </w:r>
      <w:r w:rsidR="00793A9D">
        <w:t>est</w:t>
      </w:r>
      <w:r w:rsidR="00510EFF">
        <w:t xml:space="preserve"> is rather deceitful </w:t>
      </w:r>
      <w:r w:rsidR="00C83F28">
        <w:t xml:space="preserve">as they had long been present </w:t>
      </w:r>
      <w:r w:rsidR="00AF6452">
        <w:t>in the Roman imperial court</w:t>
      </w:r>
      <w:r w:rsidR="00C83F28">
        <w:t xml:space="preserve"> by this time.</w:t>
      </w:r>
      <w:r w:rsidR="0002622C">
        <w:rPr>
          <w:rStyle w:val="FootnoteReference"/>
        </w:rPr>
        <w:footnoteReference w:id="11"/>
      </w:r>
      <w:r w:rsidR="008D2F07">
        <w:t xml:space="preserve"> In fact, the focus on Eutropius being un-Roman is somewhat ironic as Claudian’s patron, Stilicho, was himself half</w:t>
      </w:r>
      <w:r w:rsidR="00C64A5A">
        <w:t xml:space="preserve"> </w:t>
      </w:r>
      <w:r w:rsidR="008D2F07">
        <w:t>Vandal</w:t>
      </w:r>
      <w:r w:rsidR="001E0555">
        <w:t xml:space="preserve">, </w:t>
      </w:r>
      <w:r w:rsidR="00F670F2">
        <w:t xml:space="preserve">likely </w:t>
      </w:r>
      <w:r w:rsidR="00A22A94">
        <w:t>leaving him vulnerable to similar accusations.</w:t>
      </w:r>
      <w:r w:rsidR="00C64A5A">
        <w:rPr>
          <w:rStyle w:val="FootnoteReference"/>
        </w:rPr>
        <w:footnoteReference w:id="12"/>
      </w:r>
    </w:p>
    <w:p w14:paraId="4009067B" w14:textId="1F0CFBDA" w:rsidR="00E125B4" w:rsidRDefault="00514475">
      <w:r>
        <w:t xml:space="preserve">Claudian </w:t>
      </w:r>
      <w:r w:rsidR="00770B12">
        <w:t>weaponises</w:t>
      </w:r>
      <w:r w:rsidR="00A10E8E">
        <w:t xml:space="preserve"> </w:t>
      </w:r>
      <w:r w:rsidR="00C30C46">
        <w:t>Eutropius</w:t>
      </w:r>
      <w:r w:rsidR="00D64C10">
        <w:t>’ position as a eunuch to chara</w:t>
      </w:r>
      <w:r w:rsidR="00641528">
        <w:t>cterise him</w:t>
      </w:r>
      <w:r w:rsidR="00C30C46">
        <w:t xml:space="preserve"> as feminine from the very start of book 1</w:t>
      </w:r>
      <w:r w:rsidR="0093297D">
        <w:t xml:space="preserve">, </w:t>
      </w:r>
      <w:r w:rsidR="005C130B">
        <w:t>declaring “</w:t>
      </w:r>
      <w:r w:rsidR="00EF28D3" w:rsidRPr="00EF28D3">
        <w:t>behold an old woman decked in a consul’s robe who gives a woman’s name to the year</w:t>
      </w:r>
      <w:r w:rsidR="00202695">
        <w:t>”</w:t>
      </w:r>
      <w:r w:rsidR="001162CD">
        <w:t xml:space="preserve">. </w:t>
      </w:r>
      <w:r w:rsidR="002B6800">
        <w:t>Further</w:t>
      </w:r>
      <w:r w:rsidR="00C53F1D">
        <w:t xml:space="preserve"> to gendering h</w:t>
      </w:r>
      <w:r w:rsidR="002334A1">
        <w:t>im as female</w:t>
      </w:r>
      <w:r w:rsidR="002B6800">
        <w:t xml:space="preserve">, </w:t>
      </w:r>
      <w:r w:rsidR="00780263">
        <w:t xml:space="preserve">this quote </w:t>
      </w:r>
      <w:r w:rsidR="0009088D">
        <w:t>implies that the effem</w:t>
      </w:r>
      <w:r w:rsidR="002E0C70">
        <w:t>ina</w:t>
      </w:r>
      <w:r w:rsidR="007F1C50">
        <w:t xml:space="preserve">te </w:t>
      </w:r>
      <w:r w:rsidR="002E0C70">
        <w:t>Eutropius</w:t>
      </w:r>
      <w:r w:rsidR="007F1C50">
        <w:t xml:space="preserve"> </w:t>
      </w:r>
      <w:r w:rsidR="000A1016">
        <w:t>be</w:t>
      </w:r>
      <w:r w:rsidR="00CF043B">
        <w:t>coming</w:t>
      </w:r>
      <w:r w:rsidR="000A1016">
        <w:t xml:space="preserve"> consul</w:t>
      </w:r>
      <w:r w:rsidR="002E0C70">
        <w:t xml:space="preserve"> </w:t>
      </w:r>
      <w:r w:rsidR="00583DDE">
        <w:t>is shameful</w:t>
      </w:r>
      <w:r w:rsidR="005F7920">
        <w:t xml:space="preserve"> and embarrassing to the people.</w:t>
      </w:r>
      <w:r w:rsidR="00D337CE">
        <w:rPr>
          <w:rStyle w:val="FootnoteReference"/>
        </w:rPr>
        <w:footnoteReference w:id="13"/>
      </w:r>
      <w:r w:rsidR="002C4046">
        <w:t xml:space="preserve"> Throughout the poem</w:t>
      </w:r>
      <w:r w:rsidR="00845CB8">
        <w:t xml:space="preserve">, Claudian maps Eutropius onto </w:t>
      </w:r>
      <w:r w:rsidR="00BA58C6">
        <w:t>various female literary tropes</w:t>
      </w:r>
      <w:r w:rsidR="004C5E79">
        <w:t>,</w:t>
      </w:r>
      <w:r w:rsidR="00943E94">
        <w:t xml:space="preserve"> including that of the </w:t>
      </w:r>
      <w:r w:rsidR="008A7BC3">
        <w:t xml:space="preserve">love interest </w:t>
      </w:r>
      <w:r w:rsidR="00457BC8">
        <w:t>found in elegy.</w:t>
      </w:r>
      <w:r w:rsidR="009647ED">
        <w:t xml:space="preserve"> </w:t>
      </w:r>
      <w:r w:rsidR="00591204">
        <w:t xml:space="preserve">Thus, </w:t>
      </w:r>
      <w:r w:rsidR="00FD3401">
        <w:t>C</w:t>
      </w:r>
      <w:r w:rsidR="00D337CE">
        <w:t>laudian’s Eutropius cries out:</w:t>
      </w:r>
    </w:p>
    <w:p w14:paraId="1A0BCF8B" w14:textId="1E070B6B" w:rsidR="009040D6" w:rsidRDefault="000D63F8" w:rsidP="001835E9">
      <w:pPr>
        <w:ind w:left="850" w:right="850"/>
      </w:pPr>
      <w:r w:rsidRPr="000D63F8">
        <w:t>“Was this thy fidelity, Ptolemy? Is this my reward for a youth lived in thine arms, for the bed of marriage and those many nights spent together in the inn? Must I lose my promised liberty? Leav’st thou Eutropius a widow, cruel wretch, forgetful of such wonderful nights of love? How hard is the lot of my kind!</w:t>
      </w:r>
      <w:r w:rsidR="00446D28">
        <w:t>”</w:t>
      </w:r>
      <w:r w:rsidR="008D2A48">
        <w:rPr>
          <w:rStyle w:val="FootnoteReference"/>
        </w:rPr>
        <w:footnoteReference w:id="14"/>
      </w:r>
    </w:p>
    <w:p w14:paraId="6083E01E" w14:textId="3D6F669C" w:rsidR="00942BD7" w:rsidRDefault="005A771F" w:rsidP="005A771F">
      <w:r>
        <w:t xml:space="preserve">This outburst </w:t>
      </w:r>
      <w:r w:rsidR="008B5F38">
        <w:t xml:space="preserve">draws upon </w:t>
      </w:r>
      <w:r w:rsidR="009F3F1B">
        <w:t xml:space="preserve">works such as </w:t>
      </w:r>
      <w:r w:rsidR="004A35DE">
        <w:t xml:space="preserve">Ovid’s </w:t>
      </w:r>
      <w:r w:rsidR="004A35DE">
        <w:rPr>
          <w:i/>
          <w:iCs/>
        </w:rPr>
        <w:t xml:space="preserve">Heroides </w:t>
      </w:r>
      <w:r w:rsidR="004A35DE">
        <w:t xml:space="preserve">and </w:t>
      </w:r>
      <w:r w:rsidR="009F3F1B">
        <w:t>Catullus 64</w:t>
      </w:r>
      <w:r w:rsidR="009F2EBD">
        <w:t>,</w:t>
      </w:r>
      <w:r w:rsidR="002B5C3C">
        <w:t xml:space="preserve"> the latter</w:t>
      </w:r>
      <w:r w:rsidR="009F2EBD">
        <w:t xml:space="preserve"> in which</w:t>
      </w:r>
      <w:r w:rsidR="003E58F9">
        <w:t xml:space="preserve"> </w:t>
      </w:r>
      <w:r w:rsidR="003B2402">
        <w:t>Ariadne</w:t>
      </w:r>
      <w:r w:rsidR="007B579B">
        <w:t xml:space="preserve">, upon being </w:t>
      </w:r>
      <w:r w:rsidR="006D7F09">
        <w:t>abandoned</w:t>
      </w:r>
      <w:r w:rsidR="007B579B">
        <w:t xml:space="preserve"> by Theseus</w:t>
      </w:r>
      <w:r w:rsidR="006D7F09">
        <w:t xml:space="preserve">, </w:t>
      </w:r>
      <w:r w:rsidR="00BB6934">
        <w:t xml:space="preserve">similarly </w:t>
      </w:r>
      <w:r w:rsidR="005D0391">
        <w:t>laments “</w:t>
      </w:r>
      <w:r w:rsidR="000F7FB6" w:rsidRPr="000F7FB6">
        <w:t>hast thou left me, faithless, faithless Theseus, on the lonely shore?</w:t>
      </w:r>
      <w:r w:rsidR="008D2A48">
        <w:t>”.</w:t>
      </w:r>
      <w:r w:rsidR="00442304">
        <w:rPr>
          <w:rStyle w:val="FootnoteReference"/>
        </w:rPr>
        <w:footnoteReference w:id="15"/>
      </w:r>
      <w:r w:rsidR="007C5459">
        <w:t xml:space="preserve"> </w:t>
      </w:r>
      <w:r w:rsidR="00B80FA0">
        <w:t xml:space="preserve">This comparison </w:t>
      </w:r>
      <w:r w:rsidR="005E4BBA">
        <w:t xml:space="preserve">does </w:t>
      </w:r>
      <w:r w:rsidR="00B80FA0">
        <w:t xml:space="preserve">not only mock Eutropius by </w:t>
      </w:r>
      <w:r w:rsidR="00741B7A">
        <w:t xml:space="preserve">portraying him as a woman, </w:t>
      </w:r>
      <w:r w:rsidR="004E7A9B">
        <w:t xml:space="preserve">the obvious disparity between the consul and </w:t>
      </w:r>
      <w:r w:rsidR="00AA0805">
        <w:t xml:space="preserve">the women of elegy </w:t>
      </w:r>
      <w:r w:rsidR="00657394">
        <w:t xml:space="preserve">also </w:t>
      </w:r>
      <w:r w:rsidR="00494A77">
        <w:t xml:space="preserve">displays </w:t>
      </w:r>
      <w:r w:rsidR="00B72A3D">
        <w:t xml:space="preserve">his </w:t>
      </w:r>
      <w:r w:rsidR="002C3D11">
        <w:t>inadequacies, ridiculing him.</w:t>
      </w:r>
      <w:r w:rsidR="007D388D">
        <w:rPr>
          <w:rStyle w:val="FootnoteReference"/>
        </w:rPr>
        <w:footnoteReference w:id="16"/>
      </w:r>
      <w:r w:rsidR="00B338DA">
        <w:t xml:space="preserve"> One such </w:t>
      </w:r>
      <w:r w:rsidR="00392C80">
        <w:t>inadequacy</w:t>
      </w:r>
      <w:r w:rsidR="00B338DA">
        <w:t xml:space="preserve"> that </w:t>
      </w:r>
      <w:r w:rsidR="00392C80">
        <w:t xml:space="preserve">Eutropius bemoans is </w:t>
      </w:r>
      <w:r w:rsidR="00790430">
        <w:t xml:space="preserve">that unlike a woman, he is unable </w:t>
      </w:r>
      <w:r w:rsidR="001A63FF">
        <w:t xml:space="preserve">to </w:t>
      </w:r>
      <w:r w:rsidR="007831D2">
        <w:t xml:space="preserve">birth a child </w:t>
      </w:r>
      <w:r w:rsidR="00A7094F">
        <w:t xml:space="preserve">and therefore ensure the </w:t>
      </w:r>
      <w:r w:rsidR="00296E97">
        <w:t>continuation of a relationship, even after his beauty has faded.</w:t>
      </w:r>
      <w:r w:rsidR="00497332">
        <w:rPr>
          <w:rStyle w:val="FootnoteReference"/>
        </w:rPr>
        <w:footnoteReference w:id="17"/>
      </w:r>
      <w:r w:rsidR="00F36210">
        <w:t xml:space="preserve"> </w:t>
      </w:r>
      <w:r w:rsidR="00405D8D">
        <w:t xml:space="preserve">Unable to perform </w:t>
      </w:r>
      <w:r w:rsidR="00C1690F">
        <w:t xml:space="preserve">even </w:t>
      </w:r>
      <w:r w:rsidR="00405D8D">
        <w:t xml:space="preserve">the duties expected of </w:t>
      </w:r>
      <w:r w:rsidR="00C1690F">
        <w:t xml:space="preserve">the </w:t>
      </w:r>
      <w:r w:rsidR="00405D8D">
        <w:t>women</w:t>
      </w:r>
      <w:r w:rsidR="00C1690F">
        <w:t xml:space="preserve"> he is being compared to</w:t>
      </w:r>
      <w:r w:rsidR="00405D8D">
        <w:t xml:space="preserve">, Eutropius is </w:t>
      </w:r>
      <w:r w:rsidR="00C1690F">
        <w:t>relegated to an ambiguous third gender</w:t>
      </w:r>
      <w:r w:rsidR="007E0EB5">
        <w:t xml:space="preserve">, useful only for sexual purposes and then </w:t>
      </w:r>
      <w:r w:rsidR="00E30BFD">
        <w:t>when his youth is gone, nothing.</w:t>
      </w:r>
      <w:r w:rsidR="007C2FB7">
        <w:rPr>
          <w:rStyle w:val="FootnoteReference"/>
        </w:rPr>
        <w:footnoteReference w:id="18"/>
      </w:r>
      <w:r w:rsidR="00954D91">
        <w:t xml:space="preserve"> This </w:t>
      </w:r>
      <w:r w:rsidR="00497557">
        <w:t>complaint is reminiscent of Juvenal</w:t>
      </w:r>
      <w:r w:rsidR="007D2470">
        <w:t xml:space="preserve">’s </w:t>
      </w:r>
      <w:r w:rsidR="007D2470">
        <w:rPr>
          <w:i/>
          <w:iCs/>
        </w:rPr>
        <w:t>Satire</w:t>
      </w:r>
      <w:r w:rsidR="00497557">
        <w:t xml:space="preserve"> 2</w:t>
      </w:r>
      <w:r w:rsidR="00A728B3">
        <w:t xml:space="preserve">, where Juvenal </w:t>
      </w:r>
      <w:r w:rsidR="009D7139">
        <w:t>is critical of the male brides he discusses for the same reason</w:t>
      </w:r>
      <w:r w:rsidR="00B30AFD">
        <w:t xml:space="preserve">s. </w:t>
      </w:r>
      <w:r w:rsidR="007F223B">
        <w:t xml:space="preserve">This </w:t>
      </w:r>
      <w:r w:rsidR="00C04816">
        <w:t xml:space="preserve">allusion to Juvenal utilises the </w:t>
      </w:r>
      <w:r w:rsidR="00BD731B">
        <w:t xml:space="preserve">authority Juvenal </w:t>
      </w:r>
      <w:r w:rsidR="00E41A14">
        <w:t>ha</w:t>
      </w:r>
      <w:r w:rsidR="002C0042">
        <w:t>d</w:t>
      </w:r>
      <w:r w:rsidR="00E41A14">
        <w:t xml:space="preserve"> in stirring up outrage </w:t>
      </w:r>
      <w:r w:rsidR="00E41A14">
        <w:lastRenderedPageBreak/>
        <w:t xml:space="preserve">against those considered to be acting outside of </w:t>
      </w:r>
      <w:r w:rsidR="00056AA1">
        <w:t xml:space="preserve">Roman </w:t>
      </w:r>
      <w:r w:rsidR="00E41A14">
        <w:t>moral conventions</w:t>
      </w:r>
      <w:r w:rsidR="002C0042">
        <w:t xml:space="preserve">, adding weight to </w:t>
      </w:r>
      <w:r w:rsidR="00056AA1">
        <w:t xml:space="preserve">Claudian’s </w:t>
      </w:r>
      <w:r w:rsidR="002C0042">
        <w:t>words.</w:t>
      </w:r>
      <w:r w:rsidR="006E1A33">
        <w:rPr>
          <w:rStyle w:val="FootnoteReference"/>
        </w:rPr>
        <w:footnoteReference w:id="19"/>
      </w:r>
    </w:p>
    <w:p w14:paraId="4CC7FF7D" w14:textId="6631BEA7" w:rsidR="00EC337F" w:rsidRDefault="001D56DB" w:rsidP="005A771F">
      <w:r>
        <w:t xml:space="preserve">Claudian </w:t>
      </w:r>
      <w:r w:rsidR="009C1B6D">
        <w:t xml:space="preserve">continues his </w:t>
      </w:r>
      <w:r w:rsidR="00971C5F">
        <w:t>feminisin</w:t>
      </w:r>
      <w:r w:rsidR="006C3DA9">
        <w:t xml:space="preserve">g </w:t>
      </w:r>
      <w:r w:rsidR="0077390E">
        <w:t xml:space="preserve">diatribe </w:t>
      </w:r>
      <w:r w:rsidR="007735FA">
        <w:t xml:space="preserve">by </w:t>
      </w:r>
      <w:r w:rsidR="004D7A08">
        <w:t xml:space="preserve">characterising </w:t>
      </w:r>
      <w:r w:rsidR="006C3DA9">
        <w:t xml:space="preserve">Eutropius </w:t>
      </w:r>
      <w:r w:rsidR="004D7A08">
        <w:t>as a</w:t>
      </w:r>
      <w:r w:rsidR="005C477A">
        <w:t xml:space="preserve">n ugly and lascivious </w:t>
      </w:r>
      <w:r w:rsidR="00351D0F">
        <w:t xml:space="preserve">old woman, identifying him </w:t>
      </w:r>
      <w:r w:rsidR="0034008E">
        <w:t xml:space="preserve">with the </w:t>
      </w:r>
      <w:r w:rsidR="004D451B">
        <w:t>old wom</w:t>
      </w:r>
      <w:r w:rsidR="0034008E">
        <w:t>e</w:t>
      </w:r>
      <w:r w:rsidR="004D451B">
        <w:t>n</w:t>
      </w:r>
      <w:r w:rsidR="0034008E">
        <w:t xml:space="preserve"> found </w:t>
      </w:r>
      <w:r w:rsidR="00B74970">
        <w:t>in satire</w:t>
      </w:r>
      <w:r w:rsidR="00A9676F">
        <w:t xml:space="preserve"> in order to create a sense of </w:t>
      </w:r>
      <w:r w:rsidR="00060758">
        <w:t>revulsion</w:t>
      </w:r>
      <w:r w:rsidR="00BD7EE6">
        <w:t>.</w:t>
      </w:r>
      <w:r w:rsidR="00514F71">
        <w:rPr>
          <w:rStyle w:val="FootnoteReference"/>
        </w:rPr>
        <w:footnoteReference w:id="20"/>
      </w:r>
      <w:r w:rsidR="00481E18">
        <w:t xml:space="preserve"> </w:t>
      </w:r>
      <w:r w:rsidR="00E55434">
        <w:t xml:space="preserve">Vivid </w:t>
      </w:r>
      <w:r w:rsidR="004A39A4">
        <w:t xml:space="preserve">and grotesque </w:t>
      </w:r>
      <w:r w:rsidR="002E496C">
        <w:t xml:space="preserve">descriptions </w:t>
      </w:r>
      <w:r w:rsidR="00E55434">
        <w:t xml:space="preserve">of Eutropius’ supposed appearance </w:t>
      </w:r>
      <w:r w:rsidR="00F0468D">
        <w:t xml:space="preserve">are present </w:t>
      </w:r>
      <w:r w:rsidR="00C5724D">
        <w:t>throughout the poem</w:t>
      </w:r>
      <w:r w:rsidR="001279A6">
        <w:t xml:space="preserve">. </w:t>
      </w:r>
      <w:r w:rsidR="00A461CD">
        <w:t xml:space="preserve">He </w:t>
      </w:r>
      <w:r w:rsidR="00DC45EC">
        <w:t>has both</w:t>
      </w:r>
      <w:r w:rsidR="000A1582">
        <w:t xml:space="preserve"> a</w:t>
      </w:r>
      <w:r w:rsidR="00DC45EC">
        <w:t xml:space="preserve"> </w:t>
      </w:r>
      <w:r w:rsidR="00B13116">
        <w:t>“</w:t>
      </w:r>
      <w:r w:rsidR="000A1582" w:rsidRPr="000A1582">
        <w:t>mass of senile pendulous flesh</w:t>
      </w:r>
      <w:r w:rsidR="00743D33">
        <w:t xml:space="preserve">” and </w:t>
      </w:r>
      <w:r w:rsidR="00EE66BA">
        <w:t>“fleshless bones”</w:t>
      </w:r>
      <w:r w:rsidR="005449C9">
        <w:t>, is a “troublesome corpse” and a mangy dog</w:t>
      </w:r>
      <w:r w:rsidR="00DF07AA">
        <w:t xml:space="preserve">, his balding </w:t>
      </w:r>
      <w:r w:rsidR="00445A34">
        <w:t>scalp</w:t>
      </w:r>
      <w:r w:rsidR="00DF07AA">
        <w:t xml:space="preserve"> looks as </w:t>
      </w:r>
      <w:r w:rsidR="00952B76">
        <w:t>though</w:t>
      </w:r>
      <w:r w:rsidR="00DF07AA">
        <w:t xml:space="preserve"> “grubs </w:t>
      </w:r>
      <w:r w:rsidR="00952B76">
        <w:t>ate away his head”</w:t>
      </w:r>
      <w:r w:rsidR="00445A34">
        <w:t>.</w:t>
      </w:r>
      <w:r w:rsidR="00F5276B">
        <w:rPr>
          <w:rStyle w:val="FootnoteReference"/>
        </w:rPr>
        <w:footnoteReference w:id="21"/>
      </w:r>
      <w:r w:rsidR="006F1A46">
        <w:t xml:space="preserve"> These </w:t>
      </w:r>
      <w:r w:rsidR="001E1EB0">
        <w:t xml:space="preserve">images elicit </w:t>
      </w:r>
      <w:r w:rsidR="003C6A7C">
        <w:t xml:space="preserve">disgust in the audience, degrading and humiliating </w:t>
      </w:r>
      <w:r w:rsidR="002669FE">
        <w:t>Eutropius.</w:t>
      </w:r>
      <w:r w:rsidR="003F3EDB">
        <w:rPr>
          <w:rStyle w:val="FootnoteReference"/>
        </w:rPr>
        <w:footnoteReference w:id="22"/>
      </w:r>
      <w:r w:rsidR="0007095F">
        <w:t xml:space="preserve"> Claudian also </w:t>
      </w:r>
      <w:r w:rsidR="00133EAD">
        <w:t xml:space="preserve">creates a contrast between </w:t>
      </w:r>
      <w:r w:rsidR="0041259E">
        <w:t xml:space="preserve">the consul’s body and the </w:t>
      </w:r>
      <w:r w:rsidR="00103EBA">
        <w:t>finery he wears,</w:t>
      </w:r>
      <w:r w:rsidR="008A48CD">
        <w:t xml:space="preserve"> </w:t>
      </w:r>
      <w:r w:rsidR="009F04BF">
        <w:t>for example  “</w:t>
      </w:r>
      <w:r w:rsidR="00CC18A2" w:rsidRPr="00CC18A2">
        <w:t>the gold of his raiment rendered his decrepitude even more hideous. ’Twas as though an ape, man’s imitator, had been decked out in sport with precious silken garments</w:t>
      </w:r>
      <w:r w:rsidR="009F04BF">
        <w:t>”</w:t>
      </w:r>
      <w:r w:rsidR="005C43D4">
        <w:t>.</w:t>
      </w:r>
      <w:r w:rsidR="00DE5F73">
        <w:rPr>
          <w:rStyle w:val="FootnoteReference"/>
        </w:rPr>
        <w:footnoteReference w:id="23"/>
      </w:r>
      <w:r w:rsidR="005C43D4">
        <w:t xml:space="preserve"> </w:t>
      </w:r>
      <w:r w:rsidR="002910FF">
        <w:t>Th</w:t>
      </w:r>
      <w:r w:rsidR="00D445D1">
        <w:t xml:space="preserve">e implication that </w:t>
      </w:r>
      <w:r w:rsidR="000104C3">
        <w:t xml:space="preserve">these clothes are not fit for him and the </w:t>
      </w:r>
      <w:r w:rsidR="00AE1FF7">
        <w:t>ridiculous</w:t>
      </w:r>
      <w:r w:rsidR="00950A31">
        <w:t xml:space="preserve"> image </w:t>
      </w:r>
      <w:r w:rsidR="00F07D50">
        <w:t>of the ape in fine clothing</w:t>
      </w:r>
      <w:r w:rsidR="00AE1FF7">
        <w:t xml:space="preserve"> convey</w:t>
      </w:r>
      <w:r w:rsidR="00F07D50">
        <w:t xml:space="preserve">s </w:t>
      </w:r>
      <w:r w:rsidR="00D812E3">
        <w:t>a sense that h</w:t>
      </w:r>
      <w:r w:rsidR="0006588A">
        <w:t xml:space="preserve">e is not worthy of the </w:t>
      </w:r>
      <w:r w:rsidR="006449D0">
        <w:t>consular robe</w:t>
      </w:r>
      <w:r w:rsidR="00605202">
        <w:t xml:space="preserve"> he wears</w:t>
      </w:r>
      <w:r w:rsidR="005B0442">
        <w:t xml:space="preserve">. </w:t>
      </w:r>
      <w:r w:rsidR="007A33D6">
        <w:t>Portraying him as an a</w:t>
      </w:r>
      <w:r w:rsidR="00D0331E">
        <w:t xml:space="preserve">pe also </w:t>
      </w:r>
      <w:r w:rsidR="0018350F">
        <w:t xml:space="preserve">denies his humanity, he is </w:t>
      </w:r>
      <w:r w:rsidR="00373A0A">
        <w:t>not human but creature, a mere imitation of man.</w:t>
      </w:r>
      <w:r w:rsidR="00BC234E">
        <w:rPr>
          <w:rStyle w:val="FootnoteReference"/>
        </w:rPr>
        <w:footnoteReference w:id="24"/>
      </w:r>
      <w:r w:rsidR="00034BA6">
        <w:t xml:space="preserve"> </w:t>
      </w:r>
      <w:r w:rsidR="0084467D">
        <w:t xml:space="preserve">Appearances </w:t>
      </w:r>
      <w:r w:rsidR="00F46094">
        <w:t xml:space="preserve">and how one presented themselves </w:t>
      </w:r>
      <w:r w:rsidR="00B969CB">
        <w:t xml:space="preserve">was </w:t>
      </w:r>
      <w:r w:rsidR="008C2EF0">
        <w:t xml:space="preserve">exceptionally </w:t>
      </w:r>
      <w:r w:rsidR="009C772D">
        <w:t>important at this time</w:t>
      </w:r>
      <w:r w:rsidR="00EA7899">
        <w:t>. I</w:t>
      </w:r>
      <w:r w:rsidR="007318CD">
        <w:t xml:space="preserve">n a period </w:t>
      </w:r>
      <w:r w:rsidR="00450632">
        <w:t>w</w:t>
      </w:r>
      <w:r w:rsidR="009B4469">
        <w:t>here</w:t>
      </w:r>
      <w:r w:rsidR="00450632">
        <w:t xml:space="preserve"> </w:t>
      </w:r>
      <w:r w:rsidR="00903E9C">
        <w:t>a child</w:t>
      </w:r>
      <w:r w:rsidR="00A739F8">
        <w:t xml:space="preserve"> </w:t>
      </w:r>
      <w:r w:rsidR="009B4469">
        <w:t>can become</w:t>
      </w:r>
      <w:r w:rsidR="00A739F8">
        <w:t xml:space="preserve"> emperor</w:t>
      </w:r>
      <w:r w:rsidR="00EA7899">
        <w:t>,</w:t>
      </w:r>
      <w:r w:rsidR="00B93070">
        <w:t xml:space="preserve"> it was their regalia that separated them from the </w:t>
      </w:r>
      <w:r w:rsidR="00FE77C0">
        <w:t xml:space="preserve">masses and elevated </w:t>
      </w:r>
      <w:r w:rsidR="007C5FFF">
        <w:t xml:space="preserve">them </w:t>
      </w:r>
      <w:r w:rsidR="007E6E07">
        <w:t>to their status.</w:t>
      </w:r>
      <w:r w:rsidR="006610F8">
        <w:t xml:space="preserve"> Claudian’s attacks on Eutropius’ appearance undermines this</w:t>
      </w:r>
      <w:r w:rsidR="00D163F1">
        <w:t xml:space="preserve"> and </w:t>
      </w:r>
      <w:r w:rsidR="0083041E">
        <w:t xml:space="preserve">asserts that it does not matter </w:t>
      </w:r>
      <w:r w:rsidR="002C4A62">
        <w:t xml:space="preserve">what </w:t>
      </w:r>
      <w:r w:rsidR="002E08B8">
        <w:t xml:space="preserve">he wears or what position he holds, </w:t>
      </w:r>
      <w:r w:rsidR="00B247F3">
        <w:t xml:space="preserve">his ugliness and </w:t>
      </w:r>
      <w:r w:rsidR="009D622F">
        <w:t xml:space="preserve">inhumanness </w:t>
      </w:r>
      <w:r w:rsidR="00B7293B">
        <w:t xml:space="preserve">is inescapable and </w:t>
      </w:r>
      <w:r w:rsidR="00B247F3">
        <w:t>will always seep through</w:t>
      </w:r>
      <w:r w:rsidR="00B7293B">
        <w:t>.</w:t>
      </w:r>
      <w:r w:rsidR="00983ACB">
        <w:rPr>
          <w:rStyle w:val="FootnoteReference"/>
        </w:rPr>
        <w:footnoteReference w:id="25"/>
      </w:r>
    </w:p>
    <w:p w14:paraId="2586B1F7" w14:textId="095223B4" w:rsidR="00ED152C" w:rsidRDefault="000333A1" w:rsidP="005A771F">
      <w:r>
        <w:t xml:space="preserve">Eunuchs </w:t>
      </w:r>
      <w:r w:rsidR="007F4E04">
        <w:t xml:space="preserve">in the Roman empire </w:t>
      </w:r>
      <w:r w:rsidR="006E128C">
        <w:t xml:space="preserve">were usually slaves or ex-slaves, </w:t>
      </w:r>
      <w:r w:rsidR="00AD7414">
        <w:t xml:space="preserve">Claudian </w:t>
      </w:r>
      <w:r w:rsidR="00286225">
        <w:t xml:space="preserve">exploits this in the poem by </w:t>
      </w:r>
      <w:r w:rsidR="00AB3D87">
        <w:t xml:space="preserve">imagining Eutropius’ past </w:t>
      </w:r>
      <w:r w:rsidR="001F04E6">
        <w:t>experiences</w:t>
      </w:r>
      <w:r w:rsidR="00AB3D87">
        <w:t xml:space="preserve"> </w:t>
      </w:r>
      <w:r w:rsidR="001F04E6">
        <w:t xml:space="preserve">of servitude </w:t>
      </w:r>
      <w:r w:rsidR="006C6A02">
        <w:t>and describing</w:t>
      </w:r>
      <w:r w:rsidR="002A0550">
        <w:t xml:space="preserve"> them </w:t>
      </w:r>
      <w:r w:rsidR="0080097E">
        <w:t>in humiliating detail</w:t>
      </w:r>
      <w:r w:rsidR="002A0550">
        <w:t>.</w:t>
      </w:r>
      <w:r w:rsidR="008E48FF">
        <w:rPr>
          <w:rStyle w:val="FootnoteReference"/>
        </w:rPr>
        <w:footnoteReference w:id="26"/>
      </w:r>
      <w:r w:rsidR="002916E5">
        <w:t xml:space="preserve"> </w:t>
      </w:r>
      <w:r w:rsidR="0091103C">
        <w:t>In lines 1.</w:t>
      </w:r>
      <w:r w:rsidR="005E4D10">
        <w:t>35</w:t>
      </w:r>
      <w:r w:rsidR="00871D2B">
        <w:t xml:space="preserve">-36, Claudian </w:t>
      </w:r>
      <w:r w:rsidR="00CA4454">
        <w:t>envisions him being stripped and inspected</w:t>
      </w:r>
      <w:r w:rsidR="00AC73EF">
        <w:t xml:space="preserve"> before being purchased, </w:t>
      </w:r>
      <w:r w:rsidR="00AC73EF" w:rsidRPr="00AC73EF">
        <w:t>“How often has he been stripped while buyer consulted doctor whether there lurked any flaw by reason of some hidden disease!”</w:t>
      </w:r>
      <w:r w:rsidR="00AC73EF">
        <w:t>.</w:t>
      </w:r>
      <w:r w:rsidR="002C0456">
        <w:rPr>
          <w:rStyle w:val="FootnoteReference"/>
        </w:rPr>
        <w:footnoteReference w:id="27"/>
      </w:r>
      <w:r w:rsidR="002C0456">
        <w:t xml:space="preserve"> </w:t>
      </w:r>
      <w:r w:rsidR="007B14E6">
        <w:t>The detailing of such a degrading experience and the</w:t>
      </w:r>
      <w:r w:rsidR="0038619C">
        <w:t xml:space="preserve"> implication that </w:t>
      </w:r>
      <w:r w:rsidR="00DD690C">
        <w:t xml:space="preserve">Eutropius might harbour disease </w:t>
      </w:r>
      <w:r w:rsidR="00CF2B4B">
        <w:t xml:space="preserve">are </w:t>
      </w:r>
      <w:r w:rsidR="00AA243B">
        <w:t xml:space="preserve">another </w:t>
      </w:r>
      <w:r w:rsidR="00EA3760">
        <w:t xml:space="preserve">attempt to humiliate Eutropius. </w:t>
      </w:r>
      <w:r w:rsidR="00F82FCE">
        <w:t xml:space="preserve">A </w:t>
      </w:r>
      <w:r w:rsidR="00EA3760">
        <w:t xml:space="preserve">reference to </w:t>
      </w:r>
      <w:r w:rsidR="004D6812">
        <w:t xml:space="preserve">the eunuch being sold </w:t>
      </w:r>
      <w:r w:rsidR="00F82FCE">
        <w:t xml:space="preserve">is </w:t>
      </w:r>
      <w:r w:rsidR="00037FD3">
        <w:t>made again, later in the poem, when Claudian</w:t>
      </w:r>
      <w:r w:rsidR="00D2032E">
        <w:t xml:space="preserve"> makes an accusation of corruption against him,</w:t>
      </w:r>
      <w:r w:rsidR="00037FD3">
        <w:t xml:space="preserve"> suggest</w:t>
      </w:r>
      <w:r w:rsidR="00D2032E">
        <w:t>ing</w:t>
      </w:r>
      <w:r w:rsidR="00037FD3">
        <w:t xml:space="preserve"> that because of </w:t>
      </w:r>
      <w:r w:rsidR="00410760">
        <w:t xml:space="preserve">being sold so often himself, Eutropius </w:t>
      </w:r>
      <w:r w:rsidR="00715879">
        <w:t>is now willing to sell</w:t>
      </w:r>
      <w:r w:rsidR="0085150D">
        <w:t xml:space="preserve"> off provinces</w:t>
      </w:r>
      <w:r w:rsidR="00715879">
        <w:t>.</w:t>
      </w:r>
      <w:r w:rsidR="007978D7">
        <w:rPr>
          <w:rStyle w:val="FootnoteReference"/>
        </w:rPr>
        <w:footnoteReference w:id="28"/>
      </w:r>
    </w:p>
    <w:p w14:paraId="330FBE30" w14:textId="14702DB4" w:rsidR="004D369D" w:rsidRDefault="00130C3F" w:rsidP="005A771F">
      <w:r>
        <w:t xml:space="preserve">At the end of book 1, </w:t>
      </w:r>
      <w:r w:rsidR="00CE7FB9">
        <w:t xml:space="preserve">Claudian uses Eutropius’ experience of slavery to </w:t>
      </w:r>
      <w:r w:rsidR="006B5259">
        <w:t>s</w:t>
      </w:r>
      <w:r w:rsidR="00DB72DF">
        <w:t>lander him in yet another way, “</w:t>
      </w:r>
      <w:r w:rsidR="004D369D" w:rsidRPr="004D369D">
        <w:t>Why sound the trump of war? No need to attack him with javelin or spear. At the crack of the whip will be bowed the back that has felt its blows</w:t>
      </w:r>
      <w:r w:rsidR="00DB72DF">
        <w:t>”.</w:t>
      </w:r>
      <w:r w:rsidR="00F12BA5">
        <w:rPr>
          <w:rStyle w:val="FootnoteReference"/>
        </w:rPr>
        <w:footnoteReference w:id="29"/>
      </w:r>
      <w:r w:rsidR="004D7157">
        <w:t xml:space="preserve"> </w:t>
      </w:r>
      <w:r w:rsidR="002C090E">
        <w:t>This not only</w:t>
      </w:r>
      <w:r w:rsidR="00A01D3B">
        <w:t xml:space="preserve"> alludes to slavery with the mention of the whip and</w:t>
      </w:r>
      <w:r w:rsidR="002C090E">
        <w:t xml:space="preserve"> </w:t>
      </w:r>
      <w:r w:rsidR="00A54705">
        <w:t xml:space="preserve">paints him as </w:t>
      </w:r>
      <w:r w:rsidR="00CA0916">
        <w:t xml:space="preserve">powerless </w:t>
      </w:r>
      <w:r w:rsidR="0042027A">
        <w:t xml:space="preserve">and easily cowed </w:t>
      </w:r>
      <w:r w:rsidR="00CA0916">
        <w:t>but</w:t>
      </w:r>
      <w:r w:rsidR="003F7163">
        <w:t xml:space="preserve"> also insults his martial prowess.</w:t>
      </w:r>
      <w:r w:rsidR="00FD5E60">
        <w:t xml:space="preserve"> </w:t>
      </w:r>
      <w:r w:rsidR="006778DE">
        <w:t>Military success was an important aspect of masculinity in this period</w:t>
      </w:r>
      <w:r w:rsidR="00F352EF">
        <w:t xml:space="preserve">. </w:t>
      </w:r>
      <w:r w:rsidR="00A513CD">
        <w:t xml:space="preserve">The Latin word </w:t>
      </w:r>
      <w:r w:rsidR="00A513CD">
        <w:rPr>
          <w:i/>
          <w:iCs/>
        </w:rPr>
        <w:t>virtus</w:t>
      </w:r>
      <w:r w:rsidR="00A513CD">
        <w:t xml:space="preserve">, from </w:t>
      </w:r>
      <w:r w:rsidR="00A513CD">
        <w:rPr>
          <w:i/>
          <w:iCs/>
        </w:rPr>
        <w:t>vir</w:t>
      </w:r>
      <w:r w:rsidR="00A513CD">
        <w:t xml:space="preserve"> </w:t>
      </w:r>
      <w:r w:rsidR="008D057E">
        <w:t>meaning man</w:t>
      </w:r>
      <w:r w:rsidR="00997276">
        <w:t xml:space="preserve"> </w:t>
      </w:r>
      <w:r w:rsidR="00630550">
        <w:t xml:space="preserve">(although </w:t>
      </w:r>
      <w:r w:rsidR="00797773">
        <w:t xml:space="preserve">it </w:t>
      </w:r>
      <w:r w:rsidR="00A065E4">
        <w:t xml:space="preserve">was </w:t>
      </w:r>
      <w:r w:rsidR="00797773">
        <w:t>specifically</w:t>
      </w:r>
      <w:r w:rsidR="00630550">
        <w:t xml:space="preserve"> us</w:t>
      </w:r>
      <w:r w:rsidR="0030517B">
        <w:t>ed fo</w:t>
      </w:r>
      <w:r w:rsidR="00EC54E9">
        <w:t xml:space="preserve">r </w:t>
      </w:r>
      <w:r w:rsidR="0030517B">
        <w:t>freeborn male Roman citizens</w:t>
      </w:r>
      <w:r w:rsidR="00CD6ABB">
        <w:t>)</w:t>
      </w:r>
      <w:r w:rsidR="00EC54E9">
        <w:t xml:space="preserve">, </w:t>
      </w:r>
      <w:r w:rsidR="005D2EFF">
        <w:t xml:space="preserve">meant to </w:t>
      </w:r>
      <w:r w:rsidR="008B65B4">
        <w:t xml:space="preserve">embody </w:t>
      </w:r>
      <w:r w:rsidR="00312740">
        <w:t>a</w:t>
      </w:r>
      <w:r w:rsidR="00987E21">
        <w:t xml:space="preserve"> range of masculine qualities</w:t>
      </w:r>
      <w:r w:rsidR="00312740">
        <w:t xml:space="preserve">, </w:t>
      </w:r>
      <w:r w:rsidR="008309E8">
        <w:t>of which success in battle was one of the most important.</w:t>
      </w:r>
      <w:r w:rsidR="00B31F95">
        <w:rPr>
          <w:rStyle w:val="FootnoteReference"/>
        </w:rPr>
        <w:footnoteReference w:id="30"/>
      </w:r>
      <w:r w:rsidR="001C6039">
        <w:t xml:space="preserve"> </w:t>
      </w:r>
      <w:r w:rsidR="00F94158">
        <w:t>T</w:t>
      </w:r>
      <w:r w:rsidR="00AA6450">
        <w:t>herefore, this</w:t>
      </w:r>
      <w:r w:rsidR="00BE42A6">
        <w:t xml:space="preserve"> attack on </w:t>
      </w:r>
      <w:r w:rsidR="00BB2A0F">
        <w:t xml:space="preserve">the </w:t>
      </w:r>
      <w:r w:rsidR="00E56812">
        <w:t xml:space="preserve">consul’s </w:t>
      </w:r>
      <w:r w:rsidR="00A25675">
        <w:t xml:space="preserve">military performance is also an attack on </w:t>
      </w:r>
      <w:r w:rsidR="003F4B00">
        <w:t xml:space="preserve">his masculinity. </w:t>
      </w:r>
      <w:r w:rsidR="00DC4E2C">
        <w:t>T</w:t>
      </w:r>
      <w:r w:rsidR="00143207">
        <w:t xml:space="preserve">he criticisms </w:t>
      </w:r>
      <w:r w:rsidR="00815D9D">
        <w:t>Claudian makes of</w:t>
      </w:r>
      <w:r w:rsidR="00143207">
        <w:t xml:space="preserve"> </w:t>
      </w:r>
      <w:r w:rsidR="00530CB5">
        <w:t xml:space="preserve">Eutropius’ ability as a general are in </w:t>
      </w:r>
      <w:r w:rsidR="003237AB">
        <w:t xml:space="preserve">direct contrast to </w:t>
      </w:r>
      <w:r w:rsidR="00E54BC6">
        <w:t xml:space="preserve">the way </w:t>
      </w:r>
      <w:r w:rsidR="00CA3FC1">
        <w:t xml:space="preserve">he presents </w:t>
      </w:r>
      <w:r w:rsidR="00E54BC6">
        <w:t>Stilicho</w:t>
      </w:r>
      <w:r w:rsidR="00545A2E">
        <w:t xml:space="preserve">’s military </w:t>
      </w:r>
      <w:r w:rsidR="00E40D08">
        <w:t>prowess</w:t>
      </w:r>
      <w:r w:rsidR="00E54BC6">
        <w:t xml:space="preserve"> i</w:t>
      </w:r>
      <w:r w:rsidR="00CA3FC1">
        <w:t>n</w:t>
      </w:r>
      <w:r w:rsidR="00E54BC6">
        <w:t xml:space="preserve"> </w:t>
      </w:r>
      <w:r w:rsidR="001110B7">
        <w:t xml:space="preserve">his works, </w:t>
      </w:r>
      <w:r w:rsidR="002E6760">
        <w:t xml:space="preserve">especially in </w:t>
      </w:r>
      <w:r w:rsidR="00807B26">
        <w:rPr>
          <w:i/>
          <w:iCs/>
        </w:rPr>
        <w:t xml:space="preserve">De </w:t>
      </w:r>
      <w:r w:rsidR="008D06D5">
        <w:rPr>
          <w:i/>
          <w:iCs/>
        </w:rPr>
        <w:t>Consulatu Stilichonis</w:t>
      </w:r>
      <w:r w:rsidR="001B2597">
        <w:t xml:space="preserve"> which was written only a year after </w:t>
      </w:r>
      <w:r w:rsidR="001B2597">
        <w:rPr>
          <w:i/>
          <w:iCs/>
        </w:rPr>
        <w:t>In Eutropium</w:t>
      </w:r>
      <w:r w:rsidR="001B2597">
        <w:t>.</w:t>
      </w:r>
      <w:r w:rsidR="00BD467F">
        <w:rPr>
          <w:rStyle w:val="FootnoteReference"/>
        </w:rPr>
        <w:footnoteReference w:id="31"/>
      </w:r>
      <w:r w:rsidR="00062248">
        <w:t xml:space="preserve"> </w:t>
      </w:r>
      <w:r w:rsidR="00FC663E">
        <w:t xml:space="preserve">In </w:t>
      </w:r>
      <w:r w:rsidR="00490D5C">
        <w:t xml:space="preserve">truth, Eutropius had </w:t>
      </w:r>
      <w:r w:rsidR="00AB2BDD">
        <w:t>experienced military success</w:t>
      </w:r>
      <w:r w:rsidR="00AD3391">
        <w:t>es</w:t>
      </w:r>
      <w:r w:rsidR="00AB2BDD">
        <w:t xml:space="preserve"> </w:t>
      </w:r>
      <w:r w:rsidR="00DB08BE">
        <w:t xml:space="preserve">in the years preceding this poem, </w:t>
      </w:r>
      <w:r w:rsidR="001319F8">
        <w:t>including</w:t>
      </w:r>
      <w:r w:rsidR="008E1019">
        <w:t xml:space="preserve"> managing to repell</w:t>
      </w:r>
      <w:r w:rsidR="001319F8">
        <w:t xml:space="preserve"> the Huns </w:t>
      </w:r>
      <w:r w:rsidR="008E1019">
        <w:t xml:space="preserve">in </w:t>
      </w:r>
      <w:r w:rsidR="0080780B">
        <w:t>398CE.</w:t>
      </w:r>
      <w:r w:rsidR="00C3458B">
        <w:rPr>
          <w:rStyle w:val="FootnoteReference"/>
        </w:rPr>
        <w:footnoteReference w:id="32"/>
      </w:r>
    </w:p>
    <w:p w14:paraId="4B9730E4" w14:textId="37F66CFA" w:rsidR="00BF428B" w:rsidRPr="001B2597" w:rsidRDefault="00BF428B" w:rsidP="005A771F">
      <w:r>
        <w:t>It is clear throughout the poem</w:t>
      </w:r>
      <w:r w:rsidR="00630DB8">
        <w:t xml:space="preserve"> that the truth </w:t>
      </w:r>
      <w:r w:rsidR="00BE28F0">
        <w:t>does not factor into</w:t>
      </w:r>
      <w:r>
        <w:t xml:space="preserve"> Claudian’s </w:t>
      </w:r>
      <w:r w:rsidR="006134FC">
        <w:t xml:space="preserve">writing </w:t>
      </w:r>
      <w:r w:rsidR="00BE28F0">
        <w:t xml:space="preserve">process here, nor </w:t>
      </w:r>
      <w:r w:rsidR="001C7356">
        <w:t xml:space="preserve">is </w:t>
      </w:r>
      <w:r w:rsidR="005D7461">
        <w:t xml:space="preserve">the intent </w:t>
      </w:r>
      <w:r w:rsidR="001C7356">
        <w:t xml:space="preserve">to </w:t>
      </w:r>
      <w:r w:rsidR="00643C2E">
        <w:t xml:space="preserve">give an accurate portrayal of Eutropius </w:t>
      </w:r>
      <w:r w:rsidR="005D7461">
        <w:t>in any way.</w:t>
      </w:r>
      <w:r w:rsidR="006134FC">
        <w:t xml:space="preserve"> </w:t>
      </w:r>
      <w:r w:rsidR="005B2F21">
        <w:t xml:space="preserve">Rather, </w:t>
      </w:r>
      <w:r w:rsidR="00F206AB">
        <w:t xml:space="preserve">he </w:t>
      </w:r>
      <w:r w:rsidR="00694A4B">
        <w:t xml:space="preserve">cleverly </w:t>
      </w:r>
      <w:r w:rsidR="00F206AB">
        <w:t xml:space="preserve">draws on </w:t>
      </w:r>
      <w:r w:rsidR="00694A4B">
        <w:t xml:space="preserve">familiar </w:t>
      </w:r>
      <w:r w:rsidR="0069226E">
        <w:t xml:space="preserve">Roman literature and </w:t>
      </w:r>
      <w:r w:rsidR="0046213D">
        <w:t>exploits</w:t>
      </w:r>
      <w:r w:rsidR="004A7D24">
        <w:t xml:space="preserve"> societal prejudices in order to </w:t>
      </w:r>
      <w:r w:rsidR="00413CC7">
        <w:t xml:space="preserve">fabricate a monstrous creature </w:t>
      </w:r>
      <w:r w:rsidR="00810FC3">
        <w:t xml:space="preserve">that likely had little semblance to </w:t>
      </w:r>
      <w:r w:rsidR="00D8677E">
        <w:t>the man he was portraying</w:t>
      </w:r>
      <w:r w:rsidR="00964627">
        <w:t>,</w:t>
      </w:r>
      <w:r w:rsidR="00F4494D">
        <w:t xml:space="preserve"> but did </w:t>
      </w:r>
      <w:r w:rsidR="00966638">
        <w:t xml:space="preserve">bluntly assert to the audience what their opinions on </w:t>
      </w:r>
      <w:r w:rsidR="00A0240D">
        <w:t>him should be</w:t>
      </w:r>
      <w:r w:rsidR="001364ED">
        <w:t xml:space="preserve">, all while promoting Stilicho as </w:t>
      </w:r>
      <w:r w:rsidR="007967F2">
        <w:t xml:space="preserve">the alternative to Eutropius, and the potential saviour </w:t>
      </w:r>
      <w:r w:rsidR="009535F8">
        <w:t>of the East</w:t>
      </w:r>
      <w:r w:rsidR="00A0240D">
        <w:t>.</w:t>
      </w:r>
      <w:r w:rsidR="002F5DDF">
        <w:rPr>
          <w:rStyle w:val="FootnoteReference"/>
        </w:rPr>
        <w:footnoteReference w:id="33"/>
      </w:r>
    </w:p>
    <w:p w14:paraId="663391EE" w14:textId="77777777" w:rsidR="009C03E2" w:rsidRDefault="009C03E2" w:rsidP="005A771F"/>
    <w:p w14:paraId="719F5342" w14:textId="77777777" w:rsidR="00107DD6" w:rsidRDefault="00107DD6" w:rsidP="005A771F"/>
    <w:p w14:paraId="073F8DFE" w14:textId="77777777" w:rsidR="007A6FC0" w:rsidRDefault="007A6FC0" w:rsidP="005A771F"/>
    <w:p w14:paraId="0E31C697" w14:textId="77777777" w:rsidR="007A6FC0" w:rsidRDefault="007A6FC0" w:rsidP="005A771F"/>
    <w:p w14:paraId="708D9522" w14:textId="77777777" w:rsidR="00E773B0" w:rsidRDefault="00E773B0" w:rsidP="005A771F"/>
    <w:p w14:paraId="319692A4" w14:textId="77777777" w:rsidR="00A77FB1" w:rsidRDefault="00A77FB1" w:rsidP="005A771F"/>
    <w:p w14:paraId="0B8FF2A2" w14:textId="77777777" w:rsidR="00C91BFE" w:rsidRDefault="00C91BFE" w:rsidP="005A771F"/>
    <w:p w14:paraId="76AA032E" w14:textId="77777777" w:rsidR="00B467DD" w:rsidRDefault="00B467DD" w:rsidP="005A771F"/>
    <w:p w14:paraId="31EC202C" w14:textId="77777777" w:rsidR="00D337CE" w:rsidRDefault="00D337CE"/>
    <w:p w14:paraId="587D095E" w14:textId="77777777" w:rsidR="008903E0" w:rsidRDefault="008903E0"/>
    <w:p w14:paraId="28B0D336" w14:textId="3232000F" w:rsidR="007F2688" w:rsidRDefault="007F2688">
      <w:pPr>
        <w:rPr>
          <w:b/>
          <w:bCs/>
        </w:rPr>
      </w:pPr>
      <w:r w:rsidRPr="00985475">
        <w:rPr>
          <w:b/>
          <w:bCs/>
        </w:rPr>
        <w:t>Bibliography</w:t>
      </w:r>
    </w:p>
    <w:p w14:paraId="3B8D1405" w14:textId="77777777" w:rsidR="007B6DC9" w:rsidRDefault="007B6DC9">
      <w:pPr>
        <w:rPr>
          <w:b/>
          <w:bCs/>
        </w:rPr>
      </w:pPr>
    </w:p>
    <w:p w14:paraId="40B63F24" w14:textId="77777777" w:rsidR="007B6DC9" w:rsidRDefault="007B6DC9" w:rsidP="007B6DC9">
      <w:r>
        <w:t>Catullus (1913) Catullus. Tibullus. Pervigilium Veneris. Translated by F.W. Cornish, J.P. Postgate, and J.W. Mackail. Cambridge, MA.: Harvard University Press (Loeb Classical Library, 6).</w:t>
      </w:r>
    </w:p>
    <w:p w14:paraId="2AA12F7B" w14:textId="77777777" w:rsidR="007B6DC9" w:rsidRDefault="007B6DC9" w:rsidP="007B6DC9">
      <w:r>
        <w:t>Charles, M.B. and Anagnostou-Laoutides, E. (2022) ‘Polemical poetry in Late Antiquity: the rise of a eunuch consul in Book 1 of Claudian’s In Eutropium’, Acta Classica, 65(1), pp. 227–244.</w:t>
      </w:r>
    </w:p>
    <w:p w14:paraId="04A74EA4" w14:textId="77777777" w:rsidR="007B6DC9" w:rsidRDefault="007B6DC9" w:rsidP="007B6DC9">
      <w:r>
        <w:t>Claudian (1922) Panegyric on Probinus and Olybrius. Against Rufinus 1 and 2. War against Gildo. Against Eutropius 1 and 2. Fescennine Verses on the Marriage of Honorius. Epithalamium of Honorius and Maria. Panegyrics on the Third and Fourth Consulships of Honorius. Panegyric on the Consulship of Manlius. On Stilicho’s Consulship 1. Translated by M. Platnauer. Cambridge, MA.: Harvard University Press (Loeb Classical Library, 135).</w:t>
      </w:r>
    </w:p>
    <w:p w14:paraId="21808B99" w14:textId="77777777" w:rsidR="007B6DC9" w:rsidRDefault="007B6DC9" w:rsidP="007B6DC9">
      <w:r>
        <w:t>Dewar, M. (2004) ‘Spinning the Trabea: Consular Robes and Propaganda in the Panegyrics of Claudian’, in J. Edmondson and A. Keith (eds) Roman Dress and the Fabrics of Roman Culture. Toronto: University of Toronto Press.</w:t>
      </w:r>
    </w:p>
    <w:p w14:paraId="5B7831E4" w14:textId="77777777" w:rsidR="007B6DC9" w:rsidRDefault="007B6DC9" w:rsidP="007B6DC9">
      <w:r>
        <w:t>Elm, S. (2019) ‘An Icon of Ugliness – Eutropius the Eunuch’, RIHA Journal [Preprint].</w:t>
      </w:r>
    </w:p>
    <w:p w14:paraId="2D1ED258" w14:textId="77777777" w:rsidR="007B6DC9" w:rsidRDefault="007B6DC9" w:rsidP="007B6DC9">
      <w:r>
        <w:t>Gillett, A. (2012) ‘Epic Panegyric and Political Communication in the Fifth-Century West’, in L. Grig and G. Kelly (eds) Two Romes: Rome and Constantinople in Late Antiquity. Oxford: Oxford University Press, pp. 265–290.</w:t>
      </w:r>
    </w:p>
    <w:p w14:paraId="12783DA2" w14:textId="77777777" w:rsidR="007B6DC9" w:rsidRDefault="007B6DC9" w:rsidP="007B6DC9">
      <w:r>
        <w:t>Long, J. (1996a) Claudian’s In Eutropium, Or, How, When, and why to Slander a Eunuch. Chapel Hill, NC: University of North Carolina Press.</w:t>
      </w:r>
    </w:p>
    <w:p w14:paraId="29E12427" w14:textId="77777777" w:rsidR="007B6DC9" w:rsidRDefault="007B6DC9" w:rsidP="007B6DC9">
      <w:r>
        <w:t>Long, J. (1996b) ‘Juvenal renewed in Claudian’s In Eutropium.’, International Journal of the Classical Tradition, 2(3), pp. 321–335.</w:t>
      </w:r>
    </w:p>
    <w:p w14:paraId="3D34BDC4" w14:textId="77777777" w:rsidR="007B6DC9" w:rsidRDefault="007B6DC9" w:rsidP="007B6DC9">
      <w:r>
        <w:t>Nathan, G. (2015) ‘The Ideal Male in Late Antiquity: Claudian’s Example of Flavius Stilicho’, Gender &amp; History, 27(1), pp. 10–27.</w:t>
      </w:r>
    </w:p>
    <w:p w14:paraId="2B60DAA0" w14:textId="77777777" w:rsidR="007B6DC9" w:rsidRDefault="007B6DC9" w:rsidP="007B6DC9">
      <w:r>
        <w:t>Tougher, S. (2015) ‘Eunuchs in the East, Men in the West? Dis/unity, Gender and Orientalism in the Fourth Century’, in R. Dijkstra, S. van Poppel, and D. Slootjes (eds) East and West in the Roman Empire of the Fourth Century. Brill (An End to Unity?), pp. 147–163.</w:t>
      </w:r>
    </w:p>
    <w:p w14:paraId="3DAFFE79" w14:textId="77777777" w:rsidR="007B6DC9" w:rsidRDefault="007B6DC9" w:rsidP="007B6DC9">
      <w:r>
        <w:t>Tougher, S. (2020) The Roman Castrati: Eunuchs in the Roman Empire. London: Bloomsbury Publishing.</w:t>
      </w:r>
    </w:p>
    <w:p w14:paraId="23C23356" w14:textId="77777777" w:rsidR="007B6DC9" w:rsidRDefault="007B6DC9" w:rsidP="007B6DC9">
      <w:r>
        <w:t>Ware, C. (2012) Claudian and the Roman Epic Tradition. Cambridge: Cambridge University Press.</w:t>
      </w:r>
    </w:p>
    <w:p w14:paraId="4841541E" w14:textId="6C3839BD" w:rsidR="007B6DC9" w:rsidRPr="007B6DC9" w:rsidRDefault="007B6DC9" w:rsidP="007B6DC9">
      <w:r>
        <w:t>Wilson, B.E. (2015) Unmanly Men: Refigurations of Masculinity in Luke-Acts. Oxford: Oxford University Press.</w:t>
      </w:r>
    </w:p>
    <w:p w14:paraId="7CAC4A2B" w14:textId="77777777" w:rsidR="007F2688" w:rsidRDefault="007F2688"/>
    <w:p w14:paraId="20327418" w14:textId="77777777" w:rsidR="007F2688" w:rsidRDefault="007F2688"/>
    <w:p w14:paraId="78B60C7F" w14:textId="77777777" w:rsidR="008903E0" w:rsidRPr="008903E0" w:rsidRDefault="008903E0"/>
    <w:sectPr w:rsidR="008903E0" w:rsidRPr="008903E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A58009" w14:textId="77777777" w:rsidR="006875E6" w:rsidRDefault="006875E6" w:rsidP="00146748">
      <w:pPr>
        <w:spacing w:after="0" w:line="240" w:lineRule="auto"/>
      </w:pPr>
      <w:r>
        <w:separator/>
      </w:r>
    </w:p>
  </w:endnote>
  <w:endnote w:type="continuationSeparator" w:id="0">
    <w:p w14:paraId="1C421C9F" w14:textId="77777777" w:rsidR="006875E6" w:rsidRDefault="006875E6" w:rsidP="001467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F49125" w14:textId="77777777" w:rsidR="006875E6" w:rsidRDefault="006875E6" w:rsidP="00146748">
      <w:pPr>
        <w:spacing w:after="0" w:line="240" w:lineRule="auto"/>
      </w:pPr>
      <w:r>
        <w:separator/>
      </w:r>
    </w:p>
  </w:footnote>
  <w:footnote w:type="continuationSeparator" w:id="0">
    <w:p w14:paraId="6995344F" w14:textId="77777777" w:rsidR="006875E6" w:rsidRDefault="006875E6" w:rsidP="00146748">
      <w:pPr>
        <w:spacing w:after="0" w:line="240" w:lineRule="auto"/>
      </w:pPr>
      <w:r>
        <w:continuationSeparator/>
      </w:r>
    </w:p>
  </w:footnote>
  <w:footnote w:id="1">
    <w:p w14:paraId="29A46778" w14:textId="27866086" w:rsidR="00146748" w:rsidRDefault="00146748">
      <w:pPr>
        <w:pStyle w:val="FootnoteText"/>
      </w:pPr>
      <w:r>
        <w:rPr>
          <w:rStyle w:val="FootnoteReference"/>
        </w:rPr>
        <w:footnoteRef/>
      </w:r>
      <w:r>
        <w:t xml:space="preserve"> Elm, 2019</w:t>
      </w:r>
      <w:r w:rsidR="006C3823">
        <w:t>, p.</w:t>
      </w:r>
      <w:r w:rsidR="0078100E">
        <w:t>1</w:t>
      </w:r>
      <w:r>
        <w:t xml:space="preserve">; </w:t>
      </w:r>
      <w:r w:rsidRPr="00146748">
        <w:t>Long, 1996</w:t>
      </w:r>
      <w:r w:rsidR="00A27DA4">
        <w:t>b</w:t>
      </w:r>
      <w:r>
        <w:t>, p.321</w:t>
      </w:r>
      <w:r w:rsidR="00A63002">
        <w:t>-2</w:t>
      </w:r>
      <w:r w:rsidRPr="00146748">
        <w:t xml:space="preserve">; </w:t>
      </w:r>
      <w:r w:rsidR="0026636E">
        <w:t xml:space="preserve">Nathan, 2015, p.11; </w:t>
      </w:r>
      <w:r w:rsidRPr="00146748">
        <w:t>Tougher, 2015</w:t>
      </w:r>
      <w:r>
        <w:t>, p.147</w:t>
      </w:r>
      <w:r w:rsidR="003F7C61">
        <w:t>, 149</w:t>
      </w:r>
      <w:r w:rsidRPr="00146748">
        <w:t>.</w:t>
      </w:r>
    </w:p>
  </w:footnote>
  <w:footnote w:id="2">
    <w:p w14:paraId="328C014A" w14:textId="56DAFC71" w:rsidR="005A7A5D" w:rsidRDefault="005A7A5D">
      <w:pPr>
        <w:pStyle w:val="FootnoteText"/>
      </w:pPr>
      <w:r>
        <w:rPr>
          <w:rStyle w:val="FootnoteReference"/>
        </w:rPr>
        <w:footnoteRef/>
      </w:r>
      <w:r>
        <w:t xml:space="preserve"> Nathan, 2015, p.16-17</w:t>
      </w:r>
      <w:r w:rsidR="001036D4">
        <w:t>; Tougher, 2020, p.79.</w:t>
      </w:r>
    </w:p>
  </w:footnote>
  <w:footnote w:id="3">
    <w:p w14:paraId="7AEF632B" w14:textId="5A69ABFB" w:rsidR="002F4A58" w:rsidRDefault="002F4A58">
      <w:pPr>
        <w:pStyle w:val="FootnoteText"/>
      </w:pPr>
      <w:r>
        <w:rPr>
          <w:rStyle w:val="FootnoteReference"/>
        </w:rPr>
        <w:footnoteRef/>
      </w:r>
      <w:r>
        <w:t xml:space="preserve"> Long, 1996</w:t>
      </w:r>
      <w:r w:rsidR="00A27DA4">
        <w:t>b</w:t>
      </w:r>
      <w:r>
        <w:t>, p.322; Nathan, 2015, p.17</w:t>
      </w:r>
    </w:p>
  </w:footnote>
  <w:footnote w:id="4">
    <w:p w14:paraId="4F7E2649" w14:textId="1150440E" w:rsidR="000F322F" w:rsidRDefault="000F322F">
      <w:pPr>
        <w:pStyle w:val="FootnoteText"/>
      </w:pPr>
      <w:r>
        <w:rPr>
          <w:rStyle w:val="FootnoteReference"/>
        </w:rPr>
        <w:footnoteRef/>
      </w:r>
      <w:r>
        <w:t xml:space="preserve"> </w:t>
      </w:r>
      <w:bookmarkStart w:id="0" w:name="_Hlk195044058"/>
      <w:r w:rsidR="004E6BAC" w:rsidRPr="004E6BAC">
        <w:t>Charles and Anagnostou-Laoutides, 2022</w:t>
      </w:r>
      <w:r w:rsidR="004E6BAC">
        <w:t xml:space="preserve">, </w:t>
      </w:r>
      <w:r w:rsidR="00180664">
        <w:t>p.230</w:t>
      </w:r>
      <w:bookmarkEnd w:id="0"/>
      <w:r w:rsidR="00180664">
        <w:t xml:space="preserve">; </w:t>
      </w:r>
      <w:r w:rsidR="004C5E6B">
        <w:t>Elm, 2019</w:t>
      </w:r>
      <w:r w:rsidR="0078100E">
        <w:t xml:space="preserve">, </w:t>
      </w:r>
      <w:r w:rsidR="004A02AF">
        <w:t>p.</w:t>
      </w:r>
      <w:r w:rsidR="00CA01B0">
        <w:t>12-</w:t>
      </w:r>
      <w:r w:rsidR="004A02AF">
        <w:t>13</w:t>
      </w:r>
      <w:r w:rsidR="004C5E6B">
        <w:t>;</w:t>
      </w:r>
      <w:r w:rsidR="000A261A">
        <w:t xml:space="preserve"> Gillett, 2012, p.265-6, 269;</w:t>
      </w:r>
      <w:r w:rsidR="004C5E6B">
        <w:t xml:space="preserve"> </w:t>
      </w:r>
      <w:r w:rsidRPr="000F322F">
        <w:t>Nathan, 2015, p.11, 13</w:t>
      </w:r>
      <w:r>
        <w:t>, 16</w:t>
      </w:r>
      <w:r w:rsidR="00FC08E1">
        <w:t>; Tougher, 2015, p.147.</w:t>
      </w:r>
      <w:r w:rsidR="004E6BAC">
        <w:t xml:space="preserve"> </w:t>
      </w:r>
    </w:p>
  </w:footnote>
  <w:footnote w:id="5">
    <w:p w14:paraId="3A954A5C" w14:textId="63C7144A" w:rsidR="004C51ED" w:rsidRDefault="004C51ED">
      <w:pPr>
        <w:pStyle w:val="FootnoteText"/>
      </w:pPr>
      <w:r>
        <w:rPr>
          <w:rStyle w:val="FootnoteReference"/>
        </w:rPr>
        <w:footnoteRef/>
      </w:r>
      <w:r>
        <w:t xml:space="preserve"> </w:t>
      </w:r>
      <w:r w:rsidR="00004D3B">
        <w:t>Gillett, 2012, p.269; Nathan, 2015, p.11.</w:t>
      </w:r>
    </w:p>
  </w:footnote>
  <w:footnote w:id="6">
    <w:p w14:paraId="65BD627D" w14:textId="5EF27D36" w:rsidR="00F87CBF" w:rsidRDefault="00F87CBF">
      <w:pPr>
        <w:pStyle w:val="FootnoteText"/>
      </w:pPr>
      <w:r>
        <w:rPr>
          <w:rStyle w:val="FootnoteReference"/>
        </w:rPr>
        <w:footnoteRef/>
      </w:r>
      <w:r>
        <w:t xml:space="preserve"> Gillett, 2012, p.269, 282-3, 290.</w:t>
      </w:r>
    </w:p>
  </w:footnote>
  <w:footnote w:id="7">
    <w:p w14:paraId="51796C91" w14:textId="6C4D726D" w:rsidR="00DC5EA6" w:rsidRDefault="00DC5EA6">
      <w:pPr>
        <w:pStyle w:val="FootnoteText"/>
      </w:pPr>
      <w:r>
        <w:rPr>
          <w:rStyle w:val="FootnoteReference"/>
        </w:rPr>
        <w:footnoteRef/>
      </w:r>
      <w:r>
        <w:t xml:space="preserve"> Elm, 2019</w:t>
      </w:r>
      <w:r w:rsidR="004A02AF">
        <w:t>, p.11</w:t>
      </w:r>
      <w:r>
        <w:t>; Long, 1996</w:t>
      </w:r>
      <w:r w:rsidR="00A27DA4">
        <w:t>b</w:t>
      </w:r>
      <w:r>
        <w:t>, p.322; Tougher, 2015, p.150.</w:t>
      </w:r>
    </w:p>
  </w:footnote>
  <w:footnote w:id="8">
    <w:p w14:paraId="6DD5DADA" w14:textId="7B30C233" w:rsidR="00E701D4" w:rsidRDefault="00E701D4">
      <w:pPr>
        <w:pStyle w:val="FootnoteText"/>
      </w:pPr>
      <w:r>
        <w:rPr>
          <w:rStyle w:val="FootnoteReference"/>
        </w:rPr>
        <w:footnoteRef/>
      </w:r>
      <w:r>
        <w:t xml:space="preserve"> Tougher, 2015, p.14</w:t>
      </w:r>
      <w:r w:rsidR="00434D37">
        <w:t>7-</w:t>
      </w:r>
      <w:r>
        <w:t>8</w:t>
      </w:r>
      <w:r w:rsidR="009C515A">
        <w:t>, 161.</w:t>
      </w:r>
    </w:p>
  </w:footnote>
  <w:footnote w:id="9">
    <w:p w14:paraId="0C901E41" w14:textId="7FB32DD6" w:rsidR="00573FC0" w:rsidRPr="00573FC0" w:rsidRDefault="00573FC0">
      <w:pPr>
        <w:pStyle w:val="FootnoteText"/>
      </w:pPr>
      <w:r>
        <w:rPr>
          <w:rStyle w:val="FootnoteReference"/>
        </w:rPr>
        <w:footnoteRef/>
      </w:r>
      <w:r>
        <w:t xml:space="preserve"> Claud. </w:t>
      </w:r>
      <w:r>
        <w:rPr>
          <w:i/>
          <w:iCs/>
        </w:rPr>
        <w:t>Eutr</w:t>
      </w:r>
      <w:r>
        <w:t>. 1.338-345; Tougher, 2015,</w:t>
      </w:r>
      <w:r w:rsidR="00A1376E">
        <w:t xml:space="preserve"> p.151-4.</w:t>
      </w:r>
    </w:p>
  </w:footnote>
  <w:footnote w:id="10">
    <w:p w14:paraId="40BC3B17" w14:textId="20666A75" w:rsidR="00D80122" w:rsidRPr="00D80122" w:rsidRDefault="00D80122">
      <w:pPr>
        <w:pStyle w:val="FootnoteText"/>
      </w:pPr>
      <w:r>
        <w:rPr>
          <w:rStyle w:val="FootnoteReference"/>
        </w:rPr>
        <w:footnoteRef/>
      </w:r>
      <w:r>
        <w:t xml:space="preserve"> Claud. </w:t>
      </w:r>
      <w:r>
        <w:rPr>
          <w:i/>
          <w:iCs/>
        </w:rPr>
        <w:t>Eutr</w:t>
      </w:r>
      <w:r>
        <w:t>. 1.480-484</w:t>
      </w:r>
      <w:r w:rsidR="009C515A">
        <w:t xml:space="preserve">; Tougher, 2015, </w:t>
      </w:r>
      <w:r w:rsidR="002878A7">
        <w:t>p.155-7; Ware, 2012, p.75-6.</w:t>
      </w:r>
    </w:p>
  </w:footnote>
  <w:footnote w:id="11">
    <w:p w14:paraId="185BA2C6" w14:textId="37DF1E2C" w:rsidR="0002622C" w:rsidRDefault="0002622C">
      <w:pPr>
        <w:pStyle w:val="FootnoteText"/>
      </w:pPr>
      <w:r>
        <w:rPr>
          <w:rStyle w:val="FootnoteReference"/>
        </w:rPr>
        <w:footnoteRef/>
      </w:r>
      <w:r>
        <w:t xml:space="preserve"> T</w:t>
      </w:r>
      <w:r w:rsidR="00C45A96">
        <w:t>ougher, 2015, p.</w:t>
      </w:r>
      <w:r w:rsidR="00567AE8">
        <w:t>148</w:t>
      </w:r>
      <w:r w:rsidR="00FA28A9">
        <w:t xml:space="preserve">, </w:t>
      </w:r>
      <w:r w:rsidR="00671B47">
        <w:t>1</w:t>
      </w:r>
      <w:r w:rsidR="00741008">
        <w:t xml:space="preserve">57-9, </w:t>
      </w:r>
      <w:r w:rsidR="005A5591">
        <w:t>16</w:t>
      </w:r>
      <w:r w:rsidR="00286DBC">
        <w:t>1.</w:t>
      </w:r>
    </w:p>
  </w:footnote>
  <w:footnote w:id="12">
    <w:p w14:paraId="5C61EB51" w14:textId="7BA484F7" w:rsidR="00C64A5A" w:rsidRDefault="00C64A5A">
      <w:pPr>
        <w:pStyle w:val="FootnoteText"/>
      </w:pPr>
      <w:r>
        <w:rPr>
          <w:rStyle w:val="FootnoteReference"/>
        </w:rPr>
        <w:footnoteRef/>
      </w:r>
      <w:r>
        <w:t xml:space="preserve"> Nathan, 2015, p.</w:t>
      </w:r>
      <w:r w:rsidR="007233A3">
        <w:t>12-</w:t>
      </w:r>
      <w:r>
        <w:t>13; Tougher, 2015, p.147.</w:t>
      </w:r>
    </w:p>
  </w:footnote>
  <w:footnote w:id="13">
    <w:p w14:paraId="3A9FF678" w14:textId="05981C7A" w:rsidR="00D337CE" w:rsidRPr="00D337CE" w:rsidRDefault="00D337CE">
      <w:pPr>
        <w:pStyle w:val="FootnoteText"/>
      </w:pPr>
      <w:r>
        <w:rPr>
          <w:rStyle w:val="FootnoteReference"/>
        </w:rPr>
        <w:footnoteRef/>
      </w:r>
      <w:r>
        <w:t xml:space="preserve"> Claud. </w:t>
      </w:r>
      <w:r>
        <w:rPr>
          <w:i/>
          <w:iCs/>
        </w:rPr>
        <w:t>Eutr</w:t>
      </w:r>
      <w:r>
        <w:t>.</w:t>
      </w:r>
      <w:r w:rsidR="00566103">
        <w:t xml:space="preserve"> 1.</w:t>
      </w:r>
      <w:r w:rsidR="00280AF6">
        <w:t>9-10.</w:t>
      </w:r>
    </w:p>
  </w:footnote>
  <w:footnote w:id="14">
    <w:p w14:paraId="0F4DBD73" w14:textId="16F3DCF3" w:rsidR="008D2A48" w:rsidRPr="002133C9" w:rsidRDefault="008D2A48">
      <w:pPr>
        <w:pStyle w:val="FootnoteText"/>
      </w:pPr>
      <w:r>
        <w:rPr>
          <w:rStyle w:val="FootnoteReference"/>
        </w:rPr>
        <w:footnoteRef/>
      </w:r>
      <w:r>
        <w:t xml:space="preserve"> </w:t>
      </w:r>
      <w:r w:rsidR="002133C9">
        <w:t xml:space="preserve">Claud. </w:t>
      </w:r>
      <w:r w:rsidR="002133C9">
        <w:rPr>
          <w:i/>
          <w:iCs/>
        </w:rPr>
        <w:t>Eutr</w:t>
      </w:r>
      <w:r w:rsidR="002133C9">
        <w:t>. 1.</w:t>
      </w:r>
      <w:r w:rsidR="00AD680E">
        <w:t>66-71.</w:t>
      </w:r>
    </w:p>
  </w:footnote>
  <w:footnote w:id="15">
    <w:p w14:paraId="22EBB0C3" w14:textId="68A7D4BC" w:rsidR="00442304" w:rsidRDefault="00442304">
      <w:pPr>
        <w:pStyle w:val="FootnoteText"/>
      </w:pPr>
      <w:r>
        <w:rPr>
          <w:rStyle w:val="FootnoteReference"/>
        </w:rPr>
        <w:footnoteRef/>
      </w:r>
      <w:r>
        <w:t xml:space="preserve"> </w:t>
      </w:r>
      <w:r w:rsidR="001B0CE0">
        <w:t>Cat. 64.</w:t>
      </w:r>
      <w:r w:rsidR="0060469D">
        <w:t>132-133.</w:t>
      </w:r>
    </w:p>
  </w:footnote>
  <w:footnote w:id="16">
    <w:p w14:paraId="05AAC408" w14:textId="4EA1FE1B" w:rsidR="007D388D" w:rsidRDefault="007D388D">
      <w:pPr>
        <w:pStyle w:val="FootnoteText"/>
      </w:pPr>
      <w:r>
        <w:rPr>
          <w:rStyle w:val="FootnoteReference"/>
        </w:rPr>
        <w:footnoteRef/>
      </w:r>
      <w:r>
        <w:t xml:space="preserve"> Long</w:t>
      </w:r>
      <w:r w:rsidR="00F74D60">
        <w:t>, 1996</w:t>
      </w:r>
      <w:r w:rsidR="00E773B0">
        <w:t>b</w:t>
      </w:r>
      <w:r w:rsidR="00F74D60">
        <w:t>, p.</w:t>
      </w:r>
      <w:r w:rsidR="00792ADA">
        <w:t>325-6.</w:t>
      </w:r>
    </w:p>
  </w:footnote>
  <w:footnote w:id="17">
    <w:p w14:paraId="23E931A8" w14:textId="0FC00528" w:rsidR="00497332" w:rsidRPr="00497332" w:rsidRDefault="00497332">
      <w:pPr>
        <w:pStyle w:val="FootnoteText"/>
      </w:pPr>
      <w:r>
        <w:rPr>
          <w:rStyle w:val="FootnoteReference"/>
        </w:rPr>
        <w:footnoteRef/>
      </w:r>
      <w:r>
        <w:t xml:space="preserve"> Claud. </w:t>
      </w:r>
      <w:r>
        <w:rPr>
          <w:i/>
          <w:iCs/>
        </w:rPr>
        <w:t>Eutr</w:t>
      </w:r>
      <w:r>
        <w:t>. 1.</w:t>
      </w:r>
      <w:r w:rsidR="00687279">
        <w:t>72-75.</w:t>
      </w:r>
    </w:p>
  </w:footnote>
  <w:footnote w:id="18">
    <w:p w14:paraId="16DE8B88" w14:textId="38166809" w:rsidR="007C2FB7" w:rsidRDefault="007C2FB7">
      <w:pPr>
        <w:pStyle w:val="FootnoteText"/>
      </w:pPr>
      <w:r>
        <w:rPr>
          <w:rStyle w:val="FootnoteReference"/>
        </w:rPr>
        <w:footnoteRef/>
      </w:r>
      <w:r>
        <w:t xml:space="preserve"> </w:t>
      </w:r>
      <w:r w:rsidR="00B533BF">
        <w:t xml:space="preserve">Elm, </w:t>
      </w:r>
      <w:r w:rsidR="007F718F">
        <w:t xml:space="preserve">2019, </w:t>
      </w:r>
      <w:r w:rsidR="00485911">
        <w:t>p.15, 18;</w:t>
      </w:r>
      <w:r w:rsidR="00CB4413">
        <w:t xml:space="preserve"> Long, 1996</w:t>
      </w:r>
      <w:r w:rsidR="00E773B0">
        <w:t>b</w:t>
      </w:r>
      <w:r w:rsidR="00CB4413">
        <w:t>, p.</w:t>
      </w:r>
      <w:r w:rsidR="00FE7C97">
        <w:t>326</w:t>
      </w:r>
      <w:r w:rsidR="00647B98">
        <w:t>-7.</w:t>
      </w:r>
    </w:p>
  </w:footnote>
  <w:footnote w:id="19">
    <w:p w14:paraId="7B4A05E5" w14:textId="029F35BD" w:rsidR="006E1A33" w:rsidRDefault="006E1A33">
      <w:pPr>
        <w:pStyle w:val="FootnoteText"/>
      </w:pPr>
      <w:r>
        <w:rPr>
          <w:rStyle w:val="FootnoteReference"/>
        </w:rPr>
        <w:footnoteRef/>
      </w:r>
      <w:r>
        <w:t xml:space="preserve"> </w:t>
      </w:r>
      <w:r w:rsidR="00666940">
        <w:t>Long, 1996</w:t>
      </w:r>
      <w:r w:rsidR="00E773B0">
        <w:t>b</w:t>
      </w:r>
      <w:r w:rsidR="00666940">
        <w:t>, p.</w:t>
      </w:r>
      <w:r w:rsidR="007F0D84">
        <w:t xml:space="preserve">321-2, </w:t>
      </w:r>
      <w:r w:rsidR="00563FCF">
        <w:t>327.</w:t>
      </w:r>
    </w:p>
  </w:footnote>
  <w:footnote w:id="20">
    <w:p w14:paraId="2CD58574" w14:textId="30DD34DB" w:rsidR="00514F71" w:rsidRPr="00514F71" w:rsidRDefault="00514F71">
      <w:pPr>
        <w:pStyle w:val="FootnoteText"/>
      </w:pPr>
      <w:r>
        <w:rPr>
          <w:rStyle w:val="FootnoteReference"/>
        </w:rPr>
        <w:footnoteRef/>
      </w:r>
      <w:r>
        <w:t xml:space="preserve"> Claud. </w:t>
      </w:r>
      <w:r>
        <w:rPr>
          <w:i/>
          <w:iCs/>
        </w:rPr>
        <w:t>Eutr</w:t>
      </w:r>
      <w:r>
        <w:t>. 1.</w:t>
      </w:r>
      <w:r w:rsidR="003C163C">
        <w:t xml:space="preserve">90-97; </w:t>
      </w:r>
      <w:r w:rsidR="00DE3875">
        <w:t>Elm, 2019, p.</w:t>
      </w:r>
      <w:r w:rsidR="000978B3">
        <w:t xml:space="preserve">20; </w:t>
      </w:r>
      <w:r w:rsidR="009D011E">
        <w:t>Long, 1996</w:t>
      </w:r>
      <w:r w:rsidR="00E773B0">
        <w:t>b</w:t>
      </w:r>
      <w:r w:rsidR="00545AD4">
        <w:t>, p.327-8</w:t>
      </w:r>
      <w:r w:rsidR="002E603B">
        <w:t>.</w:t>
      </w:r>
    </w:p>
  </w:footnote>
  <w:footnote w:id="21">
    <w:p w14:paraId="5047F575" w14:textId="38EC44B0" w:rsidR="00F5276B" w:rsidRPr="00F5276B" w:rsidRDefault="00F5276B">
      <w:pPr>
        <w:pStyle w:val="FootnoteText"/>
      </w:pPr>
      <w:r>
        <w:rPr>
          <w:rStyle w:val="FootnoteReference"/>
        </w:rPr>
        <w:footnoteRef/>
      </w:r>
      <w:r>
        <w:t xml:space="preserve"> Claud. </w:t>
      </w:r>
      <w:r>
        <w:rPr>
          <w:i/>
          <w:iCs/>
        </w:rPr>
        <w:t>Eutr</w:t>
      </w:r>
      <w:r>
        <w:t xml:space="preserve">. </w:t>
      </w:r>
      <w:r w:rsidR="006177FF">
        <w:t>1.</w:t>
      </w:r>
      <w:r w:rsidR="00030C00">
        <w:t xml:space="preserve">38-41, </w:t>
      </w:r>
      <w:r w:rsidR="006177FF">
        <w:t>113-</w:t>
      </w:r>
      <w:r w:rsidR="00AA178C">
        <w:t>137</w:t>
      </w:r>
      <w:r w:rsidR="000660F7">
        <w:t>.</w:t>
      </w:r>
    </w:p>
  </w:footnote>
  <w:footnote w:id="22">
    <w:p w14:paraId="6F1FB569" w14:textId="5558353B" w:rsidR="003F3EDB" w:rsidRDefault="003F3EDB">
      <w:pPr>
        <w:pStyle w:val="FootnoteText"/>
      </w:pPr>
      <w:r>
        <w:rPr>
          <w:rStyle w:val="FootnoteReference"/>
        </w:rPr>
        <w:footnoteRef/>
      </w:r>
      <w:r>
        <w:t xml:space="preserve"> Nathan, 2015, p.</w:t>
      </w:r>
      <w:r w:rsidR="00EA6562">
        <w:t>19.</w:t>
      </w:r>
    </w:p>
  </w:footnote>
  <w:footnote w:id="23">
    <w:p w14:paraId="69C1C5FA" w14:textId="5CB833D8" w:rsidR="00DE5F73" w:rsidRPr="00DE5F73" w:rsidRDefault="00DE5F73">
      <w:pPr>
        <w:pStyle w:val="FootnoteText"/>
      </w:pPr>
      <w:r>
        <w:rPr>
          <w:rStyle w:val="FootnoteReference"/>
        </w:rPr>
        <w:footnoteRef/>
      </w:r>
      <w:r>
        <w:t xml:space="preserve"> Claud. </w:t>
      </w:r>
      <w:r>
        <w:rPr>
          <w:i/>
          <w:iCs/>
        </w:rPr>
        <w:t>Eutr</w:t>
      </w:r>
      <w:r>
        <w:t>. 1.</w:t>
      </w:r>
      <w:r w:rsidR="00C0518A">
        <w:t>302-305.</w:t>
      </w:r>
    </w:p>
  </w:footnote>
  <w:footnote w:id="24">
    <w:p w14:paraId="0FBE85FB" w14:textId="12102CB8" w:rsidR="00BC234E" w:rsidRDefault="00BC234E">
      <w:pPr>
        <w:pStyle w:val="FootnoteText"/>
      </w:pPr>
      <w:r>
        <w:rPr>
          <w:rStyle w:val="FootnoteReference"/>
        </w:rPr>
        <w:footnoteRef/>
      </w:r>
      <w:r>
        <w:t xml:space="preserve"> Elm, 2019, p.17-18, 20.</w:t>
      </w:r>
    </w:p>
  </w:footnote>
  <w:footnote w:id="25">
    <w:p w14:paraId="0DFD27AA" w14:textId="324E0DD9" w:rsidR="00983ACB" w:rsidRDefault="00983ACB">
      <w:pPr>
        <w:pStyle w:val="FootnoteText"/>
      </w:pPr>
      <w:r>
        <w:rPr>
          <w:rStyle w:val="FootnoteReference"/>
        </w:rPr>
        <w:footnoteRef/>
      </w:r>
      <w:r>
        <w:t xml:space="preserve"> </w:t>
      </w:r>
      <w:r w:rsidR="00DF2CDB">
        <w:t xml:space="preserve">Dewar, 2004, </w:t>
      </w:r>
      <w:r w:rsidR="0096504B">
        <w:t xml:space="preserve">p.224; </w:t>
      </w:r>
      <w:r>
        <w:t>Elm</w:t>
      </w:r>
      <w:r w:rsidR="00DB7607">
        <w:t xml:space="preserve">, 2019, </w:t>
      </w:r>
      <w:r w:rsidR="002E110A">
        <w:t>p.22-5.</w:t>
      </w:r>
    </w:p>
  </w:footnote>
  <w:footnote w:id="26">
    <w:p w14:paraId="5175C3F5" w14:textId="1194746E" w:rsidR="008E48FF" w:rsidRDefault="008E48FF">
      <w:pPr>
        <w:pStyle w:val="FootnoteText"/>
      </w:pPr>
      <w:r>
        <w:rPr>
          <w:rStyle w:val="FootnoteReference"/>
        </w:rPr>
        <w:footnoteRef/>
      </w:r>
      <w:r>
        <w:t xml:space="preserve"> </w:t>
      </w:r>
      <w:r w:rsidR="006C6A02">
        <w:t>Long, 1996</w:t>
      </w:r>
      <w:r w:rsidR="00E773B0">
        <w:t>b</w:t>
      </w:r>
      <w:r w:rsidR="006C6A02">
        <w:t>, p.32</w:t>
      </w:r>
      <w:r w:rsidR="00C560DE">
        <w:t>3-</w:t>
      </w:r>
      <w:r w:rsidR="006C6A02">
        <w:t>4.</w:t>
      </w:r>
    </w:p>
  </w:footnote>
  <w:footnote w:id="27">
    <w:p w14:paraId="4383F1B2" w14:textId="086A2476" w:rsidR="002C0456" w:rsidRPr="002C0456" w:rsidRDefault="002C0456">
      <w:pPr>
        <w:pStyle w:val="FootnoteText"/>
      </w:pPr>
      <w:r>
        <w:rPr>
          <w:rStyle w:val="FootnoteReference"/>
        </w:rPr>
        <w:footnoteRef/>
      </w:r>
      <w:r>
        <w:t xml:space="preserve"> Claud. </w:t>
      </w:r>
      <w:r>
        <w:rPr>
          <w:i/>
          <w:iCs/>
        </w:rPr>
        <w:t>Eutr</w:t>
      </w:r>
      <w:r>
        <w:t>. 1.35.36.</w:t>
      </w:r>
    </w:p>
  </w:footnote>
  <w:footnote w:id="28">
    <w:p w14:paraId="3D632E04" w14:textId="45E00670" w:rsidR="007978D7" w:rsidRPr="007978D7" w:rsidRDefault="007978D7">
      <w:pPr>
        <w:pStyle w:val="FootnoteText"/>
      </w:pPr>
      <w:r>
        <w:rPr>
          <w:rStyle w:val="FootnoteReference"/>
        </w:rPr>
        <w:footnoteRef/>
      </w:r>
      <w:r>
        <w:t xml:space="preserve"> Claud. </w:t>
      </w:r>
      <w:r>
        <w:rPr>
          <w:i/>
          <w:iCs/>
        </w:rPr>
        <w:t>Eutr</w:t>
      </w:r>
      <w:r>
        <w:t xml:space="preserve">. </w:t>
      </w:r>
      <w:r w:rsidR="00C91218">
        <w:t xml:space="preserve">1.190-209; </w:t>
      </w:r>
      <w:r w:rsidR="00F66B96">
        <w:t>Long, 1996a</w:t>
      </w:r>
      <w:r w:rsidR="00BA18E3">
        <w:t>, p.135-6.</w:t>
      </w:r>
    </w:p>
  </w:footnote>
  <w:footnote w:id="29">
    <w:p w14:paraId="7599CEA5" w14:textId="0BF3A84C" w:rsidR="00F12BA5" w:rsidRPr="00F12BA5" w:rsidRDefault="00F12BA5">
      <w:pPr>
        <w:pStyle w:val="FootnoteText"/>
      </w:pPr>
      <w:r>
        <w:rPr>
          <w:rStyle w:val="FootnoteReference"/>
        </w:rPr>
        <w:footnoteRef/>
      </w:r>
      <w:r>
        <w:t xml:space="preserve"> Claud. </w:t>
      </w:r>
      <w:r>
        <w:rPr>
          <w:i/>
          <w:iCs/>
        </w:rPr>
        <w:t>Eutr</w:t>
      </w:r>
      <w:r>
        <w:t>. 1.505-</w:t>
      </w:r>
      <w:r w:rsidR="004D7157">
        <w:t>7.</w:t>
      </w:r>
    </w:p>
  </w:footnote>
  <w:footnote w:id="30">
    <w:p w14:paraId="16EE0CDB" w14:textId="6199F1F9" w:rsidR="00B31F95" w:rsidRDefault="00B31F95">
      <w:pPr>
        <w:pStyle w:val="FootnoteText"/>
      </w:pPr>
      <w:r>
        <w:rPr>
          <w:rStyle w:val="FootnoteReference"/>
        </w:rPr>
        <w:footnoteRef/>
      </w:r>
      <w:r>
        <w:t xml:space="preserve"> </w:t>
      </w:r>
      <w:r w:rsidR="00BD467F">
        <w:t xml:space="preserve">Nathan, </w:t>
      </w:r>
      <w:r w:rsidR="00002918">
        <w:t xml:space="preserve">2015, p.10; </w:t>
      </w:r>
      <w:r>
        <w:t>Wilson, 2015, p.40-1.</w:t>
      </w:r>
    </w:p>
  </w:footnote>
  <w:footnote w:id="31">
    <w:p w14:paraId="6DD7432B" w14:textId="032FB6F1" w:rsidR="00BD467F" w:rsidRDefault="00BD467F">
      <w:pPr>
        <w:pStyle w:val="FootnoteText"/>
      </w:pPr>
      <w:r>
        <w:rPr>
          <w:rStyle w:val="FootnoteReference"/>
        </w:rPr>
        <w:footnoteRef/>
      </w:r>
      <w:r>
        <w:t xml:space="preserve"> </w:t>
      </w:r>
      <w:r w:rsidR="008C3027">
        <w:t>Nathan, 2015, p.14-17.</w:t>
      </w:r>
    </w:p>
  </w:footnote>
  <w:footnote w:id="32">
    <w:p w14:paraId="725E1D6B" w14:textId="7C887450" w:rsidR="00C3458B" w:rsidRDefault="00C3458B">
      <w:pPr>
        <w:pStyle w:val="FootnoteText"/>
      </w:pPr>
      <w:r>
        <w:rPr>
          <w:rStyle w:val="FootnoteReference"/>
        </w:rPr>
        <w:footnoteRef/>
      </w:r>
      <w:r>
        <w:t xml:space="preserve"> </w:t>
      </w:r>
      <w:r w:rsidRPr="00C3458B">
        <w:t>Charles and Anagnostou-Laoutides, 2022, p.2</w:t>
      </w:r>
      <w:r w:rsidR="00D1153E">
        <w:t xml:space="preserve">29; </w:t>
      </w:r>
      <w:r w:rsidR="00757FA2">
        <w:t>Elm, 2019, p.2.</w:t>
      </w:r>
    </w:p>
  </w:footnote>
  <w:footnote w:id="33">
    <w:p w14:paraId="748ACBB1" w14:textId="7768C7D8" w:rsidR="002F5DDF" w:rsidRDefault="002F5DDF">
      <w:pPr>
        <w:pStyle w:val="FootnoteText"/>
      </w:pPr>
      <w:r>
        <w:rPr>
          <w:rStyle w:val="FootnoteReference"/>
        </w:rPr>
        <w:footnoteRef/>
      </w:r>
      <w:r>
        <w:t xml:space="preserve"> </w:t>
      </w:r>
      <w:r w:rsidR="000B1164">
        <w:t>Long, 1996</w:t>
      </w:r>
      <w:r w:rsidR="001F17C9">
        <w:t>b</w:t>
      </w:r>
      <w:r w:rsidR="000B1164">
        <w:t>, p.32</w:t>
      </w:r>
      <w:r w:rsidR="00873194">
        <w:t>2-3</w:t>
      </w:r>
      <w:r w:rsidR="001F17C9">
        <w:t xml:space="preserve">; Tougher, 2015, </w:t>
      </w:r>
      <w:r w:rsidR="00457947">
        <w:t>p.154.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3E0"/>
    <w:rsid w:val="00002918"/>
    <w:rsid w:val="00004D3B"/>
    <w:rsid w:val="000104C3"/>
    <w:rsid w:val="000229E3"/>
    <w:rsid w:val="00024B38"/>
    <w:rsid w:val="00025EA2"/>
    <w:rsid w:val="0002622C"/>
    <w:rsid w:val="00030C00"/>
    <w:rsid w:val="000333A1"/>
    <w:rsid w:val="00034BA6"/>
    <w:rsid w:val="00037FD3"/>
    <w:rsid w:val="00045E53"/>
    <w:rsid w:val="00056AA1"/>
    <w:rsid w:val="00060758"/>
    <w:rsid w:val="00062248"/>
    <w:rsid w:val="0006588A"/>
    <w:rsid w:val="000660F7"/>
    <w:rsid w:val="0007095F"/>
    <w:rsid w:val="0009088D"/>
    <w:rsid w:val="000978B3"/>
    <w:rsid w:val="000A0CF6"/>
    <w:rsid w:val="000A1016"/>
    <w:rsid w:val="000A1582"/>
    <w:rsid w:val="000A261A"/>
    <w:rsid w:val="000B1164"/>
    <w:rsid w:val="000B50F8"/>
    <w:rsid w:val="000D63F8"/>
    <w:rsid w:val="000D6889"/>
    <w:rsid w:val="000E40C8"/>
    <w:rsid w:val="000F322F"/>
    <w:rsid w:val="000F41A1"/>
    <w:rsid w:val="000F7FB6"/>
    <w:rsid w:val="00101C4A"/>
    <w:rsid w:val="001036D4"/>
    <w:rsid w:val="00103BDB"/>
    <w:rsid w:val="00103EBA"/>
    <w:rsid w:val="00107DD6"/>
    <w:rsid w:val="001110B7"/>
    <w:rsid w:val="00113260"/>
    <w:rsid w:val="001161A4"/>
    <w:rsid w:val="001162CD"/>
    <w:rsid w:val="00116E06"/>
    <w:rsid w:val="00126E60"/>
    <w:rsid w:val="001279A6"/>
    <w:rsid w:val="00130C3F"/>
    <w:rsid w:val="001319F8"/>
    <w:rsid w:val="00133EAD"/>
    <w:rsid w:val="0013501B"/>
    <w:rsid w:val="001364ED"/>
    <w:rsid w:val="00143207"/>
    <w:rsid w:val="00145E9F"/>
    <w:rsid w:val="00146748"/>
    <w:rsid w:val="00151A79"/>
    <w:rsid w:val="0017108B"/>
    <w:rsid w:val="00180664"/>
    <w:rsid w:val="0018350F"/>
    <w:rsid w:val="001835E9"/>
    <w:rsid w:val="001874E9"/>
    <w:rsid w:val="001A01C5"/>
    <w:rsid w:val="001A34C2"/>
    <w:rsid w:val="001A63FF"/>
    <w:rsid w:val="001B0CE0"/>
    <w:rsid w:val="001B2597"/>
    <w:rsid w:val="001B270B"/>
    <w:rsid w:val="001B663D"/>
    <w:rsid w:val="001B7A30"/>
    <w:rsid w:val="001C6039"/>
    <w:rsid w:val="001C7356"/>
    <w:rsid w:val="001D4180"/>
    <w:rsid w:val="001D56DB"/>
    <w:rsid w:val="001D7DAA"/>
    <w:rsid w:val="001E0555"/>
    <w:rsid w:val="001E1EB0"/>
    <w:rsid w:val="001E2F6F"/>
    <w:rsid w:val="001F04E6"/>
    <w:rsid w:val="001F17C9"/>
    <w:rsid w:val="001F623A"/>
    <w:rsid w:val="001F6589"/>
    <w:rsid w:val="00202695"/>
    <w:rsid w:val="00211FC5"/>
    <w:rsid w:val="002133C9"/>
    <w:rsid w:val="00214A16"/>
    <w:rsid w:val="00216EBC"/>
    <w:rsid w:val="002334A1"/>
    <w:rsid w:val="00240345"/>
    <w:rsid w:val="0024053D"/>
    <w:rsid w:val="00250E2B"/>
    <w:rsid w:val="0026636E"/>
    <w:rsid w:val="002669FE"/>
    <w:rsid w:val="00272F99"/>
    <w:rsid w:val="00280AF6"/>
    <w:rsid w:val="00286225"/>
    <w:rsid w:val="00286DBC"/>
    <w:rsid w:val="002878A7"/>
    <w:rsid w:val="002910FF"/>
    <w:rsid w:val="002916E5"/>
    <w:rsid w:val="00294508"/>
    <w:rsid w:val="00296E97"/>
    <w:rsid w:val="0029707A"/>
    <w:rsid w:val="002A0550"/>
    <w:rsid w:val="002A562F"/>
    <w:rsid w:val="002B5C3C"/>
    <w:rsid w:val="002B6800"/>
    <w:rsid w:val="002C0042"/>
    <w:rsid w:val="002C0456"/>
    <w:rsid w:val="002C075B"/>
    <w:rsid w:val="002C090E"/>
    <w:rsid w:val="002C0DC0"/>
    <w:rsid w:val="002C32E4"/>
    <w:rsid w:val="002C3D11"/>
    <w:rsid w:val="002C4046"/>
    <w:rsid w:val="002C4A62"/>
    <w:rsid w:val="002E08B8"/>
    <w:rsid w:val="002E0C70"/>
    <w:rsid w:val="002E110A"/>
    <w:rsid w:val="002E496C"/>
    <w:rsid w:val="002E576D"/>
    <w:rsid w:val="002E603B"/>
    <w:rsid w:val="002E6760"/>
    <w:rsid w:val="002F0763"/>
    <w:rsid w:val="002F4A58"/>
    <w:rsid w:val="002F53A8"/>
    <w:rsid w:val="002F5DDF"/>
    <w:rsid w:val="0030517B"/>
    <w:rsid w:val="00312740"/>
    <w:rsid w:val="00317D16"/>
    <w:rsid w:val="003237AB"/>
    <w:rsid w:val="00324E9F"/>
    <w:rsid w:val="0034008E"/>
    <w:rsid w:val="003414CA"/>
    <w:rsid w:val="00351D0F"/>
    <w:rsid w:val="00353BB9"/>
    <w:rsid w:val="003600FE"/>
    <w:rsid w:val="00371A9D"/>
    <w:rsid w:val="00373147"/>
    <w:rsid w:val="003737ED"/>
    <w:rsid w:val="00373A0A"/>
    <w:rsid w:val="0038619C"/>
    <w:rsid w:val="00392C80"/>
    <w:rsid w:val="00392DC9"/>
    <w:rsid w:val="003B2402"/>
    <w:rsid w:val="003B2D27"/>
    <w:rsid w:val="003C163C"/>
    <w:rsid w:val="003C6A7C"/>
    <w:rsid w:val="003E58F9"/>
    <w:rsid w:val="003E73C6"/>
    <w:rsid w:val="003F26A4"/>
    <w:rsid w:val="003F3EDB"/>
    <w:rsid w:val="003F4B00"/>
    <w:rsid w:val="003F7163"/>
    <w:rsid w:val="003F7C61"/>
    <w:rsid w:val="00405D8D"/>
    <w:rsid w:val="00410760"/>
    <w:rsid w:val="0041259E"/>
    <w:rsid w:val="00413CC7"/>
    <w:rsid w:val="0042024F"/>
    <w:rsid w:val="0042027A"/>
    <w:rsid w:val="00424A59"/>
    <w:rsid w:val="00434D37"/>
    <w:rsid w:val="00442304"/>
    <w:rsid w:val="004456A3"/>
    <w:rsid w:val="00445A34"/>
    <w:rsid w:val="00446D28"/>
    <w:rsid w:val="00450632"/>
    <w:rsid w:val="004514F2"/>
    <w:rsid w:val="00455DD2"/>
    <w:rsid w:val="00457947"/>
    <w:rsid w:val="00457BC8"/>
    <w:rsid w:val="0046213D"/>
    <w:rsid w:val="004742A9"/>
    <w:rsid w:val="00476BA6"/>
    <w:rsid w:val="00481E18"/>
    <w:rsid w:val="00485911"/>
    <w:rsid w:val="00490D5C"/>
    <w:rsid w:val="00494A77"/>
    <w:rsid w:val="00497332"/>
    <w:rsid w:val="00497557"/>
    <w:rsid w:val="004A02AF"/>
    <w:rsid w:val="004A0F05"/>
    <w:rsid w:val="004A35DE"/>
    <w:rsid w:val="004A39A4"/>
    <w:rsid w:val="004A7D24"/>
    <w:rsid w:val="004B394E"/>
    <w:rsid w:val="004C51ED"/>
    <w:rsid w:val="004C5E6B"/>
    <w:rsid w:val="004C5E79"/>
    <w:rsid w:val="004D369D"/>
    <w:rsid w:val="004D451B"/>
    <w:rsid w:val="004D6812"/>
    <w:rsid w:val="004D7157"/>
    <w:rsid w:val="004D7A08"/>
    <w:rsid w:val="004E6BAC"/>
    <w:rsid w:val="004E7A9B"/>
    <w:rsid w:val="00506B81"/>
    <w:rsid w:val="00510EFF"/>
    <w:rsid w:val="00511774"/>
    <w:rsid w:val="00514475"/>
    <w:rsid w:val="00514F71"/>
    <w:rsid w:val="005166BF"/>
    <w:rsid w:val="00530CB5"/>
    <w:rsid w:val="0053381C"/>
    <w:rsid w:val="0054160F"/>
    <w:rsid w:val="005449C9"/>
    <w:rsid w:val="00545A2E"/>
    <w:rsid w:val="00545AD4"/>
    <w:rsid w:val="005466B9"/>
    <w:rsid w:val="0055318D"/>
    <w:rsid w:val="00557477"/>
    <w:rsid w:val="00563FCF"/>
    <w:rsid w:val="00565A8B"/>
    <w:rsid w:val="00565B25"/>
    <w:rsid w:val="00566103"/>
    <w:rsid w:val="00567AE8"/>
    <w:rsid w:val="00573FC0"/>
    <w:rsid w:val="00583DDE"/>
    <w:rsid w:val="005870D2"/>
    <w:rsid w:val="00591204"/>
    <w:rsid w:val="00596475"/>
    <w:rsid w:val="005A5591"/>
    <w:rsid w:val="005A771F"/>
    <w:rsid w:val="005A7A5D"/>
    <w:rsid w:val="005A7A73"/>
    <w:rsid w:val="005B0442"/>
    <w:rsid w:val="005B2F21"/>
    <w:rsid w:val="005C130B"/>
    <w:rsid w:val="005C3FF5"/>
    <w:rsid w:val="005C43D4"/>
    <w:rsid w:val="005C477A"/>
    <w:rsid w:val="005D0391"/>
    <w:rsid w:val="005D2EFF"/>
    <w:rsid w:val="005D7461"/>
    <w:rsid w:val="005E3871"/>
    <w:rsid w:val="005E4BBA"/>
    <w:rsid w:val="005E4D10"/>
    <w:rsid w:val="005F0AEE"/>
    <w:rsid w:val="005F7920"/>
    <w:rsid w:val="00600E8C"/>
    <w:rsid w:val="0060469D"/>
    <w:rsid w:val="00605202"/>
    <w:rsid w:val="006134FC"/>
    <w:rsid w:val="00614E17"/>
    <w:rsid w:val="006177FF"/>
    <w:rsid w:val="00625615"/>
    <w:rsid w:val="00630550"/>
    <w:rsid w:val="00630DB8"/>
    <w:rsid w:val="00630ED6"/>
    <w:rsid w:val="00637DF4"/>
    <w:rsid w:val="00641528"/>
    <w:rsid w:val="00643C2E"/>
    <w:rsid w:val="006449D0"/>
    <w:rsid w:val="00647B98"/>
    <w:rsid w:val="0065341A"/>
    <w:rsid w:val="00657018"/>
    <w:rsid w:val="00657394"/>
    <w:rsid w:val="006610F8"/>
    <w:rsid w:val="00666940"/>
    <w:rsid w:val="00671103"/>
    <w:rsid w:val="0067195E"/>
    <w:rsid w:val="00671B47"/>
    <w:rsid w:val="0067606B"/>
    <w:rsid w:val="006778DE"/>
    <w:rsid w:val="00680DDE"/>
    <w:rsid w:val="00684026"/>
    <w:rsid w:val="00687279"/>
    <w:rsid w:val="006875E6"/>
    <w:rsid w:val="0069226E"/>
    <w:rsid w:val="00694A4B"/>
    <w:rsid w:val="006A21CC"/>
    <w:rsid w:val="006A3852"/>
    <w:rsid w:val="006B5259"/>
    <w:rsid w:val="006C3823"/>
    <w:rsid w:val="006C3DA9"/>
    <w:rsid w:val="006C6A02"/>
    <w:rsid w:val="006D7F09"/>
    <w:rsid w:val="006E128C"/>
    <w:rsid w:val="006E1A33"/>
    <w:rsid w:val="006E5CAD"/>
    <w:rsid w:val="006F1A46"/>
    <w:rsid w:val="00715879"/>
    <w:rsid w:val="007233A3"/>
    <w:rsid w:val="007318CD"/>
    <w:rsid w:val="007373B2"/>
    <w:rsid w:val="00741008"/>
    <w:rsid w:val="00741B7A"/>
    <w:rsid w:val="00743D33"/>
    <w:rsid w:val="00747118"/>
    <w:rsid w:val="00747BE3"/>
    <w:rsid w:val="00757FA2"/>
    <w:rsid w:val="00770692"/>
    <w:rsid w:val="00770B12"/>
    <w:rsid w:val="0077121F"/>
    <w:rsid w:val="007735FA"/>
    <w:rsid w:val="0077390E"/>
    <w:rsid w:val="007741FA"/>
    <w:rsid w:val="00780263"/>
    <w:rsid w:val="0078100E"/>
    <w:rsid w:val="007831D2"/>
    <w:rsid w:val="00790430"/>
    <w:rsid w:val="00792ADA"/>
    <w:rsid w:val="00793A9D"/>
    <w:rsid w:val="007967F2"/>
    <w:rsid w:val="00797190"/>
    <w:rsid w:val="00797773"/>
    <w:rsid w:val="007978D7"/>
    <w:rsid w:val="007A1008"/>
    <w:rsid w:val="007A33D6"/>
    <w:rsid w:val="007A6FC0"/>
    <w:rsid w:val="007A7014"/>
    <w:rsid w:val="007B14E6"/>
    <w:rsid w:val="007B579B"/>
    <w:rsid w:val="007B6DC9"/>
    <w:rsid w:val="007B7DD5"/>
    <w:rsid w:val="007B7F09"/>
    <w:rsid w:val="007C2FB7"/>
    <w:rsid w:val="007C5459"/>
    <w:rsid w:val="007C5467"/>
    <w:rsid w:val="007C5FFF"/>
    <w:rsid w:val="007D2470"/>
    <w:rsid w:val="007D296D"/>
    <w:rsid w:val="007D388D"/>
    <w:rsid w:val="007D5587"/>
    <w:rsid w:val="007E0EB5"/>
    <w:rsid w:val="007E3634"/>
    <w:rsid w:val="007E6E07"/>
    <w:rsid w:val="007F014C"/>
    <w:rsid w:val="007F0D84"/>
    <w:rsid w:val="007F1C50"/>
    <w:rsid w:val="007F223B"/>
    <w:rsid w:val="007F2688"/>
    <w:rsid w:val="007F35BD"/>
    <w:rsid w:val="007F4E04"/>
    <w:rsid w:val="007F718F"/>
    <w:rsid w:val="0080097E"/>
    <w:rsid w:val="008020CC"/>
    <w:rsid w:val="0080780B"/>
    <w:rsid w:val="00807B26"/>
    <w:rsid w:val="00810FC3"/>
    <w:rsid w:val="00813249"/>
    <w:rsid w:val="00815D9D"/>
    <w:rsid w:val="00817DDC"/>
    <w:rsid w:val="0083041E"/>
    <w:rsid w:val="008308B0"/>
    <w:rsid w:val="008309E8"/>
    <w:rsid w:val="00842BFC"/>
    <w:rsid w:val="0084467D"/>
    <w:rsid w:val="00845CB8"/>
    <w:rsid w:val="00846BF9"/>
    <w:rsid w:val="0085150D"/>
    <w:rsid w:val="00863E11"/>
    <w:rsid w:val="00871D2B"/>
    <w:rsid w:val="00873194"/>
    <w:rsid w:val="00886748"/>
    <w:rsid w:val="008903E0"/>
    <w:rsid w:val="008A48CD"/>
    <w:rsid w:val="008A66CD"/>
    <w:rsid w:val="008A7BC3"/>
    <w:rsid w:val="008B5F38"/>
    <w:rsid w:val="008B65B4"/>
    <w:rsid w:val="008C2EF0"/>
    <w:rsid w:val="008C3027"/>
    <w:rsid w:val="008D057E"/>
    <w:rsid w:val="008D06D5"/>
    <w:rsid w:val="008D2A48"/>
    <w:rsid w:val="008D2F07"/>
    <w:rsid w:val="008E1019"/>
    <w:rsid w:val="008E43C8"/>
    <w:rsid w:val="008E48FF"/>
    <w:rsid w:val="009004F4"/>
    <w:rsid w:val="00903E9C"/>
    <w:rsid w:val="009040D6"/>
    <w:rsid w:val="0091103C"/>
    <w:rsid w:val="0091161A"/>
    <w:rsid w:val="009121F4"/>
    <w:rsid w:val="0093297D"/>
    <w:rsid w:val="00942BD7"/>
    <w:rsid w:val="00943E94"/>
    <w:rsid w:val="00944E12"/>
    <w:rsid w:val="00950A31"/>
    <w:rsid w:val="00952B76"/>
    <w:rsid w:val="009535F8"/>
    <w:rsid w:val="00954D91"/>
    <w:rsid w:val="00964627"/>
    <w:rsid w:val="009647ED"/>
    <w:rsid w:val="0096504B"/>
    <w:rsid w:val="00966638"/>
    <w:rsid w:val="00971C5F"/>
    <w:rsid w:val="00971CE4"/>
    <w:rsid w:val="00983ACB"/>
    <w:rsid w:val="00985475"/>
    <w:rsid w:val="00985A26"/>
    <w:rsid w:val="00987E21"/>
    <w:rsid w:val="00997276"/>
    <w:rsid w:val="009A20A9"/>
    <w:rsid w:val="009A276D"/>
    <w:rsid w:val="009B108D"/>
    <w:rsid w:val="009B4469"/>
    <w:rsid w:val="009C03E2"/>
    <w:rsid w:val="009C1B6D"/>
    <w:rsid w:val="009C1F80"/>
    <w:rsid w:val="009C515A"/>
    <w:rsid w:val="009C772D"/>
    <w:rsid w:val="009D011E"/>
    <w:rsid w:val="009D31F0"/>
    <w:rsid w:val="009D622F"/>
    <w:rsid w:val="009D7139"/>
    <w:rsid w:val="009E4E53"/>
    <w:rsid w:val="009E50E4"/>
    <w:rsid w:val="009E5FD1"/>
    <w:rsid w:val="009F04BF"/>
    <w:rsid w:val="009F1E97"/>
    <w:rsid w:val="009F2EBD"/>
    <w:rsid w:val="009F3F1B"/>
    <w:rsid w:val="00A01D3B"/>
    <w:rsid w:val="00A0240D"/>
    <w:rsid w:val="00A065E4"/>
    <w:rsid w:val="00A0733E"/>
    <w:rsid w:val="00A10E8E"/>
    <w:rsid w:val="00A118D2"/>
    <w:rsid w:val="00A1376E"/>
    <w:rsid w:val="00A22A94"/>
    <w:rsid w:val="00A23ED0"/>
    <w:rsid w:val="00A25675"/>
    <w:rsid w:val="00A27DA4"/>
    <w:rsid w:val="00A461CD"/>
    <w:rsid w:val="00A513CD"/>
    <w:rsid w:val="00A51920"/>
    <w:rsid w:val="00A54705"/>
    <w:rsid w:val="00A63002"/>
    <w:rsid w:val="00A7094F"/>
    <w:rsid w:val="00A71E91"/>
    <w:rsid w:val="00A728B3"/>
    <w:rsid w:val="00A739F8"/>
    <w:rsid w:val="00A77FB1"/>
    <w:rsid w:val="00A8495E"/>
    <w:rsid w:val="00A923F9"/>
    <w:rsid w:val="00A9676F"/>
    <w:rsid w:val="00A97C8D"/>
    <w:rsid w:val="00AA0805"/>
    <w:rsid w:val="00AA178C"/>
    <w:rsid w:val="00AA243B"/>
    <w:rsid w:val="00AA6450"/>
    <w:rsid w:val="00AA7BE5"/>
    <w:rsid w:val="00AB2BDD"/>
    <w:rsid w:val="00AB3D87"/>
    <w:rsid w:val="00AC73EF"/>
    <w:rsid w:val="00AD3391"/>
    <w:rsid w:val="00AD3DE1"/>
    <w:rsid w:val="00AD680E"/>
    <w:rsid w:val="00AD7414"/>
    <w:rsid w:val="00AE0090"/>
    <w:rsid w:val="00AE1FF7"/>
    <w:rsid w:val="00AF6452"/>
    <w:rsid w:val="00AF6A6E"/>
    <w:rsid w:val="00AF6B4C"/>
    <w:rsid w:val="00B0090D"/>
    <w:rsid w:val="00B13116"/>
    <w:rsid w:val="00B15D01"/>
    <w:rsid w:val="00B17777"/>
    <w:rsid w:val="00B247F3"/>
    <w:rsid w:val="00B30AFD"/>
    <w:rsid w:val="00B31F95"/>
    <w:rsid w:val="00B338DA"/>
    <w:rsid w:val="00B40DAB"/>
    <w:rsid w:val="00B4134E"/>
    <w:rsid w:val="00B45229"/>
    <w:rsid w:val="00B467DD"/>
    <w:rsid w:val="00B46E24"/>
    <w:rsid w:val="00B473E0"/>
    <w:rsid w:val="00B533BF"/>
    <w:rsid w:val="00B562C0"/>
    <w:rsid w:val="00B7293B"/>
    <w:rsid w:val="00B72A3D"/>
    <w:rsid w:val="00B74970"/>
    <w:rsid w:val="00B80FA0"/>
    <w:rsid w:val="00B82ADE"/>
    <w:rsid w:val="00B93070"/>
    <w:rsid w:val="00B969CB"/>
    <w:rsid w:val="00BA18E3"/>
    <w:rsid w:val="00BA58C6"/>
    <w:rsid w:val="00BB2A0F"/>
    <w:rsid w:val="00BB6934"/>
    <w:rsid w:val="00BB7EEF"/>
    <w:rsid w:val="00BC234E"/>
    <w:rsid w:val="00BC4418"/>
    <w:rsid w:val="00BC6509"/>
    <w:rsid w:val="00BD467F"/>
    <w:rsid w:val="00BD731B"/>
    <w:rsid w:val="00BD7EE6"/>
    <w:rsid w:val="00BE28F0"/>
    <w:rsid w:val="00BE42A6"/>
    <w:rsid w:val="00BE4933"/>
    <w:rsid w:val="00BF428B"/>
    <w:rsid w:val="00C04816"/>
    <w:rsid w:val="00C0518A"/>
    <w:rsid w:val="00C1690F"/>
    <w:rsid w:val="00C22604"/>
    <w:rsid w:val="00C30C46"/>
    <w:rsid w:val="00C339C8"/>
    <w:rsid w:val="00C3458B"/>
    <w:rsid w:val="00C45A96"/>
    <w:rsid w:val="00C53F1D"/>
    <w:rsid w:val="00C54273"/>
    <w:rsid w:val="00C560DE"/>
    <w:rsid w:val="00C5724D"/>
    <w:rsid w:val="00C64A5A"/>
    <w:rsid w:val="00C77B49"/>
    <w:rsid w:val="00C83F28"/>
    <w:rsid w:val="00C90F29"/>
    <w:rsid w:val="00C91218"/>
    <w:rsid w:val="00C91BFE"/>
    <w:rsid w:val="00C9294D"/>
    <w:rsid w:val="00C932DD"/>
    <w:rsid w:val="00C94A0C"/>
    <w:rsid w:val="00CA01B0"/>
    <w:rsid w:val="00CA0916"/>
    <w:rsid w:val="00CA3FC1"/>
    <w:rsid w:val="00CA4454"/>
    <w:rsid w:val="00CA7DC6"/>
    <w:rsid w:val="00CB036B"/>
    <w:rsid w:val="00CB4413"/>
    <w:rsid w:val="00CC18A2"/>
    <w:rsid w:val="00CC4D74"/>
    <w:rsid w:val="00CC783D"/>
    <w:rsid w:val="00CD3091"/>
    <w:rsid w:val="00CD3DAF"/>
    <w:rsid w:val="00CD52AE"/>
    <w:rsid w:val="00CD6ABB"/>
    <w:rsid w:val="00CE3E21"/>
    <w:rsid w:val="00CE7FB9"/>
    <w:rsid w:val="00CF043B"/>
    <w:rsid w:val="00CF1560"/>
    <w:rsid w:val="00CF2B4B"/>
    <w:rsid w:val="00D0331E"/>
    <w:rsid w:val="00D05BFA"/>
    <w:rsid w:val="00D1153E"/>
    <w:rsid w:val="00D14F1E"/>
    <w:rsid w:val="00D163F1"/>
    <w:rsid w:val="00D2032E"/>
    <w:rsid w:val="00D208CE"/>
    <w:rsid w:val="00D2090C"/>
    <w:rsid w:val="00D337CE"/>
    <w:rsid w:val="00D42FFE"/>
    <w:rsid w:val="00D445D1"/>
    <w:rsid w:val="00D64C10"/>
    <w:rsid w:val="00D80122"/>
    <w:rsid w:val="00D812E3"/>
    <w:rsid w:val="00D8677E"/>
    <w:rsid w:val="00D9304E"/>
    <w:rsid w:val="00DA279F"/>
    <w:rsid w:val="00DB08BE"/>
    <w:rsid w:val="00DB4004"/>
    <w:rsid w:val="00DB72DF"/>
    <w:rsid w:val="00DB7607"/>
    <w:rsid w:val="00DB7711"/>
    <w:rsid w:val="00DC0F5A"/>
    <w:rsid w:val="00DC45EC"/>
    <w:rsid w:val="00DC4E2C"/>
    <w:rsid w:val="00DC5EA6"/>
    <w:rsid w:val="00DD690C"/>
    <w:rsid w:val="00DE3875"/>
    <w:rsid w:val="00DE5F73"/>
    <w:rsid w:val="00DE6788"/>
    <w:rsid w:val="00DE685B"/>
    <w:rsid w:val="00DE6C30"/>
    <w:rsid w:val="00DF07AA"/>
    <w:rsid w:val="00DF2CDB"/>
    <w:rsid w:val="00E03D84"/>
    <w:rsid w:val="00E10533"/>
    <w:rsid w:val="00E125B4"/>
    <w:rsid w:val="00E16850"/>
    <w:rsid w:val="00E30BFD"/>
    <w:rsid w:val="00E40D08"/>
    <w:rsid w:val="00E41A14"/>
    <w:rsid w:val="00E42B67"/>
    <w:rsid w:val="00E431A0"/>
    <w:rsid w:val="00E43B3D"/>
    <w:rsid w:val="00E469B0"/>
    <w:rsid w:val="00E51E44"/>
    <w:rsid w:val="00E54BC6"/>
    <w:rsid w:val="00E55434"/>
    <w:rsid w:val="00E56812"/>
    <w:rsid w:val="00E63656"/>
    <w:rsid w:val="00E640F0"/>
    <w:rsid w:val="00E64898"/>
    <w:rsid w:val="00E6522E"/>
    <w:rsid w:val="00E701D4"/>
    <w:rsid w:val="00E72C11"/>
    <w:rsid w:val="00E773B0"/>
    <w:rsid w:val="00E926B2"/>
    <w:rsid w:val="00EA2A33"/>
    <w:rsid w:val="00EA3760"/>
    <w:rsid w:val="00EA6562"/>
    <w:rsid w:val="00EA7899"/>
    <w:rsid w:val="00EC337F"/>
    <w:rsid w:val="00EC54E9"/>
    <w:rsid w:val="00ED152C"/>
    <w:rsid w:val="00EE34E5"/>
    <w:rsid w:val="00EE5778"/>
    <w:rsid w:val="00EE6293"/>
    <w:rsid w:val="00EE66BA"/>
    <w:rsid w:val="00EF28D3"/>
    <w:rsid w:val="00F0468D"/>
    <w:rsid w:val="00F0483C"/>
    <w:rsid w:val="00F07D50"/>
    <w:rsid w:val="00F108A3"/>
    <w:rsid w:val="00F12BA5"/>
    <w:rsid w:val="00F206AB"/>
    <w:rsid w:val="00F2798E"/>
    <w:rsid w:val="00F30B7C"/>
    <w:rsid w:val="00F33822"/>
    <w:rsid w:val="00F352EF"/>
    <w:rsid w:val="00F36210"/>
    <w:rsid w:val="00F4494D"/>
    <w:rsid w:val="00F46077"/>
    <w:rsid w:val="00F46094"/>
    <w:rsid w:val="00F47EB1"/>
    <w:rsid w:val="00F5276B"/>
    <w:rsid w:val="00F5341E"/>
    <w:rsid w:val="00F63697"/>
    <w:rsid w:val="00F6548D"/>
    <w:rsid w:val="00F66B96"/>
    <w:rsid w:val="00F66E0B"/>
    <w:rsid w:val="00F670F2"/>
    <w:rsid w:val="00F74D60"/>
    <w:rsid w:val="00F82FCE"/>
    <w:rsid w:val="00F841C1"/>
    <w:rsid w:val="00F87CBF"/>
    <w:rsid w:val="00F94158"/>
    <w:rsid w:val="00FA28A9"/>
    <w:rsid w:val="00FC08E1"/>
    <w:rsid w:val="00FC663E"/>
    <w:rsid w:val="00FD3401"/>
    <w:rsid w:val="00FD5E60"/>
    <w:rsid w:val="00FE6150"/>
    <w:rsid w:val="00FE6828"/>
    <w:rsid w:val="00FE77C0"/>
    <w:rsid w:val="00FE7C97"/>
    <w:rsid w:val="00FF31F0"/>
    <w:rsid w:val="00FF6D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EDBDE"/>
  <w15:chartTrackingRefBased/>
  <w15:docId w15:val="{63E19274-5478-4988-90AC-35AA1C1CE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03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03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03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03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03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03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03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03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03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03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03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03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03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03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03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03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03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03E0"/>
    <w:rPr>
      <w:rFonts w:eastAsiaTheme="majorEastAsia" w:cstheme="majorBidi"/>
      <w:color w:val="272727" w:themeColor="text1" w:themeTint="D8"/>
    </w:rPr>
  </w:style>
  <w:style w:type="paragraph" w:styleId="Title">
    <w:name w:val="Title"/>
    <w:basedOn w:val="Normal"/>
    <w:next w:val="Normal"/>
    <w:link w:val="TitleChar"/>
    <w:uiPriority w:val="10"/>
    <w:qFormat/>
    <w:rsid w:val="008903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03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03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03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03E0"/>
    <w:pPr>
      <w:spacing w:before="160"/>
      <w:jc w:val="center"/>
    </w:pPr>
    <w:rPr>
      <w:i/>
      <w:iCs/>
      <w:color w:val="404040" w:themeColor="text1" w:themeTint="BF"/>
    </w:rPr>
  </w:style>
  <w:style w:type="character" w:customStyle="1" w:styleId="QuoteChar">
    <w:name w:val="Quote Char"/>
    <w:basedOn w:val="DefaultParagraphFont"/>
    <w:link w:val="Quote"/>
    <w:uiPriority w:val="29"/>
    <w:rsid w:val="008903E0"/>
    <w:rPr>
      <w:i/>
      <w:iCs/>
      <w:color w:val="404040" w:themeColor="text1" w:themeTint="BF"/>
    </w:rPr>
  </w:style>
  <w:style w:type="paragraph" w:styleId="ListParagraph">
    <w:name w:val="List Paragraph"/>
    <w:basedOn w:val="Normal"/>
    <w:uiPriority w:val="34"/>
    <w:qFormat/>
    <w:rsid w:val="008903E0"/>
    <w:pPr>
      <w:ind w:left="720"/>
      <w:contextualSpacing/>
    </w:pPr>
  </w:style>
  <w:style w:type="character" w:styleId="IntenseEmphasis">
    <w:name w:val="Intense Emphasis"/>
    <w:basedOn w:val="DefaultParagraphFont"/>
    <w:uiPriority w:val="21"/>
    <w:qFormat/>
    <w:rsid w:val="008903E0"/>
    <w:rPr>
      <w:i/>
      <w:iCs/>
      <w:color w:val="0F4761" w:themeColor="accent1" w:themeShade="BF"/>
    </w:rPr>
  </w:style>
  <w:style w:type="paragraph" w:styleId="IntenseQuote">
    <w:name w:val="Intense Quote"/>
    <w:basedOn w:val="Normal"/>
    <w:next w:val="Normal"/>
    <w:link w:val="IntenseQuoteChar"/>
    <w:uiPriority w:val="30"/>
    <w:qFormat/>
    <w:rsid w:val="008903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03E0"/>
    <w:rPr>
      <w:i/>
      <w:iCs/>
      <w:color w:val="0F4761" w:themeColor="accent1" w:themeShade="BF"/>
    </w:rPr>
  </w:style>
  <w:style w:type="character" w:styleId="IntenseReference">
    <w:name w:val="Intense Reference"/>
    <w:basedOn w:val="DefaultParagraphFont"/>
    <w:uiPriority w:val="32"/>
    <w:qFormat/>
    <w:rsid w:val="008903E0"/>
    <w:rPr>
      <w:b/>
      <w:bCs/>
      <w:smallCaps/>
      <w:color w:val="0F4761" w:themeColor="accent1" w:themeShade="BF"/>
      <w:spacing w:val="5"/>
    </w:rPr>
  </w:style>
  <w:style w:type="paragraph" w:styleId="FootnoteText">
    <w:name w:val="footnote text"/>
    <w:basedOn w:val="Normal"/>
    <w:link w:val="FootnoteTextChar"/>
    <w:uiPriority w:val="99"/>
    <w:semiHidden/>
    <w:unhideWhenUsed/>
    <w:rsid w:val="0014674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46748"/>
    <w:rPr>
      <w:sz w:val="20"/>
      <w:szCs w:val="20"/>
    </w:rPr>
  </w:style>
  <w:style w:type="character" w:styleId="FootnoteReference">
    <w:name w:val="footnote reference"/>
    <w:basedOn w:val="DefaultParagraphFont"/>
    <w:uiPriority w:val="99"/>
    <w:semiHidden/>
    <w:unhideWhenUsed/>
    <w:rsid w:val="0014674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797F1B-5B49-47B6-B247-0035F05EA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1545</TotalTime>
  <Pages>6</Pages>
  <Words>2184</Words>
  <Characters>12450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Daniel (1601138)</dc:creator>
  <cp:keywords/>
  <dc:description/>
  <cp:lastModifiedBy>Sarah Daniel (1601138)</cp:lastModifiedBy>
  <cp:revision>1098</cp:revision>
  <dcterms:created xsi:type="dcterms:W3CDTF">2025-04-07T06:14:00Z</dcterms:created>
  <dcterms:modified xsi:type="dcterms:W3CDTF">2025-04-08T22:28:00Z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zotero-version="7.0.11"&gt;&lt;session id="LhwHtNGC"/&gt;&lt;style id="http://www.zotero.org/styles/harvard-cite-them-right" hasBibliography="1" bibliographyStyleHasBeenSet="0"/&gt;&lt;prefs&gt;&lt;pref name="fieldType" value="Field"/&gt;&lt;pref name="automatic</vt:lpwstr>
  </property>
  <property fmtid="{D5CDD505-2E9C-101B-9397-08002B2CF9AE}" pid="3" name="ZOTERO_PREF_2">
    <vt:lpwstr>JournalAbbreviations" value="true"/&gt;&lt;/prefs&gt;&lt;/data&gt;</vt:lpwstr>
  </property>
</Properties>
</file>