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936FF" w14:textId="61DB9A2D" w:rsidR="0071632A" w:rsidRDefault="0071632A">
      <w:pPr>
        <w:pStyle w:val="NoSpacing"/>
      </w:pPr>
      <w:r>
        <w:t xml:space="preserve">                                                                                                    </w:t>
      </w:r>
    </w:p>
    <w:sdt>
      <w:sdtPr>
        <w:rPr>
          <w:rFonts w:ascii="Times New Roman" w:hAnsi="Times New Roman"/>
          <w:sz w:val="24"/>
        </w:rPr>
        <w:id w:val="1161884691"/>
        <w:docPartObj>
          <w:docPartGallery w:val="Cover Pages"/>
          <w:docPartUnique/>
        </w:docPartObj>
      </w:sdtPr>
      <w:sdtEndPr>
        <w:rPr>
          <w:rFonts w:ascii="Arial" w:hAnsi="Arial" w:cs="Arial"/>
          <w:szCs w:val="24"/>
        </w:rPr>
      </w:sdtEndPr>
      <w:sdtContent>
        <w:p w14:paraId="0CED9D8B" w14:textId="77777777" w:rsidR="0071632A" w:rsidRDefault="0071632A">
          <w:pPr>
            <w:pStyle w:val="NoSpacing"/>
          </w:pPr>
        </w:p>
        <w:p w14:paraId="26E65200" w14:textId="77777777" w:rsidR="0071632A" w:rsidRDefault="0071632A">
          <w:pPr>
            <w:pStyle w:val="NoSpacing"/>
          </w:pPr>
        </w:p>
        <w:p w14:paraId="19BEE8AB" w14:textId="77777777" w:rsidR="0071632A" w:rsidRDefault="0071632A">
          <w:pPr>
            <w:pStyle w:val="NoSpacing"/>
          </w:pPr>
        </w:p>
        <w:p w14:paraId="6BAD2A4D" w14:textId="5AA82DF4" w:rsidR="0071632A" w:rsidRDefault="0071632A">
          <w:pPr>
            <w:pStyle w:val="NoSpacing"/>
          </w:pPr>
        </w:p>
        <w:p w14:paraId="4B69E608" w14:textId="5196925B" w:rsidR="0071632A" w:rsidRPr="004A27DD" w:rsidRDefault="0071632A">
          <w:pPr>
            <w:pStyle w:val="NoSpacing"/>
            <w:rPr>
              <w:rFonts w:ascii="Arial" w:hAnsi="Arial" w:cs="Arial"/>
            </w:rPr>
          </w:pPr>
        </w:p>
        <w:p w14:paraId="05B44F68" w14:textId="0CE60A29" w:rsidR="0071632A" w:rsidRPr="004A27DD" w:rsidRDefault="0071632A">
          <w:pPr>
            <w:pStyle w:val="NoSpacing"/>
            <w:rPr>
              <w:rFonts w:ascii="Arial" w:hAnsi="Arial" w:cs="Arial"/>
            </w:rPr>
          </w:pPr>
        </w:p>
        <w:p w14:paraId="2F241827" w14:textId="29747939" w:rsidR="0071632A" w:rsidRDefault="0071632A">
          <w:pPr>
            <w:pStyle w:val="NoSpacing"/>
          </w:pPr>
        </w:p>
        <w:p w14:paraId="467B359C" w14:textId="7C7D558B" w:rsidR="0071632A" w:rsidRDefault="0071632A">
          <w:pPr>
            <w:pStyle w:val="NoSpacing"/>
          </w:pPr>
        </w:p>
        <w:p w14:paraId="2D7E7C63" w14:textId="388A794D" w:rsidR="0071632A" w:rsidRDefault="0071632A">
          <w:pPr>
            <w:pStyle w:val="NoSpacing"/>
          </w:pPr>
        </w:p>
        <w:p w14:paraId="2C43B434" w14:textId="18799A75" w:rsidR="0071632A" w:rsidRDefault="000D4AF0">
          <w:pPr>
            <w:pStyle w:val="NoSpacing"/>
          </w:pPr>
          <w:r>
            <w:rPr>
              <w:noProof/>
            </w:rPr>
            <mc:AlternateContent>
              <mc:Choice Requires="wps">
                <w:drawing>
                  <wp:anchor distT="0" distB="0" distL="114300" distR="114300" simplePos="0" relativeHeight="251660288" behindDoc="0" locked="0" layoutInCell="1" allowOverlap="1" wp14:anchorId="7D199C8E" wp14:editId="791EC609">
                    <wp:simplePos x="0" y="0"/>
                    <wp:positionH relativeFrom="page">
                      <wp:posOffset>1190343</wp:posOffset>
                    </wp:positionH>
                    <wp:positionV relativeFrom="page">
                      <wp:posOffset>2645808</wp:posOffset>
                    </wp:positionV>
                    <wp:extent cx="6092228" cy="1069848"/>
                    <wp:effectExtent l="0" t="0" r="3810" b="0"/>
                    <wp:wrapNone/>
                    <wp:docPr id="4165307" name="Text Box 30"/>
                    <wp:cNvGraphicFramePr/>
                    <a:graphic xmlns:a="http://schemas.openxmlformats.org/drawingml/2006/main">
                      <a:graphicData uri="http://schemas.microsoft.com/office/word/2010/wordprocessingShape">
                        <wps:wsp>
                          <wps:cNvSpPr txBox="1"/>
                          <wps:spPr>
                            <a:xfrm>
                              <a:off x="0" y="0"/>
                              <a:ext cx="6092228"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11782" w14:textId="4C057B21" w:rsidR="004C552D" w:rsidRPr="000D4AF0" w:rsidRDefault="00551F53" w:rsidP="00CA71DC">
                                <w:pPr>
                                  <w:pStyle w:val="NoSpacing"/>
                                  <w:jc w:val="center"/>
                                  <w:rPr>
                                    <w:rFonts w:asciiTheme="majorHAnsi" w:eastAsiaTheme="majorEastAsia" w:hAnsiTheme="majorHAnsi" w:cstheme="majorBidi"/>
                                    <w:color w:val="4D4D4D" w:themeColor="text1" w:themeTint="D9"/>
                                    <w:sz w:val="36"/>
                                    <w:szCs w:val="36"/>
                                  </w:rPr>
                                </w:pPr>
                                <w:sdt>
                                  <w:sdtPr>
                                    <w:rPr>
                                      <w:rFonts w:ascii="Arial" w:hAnsi="Arial" w:cs="Arial"/>
                                      <w:b/>
                                      <w:color w:val="00467F"/>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sdt>
                                      <w:sdtPr>
                                        <w:rPr>
                                          <w:rFonts w:ascii="Arial" w:hAnsi="Arial" w:cs="Arial"/>
                                          <w:b/>
                                          <w:color w:val="00467F"/>
                                          <w:sz w:val="36"/>
                                          <w:szCs w:val="36"/>
                                        </w:rPr>
                                        <w:alias w:val="Title"/>
                                        <w:tag w:val=""/>
                                        <w:id w:val="-207416577"/>
                                        <w:dataBinding w:prefixMappings="xmlns:ns0='http://purl.org/dc/elements/1.1/' xmlns:ns1='http://schemas.openxmlformats.org/package/2006/metadata/core-properties' " w:xpath="/ns1:coreProperties[1]/ns0:title[1]" w:storeItemID="{6C3C8BC8-F283-45AE-878A-BAB7291924A1}"/>
                                        <w:text/>
                                      </w:sdtPr>
                                      <w:sdtEndPr/>
                                      <w:sdtContent>
                                        <w:r w:rsidR="00CA71DC" w:rsidRPr="00CA71DC">
                                          <w:rPr>
                                            <w:rFonts w:ascii="Arial" w:hAnsi="Arial" w:cs="Arial"/>
                                            <w:b/>
                                            <w:color w:val="00467F"/>
                                            <w:sz w:val="36"/>
                                            <w:szCs w:val="36"/>
                                          </w:rPr>
                                          <w:t>Analy</w:t>
                                        </w:r>
                                        <w:r w:rsidR="00CA71DC">
                                          <w:rPr>
                                            <w:rFonts w:ascii="Arial" w:hAnsi="Arial" w:cs="Arial"/>
                                            <w:b/>
                                            <w:color w:val="00467F"/>
                                            <w:sz w:val="36"/>
                                            <w:szCs w:val="36"/>
                                          </w:rPr>
                                          <w:t>s</w:t>
                                        </w:r>
                                        <w:r w:rsidR="00CA71DC" w:rsidRPr="00CA71DC">
                                          <w:rPr>
                                            <w:rFonts w:ascii="Arial" w:hAnsi="Arial" w:cs="Arial"/>
                                            <w:b/>
                                            <w:color w:val="00467F"/>
                                            <w:sz w:val="36"/>
                                            <w:szCs w:val="36"/>
                                          </w:rPr>
                                          <w:t>ing, Ethically Hacking and Securing an Enterprise Network</w:t>
                                        </w:r>
                                      </w:sdtContent>
                                    </w:sdt>
                                  </w:sdtContent>
                                </w:sdt>
                              </w:p>
                              <w:p w14:paraId="447FC040" w14:textId="7E51764A" w:rsidR="004C552D" w:rsidRPr="000D4AF0" w:rsidRDefault="00551F53" w:rsidP="000D4AF0">
                                <w:pPr>
                                  <w:spacing w:before="120"/>
                                  <w:jc w:val="center"/>
                                  <w:rPr>
                                    <w:b/>
                                    <w:bCs/>
                                    <w:iCs/>
                                    <w:color w:val="626262" w:themeColor="text1" w:themeTint="BF"/>
                                    <w:sz w:val="28"/>
                                    <w:szCs w:val="28"/>
                                  </w:rPr>
                                </w:pPr>
                                <w:sdt>
                                  <w:sdtPr>
                                    <w:rPr>
                                      <w:rFonts w:ascii="Arial" w:hAnsi="Arial" w:cs="Arial"/>
                                      <w:b/>
                                      <w:bCs/>
                                      <w:iCs/>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4FF3" w:rsidRPr="000D4AF0">
                                      <w:rPr>
                                        <w:rFonts w:ascii="Arial" w:hAnsi="Arial" w:cs="Arial"/>
                                        <w:b/>
                                        <w:bCs/>
                                        <w:iCs/>
                                        <w:sz w:val="28"/>
                                        <w:szCs w:val="28"/>
                                      </w:rPr>
                                      <w:t>ACCB6000 Advanced Cybersecurity – Portfolio 2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199C8E" id="_x0000_t202" coordsize="21600,21600" o:spt="202" path="m,l,21600r21600,l21600,xe">
                    <v:stroke joinstyle="miter"/>
                    <v:path gradientshapeok="t" o:connecttype="rect"/>
                  </v:shapetype>
                  <v:shape id="Text Box 30" o:spid="_x0000_s1026" type="#_x0000_t202" style="position:absolute;margin-left:93.75pt;margin-top:208.35pt;width:479.7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" filled="f" stroked="f" strokeweight=".5pt">
                    <v:textbox inset="0,0,0,0">
                      <w:txbxContent>
                        <w:p w14:paraId="64D11782" w14:textId="4C057B21" w:rsidR="004C552D" w:rsidRPr="000D4AF0" w:rsidRDefault="00551F53" w:rsidP="00CA71DC">
                          <w:pPr>
                            <w:pStyle w:val="NoSpacing"/>
                            <w:jc w:val="center"/>
                            <w:rPr>
                              <w:rFonts w:asciiTheme="majorHAnsi" w:eastAsiaTheme="majorEastAsia" w:hAnsiTheme="majorHAnsi" w:cstheme="majorBidi"/>
                              <w:color w:val="4D4D4D" w:themeColor="text1" w:themeTint="D9"/>
                              <w:sz w:val="36"/>
                              <w:szCs w:val="36"/>
                            </w:rPr>
                          </w:pPr>
                          <w:sdt>
                            <w:sdtPr>
                              <w:rPr>
                                <w:rFonts w:ascii="Arial" w:hAnsi="Arial" w:cs="Arial"/>
                                <w:b/>
                                <w:color w:val="00467F"/>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sdt>
                                <w:sdtPr>
                                  <w:rPr>
                                    <w:rFonts w:ascii="Arial" w:hAnsi="Arial" w:cs="Arial"/>
                                    <w:b/>
                                    <w:color w:val="00467F"/>
                                    <w:sz w:val="36"/>
                                    <w:szCs w:val="36"/>
                                  </w:rPr>
                                  <w:alias w:val="Title"/>
                                  <w:tag w:val=""/>
                                  <w:id w:val="-207416577"/>
                                  <w:dataBinding w:prefixMappings="xmlns:ns0='http://purl.org/dc/elements/1.1/' xmlns:ns1='http://schemas.openxmlformats.org/package/2006/metadata/core-properties' " w:xpath="/ns1:coreProperties[1]/ns0:title[1]" w:storeItemID="{6C3C8BC8-F283-45AE-878A-BAB7291924A1}"/>
                                  <w:text/>
                                </w:sdtPr>
                                <w:sdtEndPr/>
                                <w:sdtContent>
                                  <w:r w:rsidR="00CA71DC" w:rsidRPr="00CA71DC">
                                    <w:rPr>
                                      <w:rFonts w:ascii="Arial" w:hAnsi="Arial" w:cs="Arial"/>
                                      <w:b/>
                                      <w:color w:val="00467F"/>
                                      <w:sz w:val="36"/>
                                      <w:szCs w:val="36"/>
                                    </w:rPr>
                                    <w:t>Analy</w:t>
                                  </w:r>
                                  <w:r w:rsidR="00CA71DC">
                                    <w:rPr>
                                      <w:rFonts w:ascii="Arial" w:hAnsi="Arial" w:cs="Arial"/>
                                      <w:b/>
                                      <w:color w:val="00467F"/>
                                      <w:sz w:val="36"/>
                                      <w:szCs w:val="36"/>
                                    </w:rPr>
                                    <w:t>s</w:t>
                                  </w:r>
                                  <w:r w:rsidR="00CA71DC" w:rsidRPr="00CA71DC">
                                    <w:rPr>
                                      <w:rFonts w:ascii="Arial" w:hAnsi="Arial" w:cs="Arial"/>
                                      <w:b/>
                                      <w:color w:val="00467F"/>
                                      <w:sz w:val="36"/>
                                      <w:szCs w:val="36"/>
                                    </w:rPr>
                                    <w:t>ing, Ethically Hacking and Securing an Enterprise Network</w:t>
                                  </w:r>
                                </w:sdtContent>
                              </w:sdt>
                            </w:sdtContent>
                          </w:sdt>
                        </w:p>
                        <w:p w14:paraId="447FC040" w14:textId="7E51764A" w:rsidR="004C552D" w:rsidRPr="000D4AF0" w:rsidRDefault="00551F53" w:rsidP="000D4AF0">
                          <w:pPr>
                            <w:spacing w:before="120"/>
                            <w:jc w:val="center"/>
                            <w:rPr>
                              <w:b/>
                              <w:bCs/>
                              <w:iCs/>
                              <w:color w:val="626262" w:themeColor="text1" w:themeTint="BF"/>
                              <w:sz w:val="28"/>
                              <w:szCs w:val="28"/>
                            </w:rPr>
                          </w:pPr>
                          <w:sdt>
                            <w:sdtPr>
                              <w:rPr>
                                <w:rFonts w:ascii="Arial" w:hAnsi="Arial" w:cs="Arial"/>
                                <w:b/>
                                <w:bCs/>
                                <w:iCs/>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4FF3" w:rsidRPr="000D4AF0">
                                <w:rPr>
                                  <w:rFonts w:ascii="Arial" w:hAnsi="Arial" w:cs="Arial"/>
                                  <w:b/>
                                  <w:bCs/>
                                  <w:iCs/>
                                  <w:sz w:val="28"/>
                                  <w:szCs w:val="28"/>
                                </w:rPr>
                                <w:t>ACCB6000 Advanced Cybersecurity – Portfolio 2 Report</w:t>
                              </w:r>
                            </w:sdtContent>
                          </w:sdt>
                        </w:p>
                      </w:txbxContent>
                    </v:textbox>
                    <w10:wrap anchorx="page" anchory="page"/>
                  </v:shape>
                </w:pict>
              </mc:Fallback>
            </mc:AlternateContent>
          </w:r>
        </w:p>
        <w:p w14:paraId="064FB62F" w14:textId="77777777" w:rsidR="0071632A" w:rsidRDefault="0071632A">
          <w:pPr>
            <w:pStyle w:val="NoSpacing"/>
          </w:pPr>
        </w:p>
        <w:p w14:paraId="794D49AF" w14:textId="77777777" w:rsidR="0071632A" w:rsidRDefault="0071632A">
          <w:pPr>
            <w:pStyle w:val="NoSpacing"/>
          </w:pPr>
        </w:p>
        <w:p w14:paraId="0AD613B0" w14:textId="77777777" w:rsidR="0071632A" w:rsidRDefault="0071632A">
          <w:pPr>
            <w:pStyle w:val="NoSpacing"/>
          </w:pPr>
        </w:p>
        <w:p w14:paraId="7EDAF615" w14:textId="77777777" w:rsidR="0071632A" w:rsidRDefault="0071632A">
          <w:pPr>
            <w:pStyle w:val="NoSpacing"/>
          </w:pPr>
        </w:p>
        <w:p w14:paraId="223966E2" w14:textId="77777777" w:rsidR="0071632A" w:rsidRDefault="0071632A">
          <w:pPr>
            <w:pStyle w:val="NoSpacing"/>
          </w:pPr>
        </w:p>
        <w:p w14:paraId="4300FDEB" w14:textId="77777777" w:rsidR="00F7267F" w:rsidRDefault="00F7267F">
          <w:pPr>
            <w:pStyle w:val="NoSpacing"/>
          </w:pPr>
          <w:r>
            <w:t xml:space="preserve">                                                                              </w:t>
          </w:r>
        </w:p>
        <w:p w14:paraId="3F994F6D" w14:textId="776D9BDA" w:rsidR="0071632A" w:rsidRDefault="0071632A">
          <w:pPr>
            <w:pStyle w:val="NoSpacing"/>
          </w:pPr>
        </w:p>
        <w:p w14:paraId="5A86074C" w14:textId="77777777" w:rsidR="0071632A" w:rsidRDefault="0071632A">
          <w:pPr>
            <w:pStyle w:val="NoSpacing"/>
          </w:pPr>
        </w:p>
        <w:p w14:paraId="202AAF9B" w14:textId="430D4F6A" w:rsidR="004C552D" w:rsidRDefault="004C552D">
          <w:pPr>
            <w:pStyle w:val="NoSpacing"/>
          </w:pPr>
          <w:r>
            <w:rPr>
              <w:noProof/>
            </w:rPr>
            <mc:AlternateContent>
              <mc:Choice Requires="wpg">
                <w:drawing>
                  <wp:anchor distT="0" distB="0" distL="114300" distR="114300" simplePos="0" relativeHeight="251659264" behindDoc="1" locked="0" layoutInCell="1" allowOverlap="1" wp14:anchorId="209F9FCF" wp14:editId="3EBA4E1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13980590"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3255085" name="Rectangle 12325508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8224154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AF7F2"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7T00:00:00Z">
                                      <w:dateFormat w:val="dd/MM/yyyy"/>
                                      <w:lid w:val="en-GB"/>
                                      <w:storeMappedDataAs w:val="dateTime"/>
                                      <w:calendar w:val="gregorian"/>
                                    </w:date>
                                  </w:sdtPr>
                                  <w:sdtEndPr/>
                                  <w:sdtContent>
                                    <w:p w14:paraId="6886FDB8" w14:textId="592E4356" w:rsidR="004C552D" w:rsidRDefault="00300D0D">
                                      <w:pPr>
                                        <w:pStyle w:val="NoSpacing"/>
                                        <w:jc w:val="right"/>
                                        <w:rPr>
                                          <w:color w:val="FAF7F2" w:themeColor="background1"/>
                                          <w:sz w:val="28"/>
                                          <w:szCs w:val="28"/>
                                        </w:rPr>
                                      </w:pPr>
                                      <w:r>
                                        <w:rPr>
                                          <w:color w:val="FAF7F2" w:themeColor="background1"/>
                                          <w:sz w:val="28"/>
                                          <w:szCs w:val="28"/>
                                          <w:lang w:val="en-GB"/>
                                        </w:rPr>
                                        <w:t>17/04/2026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18994065" name="Group 918994065"/>
                            <wpg:cNvGrpSpPr/>
                            <wpg:grpSpPr>
                              <a:xfrm>
                                <a:off x="76200" y="4210050"/>
                                <a:ext cx="2057400" cy="4910328"/>
                                <a:chOff x="80645" y="4211812"/>
                                <a:chExt cx="1306273" cy="3121026"/>
                              </a:xfrm>
                            </wpg:grpSpPr>
                            <wpg:grpSp>
                              <wpg:cNvPr id="1704592857" name="Group 1704592857"/>
                              <wpg:cNvGrpSpPr>
                                <a:grpSpLocks noChangeAspect="1"/>
                              </wpg:cNvGrpSpPr>
                              <wpg:grpSpPr>
                                <a:xfrm>
                                  <a:off x="141062" y="4211812"/>
                                  <a:ext cx="1047750" cy="3121026"/>
                                  <a:chOff x="141062" y="4211812"/>
                                  <a:chExt cx="1047750" cy="3121026"/>
                                </a:xfrm>
                              </wpg:grpSpPr>
                              <wps:wsp>
                                <wps:cNvPr id="120175016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01205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484836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968456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674330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9562822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273520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04324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284560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329623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5104660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394514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14916846" name="Group 714916846"/>
                              <wpg:cNvGrpSpPr>
                                <a:grpSpLocks noChangeAspect="1"/>
                              </wpg:cNvGrpSpPr>
                              <wpg:grpSpPr>
                                <a:xfrm>
                                  <a:off x="80645" y="4826972"/>
                                  <a:ext cx="1306273" cy="2505863"/>
                                  <a:chOff x="80645" y="4649964"/>
                                  <a:chExt cx="874712" cy="1677988"/>
                                </a:xfrm>
                              </wpg:grpSpPr>
                              <wps:wsp>
                                <wps:cNvPr id="26286125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7363246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421928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309516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78618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58783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632731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3401068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996567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424985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556821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9F9FCF" id="Group 26"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NE/hBAlAABkBQEADgAAAAAAAAAAAAAAAAAuAgAAZHJzL2Uyb0RvYy54bWxQSwECLQAU&#10;AAYACAAAACEAT/eVMt0AAAAGAQAADwAAAAAAAAAAAAAAAABqJwAAZHJzL2Rvd25yZXYueG1sUEsF&#10;BgAAAAAEAAQA8wAAAHQoAAAAAA==&#10;">
                    <v:rect id="Rectangle 123255085"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" fillcolor="#627c66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" adj="18883" fillcolor="#c9a86a [3204]" stroked="f" strokeweight="2pt">
                      <v:textbox inset=",0,14.4pt,0">
                        <w:txbxContent>
                          <w:sdt>
                            <w:sdtPr>
                              <w:rPr>
                                <w:color w:val="FAF7F2"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7T00:00:00Z">
                                <w:dateFormat w:val="dd/MM/yyyy"/>
                                <w:lid w:val="en-GB"/>
                                <w:storeMappedDataAs w:val="dateTime"/>
                                <w:calendar w:val="gregorian"/>
                              </w:date>
                            </w:sdtPr>
                            <w:sdtEndPr/>
                            <w:sdtContent>
                              <w:p w14:paraId="6886FDB8" w14:textId="592E4356" w:rsidR="004C552D" w:rsidRDefault="00300D0D">
                                <w:pPr>
                                  <w:pStyle w:val="NoSpacing"/>
                                  <w:jc w:val="right"/>
                                  <w:rPr>
                                    <w:color w:val="FAF7F2" w:themeColor="background1"/>
                                    <w:sz w:val="28"/>
                                    <w:szCs w:val="28"/>
                                  </w:rPr>
                                </w:pPr>
                                <w:r>
                                  <w:rPr>
                                    <w:color w:val="FAF7F2" w:themeColor="background1"/>
                                    <w:sz w:val="28"/>
                                    <w:szCs w:val="28"/>
                                    <w:lang w:val="en-GB"/>
                                  </w:rPr>
                                  <w:t>17/04/2026</w:t>
                                </w:r>
                              </w:p>
                            </w:sdtContent>
                          </w:sdt>
                        </w:txbxContent>
                      </v:textbox>
                    </v:shape>
                    <v:group id="Group 91899406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">
                      <v:group id="Group 1704592857"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" path="m,l39,152,84,304r38,113l122,440,76,306,39,180,6,53,,xe" fillcolor="#627c66 [3215]" strokecolor="#627c66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" path="m,l8,19,37,93r30,74l116,269r-8,l60,169,30,98,1,25,,xe" fillcolor="#627c66 [3215]" strokecolor="#627c66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" path="m,l,,1,79r2,80l12,317,23,476,39,634,58,792,83,948r24,138l135,1223r5,49l138,1262,105,1106,77,949,53,792,35,634,20,476,9,317,2,159,,79,,xe" fillcolor="#627c66 [3215]" strokecolor="#627c66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" path="m45,r,l35,66r-9,67l14,267,6,401,3,534,6,669r8,134l18,854r,-3l9,814,8,803,1,669,,534,3,401,12,267,25,132,34,66,45,xe" fillcolor="#627c66 [3215]" strokecolor="#627c66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" path="m,l10,44r11,82l34,207r19,86l75,380r25,86l120,521r21,55l152,618r2,11l140,595,115,532,93,468,67,383,47,295,28,207,12,104,,xe" fillcolor="#627c66 [3215]" strokecolor="#627c66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" path="m,l33,69r-9,l12,35,,xe" fillcolor="#627c66 [3215]" strokecolor="#627c66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" path="m,l9,37r,3l15,93,5,49,,xe" fillcolor="#627c66 [3215]" strokecolor="#627c66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" path="m394,r,l356,38,319,77r-35,40l249,160r-42,58l168,276r-37,63l98,402,69,467,45,535,26,604,14,673,7,746,6,766,,749r1,-5l7,673,21,603,40,533,65,466,94,400r33,-64l164,275r40,-60l248,158r34,-42l318,76,354,37,394,xe" fillcolor="#627c66 [3215]" strokecolor="#627c66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" path="m,l6,16r1,3l11,80r9,52l33,185r3,9l21,161,15,145,5,81,1,41,,xe" fillcolor="#627c66 [3215]" strokecolor="#627c66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" path="m,l31,65r-8,l,xe" fillcolor="#627c66 [3215]" strokecolor="#627c66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" path="m,l6,17,7,42,6,39,,23,,xe" fillcolor="#627c66 [3215]" strokecolor="#627c66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" path="m,l6,16,21,49,33,84r12,34l44,118,13,53,11,42,,xe" fillcolor="#627c66 [3215]" strokecolor="#627c66 [3215]" strokeweight="0">
                          <v:path arrowok="t" o:connecttype="custom" o:connectlocs="0,0;9525,25400;33338,77788;52388,133350;71438,187325;69850,187325;20638,84138;17463,66675;0,0" o:connectangles="0,0,0,0,0,0,0,0,0"/>
                        </v:shape>
                      </v:group>
                      <v:group id="Group 714916846"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" path="m,l41,155,86,309r39,116l125,450,79,311,41,183,7,54,,xe" fillcolor="#627c66 [3215]" strokecolor="#627c66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" path="m,l8,20,37,96r32,74l118,275r-9,l61,174,30,100,,26,,xe" fillcolor="#627c66 [3215]" strokecolor="#627c66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" path="m,l16,72r4,49l18,112,,31,,xe" fillcolor="#627c66 [3215]" strokecolor="#627c66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" path="m,l11,46r11,83l36,211r19,90l76,389r27,87l123,533r21,55l155,632r3,11l142,608,118,544,95,478,69,391,47,302,29,212,13,107,,xe" fillcolor="#627c66 [3215]" strokecolor="#627c66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" path="m,l33,71r-9,l11,36,,xe" fillcolor="#627c66 [3215]" strokecolor="#627c66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" path="m,l8,37r,4l15,95,4,49,,xe" fillcolor="#627c66 [3215]" strokecolor="#627c66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" path="m402,r,1l363,39,325,79r-35,42l255,164r-44,58l171,284r-38,62l100,411,71,478,45,546,27,617,13,689,7,761r,21l,765r1,-4l7,688,21,616,40,545,66,475,95,409r35,-66l167,281r42,-61l253,163r34,-43l324,78,362,38,402,xe" fillcolor="#627c66 [3215]" strokecolor="#627c66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" path="m,l6,15r1,3l12,80r9,54l33,188r4,8l22,162,15,146,5,81,1,40,,xe" fillcolor="#627c66 [3215]" strokecolor="#627c66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" path="m,l31,66r-7,l,xe" fillcolor="#627c66 [3215]" strokecolor="#627c66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" path="m,l7,17r,26l6,40,,25,,xe" fillcolor="#627c66 [3215]" strokecolor="#627c66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" path="m,l7,16,22,50,33,86r13,35l45,121,14,55,11,44,,xe" fillcolor="#627c66 [3215]" strokecolor="#627c66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B7BC474" w14:textId="77777777" w:rsidR="00BE217D" w:rsidRDefault="00F7267F">
          <w:pPr>
            <w:rPr>
              <w:rFonts w:ascii="Arial" w:hAnsi="Arial" w:cs="Arial"/>
              <w:szCs w:val="24"/>
            </w:rPr>
          </w:pPr>
          <w:r>
            <w:rPr>
              <w:noProof/>
            </w:rPr>
            <mc:AlternateContent>
              <mc:Choice Requires="wps">
                <w:drawing>
                  <wp:anchor distT="0" distB="0" distL="114300" distR="114300" simplePos="0" relativeHeight="251661312" behindDoc="0" locked="0" layoutInCell="1" allowOverlap="1" wp14:anchorId="0DFB4E6E" wp14:editId="710B5C8D">
                    <wp:simplePos x="0" y="0"/>
                    <wp:positionH relativeFrom="page">
                      <wp:posOffset>2461846</wp:posOffset>
                    </wp:positionH>
                    <wp:positionV relativeFrom="page">
                      <wp:posOffset>8851825</wp:posOffset>
                    </wp:positionV>
                    <wp:extent cx="4298356" cy="365760"/>
                    <wp:effectExtent l="0" t="0" r="6985" b="11430"/>
                    <wp:wrapNone/>
                    <wp:docPr id="1914356945" name="Text Box 28"/>
                    <wp:cNvGraphicFramePr/>
                    <a:graphic xmlns:a="http://schemas.openxmlformats.org/drawingml/2006/main">
                      <a:graphicData uri="http://schemas.microsoft.com/office/word/2010/wordprocessingShape">
                        <wps:wsp>
                          <wps:cNvSpPr txBox="1"/>
                          <wps:spPr>
                            <a:xfrm>
                              <a:off x="0" y="0"/>
                              <a:ext cx="429835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EAD22" w14:textId="7323CE8D" w:rsidR="004C552D" w:rsidRPr="00F7267F" w:rsidRDefault="00551F53">
                                <w:pPr>
                                  <w:pStyle w:val="NoSpacing"/>
                                  <w:rPr>
                                    <w:b/>
                                    <w:bCs/>
                                    <w:color w:val="C9A86A" w:themeColor="accent1"/>
                                    <w:sz w:val="32"/>
                                    <w:szCs w:val="32"/>
                                  </w:rPr>
                                </w:pPr>
                                <w:sdt>
                                  <w:sdtPr>
                                    <w:rPr>
                                      <w:rFonts w:ascii="Arial" w:hAnsi="Arial" w:cs="Arial"/>
                                      <w:b/>
                                      <w:bCs/>
                                      <w:i/>
                                      <w:color w:val="595959"/>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00D0D">
                                      <w:rPr>
                                        <w:rFonts w:ascii="Arial" w:hAnsi="Arial" w:cs="Arial"/>
                                        <w:b/>
                                        <w:bCs/>
                                        <w:i/>
                                        <w:color w:val="595959"/>
                                        <w:sz w:val="32"/>
                                        <w:szCs w:val="32"/>
                                      </w:rPr>
                                      <w:t>Alina Marcu</w:t>
                                    </w:r>
                                  </w:sdtContent>
                                </w:sdt>
                              </w:p>
                              <w:p w14:paraId="3FE4E0EC" w14:textId="32C859F3" w:rsidR="004C552D" w:rsidRDefault="004C552D">
                                <w:pPr>
                                  <w:pStyle w:val="NoSpacing"/>
                                  <w:rPr>
                                    <w:color w:val="767676"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DFB4E6E" id="Text Box 28" o:spid="_x0000_s1056" type="#_x0000_t202" style="position:absolute;margin-left:193.85pt;margin-top:697pt;width:338.4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" filled="f" stroked="f" strokeweight=".5pt">
                    <v:textbox style="mso-fit-shape-to-text:t" inset="0,0,0,0">
                      <w:txbxContent>
                        <w:p w14:paraId="7C1EAD22" w14:textId="7323CE8D" w:rsidR="004C552D" w:rsidRPr="00F7267F" w:rsidRDefault="00551F53">
                          <w:pPr>
                            <w:pStyle w:val="NoSpacing"/>
                            <w:rPr>
                              <w:b/>
                              <w:bCs/>
                              <w:color w:val="C9A86A" w:themeColor="accent1"/>
                              <w:sz w:val="32"/>
                              <w:szCs w:val="32"/>
                            </w:rPr>
                          </w:pPr>
                          <w:sdt>
                            <w:sdtPr>
                              <w:rPr>
                                <w:rFonts w:ascii="Arial" w:hAnsi="Arial" w:cs="Arial"/>
                                <w:b/>
                                <w:bCs/>
                                <w:i/>
                                <w:color w:val="595959"/>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00D0D">
                                <w:rPr>
                                  <w:rFonts w:ascii="Arial" w:hAnsi="Arial" w:cs="Arial"/>
                                  <w:b/>
                                  <w:bCs/>
                                  <w:i/>
                                  <w:color w:val="595959"/>
                                  <w:sz w:val="32"/>
                                  <w:szCs w:val="32"/>
                                </w:rPr>
                                <w:t>Alina Marcu</w:t>
                              </w:r>
                            </w:sdtContent>
                          </w:sdt>
                        </w:p>
                        <w:p w14:paraId="3FE4E0EC" w14:textId="32C859F3" w:rsidR="004C552D" w:rsidRDefault="004C552D">
                          <w:pPr>
                            <w:pStyle w:val="NoSpacing"/>
                            <w:rPr>
                              <w:color w:val="767676" w:themeColor="text1" w:themeTint="A6"/>
                              <w:sz w:val="20"/>
                              <w:szCs w:val="20"/>
                            </w:rPr>
                          </w:pPr>
                        </w:p>
                      </w:txbxContent>
                    </v:textbox>
                    <w10:wrap anchorx="page" anchory="page"/>
                  </v:shape>
                </w:pict>
              </mc:Fallback>
            </mc:AlternateContent>
          </w:r>
        </w:p>
        <w:p w14:paraId="42213E3C" w14:textId="77777777" w:rsidR="00BE217D" w:rsidRPr="00BE217D" w:rsidRDefault="00BE217D" w:rsidP="00BE217D">
          <w:pPr>
            <w:rPr>
              <w:rFonts w:ascii="Arial" w:hAnsi="Arial" w:cs="Arial"/>
              <w:szCs w:val="24"/>
            </w:rPr>
          </w:pPr>
        </w:p>
        <w:p w14:paraId="68C1492E" w14:textId="77777777" w:rsidR="00BE217D" w:rsidRPr="00BE217D" w:rsidRDefault="00BE217D" w:rsidP="00BE217D">
          <w:pPr>
            <w:rPr>
              <w:rFonts w:ascii="Arial" w:hAnsi="Arial" w:cs="Arial"/>
              <w:szCs w:val="24"/>
            </w:rPr>
          </w:pPr>
        </w:p>
        <w:p w14:paraId="498545C1" w14:textId="18D1EC16" w:rsidR="00BE217D" w:rsidRDefault="00BE217D" w:rsidP="00BE217D">
          <w:pPr>
            <w:tabs>
              <w:tab w:val="left" w:pos="3630"/>
            </w:tabs>
            <w:rPr>
              <w:rFonts w:ascii="Arial" w:hAnsi="Arial" w:cs="Arial"/>
              <w:szCs w:val="24"/>
            </w:rPr>
          </w:pPr>
          <w:r>
            <w:rPr>
              <w:rFonts w:ascii="Arial" w:hAnsi="Arial" w:cs="Arial"/>
              <w:szCs w:val="24"/>
            </w:rPr>
            <w:tab/>
          </w:r>
        </w:p>
        <w:p w14:paraId="4FBE4B43" w14:textId="489AB54B" w:rsidR="00474687" w:rsidRPr="004A27DD" w:rsidRDefault="00BE217D" w:rsidP="008007CA">
          <w:pPr>
            <w:jc w:val="both"/>
            <w:rPr>
              <w:rFonts w:ascii="Arial" w:hAnsi="Arial" w:cs="Arial"/>
              <w:b/>
              <w:bCs/>
              <w:sz w:val="28"/>
              <w:szCs w:val="28"/>
            </w:rPr>
          </w:pPr>
          <w:r w:rsidRPr="004A27DD">
            <w:rPr>
              <w:rFonts w:ascii="Arial" w:hAnsi="Arial" w:cs="Arial"/>
              <w:b/>
              <w:bCs/>
              <w:sz w:val="28"/>
              <w:szCs w:val="28"/>
            </w:rPr>
            <w:t xml:space="preserve">                                                    </w:t>
          </w:r>
          <w:r w:rsidR="00474687" w:rsidRPr="004A27DD">
            <w:rPr>
              <w:rFonts w:ascii="Arial" w:hAnsi="Arial" w:cs="Arial"/>
              <w:b/>
              <w:bCs/>
              <w:sz w:val="28"/>
              <w:szCs w:val="28"/>
            </w:rPr>
            <w:t xml:space="preserve"> Module: Advanced Cybersecurity</w:t>
          </w:r>
        </w:p>
        <w:p w14:paraId="5BE51B9E" w14:textId="7229E45F" w:rsidR="00BE217D" w:rsidRPr="004A27DD" w:rsidRDefault="00474687" w:rsidP="008007CA">
          <w:pPr>
            <w:tabs>
              <w:tab w:val="left" w:pos="3630"/>
            </w:tabs>
            <w:jc w:val="both"/>
            <w:rPr>
              <w:rFonts w:ascii="Arial" w:hAnsi="Arial" w:cs="Arial"/>
              <w:b/>
              <w:bCs/>
              <w:sz w:val="28"/>
              <w:szCs w:val="28"/>
            </w:rPr>
          </w:pPr>
          <w:r w:rsidRPr="004A27DD">
            <w:rPr>
              <w:rFonts w:ascii="Arial" w:hAnsi="Arial" w:cs="Arial"/>
              <w:b/>
              <w:bCs/>
              <w:sz w:val="28"/>
              <w:szCs w:val="28"/>
            </w:rPr>
            <w:t xml:space="preserve">                                                   </w:t>
          </w:r>
          <w:r w:rsidR="001639F3" w:rsidRPr="004A27DD">
            <w:rPr>
              <w:rFonts w:ascii="Arial" w:hAnsi="Arial" w:cs="Arial"/>
              <w:b/>
              <w:bCs/>
              <w:sz w:val="28"/>
              <w:szCs w:val="28"/>
            </w:rPr>
            <w:t xml:space="preserve"> </w:t>
          </w:r>
          <w:r w:rsidRPr="004A27DD">
            <w:rPr>
              <w:rFonts w:ascii="Arial" w:hAnsi="Arial" w:cs="Arial"/>
              <w:b/>
              <w:bCs/>
              <w:sz w:val="28"/>
              <w:szCs w:val="28"/>
            </w:rPr>
            <w:t xml:space="preserve"> Module Code: ACCB6000</w:t>
          </w:r>
        </w:p>
        <w:p w14:paraId="2DFF088A" w14:textId="6A3D3C25" w:rsidR="000B5A69" w:rsidRPr="004A27DD" w:rsidRDefault="000B5A69" w:rsidP="008007CA">
          <w:pPr>
            <w:tabs>
              <w:tab w:val="left" w:pos="3630"/>
            </w:tabs>
            <w:jc w:val="both"/>
            <w:rPr>
              <w:rFonts w:ascii="Arial" w:hAnsi="Arial" w:cs="Arial"/>
              <w:b/>
              <w:bCs/>
              <w:sz w:val="28"/>
              <w:szCs w:val="28"/>
            </w:rPr>
          </w:pPr>
          <w:r w:rsidRPr="004A27DD">
            <w:rPr>
              <w:rFonts w:ascii="Arial" w:hAnsi="Arial" w:cs="Arial"/>
              <w:b/>
              <w:bCs/>
              <w:sz w:val="28"/>
              <w:szCs w:val="28"/>
            </w:rPr>
            <w:t xml:space="preserve">                           Programme: Computer Networks and Cyber Security</w:t>
          </w:r>
        </w:p>
        <w:p w14:paraId="154BC9A6" w14:textId="51B18DA8" w:rsidR="000B5A69" w:rsidRPr="004A27DD" w:rsidRDefault="001639F3" w:rsidP="008007CA">
          <w:pPr>
            <w:tabs>
              <w:tab w:val="left" w:pos="3630"/>
            </w:tabs>
            <w:jc w:val="both"/>
            <w:rPr>
              <w:rFonts w:ascii="Arial" w:hAnsi="Arial" w:cs="Arial"/>
              <w:b/>
              <w:bCs/>
              <w:sz w:val="28"/>
              <w:szCs w:val="28"/>
            </w:rPr>
          </w:pPr>
          <w:r w:rsidRPr="004A27DD">
            <w:rPr>
              <w:rFonts w:ascii="Arial" w:hAnsi="Arial" w:cs="Arial"/>
              <w:b/>
              <w:bCs/>
              <w:sz w:val="28"/>
              <w:szCs w:val="28"/>
            </w:rPr>
            <w:t xml:space="preserve">                                                    Lecturer: Dr. Mohamed Ghanem</w:t>
          </w:r>
          <w:r w:rsidR="008007CA" w:rsidRPr="004A27DD">
            <w:rPr>
              <w:rFonts w:ascii="Arial" w:hAnsi="Arial" w:cs="Arial"/>
              <w:b/>
              <w:bCs/>
              <w:sz w:val="28"/>
              <w:szCs w:val="28"/>
            </w:rPr>
            <w:t xml:space="preserve">                                                                                                    </w:t>
          </w:r>
        </w:p>
        <w:p w14:paraId="0A65D40C" w14:textId="6F0EB8AB" w:rsidR="008007CA" w:rsidRPr="004A27DD" w:rsidRDefault="008007CA" w:rsidP="008007CA">
          <w:pPr>
            <w:tabs>
              <w:tab w:val="left" w:pos="3630"/>
            </w:tabs>
            <w:jc w:val="both"/>
            <w:rPr>
              <w:rFonts w:ascii="Arial" w:hAnsi="Arial" w:cs="Arial"/>
              <w:b/>
              <w:bCs/>
              <w:sz w:val="28"/>
              <w:szCs w:val="28"/>
            </w:rPr>
          </w:pPr>
          <w:r w:rsidRPr="004A27DD">
            <w:rPr>
              <w:rFonts w:ascii="Arial" w:hAnsi="Arial" w:cs="Arial"/>
              <w:b/>
              <w:bCs/>
              <w:sz w:val="28"/>
              <w:szCs w:val="28"/>
            </w:rPr>
            <w:t xml:space="preserve">                                                    Student Name: Ionela Alina Marcu                                                                                                                             </w:t>
          </w:r>
        </w:p>
        <w:p w14:paraId="0C8FB698" w14:textId="16F63A33" w:rsidR="008007CA" w:rsidRPr="004A27DD" w:rsidRDefault="008007CA" w:rsidP="008007CA">
          <w:pPr>
            <w:tabs>
              <w:tab w:val="left" w:pos="3630"/>
            </w:tabs>
            <w:jc w:val="both"/>
            <w:rPr>
              <w:rFonts w:ascii="Arial" w:hAnsi="Arial" w:cs="Arial"/>
              <w:b/>
              <w:bCs/>
              <w:sz w:val="28"/>
              <w:szCs w:val="28"/>
            </w:rPr>
          </w:pPr>
          <w:r w:rsidRPr="004A27DD">
            <w:rPr>
              <w:rFonts w:ascii="Arial" w:hAnsi="Arial" w:cs="Arial"/>
              <w:b/>
              <w:bCs/>
              <w:sz w:val="28"/>
              <w:szCs w:val="28"/>
            </w:rPr>
            <w:t xml:space="preserve">                                                     Student ID: 2321713</w:t>
          </w:r>
        </w:p>
        <w:p w14:paraId="1EAD02AE" w14:textId="34AEBEAB" w:rsidR="001731DA" w:rsidRPr="00911A96" w:rsidRDefault="004C552D" w:rsidP="00E66924">
          <w:pPr>
            <w:rPr>
              <w:rFonts w:ascii="Arial" w:hAnsi="Arial" w:cs="Arial"/>
              <w:szCs w:val="24"/>
            </w:rPr>
          </w:pPr>
          <w:r w:rsidRPr="00BE217D">
            <w:rPr>
              <w:rFonts w:ascii="Arial" w:hAnsi="Arial" w:cs="Arial"/>
              <w:szCs w:val="24"/>
            </w:rPr>
            <w:br w:type="page"/>
          </w:r>
        </w:p>
      </w:sdtContent>
    </w:sdt>
    <w:sdt>
      <w:sdtPr>
        <w:rPr>
          <w:rFonts w:ascii="Times New Roman" w:eastAsiaTheme="minorEastAsia" w:hAnsi="Times New Roman" w:cstheme="minorBidi"/>
          <w:b w:val="0"/>
          <w:bCs w:val="0"/>
          <w:color w:val="auto"/>
          <w:sz w:val="24"/>
          <w:szCs w:val="22"/>
          <w:lang w:val="en-GB"/>
        </w:rPr>
        <w:id w:val="-1185282519"/>
        <w:docPartObj>
          <w:docPartGallery w:val="Table of Contents"/>
          <w:docPartUnique/>
        </w:docPartObj>
      </w:sdtPr>
      <w:sdtEndPr>
        <w:rPr>
          <w:lang w:val="en-US"/>
        </w:rPr>
      </w:sdtEndPr>
      <w:sdtContent>
        <w:p w14:paraId="0AE8FDD6" w14:textId="22241103" w:rsidR="000A5DBD" w:rsidRPr="00E17E59" w:rsidRDefault="000A5DBD">
          <w:pPr>
            <w:pStyle w:val="TOCHeading"/>
            <w:rPr>
              <w:rFonts w:ascii="Arial" w:hAnsi="Arial" w:cs="Arial"/>
              <w:sz w:val="32"/>
              <w:szCs w:val="32"/>
            </w:rPr>
          </w:pPr>
          <w:r w:rsidRPr="00E17E59">
            <w:rPr>
              <w:rFonts w:ascii="Arial" w:hAnsi="Arial" w:cs="Arial"/>
              <w:sz w:val="32"/>
              <w:szCs w:val="32"/>
              <w:lang w:val="en-GB"/>
            </w:rPr>
            <w:t>Table of Contents</w:t>
          </w:r>
        </w:p>
        <w:p w14:paraId="22E9127C" w14:textId="481B7D43" w:rsidR="000A5DBD" w:rsidRPr="00D94E4F" w:rsidRDefault="000A5DBD">
          <w:pPr>
            <w:pStyle w:val="TOC1"/>
            <w:tabs>
              <w:tab w:val="right" w:leader="dot" w:pos="9350"/>
            </w:tabs>
            <w:rPr>
              <w:rFonts w:ascii="Arial" w:hAnsi="Arial" w:cs="Arial"/>
              <w:noProof/>
              <w:kern w:val="2"/>
              <w:sz w:val="24"/>
              <w:szCs w:val="24"/>
              <w14:ligatures w14:val="standardContextual"/>
            </w:rPr>
          </w:pPr>
          <w:r w:rsidRPr="00D94E4F">
            <w:rPr>
              <w:rFonts w:ascii="Arial" w:hAnsi="Arial" w:cs="Arial"/>
              <w:sz w:val="24"/>
              <w:szCs w:val="24"/>
            </w:rPr>
            <w:fldChar w:fldCharType="begin"/>
          </w:r>
          <w:r w:rsidRPr="00D94E4F">
            <w:rPr>
              <w:rFonts w:ascii="Arial" w:hAnsi="Arial" w:cs="Arial"/>
              <w:sz w:val="24"/>
              <w:szCs w:val="24"/>
            </w:rPr>
            <w:instrText xml:space="preserve"> TOC \o "1-3" \h \z \u </w:instrText>
          </w:r>
          <w:r w:rsidRPr="00D94E4F">
            <w:rPr>
              <w:rFonts w:ascii="Arial" w:hAnsi="Arial" w:cs="Arial"/>
              <w:sz w:val="24"/>
              <w:szCs w:val="24"/>
            </w:rPr>
            <w:fldChar w:fldCharType="separate"/>
          </w:r>
          <w:hyperlink w:anchor="_Toc227003896" w:history="1">
            <w:r w:rsidRPr="00D94E4F">
              <w:rPr>
                <w:rStyle w:val="Hyperlink"/>
                <w:rFonts w:ascii="Arial" w:hAnsi="Arial" w:cs="Arial"/>
                <w:noProof/>
                <w:sz w:val="24"/>
                <w:szCs w:val="24"/>
              </w:rPr>
              <w:t>1. Introduction</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_Toc227003896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w:t>
            </w:r>
            <w:r w:rsidRPr="00D94E4F">
              <w:rPr>
                <w:rFonts w:ascii="Arial" w:hAnsi="Arial" w:cs="Arial"/>
                <w:noProof/>
                <w:webHidden/>
                <w:sz w:val="24"/>
                <w:szCs w:val="24"/>
              </w:rPr>
              <w:fldChar w:fldCharType="end"/>
            </w:r>
          </w:hyperlink>
        </w:p>
        <w:p w14:paraId="6276E7A7" w14:textId="068D5332"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897" w:history="1">
            <w:r w:rsidRPr="00D94E4F">
              <w:rPr>
                <w:rStyle w:val="Hyperlink"/>
                <w:rFonts w:ascii="Arial" w:hAnsi="Arial" w:cs="Arial"/>
                <w:noProof/>
                <w:sz w:val="24"/>
                <w:szCs w:val="24"/>
              </w:rPr>
              <w:t>2. Network Topology Overview</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_Toc227003897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w:t>
            </w:r>
            <w:r w:rsidRPr="00D94E4F">
              <w:rPr>
                <w:rFonts w:ascii="Arial" w:hAnsi="Arial" w:cs="Arial"/>
                <w:noProof/>
                <w:webHidden/>
                <w:sz w:val="24"/>
                <w:szCs w:val="24"/>
              </w:rPr>
              <w:fldChar w:fldCharType="end"/>
            </w:r>
          </w:hyperlink>
        </w:p>
        <w:p w14:paraId="06A1CBE3" w14:textId="5685F9B3"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898" w:history="1">
            <w:r w:rsidRPr="00D94E4F">
              <w:rPr>
                <w:rStyle w:val="Hyperlink"/>
                <w:rFonts w:ascii="Arial" w:hAnsi="Arial" w:cs="Arial"/>
                <w:noProof/>
                <w:sz w:val="24"/>
                <w:szCs w:val="24"/>
              </w:rPr>
              <w:t>3. Task 1: Network Verification</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_Toc227003898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w:t>
            </w:r>
            <w:r w:rsidRPr="00D94E4F">
              <w:rPr>
                <w:rFonts w:ascii="Arial" w:hAnsi="Arial" w:cs="Arial"/>
                <w:noProof/>
                <w:webHidden/>
                <w:sz w:val="24"/>
                <w:szCs w:val="24"/>
              </w:rPr>
              <w:fldChar w:fldCharType="end"/>
            </w:r>
          </w:hyperlink>
        </w:p>
        <w:p w14:paraId="08176B41" w14:textId="7EBCE9EF"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899" w:history="1">
            <w:r w:rsidRPr="00D94E4F">
              <w:rPr>
                <w:rStyle w:val="Hyperlink"/>
                <w:rFonts w:ascii="Arial" w:hAnsi="Arial" w:cs="Arial"/>
                <w:noProof/>
                <w:sz w:val="24"/>
                <w:szCs w:val="24"/>
              </w:rPr>
              <w:t>3.1 S-DC Network Tests</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_Toc227003899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w:t>
            </w:r>
            <w:r w:rsidRPr="00D94E4F">
              <w:rPr>
                <w:rFonts w:ascii="Arial" w:hAnsi="Arial" w:cs="Arial"/>
                <w:noProof/>
                <w:webHidden/>
                <w:sz w:val="24"/>
                <w:szCs w:val="24"/>
              </w:rPr>
              <w:fldChar w:fldCharType="end"/>
            </w:r>
          </w:hyperlink>
        </w:p>
        <w:p w14:paraId="057A6167" w14:textId="09F455A4"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0" w:history="1">
            <w:r w:rsidRPr="00D94E4F">
              <w:rPr>
                <w:rStyle w:val="Hyperlink"/>
                <w:rFonts w:ascii="Arial" w:hAnsi="Arial" w:cs="Arial"/>
                <w:noProof/>
                <w:sz w:val="24"/>
                <w:szCs w:val="24"/>
              </w:rPr>
              <w:t>3.2 L-CD Network Tests</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_Toc227003900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6</w:t>
            </w:r>
            <w:r w:rsidRPr="00D94E4F">
              <w:rPr>
                <w:rFonts w:ascii="Arial" w:hAnsi="Arial" w:cs="Arial"/>
                <w:noProof/>
                <w:webHidden/>
                <w:sz w:val="24"/>
                <w:szCs w:val="24"/>
              </w:rPr>
              <w:fldChar w:fldCharType="end"/>
            </w:r>
          </w:hyperlink>
        </w:p>
        <w:p w14:paraId="42F75627" w14:textId="200603E3"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01" w:history="1">
            <w:r w:rsidRPr="00D94E4F">
              <w:rPr>
                <w:rStyle w:val="Hyperlink"/>
                <w:rFonts w:ascii="Arial" w:hAnsi="Arial" w:cs="Arial"/>
                <w:noProof/>
                <w:sz w:val="24"/>
                <w:szCs w:val="24"/>
              </w:rPr>
              <w:t>4. Task 2: Network Security Assessment</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_Toc227003901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9</w:t>
            </w:r>
            <w:r w:rsidRPr="00D94E4F">
              <w:rPr>
                <w:rFonts w:ascii="Arial" w:hAnsi="Arial" w:cs="Arial"/>
                <w:noProof/>
                <w:webHidden/>
                <w:sz w:val="24"/>
                <w:szCs w:val="24"/>
              </w:rPr>
              <w:fldChar w:fldCharType="end"/>
            </w:r>
          </w:hyperlink>
        </w:p>
        <w:p w14:paraId="25B0F6AD" w14:textId="3FEBDB10"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2" w:history="1">
            <w:r w:rsidRPr="00D94E4F">
              <w:rPr>
                <w:rStyle w:val="Hyperlink"/>
                <w:rFonts w:ascii="Arial" w:hAnsi="Arial" w:cs="Arial"/>
                <w:noProof/>
                <w:sz w:val="24"/>
                <w:szCs w:val="24"/>
              </w:rPr>
              <w:t>4.1 Security-Focused OS Deployment (Kali Linux)</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_Toc227003902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9</w:t>
            </w:r>
            <w:r w:rsidRPr="00D94E4F">
              <w:rPr>
                <w:rFonts w:ascii="Arial" w:hAnsi="Arial" w:cs="Arial"/>
                <w:noProof/>
                <w:webHidden/>
                <w:sz w:val="24"/>
                <w:szCs w:val="24"/>
              </w:rPr>
              <w:fldChar w:fldCharType="end"/>
            </w:r>
          </w:hyperlink>
        </w:p>
        <w:p w14:paraId="10F422E4" w14:textId="68B9B068"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3" w:history="1">
            <w:r w:rsidRPr="00D94E4F">
              <w:rPr>
                <w:rStyle w:val="Hyperlink"/>
                <w:rFonts w:ascii="Arial" w:hAnsi="Arial" w:cs="Arial"/>
                <w:noProof/>
                <w:sz w:val="24"/>
                <w:szCs w:val="24"/>
              </w:rPr>
              <w:t>4.2 Information Gathering and Reconnaissance</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_Toc227003903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11</w:t>
            </w:r>
            <w:r w:rsidRPr="00D94E4F">
              <w:rPr>
                <w:rFonts w:ascii="Arial" w:hAnsi="Arial" w:cs="Arial"/>
                <w:noProof/>
                <w:webHidden/>
                <w:sz w:val="24"/>
                <w:szCs w:val="24"/>
              </w:rPr>
              <w:fldChar w:fldCharType="end"/>
            </w:r>
          </w:hyperlink>
        </w:p>
        <w:p w14:paraId="00EB48B8" w14:textId="51BEB99E"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4" w:history="1">
            <w:r w:rsidRPr="00D94E4F">
              <w:rPr>
                <w:rStyle w:val="Hyperlink"/>
                <w:rFonts w:ascii="Arial" w:hAnsi="Arial" w:cs="Arial"/>
                <w:noProof/>
                <w:sz w:val="24"/>
                <w:szCs w:val="24"/>
              </w:rPr>
              <w:t>4.3 Vulnerability Assessment</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_Toc227003904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15</w:t>
            </w:r>
            <w:r w:rsidRPr="00D94E4F">
              <w:rPr>
                <w:rFonts w:ascii="Arial" w:hAnsi="Arial" w:cs="Arial"/>
                <w:noProof/>
                <w:webHidden/>
                <w:sz w:val="24"/>
                <w:szCs w:val="24"/>
              </w:rPr>
              <w:fldChar w:fldCharType="end"/>
            </w:r>
          </w:hyperlink>
        </w:p>
        <w:p w14:paraId="5D515DAF" w14:textId="684EBB1B"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05" w:history="1">
            <w:r w:rsidRPr="00D94E4F">
              <w:rPr>
                <w:rStyle w:val="Hyperlink"/>
                <w:rFonts w:ascii="Arial" w:hAnsi="Arial" w:cs="Arial"/>
                <w:noProof/>
                <w:sz w:val="24"/>
                <w:szCs w:val="24"/>
              </w:rPr>
              <w:t>5. Task 3: Ethical Hacking of SWANSEA.ACCA</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_Toc227003905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18</w:t>
            </w:r>
            <w:r w:rsidRPr="00D94E4F">
              <w:rPr>
                <w:rFonts w:ascii="Arial" w:hAnsi="Arial" w:cs="Arial"/>
                <w:noProof/>
                <w:webHidden/>
                <w:sz w:val="24"/>
                <w:szCs w:val="24"/>
              </w:rPr>
              <w:fldChar w:fldCharType="end"/>
            </w:r>
          </w:hyperlink>
        </w:p>
        <w:p w14:paraId="1583EE2D" w14:textId="7F76DB55"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6" w:history="1">
            <w:r w:rsidRPr="00D94E4F">
              <w:rPr>
                <w:rStyle w:val="Hyperlink"/>
                <w:rFonts w:ascii="Arial" w:hAnsi="Arial" w:cs="Arial"/>
                <w:noProof/>
                <w:sz w:val="24"/>
                <w:szCs w:val="24"/>
              </w:rPr>
              <w:t>5.1 Vulnerability Confirmation with Nmap NSE Scripts</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_Toc227003906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18</w:t>
            </w:r>
            <w:r w:rsidRPr="00D94E4F">
              <w:rPr>
                <w:rFonts w:ascii="Arial" w:hAnsi="Arial" w:cs="Arial"/>
                <w:noProof/>
                <w:webHidden/>
                <w:sz w:val="24"/>
                <w:szCs w:val="24"/>
              </w:rPr>
              <w:fldChar w:fldCharType="end"/>
            </w:r>
          </w:hyperlink>
        </w:p>
        <w:p w14:paraId="0154ECFF" w14:textId="7DA99CAF"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7" w:history="1">
            <w:r w:rsidRPr="00D94E4F">
              <w:rPr>
                <w:rStyle w:val="Hyperlink"/>
                <w:rFonts w:ascii="Arial" w:hAnsi="Arial" w:cs="Arial"/>
                <w:noProof/>
                <w:sz w:val="24"/>
                <w:szCs w:val="24"/>
              </w:rPr>
              <w:t>5.1.1 SWEET32 Confirmation — SSL Cipher Enumeration (V-01)</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_Toc227003907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18</w:t>
            </w:r>
            <w:r w:rsidRPr="00D94E4F">
              <w:rPr>
                <w:rFonts w:ascii="Arial" w:hAnsi="Arial" w:cs="Arial"/>
                <w:noProof/>
                <w:webHidden/>
                <w:sz w:val="24"/>
                <w:szCs w:val="24"/>
              </w:rPr>
              <w:fldChar w:fldCharType="end"/>
            </w:r>
          </w:hyperlink>
        </w:p>
        <w:p w14:paraId="3214B267" w14:textId="10AAFB74"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8" w:history="1">
            <w:r w:rsidRPr="00D94E4F">
              <w:rPr>
                <w:rStyle w:val="Hyperlink"/>
                <w:rFonts w:ascii="Arial" w:hAnsi="Arial" w:cs="Arial"/>
                <w:noProof/>
                <w:sz w:val="24"/>
                <w:szCs w:val="24"/>
              </w:rPr>
              <w:t>5.1.2 SMB Signing Disabled Confirmation (V-02)</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_Toc227003908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19</w:t>
            </w:r>
            <w:r w:rsidRPr="00D94E4F">
              <w:rPr>
                <w:rFonts w:ascii="Arial" w:hAnsi="Arial" w:cs="Arial"/>
                <w:noProof/>
                <w:webHidden/>
                <w:sz w:val="24"/>
                <w:szCs w:val="24"/>
              </w:rPr>
              <w:fldChar w:fldCharType="end"/>
            </w:r>
          </w:hyperlink>
        </w:p>
        <w:p w14:paraId="5F0CE2FF" w14:textId="064A8A35"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09" w:history="1">
            <w:r w:rsidRPr="00D94E4F">
              <w:rPr>
                <w:rStyle w:val="Hyperlink"/>
                <w:rFonts w:ascii="Arial" w:hAnsi="Arial" w:cs="Arial"/>
                <w:noProof/>
                <w:sz w:val="24"/>
                <w:szCs w:val="24"/>
              </w:rPr>
              <w:t>5.1.3 Echo Service Confirmation (V-03)</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_Toc227003909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20</w:t>
            </w:r>
            <w:r w:rsidRPr="00D94E4F">
              <w:rPr>
                <w:rFonts w:ascii="Arial" w:hAnsi="Arial" w:cs="Arial"/>
                <w:noProof/>
                <w:webHidden/>
                <w:sz w:val="24"/>
                <w:szCs w:val="24"/>
              </w:rPr>
              <w:fldChar w:fldCharType="end"/>
            </w:r>
          </w:hyperlink>
        </w:p>
        <w:p w14:paraId="0C6D4438" w14:textId="70A802C2"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10" w:history="1">
            <w:r w:rsidRPr="00D94E4F">
              <w:rPr>
                <w:rStyle w:val="Hyperlink"/>
                <w:rFonts w:ascii="Arial" w:hAnsi="Arial" w:cs="Arial"/>
                <w:noProof/>
                <w:sz w:val="24"/>
                <w:szCs w:val="24"/>
              </w:rPr>
              <w:t>5.2 Exploitation Methodology</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_Toc227003910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21</w:t>
            </w:r>
            <w:r w:rsidRPr="00D94E4F">
              <w:rPr>
                <w:rFonts w:ascii="Arial" w:hAnsi="Arial" w:cs="Arial"/>
                <w:noProof/>
                <w:webHidden/>
                <w:sz w:val="24"/>
                <w:szCs w:val="24"/>
              </w:rPr>
              <w:fldChar w:fldCharType="end"/>
            </w:r>
          </w:hyperlink>
        </w:p>
        <w:p w14:paraId="56DEBF9B" w14:textId="315719CA"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1" w:history="1">
            <w:r w:rsidRPr="00D94E4F">
              <w:rPr>
                <w:rStyle w:val="Hyperlink"/>
                <w:rFonts w:ascii="Arial" w:hAnsi="Arial" w:cs="Arial"/>
                <w:noProof/>
                <w:sz w:val="24"/>
                <w:szCs w:val="24"/>
              </w:rPr>
              <w:t>5.2.1 High Severity — SMB Exploitation (V-02)</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_Toc227003911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21</w:t>
            </w:r>
            <w:r w:rsidRPr="00D94E4F">
              <w:rPr>
                <w:rFonts w:ascii="Arial" w:hAnsi="Arial" w:cs="Arial"/>
                <w:noProof/>
                <w:webHidden/>
                <w:sz w:val="24"/>
                <w:szCs w:val="24"/>
              </w:rPr>
              <w:fldChar w:fldCharType="end"/>
            </w:r>
          </w:hyperlink>
        </w:p>
        <w:p w14:paraId="3A697E0B" w14:textId="11064DD5"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2" w:history="1">
            <w:r w:rsidRPr="00D94E4F">
              <w:rPr>
                <w:rStyle w:val="Hyperlink"/>
                <w:rFonts w:ascii="Arial" w:hAnsi="Arial" w:cs="Arial"/>
                <w:noProof/>
                <w:sz w:val="24"/>
                <w:szCs w:val="24"/>
              </w:rPr>
              <w:t>5.2.2 High Severity — FTP Service Exploitation</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_Toc227003912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25</w:t>
            </w:r>
            <w:r w:rsidRPr="00D94E4F">
              <w:rPr>
                <w:rFonts w:ascii="Arial" w:hAnsi="Arial" w:cs="Arial"/>
                <w:noProof/>
                <w:webHidden/>
                <w:sz w:val="24"/>
                <w:szCs w:val="24"/>
              </w:rPr>
              <w:fldChar w:fldCharType="end"/>
            </w:r>
          </w:hyperlink>
        </w:p>
        <w:p w14:paraId="7C153293" w14:textId="1293F35F"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3" w:history="1">
            <w:r w:rsidRPr="00D94E4F">
              <w:rPr>
                <w:rStyle w:val="Hyperlink"/>
                <w:rFonts w:ascii="Arial" w:hAnsi="Arial" w:cs="Arial"/>
                <w:noProof/>
                <w:sz w:val="24"/>
                <w:szCs w:val="24"/>
              </w:rPr>
              <w:t>5.2.3 Medium Severity — LDAP Information Disclosure (V-04)</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_Toc227003913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26</w:t>
            </w:r>
            <w:r w:rsidRPr="00D94E4F">
              <w:rPr>
                <w:rFonts w:ascii="Arial" w:hAnsi="Arial" w:cs="Arial"/>
                <w:noProof/>
                <w:webHidden/>
                <w:sz w:val="24"/>
                <w:szCs w:val="24"/>
              </w:rPr>
              <w:fldChar w:fldCharType="end"/>
            </w:r>
          </w:hyperlink>
        </w:p>
        <w:p w14:paraId="544235A6" w14:textId="10D29BEA"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4" w:history="1">
            <w:r w:rsidRPr="00D94E4F">
              <w:rPr>
                <w:rStyle w:val="Hyperlink"/>
                <w:rFonts w:ascii="Arial" w:hAnsi="Arial" w:cs="Arial"/>
                <w:noProof/>
                <w:sz w:val="24"/>
                <w:szCs w:val="24"/>
              </w:rPr>
              <w:t>5.2.4 Low Severity — SSH Brute Force (V-05)</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_Toc227003914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27</w:t>
            </w:r>
            <w:r w:rsidRPr="00D94E4F">
              <w:rPr>
                <w:rFonts w:ascii="Arial" w:hAnsi="Arial" w:cs="Arial"/>
                <w:noProof/>
                <w:webHidden/>
                <w:sz w:val="24"/>
                <w:szCs w:val="24"/>
              </w:rPr>
              <w:fldChar w:fldCharType="end"/>
            </w:r>
          </w:hyperlink>
        </w:p>
        <w:p w14:paraId="0B111213" w14:textId="68E952E4"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5" w:history="1">
            <w:r w:rsidRPr="00D94E4F">
              <w:rPr>
                <w:rStyle w:val="Hyperlink"/>
                <w:rFonts w:ascii="Arial" w:hAnsi="Arial" w:cs="Arial"/>
                <w:noProof/>
                <w:sz w:val="24"/>
                <w:szCs w:val="24"/>
              </w:rPr>
              <w:t>5.2.5 Medium/Low — Network Discovery (V-03/V-06)</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_Toc227003915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28</w:t>
            </w:r>
            <w:r w:rsidRPr="00D94E4F">
              <w:rPr>
                <w:rFonts w:ascii="Arial" w:hAnsi="Arial" w:cs="Arial"/>
                <w:noProof/>
                <w:webHidden/>
                <w:sz w:val="24"/>
                <w:szCs w:val="24"/>
              </w:rPr>
              <w:fldChar w:fldCharType="end"/>
            </w:r>
          </w:hyperlink>
        </w:p>
        <w:p w14:paraId="28EF248B" w14:textId="4637B4A7"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6" w:history="1">
            <w:r w:rsidRPr="00D94E4F">
              <w:rPr>
                <w:rStyle w:val="Hyperlink"/>
                <w:rFonts w:ascii="Arial" w:hAnsi="Arial" w:cs="Arial"/>
                <w:noProof/>
                <w:sz w:val="24"/>
                <w:szCs w:val="24"/>
              </w:rPr>
              <w:t>5.3 Post-Exploitation Assessment</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_Toc227003916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28</w:t>
            </w:r>
            <w:r w:rsidRPr="00D94E4F">
              <w:rPr>
                <w:rFonts w:ascii="Arial" w:hAnsi="Arial" w:cs="Arial"/>
                <w:noProof/>
                <w:webHidden/>
                <w:sz w:val="24"/>
                <w:szCs w:val="24"/>
              </w:rPr>
              <w:fldChar w:fldCharType="end"/>
            </w:r>
          </w:hyperlink>
        </w:p>
        <w:p w14:paraId="7959A077" w14:textId="25473AF4"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17" w:history="1">
            <w:r w:rsidRPr="00D94E4F">
              <w:rPr>
                <w:rStyle w:val="Hyperlink"/>
                <w:rFonts w:ascii="Arial" w:hAnsi="Arial" w:cs="Arial"/>
                <w:noProof/>
                <w:sz w:val="24"/>
                <w:szCs w:val="24"/>
              </w:rPr>
              <w:t>6. Task 4: Preventive Security Measures</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_Toc227003917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29</w:t>
            </w:r>
            <w:r w:rsidRPr="00D94E4F">
              <w:rPr>
                <w:rFonts w:ascii="Arial" w:hAnsi="Arial" w:cs="Arial"/>
                <w:noProof/>
                <w:webHidden/>
                <w:sz w:val="24"/>
                <w:szCs w:val="24"/>
              </w:rPr>
              <w:fldChar w:fldCharType="end"/>
            </w:r>
          </w:hyperlink>
        </w:p>
        <w:p w14:paraId="7E6DE95E" w14:textId="6D128B77"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8" w:history="1">
            <w:r w:rsidRPr="00D94E4F">
              <w:rPr>
                <w:rStyle w:val="Hyperlink"/>
                <w:rFonts w:ascii="Arial" w:hAnsi="Arial" w:cs="Arial"/>
                <w:noProof/>
                <w:sz w:val="24"/>
                <w:szCs w:val="24"/>
              </w:rPr>
              <w:t>6.1 Mitigate V-01 — SSL/TLS Hardening (SWEET32)</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_Toc227003918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29</w:t>
            </w:r>
            <w:r w:rsidRPr="00D94E4F">
              <w:rPr>
                <w:rFonts w:ascii="Arial" w:hAnsi="Arial" w:cs="Arial"/>
                <w:noProof/>
                <w:webHidden/>
                <w:sz w:val="24"/>
                <w:szCs w:val="24"/>
              </w:rPr>
              <w:fldChar w:fldCharType="end"/>
            </w:r>
          </w:hyperlink>
        </w:p>
        <w:p w14:paraId="599EA9F7" w14:textId="0EB8DF21"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19" w:history="1">
            <w:r w:rsidRPr="00D94E4F">
              <w:rPr>
                <w:rStyle w:val="Hyperlink"/>
                <w:rFonts w:ascii="Arial" w:hAnsi="Arial" w:cs="Arial"/>
                <w:noProof/>
                <w:sz w:val="24"/>
                <w:szCs w:val="24"/>
              </w:rPr>
              <w:t>6.2 Mitigate V-02 — SMB Signing and Password Policy</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_Toc227003919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29</w:t>
            </w:r>
            <w:r w:rsidRPr="00D94E4F">
              <w:rPr>
                <w:rFonts w:ascii="Arial" w:hAnsi="Arial" w:cs="Arial"/>
                <w:noProof/>
                <w:webHidden/>
                <w:sz w:val="24"/>
                <w:szCs w:val="24"/>
              </w:rPr>
              <w:fldChar w:fldCharType="end"/>
            </w:r>
          </w:hyperlink>
        </w:p>
        <w:p w14:paraId="36EB5B72" w14:textId="7F56464A"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20" w:history="1">
            <w:r w:rsidRPr="00D94E4F">
              <w:rPr>
                <w:rStyle w:val="Hyperlink"/>
                <w:rFonts w:ascii="Arial" w:hAnsi="Arial" w:cs="Arial"/>
                <w:noProof/>
                <w:sz w:val="24"/>
                <w:szCs w:val="24"/>
              </w:rPr>
              <w:t>6.3 Mitigate V-03 — Disable Echo Service</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_Toc227003920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29</w:t>
            </w:r>
            <w:r w:rsidRPr="00D94E4F">
              <w:rPr>
                <w:rFonts w:ascii="Arial" w:hAnsi="Arial" w:cs="Arial"/>
                <w:noProof/>
                <w:webHidden/>
                <w:sz w:val="24"/>
                <w:szCs w:val="24"/>
              </w:rPr>
              <w:fldChar w:fldCharType="end"/>
            </w:r>
          </w:hyperlink>
        </w:p>
        <w:p w14:paraId="7E2001C5" w14:textId="6E20DDAA"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21" w:history="1">
            <w:r w:rsidRPr="00D94E4F">
              <w:rPr>
                <w:rStyle w:val="Hyperlink"/>
                <w:rFonts w:ascii="Arial" w:hAnsi="Arial" w:cs="Arial"/>
                <w:noProof/>
                <w:sz w:val="24"/>
                <w:szCs w:val="24"/>
              </w:rPr>
              <w:t>6.4 Mitigate V-04 — LDAP Signing and Channel Binding</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_Toc227003921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29</w:t>
            </w:r>
            <w:r w:rsidRPr="00D94E4F">
              <w:rPr>
                <w:rFonts w:ascii="Arial" w:hAnsi="Arial" w:cs="Arial"/>
                <w:noProof/>
                <w:webHidden/>
                <w:sz w:val="24"/>
                <w:szCs w:val="24"/>
              </w:rPr>
              <w:fldChar w:fldCharType="end"/>
            </w:r>
          </w:hyperlink>
        </w:p>
        <w:p w14:paraId="2CF0EF35" w14:textId="4C09C9D6"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22" w:history="1">
            <w:r w:rsidRPr="00D94E4F">
              <w:rPr>
                <w:rStyle w:val="Hyperlink"/>
                <w:rFonts w:ascii="Arial" w:hAnsi="Arial" w:cs="Arial"/>
                <w:noProof/>
                <w:sz w:val="24"/>
                <w:szCs w:val="24"/>
              </w:rPr>
              <w:t>6.5 Mitigate V-05 — SSH Cipher Hardening (L-CD)</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_Toc227003922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30</w:t>
            </w:r>
            <w:r w:rsidRPr="00D94E4F">
              <w:rPr>
                <w:rFonts w:ascii="Arial" w:hAnsi="Arial" w:cs="Arial"/>
                <w:noProof/>
                <w:webHidden/>
                <w:sz w:val="24"/>
                <w:szCs w:val="24"/>
              </w:rPr>
              <w:fldChar w:fldCharType="end"/>
            </w:r>
          </w:hyperlink>
        </w:p>
        <w:p w14:paraId="32159BD9" w14:textId="08C95D0C" w:rsidR="000A5DBD" w:rsidRPr="00D94E4F" w:rsidRDefault="000A5DBD">
          <w:pPr>
            <w:pStyle w:val="TOC2"/>
            <w:tabs>
              <w:tab w:val="right" w:leader="dot" w:pos="9350"/>
            </w:tabs>
            <w:rPr>
              <w:rFonts w:ascii="Arial" w:hAnsi="Arial" w:cs="Arial"/>
              <w:noProof/>
              <w:kern w:val="2"/>
              <w:sz w:val="24"/>
              <w:szCs w:val="24"/>
              <w14:ligatures w14:val="standardContextual"/>
            </w:rPr>
          </w:pPr>
          <w:hyperlink w:anchor="_Toc227003923" w:history="1">
            <w:r w:rsidRPr="00D94E4F">
              <w:rPr>
                <w:rStyle w:val="Hyperlink"/>
                <w:rFonts w:ascii="Arial" w:hAnsi="Arial" w:cs="Arial"/>
                <w:noProof/>
                <w:sz w:val="24"/>
                <w:szCs w:val="24"/>
              </w:rPr>
              <w:t>6.6 Mitigate V-06 — ICMP Restriction and Monitoring</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_Toc227003923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30</w:t>
            </w:r>
            <w:r w:rsidRPr="00D94E4F">
              <w:rPr>
                <w:rFonts w:ascii="Arial" w:hAnsi="Arial" w:cs="Arial"/>
                <w:noProof/>
                <w:webHidden/>
                <w:sz w:val="24"/>
                <w:szCs w:val="24"/>
              </w:rPr>
              <w:fldChar w:fldCharType="end"/>
            </w:r>
          </w:hyperlink>
        </w:p>
        <w:p w14:paraId="02089446" w14:textId="0913CB29"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24" w:history="1">
            <w:r w:rsidRPr="00D94E4F">
              <w:rPr>
                <w:rStyle w:val="Hyperlink"/>
                <w:rFonts w:ascii="Arial" w:hAnsi="Arial" w:cs="Arial"/>
                <w:noProof/>
                <w:sz w:val="24"/>
                <w:szCs w:val="24"/>
              </w:rPr>
              <w:t>7. Conclusion and Self-Reflection</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_Toc227003924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30</w:t>
            </w:r>
            <w:r w:rsidRPr="00D94E4F">
              <w:rPr>
                <w:rFonts w:ascii="Arial" w:hAnsi="Arial" w:cs="Arial"/>
                <w:noProof/>
                <w:webHidden/>
                <w:sz w:val="24"/>
                <w:szCs w:val="24"/>
              </w:rPr>
              <w:fldChar w:fldCharType="end"/>
            </w:r>
          </w:hyperlink>
        </w:p>
        <w:p w14:paraId="1E2CFD00" w14:textId="6E1F782F" w:rsidR="000A5DBD" w:rsidRPr="00D94E4F" w:rsidRDefault="000A5DBD">
          <w:pPr>
            <w:pStyle w:val="TOC1"/>
            <w:tabs>
              <w:tab w:val="right" w:leader="dot" w:pos="9350"/>
            </w:tabs>
            <w:rPr>
              <w:rFonts w:ascii="Arial" w:hAnsi="Arial" w:cs="Arial"/>
              <w:noProof/>
              <w:kern w:val="2"/>
              <w:sz w:val="24"/>
              <w:szCs w:val="24"/>
              <w14:ligatures w14:val="standardContextual"/>
            </w:rPr>
          </w:pPr>
          <w:hyperlink w:anchor="_Toc227003925" w:history="1">
            <w:r w:rsidRPr="00D94E4F">
              <w:rPr>
                <w:rStyle w:val="Hyperlink"/>
                <w:rFonts w:ascii="Arial" w:hAnsi="Arial" w:cs="Arial"/>
                <w:noProof/>
                <w:sz w:val="24"/>
                <w:szCs w:val="24"/>
              </w:rPr>
              <w:t>8. References</w:t>
            </w:r>
            <w:r w:rsidRPr="00D94E4F">
              <w:rPr>
                <w:rFonts w:ascii="Arial" w:hAnsi="Arial" w:cs="Arial"/>
                <w:noProof/>
                <w:webHidden/>
                <w:sz w:val="24"/>
                <w:szCs w:val="24"/>
              </w:rPr>
              <w:tab/>
            </w:r>
            <w:r w:rsidRPr="00D94E4F">
              <w:rPr>
                <w:rFonts w:ascii="Arial" w:hAnsi="Arial" w:cs="Arial"/>
                <w:noProof/>
                <w:webHidden/>
                <w:sz w:val="24"/>
                <w:szCs w:val="24"/>
              </w:rPr>
              <w:fldChar w:fldCharType="begin"/>
            </w:r>
            <w:r w:rsidRPr="00D94E4F">
              <w:rPr>
                <w:rFonts w:ascii="Arial" w:hAnsi="Arial" w:cs="Arial"/>
                <w:noProof/>
                <w:webHidden/>
                <w:sz w:val="24"/>
                <w:szCs w:val="24"/>
              </w:rPr>
              <w:instrText xml:space="preserve"> PAGEREF _Toc227003925 \h </w:instrText>
            </w:r>
            <w:r w:rsidRPr="00D94E4F">
              <w:rPr>
                <w:rFonts w:ascii="Arial" w:hAnsi="Arial" w:cs="Arial"/>
                <w:noProof/>
                <w:webHidden/>
                <w:sz w:val="24"/>
                <w:szCs w:val="24"/>
              </w:rPr>
            </w:r>
            <w:r w:rsidRPr="00D94E4F">
              <w:rPr>
                <w:rFonts w:ascii="Arial" w:hAnsi="Arial" w:cs="Arial"/>
                <w:noProof/>
                <w:webHidden/>
                <w:sz w:val="24"/>
                <w:szCs w:val="24"/>
              </w:rPr>
              <w:fldChar w:fldCharType="separate"/>
            </w:r>
            <w:r w:rsidRPr="00D94E4F">
              <w:rPr>
                <w:rFonts w:ascii="Arial" w:hAnsi="Arial" w:cs="Arial"/>
                <w:noProof/>
                <w:webHidden/>
                <w:sz w:val="24"/>
                <w:szCs w:val="24"/>
              </w:rPr>
              <w:t>31</w:t>
            </w:r>
            <w:r w:rsidRPr="00D94E4F">
              <w:rPr>
                <w:rFonts w:ascii="Arial" w:hAnsi="Arial" w:cs="Arial"/>
                <w:noProof/>
                <w:webHidden/>
                <w:sz w:val="24"/>
                <w:szCs w:val="24"/>
              </w:rPr>
              <w:fldChar w:fldCharType="end"/>
            </w:r>
          </w:hyperlink>
        </w:p>
        <w:p w14:paraId="09CA3CFF" w14:textId="77777777" w:rsidR="00FD3F3D" w:rsidRDefault="000A5DBD" w:rsidP="00FD3F3D">
          <w:pPr>
            <w:rPr>
              <w:b/>
              <w:bCs/>
            </w:rPr>
          </w:pPr>
          <w:r w:rsidRPr="00D94E4F">
            <w:rPr>
              <w:rFonts w:ascii="Arial" w:hAnsi="Arial" w:cs="Arial"/>
              <w:b/>
              <w:bCs/>
              <w:szCs w:val="24"/>
            </w:rPr>
            <w:fldChar w:fldCharType="end"/>
          </w:r>
        </w:p>
      </w:sdtContent>
    </w:sdt>
    <w:p w14:paraId="157F2350" w14:textId="6A0CA8F8" w:rsidR="001731DA" w:rsidRPr="00D44A36" w:rsidRDefault="000502A7" w:rsidP="00D44A36">
      <w:pPr>
        <w:pStyle w:val="Heading1"/>
        <w:rPr>
          <w:rFonts w:ascii="Arial" w:hAnsi="Arial" w:cs="Arial"/>
          <w:sz w:val="32"/>
          <w:szCs w:val="32"/>
        </w:rPr>
      </w:pPr>
      <w:r w:rsidRPr="00911A96">
        <w:rPr>
          <w:sz w:val="24"/>
          <w:szCs w:val="24"/>
        </w:rPr>
        <w:br w:type="page"/>
      </w:r>
      <w:bookmarkStart w:id="0" w:name="_Toc227003896"/>
      <w:r w:rsidRPr="00D44A36">
        <w:rPr>
          <w:rFonts w:ascii="Arial" w:hAnsi="Arial" w:cs="Arial"/>
          <w:sz w:val="32"/>
          <w:szCs w:val="32"/>
        </w:rPr>
        <w:lastRenderedPageBreak/>
        <w:t>1. Introduction</w:t>
      </w:r>
      <w:bookmarkEnd w:id="0"/>
    </w:p>
    <w:p w14:paraId="2340973E" w14:textId="77777777" w:rsidR="00FC1CB0" w:rsidRPr="00FC1CB0" w:rsidRDefault="00FC1CB0" w:rsidP="00FC1CB0">
      <w:pPr>
        <w:jc w:val="both"/>
        <w:rPr>
          <w:rFonts w:ascii="Arial" w:hAnsi="Arial" w:cs="Arial"/>
          <w:lang w:val="en-GB"/>
        </w:rPr>
      </w:pPr>
      <w:r w:rsidRPr="00FC1CB0">
        <w:rPr>
          <w:rFonts w:ascii="Arial" w:hAnsi="Arial" w:cs="Arial"/>
          <w:lang w:val="en-GB"/>
        </w:rPr>
        <w:t>Enterprise networks are evolving quickly, creating a more complex threat landscape and the need for strong, proactive cybersecurity governance [1].</w:t>
      </w:r>
    </w:p>
    <w:p w14:paraId="7FF6E210" w14:textId="0A9FC81B" w:rsidR="00FC1CB0" w:rsidRPr="00FC1CB0" w:rsidRDefault="00FC1CB0" w:rsidP="00FC1CB0">
      <w:pPr>
        <w:jc w:val="both"/>
        <w:rPr>
          <w:rFonts w:ascii="Arial" w:hAnsi="Arial" w:cs="Arial"/>
          <w:lang w:val="en-GB"/>
        </w:rPr>
      </w:pPr>
      <w:r w:rsidRPr="00FC1CB0">
        <w:rPr>
          <w:rFonts w:ascii="Arial" w:hAnsi="Arial" w:cs="Arial"/>
          <w:lang w:val="en-GB"/>
        </w:rPr>
        <w:t>SOAC Inc. operates across two sites connected by VPN, using both Windows and Linux systems</w:t>
      </w:r>
      <w:r>
        <w:rPr>
          <w:rFonts w:ascii="Arial" w:hAnsi="Arial" w:cs="Arial"/>
          <w:lang w:val="en-GB"/>
        </w:rPr>
        <w:t xml:space="preserve">, </w:t>
      </w:r>
      <w:r w:rsidRPr="00FC1CB0">
        <w:rPr>
          <w:rFonts w:ascii="Arial" w:hAnsi="Arial" w:cs="Arial"/>
          <w:lang w:val="en-GB"/>
        </w:rPr>
        <w:t>an effective but potentially vulnerable setup [2]. This report follows the NIST framework and combines Red and Blue Team approaches to assess both attack and defence strategies [3][4][5].</w:t>
      </w:r>
    </w:p>
    <w:p w14:paraId="3C9BA5C0" w14:textId="5B6F0194" w:rsidR="00F90F8D" w:rsidRPr="00FC1CB0" w:rsidRDefault="00FC1CB0" w:rsidP="00FC1CB0">
      <w:pPr>
        <w:jc w:val="both"/>
        <w:rPr>
          <w:rFonts w:ascii="Arial" w:hAnsi="Arial" w:cs="Arial"/>
          <w:lang w:val="en-GB"/>
        </w:rPr>
      </w:pPr>
      <w:r w:rsidRPr="00FC1CB0">
        <w:rPr>
          <w:rFonts w:ascii="Arial" w:hAnsi="Arial" w:cs="Arial"/>
          <w:lang w:val="en-GB"/>
        </w:rPr>
        <w:t>The main goal is to verify connectivity, identify vulnerabilities, test their impact, and recommend practical security improvements [6].</w:t>
      </w:r>
    </w:p>
    <w:p w14:paraId="08A0A67F" w14:textId="77777777" w:rsidR="001731DA" w:rsidRPr="00D16947" w:rsidRDefault="000502A7" w:rsidP="00D16947">
      <w:pPr>
        <w:pStyle w:val="Heading1"/>
        <w:rPr>
          <w:rFonts w:ascii="Arial" w:hAnsi="Arial" w:cs="Arial"/>
          <w:sz w:val="32"/>
          <w:szCs w:val="32"/>
        </w:rPr>
      </w:pPr>
      <w:bookmarkStart w:id="1" w:name="_Toc227003897"/>
      <w:r w:rsidRPr="00D16947">
        <w:rPr>
          <w:rFonts w:ascii="Arial" w:hAnsi="Arial" w:cs="Arial"/>
          <w:sz w:val="32"/>
          <w:szCs w:val="32"/>
        </w:rPr>
        <w:t>2. Network Topology Overview</w:t>
      </w:r>
      <w:bookmarkEnd w:id="1"/>
    </w:p>
    <w:p w14:paraId="2D628506" w14:textId="77777777" w:rsidR="00F90F8D" w:rsidRPr="00F90F8D" w:rsidRDefault="00F90F8D" w:rsidP="00F90F8D">
      <w:pPr>
        <w:jc w:val="both"/>
        <w:rPr>
          <w:rFonts w:ascii="Arial" w:hAnsi="Arial" w:cs="Arial"/>
          <w:szCs w:val="24"/>
          <w:lang w:val="en-GB"/>
        </w:rPr>
      </w:pPr>
      <w:r w:rsidRPr="00F90F8D">
        <w:rPr>
          <w:rFonts w:ascii="Arial" w:hAnsi="Arial" w:cs="Arial"/>
          <w:szCs w:val="24"/>
          <w:lang w:val="en-GB"/>
        </w:rPr>
        <w:t>The SOAC Inc. network simulates a real enterprise across two sites. Swansea (192.168.1.0/24) hosts a Windows Server 2022 Domain Controller providing AD, DNS, and IIS, while London (192.168.2.0/24) runs a Debian server for DHCP relay [7].</w:t>
      </w:r>
    </w:p>
    <w:p w14:paraId="3795F00D" w14:textId="77777777" w:rsidR="00F90F8D" w:rsidRPr="00F90F8D" w:rsidRDefault="00F90F8D" w:rsidP="00F90F8D">
      <w:pPr>
        <w:jc w:val="both"/>
        <w:rPr>
          <w:rFonts w:ascii="Arial" w:hAnsi="Arial" w:cs="Arial"/>
          <w:szCs w:val="24"/>
          <w:lang w:val="en-GB"/>
        </w:rPr>
      </w:pPr>
      <w:r w:rsidRPr="00F90F8D">
        <w:rPr>
          <w:rFonts w:ascii="Arial" w:hAnsi="Arial" w:cs="Arial"/>
          <w:szCs w:val="24"/>
          <w:lang w:val="en-GB"/>
        </w:rPr>
        <w:t>Both sites are connected via a secure site-to-site VPN (20.0.0.x). A Kali Linux machine in Swansea (192.168.1.50) is used for security testing with various tools [10][11].</w:t>
      </w:r>
    </w:p>
    <w:p w14:paraId="0E26F765" w14:textId="77777777" w:rsidR="00F90F8D" w:rsidRPr="00F90F8D" w:rsidRDefault="00F90F8D" w:rsidP="00F90F8D">
      <w:pPr>
        <w:jc w:val="both"/>
        <w:rPr>
          <w:rFonts w:ascii="Arial" w:hAnsi="Arial" w:cs="Arial"/>
          <w:szCs w:val="24"/>
          <w:lang w:val="en-GB"/>
        </w:rPr>
      </w:pPr>
      <w:r w:rsidRPr="00F90F8D">
        <w:rPr>
          <w:rFonts w:ascii="Arial" w:hAnsi="Arial" w:cs="Arial"/>
          <w:szCs w:val="24"/>
          <w:lang w:val="en-GB"/>
        </w:rPr>
        <w:t>The entire setup runs in VirtualBox, keeping all testing isolated and safe.</w:t>
      </w:r>
    </w:p>
    <w:p w14:paraId="5E75B0BB"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0EB2104" wp14:editId="2EE81041">
            <wp:extent cx="4653160" cy="335091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ology.jpg"/>
                    <pic:cNvPicPr/>
                  </pic:nvPicPr>
                  <pic:blipFill>
                    <a:blip r:embed="rId9"/>
                    <a:stretch>
                      <a:fillRect/>
                    </a:stretch>
                  </pic:blipFill>
                  <pic:spPr>
                    <a:xfrm>
                      <a:off x="0" y="0"/>
                      <a:ext cx="4660884" cy="3356472"/>
                    </a:xfrm>
                    <a:prstGeom prst="rect">
                      <a:avLst/>
                    </a:prstGeom>
                  </pic:spPr>
                </pic:pic>
              </a:graphicData>
            </a:graphic>
          </wp:inline>
        </w:drawing>
      </w:r>
    </w:p>
    <w:p w14:paraId="2AFF6F9D" w14:textId="366C5295" w:rsidR="00657F52" w:rsidRPr="00657F52" w:rsidRDefault="002E05AD" w:rsidP="00911A96">
      <w:pPr>
        <w:spacing w:after="40"/>
        <w:jc w:val="both"/>
        <w:rPr>
          <w:rFonts w:ascii="Arial" w:hAnsi="Arial" w:cs="Arial"/>
          <w:i/>
          <w:szCs w:val="24"/>
        </w:rPr>
      </w:pPr>
      <w:r w:rsidRPr="00911A96">
        <w:rPr>
          <w:rFonts w:ascii="Arial" w:hAnsi="Arial" w:cs="Arial"/>
          <w:i/>
          <w:szCs w:val="24"/>
        </w:rPr>
        <w:t xml:space="preserve">Figure 1 </w:t>
      </w:r>
      <w:r w:rsidR="00F90F8D" w:rsidRPr="00911A96">
        <w:rPr>
          <w:rFonts w:ascii="Arial" w:hAnsi="Arial" w:cs="Arial"/>
          <w:i/>
          <w:szCs w:val="24"/>
        </w:rPr>
        <w:t>shows</w:t>
      </w:r>
      <w:r w:rsidRPr="00911A96">
        <w:rPr>
          <w:rFonts w:ascii="Arial" w:hAnsi="Arial" w:cs="Arial"/>
          <w:i/>
          <w:szCs w:val="24"/>
        </w:rPr>
        <w:t xml:space="preserve"> the SOAC Inc. network layout, with the Swansea (192.168.1.0/24) and London (192.168.2.0/24) sites securely connected through a site-to-site VPN.</w:t>
      </w:r>
    </w:p>
    <w:p w14:paraId="31E1B942" w14:textId="77777777" w:rsidR="001731DA" w:rsidRPr="009C371F" w:rsidRDefault="000502A7" w:rsidP="009C371F">
      <w:pPr>
        <w:pStyle w:val="Heading1"/>
        <w:rPr>
          <w:rFonts w:ascii="Arial" w:hAnsi="Arial" w:cs="Arial"/>
          <w:sz w:val="32"/>
          <w:szCs w:val="32"/>
        </w:rPr>
      </w:pPr>
      <w:bookmarkStart w:id="2" w:name="_Toc227003898"/>
      <w:r w:rsidRPr="009C371F">
        <w:rPr>
          <w:rFonts w:ascii="Arial" w:hAnsi="Arial" w:cs="Arial"/>
          <w:sz w:val="32"/>
          <w:szCs w:val="32"/>
        </w:rPr>
        <w:t>3. Task 1: Network Verification</w:t>
      </w:r>
      <w:bookmarkEnd w:id="2"/>
    </w:p>
    <w:p w14:paraId="56C83BF4" w14:textId="77777777" w:rsidR="00134C44" w:rsidRPr="00911A96" w:rsidRDefault="00134C44" w:rsidP="00911A96">
      <w:pPr>
        <w:jc w:val="both"/>
        <w:rPr>
          <w:rFonts w:ascii="Arial" w:hAnsi="Arial" w:cs="Arial"/>
          <w:szCs w:val="24"/>
          <w:lang w:val="en-GB"/>
        </w:rPr>
      </w:pPr>
      <w:r w:rsidRPr="00911A96">
        <w:rPr>
          <w:rFonts w:ascii="Arial" w:hAnsi="Arial" w:cs="Arial"/>
          <w:szCs w:val="24"/>
          <w:lang w:val="en-GB"/>
        </w:rPr>
        <w:t>Before starting the assessment, the network was carefully checked to make sure IP addressing, routing, and connectivity between both sites were all working correctly [8].</w:t>
      </w:r>
    </w:p>
    <w:p w14:paraId="5AB0F2E1" w14:textId="7FFE59B5" w:rsidR="00134C44" w:rsidRPr="00911A96" w:rsidRDefault="00134C44" w:rsidP="00911A96">
      <w:pPr>
        <w:jc w:val="both"/>
        <w:rPr>
          <w:rFonts w:ascii="Arial" w:hAnsi="Arial" w:cs="Arial"/>
          <w:szCs w:val="24"/>
          <w:lang w:val="en-GB"/>
        </w:rPr>
      </w:pPr>
      <w:r w:rsidRPr="00911A96">
        <w:rPr>
          <w:rFonts w:ascii="Arial" w:hAnsi="Arial" w:cs="Arial"/>
          <w:szCs w:val="24"/>
          <w:lang w:val="en-GB"/>
        </w:rPr>
        <w:t xml:space="preserve">This step is </w:t>
      </w:r>
      <w:r w:rsidR="00F013A9" w:rsidRPr="00911A96">
        <w:rPr>
          <w:rFonts w:ascii="Arial" w:hAnsi="Arial" w:cs="Arial"/>
          <w:szCs w:val="24"/>
          <w:lang w:val="en-GB"/>
        </w:rPr>
        <w:t>essential;</w:t>
      </w:r>
      <w:r w:rsidRPr="00911A96">
        <w:rPr>
          <w:rFonts w:ascii="Arial" w:hAnsi="Arial" w:cs="Arial"/>
          <w:szCs w:val="24"/>
          <w:lang w:val="en-GB"/>
        </w:rPr>
        <w:t xml:space="preserve"> it gives a clear and accurate picture of the network setup before moving on to scanning or exploitation. The results of this verification are recorded as Deliverable 1 of the assessment.</w:t>
      </w:r>
    </w:p>
    <w:p w14:paraId="289F955C" w14:textId="77777777" w:rsidR="001731DA" w:rsidRPr="009C371F" w:rsidRDefault="000502A7" w:rsidP="009C371F">
      <w:pPr>
        <w:pStyle w:val="Heading2"/>
        <w:rPr>
          <w:rFonts w:ascii="Arial" w:hAnsi="Arial" w:cs="Arial"/>
          <w:sz w:val="28"/>
          <w:szCs w:val="28"/>
        </w:rPr>
      </w:pPr>
      <w:bookmarkStart w:id="3" w:name="_Toc227003899"/>
      <w:r w:rsidRPr="009C371F">
        <w:rPr>
          <w:rFonts w:ascii="Arial" w:hAnsi="Arial" w:cs="Arial"/>
          <w:sz w:val="28"/>
          <w:szCs w:val="28"/>
        </w:rPr>
        <w:t>3.1 S-DC Network Tests</w:t>
      </w:r>
      <w:bookmarkEnd w:id="3"/>
    </w:p>
    <w:p w14:paraId="5E93AA9B" w14:textId="77777777" w:rsidR="005D63BF" w:rsidRPr="005D63BF" w:rsidRDefault="005D63BF" w:rsidP="005D63BF">
      <w:pPr>
        <w:jc w:val="both"/>
        <w:rPr>
          <w:rFonts w:ascii="Arial" w:hAnsi="Arial" w:cs="Arial"/>
          <w:szCs w:val="24"/>
          <w:lang w:val="en-GB"/>
        </w:rPr>
      </w:pPr>
      <w:r w:rsidRPr="005D63BF">
        <w:rPr>
          <w:rFonts w:ascii="Arial" w:hAnsi="Arial" w:cs="Arial"/>
          <w:szCs w:val="24"/>
          <w:lang w:val="en-GB"/>
        </w:rPr>
        <w:t>The ipconfig /all command confirmed that S-DC is correctly configured with IP 192.168.1.10/24, gateway 192.168.1.1, and DNS suffix Swansea.acca.</w:t>
      </w:r>
    </w:p>
    <w:p w14:paraId="6204F23E" w14:textId="77777777" w:rsidR="005D63BF" w:rsidRPr="005D63BF" w:rsidRDefault="005D63BF" w:rsidP="005D63BF">
      <w:pPr>
        <w:jc w:val="both"/>
        <w:rPr>
          <w:rFonts w:ascii="Arial" w:hAnsi="Arial" w:cs="Arial"/>
          <w:szCs w:val="24"/>
          <w:lang w:val="en-GB"/>
        </w:rPr>
      </w:pPr>
      <w:r w:rsidRPr="005D63BF">
        <w:rPr>
          <w:rFonts w:ascii="Arial" w:hAnsi="Arial" w:cs="Arial"/>
          <w:szCs w:val="24"/>
          <w:lang w:val="en-GB"/>
        </w:rPr>
        <w:t>PING tests verified connectivity within Swansea and across the VPN to London (192.168.2.1 and 192.168.2.10), confirming proper routing and a fully operational tunnel [9].</w:t>
      </w:r>
    </w:p>
    <w:p w14:paraId="26BC4666" w14:textId="77777777" w:rsidR="00E60A2C"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8F06DFD" wp14:editId="3AB886B6">
            <wp:extent cx="5040000" cy="315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config all part 1.png"/>
                    <pic:cNvPicPr/>
                  </pic:nvPicPr>
                  <pic:blipFill>
                    <a:blip r:embed="rId10"/>
                    <a:stretch>
                      <a:fillRect/>
                    </a:stretch>
                  </pic:blipFill>
                  <pic:spPr>
                    <a:xfrm>
                      <a:off x="0" y="0"/>
                      <a:ext cx="5040000" cy="3150000"/>
                    </a:xfrm>
                    <a:prstGeom prst="rect">
                      <a:avLst/>
                    </a:prstGeom>
                  </pic:spPr>
                </pic:pic>
              </a:graphicData>
            </a:graphic>
          </wp:inline>
        </w:drawing>
      </w:r>
    </w:p>
    <w:p w14:paraId="2E250B27" w14:textId="53A55613" w:rsidR="00E60A2C" w:rsidRDefault="00E60A2C" w:rsidP="00911A96">
      <w:pPr>
        <w:jc w:val="both"/>
        <w:rPr>
          <w:rFonts w:ascii="Arial" w:hAnsi="Arial" w:cs="Arial"/>
          <w:i/>
          <w:szCs w:val="24"/>
        </w:rPr>
      </w:pPr>
      <w:r w:rsidRPr="00911A96">
        <w:rPr>
          <w:rFonts w:ascii="Arial" w:hAnsi="Arial" w:cs="Arial"/>
          <w:i/>
          <w:szCs w:val="24"/>
        </w:rPr>
        <w:t>Figure 2 shows part of the ipconfig /all output from S-DC, highlighting its IP address (192.168.1.10), subnet mask, and default gateway (192.168.1.1).</w:t>
      </w:r>
    </w:p>
    <w:p w14:paraId="5F0ECCA5" w14:textId="77777777" w:rsidR="0022210C" w:rsidRPr="00911A96" w:rsidRDefault="0022210C" w:rsidP="00911A96">
      <w:pPr>
        <w:jc w:val="both"/>
        <w:rPr>
          <w:rFonts w:ascii="Arial" w:hAnsi="Arial" w:cs="Arial"/>
          <w:szCs w:val="24"/>
        </w:rPr>
      </w:pPr>
    </w:p>
    <w:p w14:paraId="5B988563"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5414BB13" wp14:editId="3A59A244">
            <wp:extent cx="5040000" cy="315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config all part 2.png"/>
                    <pic:cNvPicPr/>
                  </pic:nvPicPr>
                  <pic:blipFill>
                    <a:blip r:embed="rId11"/>
                    <a:stretch>
                      <a:fillRect/>
                    </a:stretch>
                  </pic:blipFill>
                  <pic:spPr>
                    <a:xfrm>
                      <a:off x="0" y="0"/>
                      <a:ext cx="5040000" cy="3150000"/>
                    </a:xfrm>
                    <a:prstGeom prst="rect">
                      <a:avLst/>
                    </a:prstGeom>
                  </pic:spPr>
                </pic:pic>
              </a:graphicData>
            </a:graphic>
          </wp:inline>
        </w:drawing>
      </w:r>
    </w:p>
    <w:p w14:paraId="5272F5FF" w14:textId="3182186B" w:rsidR="001731DA" w:rsidRDefault="00EA5067" w:rsidP="00911A96">
      <w:pPr>
        <w:spacing w:after="40"/>
        <w:jc w:val="both"/>
        <w:rPr>
          <w:rFonts w:ascii="Arial" w:hAnsi="Arial" w:cs="Arial"/>
          <w:i/>
          <w:szCs w:val="24"/>
        </w:rPr>
      </w:pPr>
      <w:r w:rsidRPr="00911A96">
        <w:rPr>
          <w:rFonts w:ascii="Arial" w:hAnsi="Arial" w:cs="Arial"/>
          <w:i/>
          <w:szCs w:val="24"/>
        </w:rPr>
        <w:t>Figure 3 shows the second part of the ipconfig /all output from S-DC, highlighting the DNS suffix (Swansea.acca) along with detailed network adapter information.</w:t>
      </w:r>
    </w:p>
    <w:p w14:paraId="11887368" w14:textId="77777777" w:rsidR="00657F52" w:rsidRDefault="00657F52" w:rsidP="00911A96">
      <w:pPr>
        <w:spacing w:after="40"/>
        <w:jc w:val="both"/>
        <w:rPr>
          <w:rFonts w:ascii="Arial" w:hAnsi="Arial" w:cs="Arial"/>
          <w:i/>
          <w:szCs w:val="24"/>
        </w:rPr>
      </w:pPr>
    </w:p>
    <w:p w14:paraId="7C76447F" w14:textId="77777777" w:rsidR="00657F52" w:rsidRPr="00911A96" w:rsidRDefault="00657F52" w:rsidP="00911A96">
      <w:pPr>
        <w:spacing w:after="40"/>
        <w:jc w:val="both"/>
        <w:rPr>
          <w:rFonts w:ascii="Arial" w:hAnsi="Arial" w:cs="Arial"/>
          <w:szCs w:val="24"/>
        </w:rPr>
      </w:pPr>
    </w:p>
    <w:p w14:paraId="1F541034"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1BB2E6CB" wp14:editId="394CB64A">
            <wp:extent cx="5040000" cy="315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0.png"/>
                    <pic:cNvPicPr/>
                  </pic:nvPicPr>
                  <pic:blipFill>
                    <a:blip r:embed="rId12"/>
                    <a:stretch>
                      <a:fillRect/>
                    </a:stretch>
                  </pic:blipFill>
                  <pic:spPr>
                    <a:xfrm>
                      <a:off x="0" y="0"/>
                      <a:ext cx="5040000" cy="3150000"/>
                    </a:xfrm>
                    <a:prstGeom prst="rect">
                      <a:avLst/>
                    </a:prstGeom>
                  </pic:spPr>
                </pic:pic>
              </a:graphicData>
            </a:graphic>
          </wp:inline>
        </w:drawing>
      </w:r>
    </w:p>
    <w:p w14:paraId="19164F86" w14:textId="6B3F898F" w:rsidR="001731DA" w:rsidRDefault="002B0ED9" w:rsidP="00911A96">
      <w:pPr>
        <w:spacing w:after="40"/>
        <w:jc w:val="both"/>
        <w:rPr>
          <w:rFonts w:ascii="Arial" w:hAnsi="Arial" w:cs="Arial"/>
          <w:i/>
          <w:szCs w:val="24"/>
        </w:rPr>
      </w:pPr>
      <w:r w:rsidRPr="00911A96">
        <w:rPr>
          <w:rFonts w:ascii="Arial" w:hAnsi="Arial" w:cs="Arial"/>
          <w:i/>
          <w:szCs w:val="24"/>
        </w:rPr>
        <w:t>Figure 4 shows a successful ping from S-DC to 192.168.1.10, confirming that local network connectivity and the system’s network adapter are working correctly.</w:t>
      </w:r>
    </w:p>
    <w:p w14:paraId="4E6A6280" w14:textId="77777777" w:rsidR="0022210C" w:rsidRDefault="0022210C" w:rsidP="00911A96">
      <w:pPr>
        <w:spacing w:after="40"/>
        <w:jc w:val="both"/>
        <w:rPr>
          <w:rFonts w:ascii="Arial" w:hAnsi="Arial" w:cs="Arial"/>
          <w:i/>
          <w:szCs w:val="24"/>
        </w:rPr>
      </w:pPr>
    </w:p>
    <w:p w14:paraId="72716265" w14:textId="77777777" w:rsidR="0022210C" w:rsidRPr="00911A96" w:rsidRDefault="0022210C" w:rsidP="00911A96">
      <w:pPr>
        <w:spacing w:after="40"/>
        <w:jc w:val="both"/>
        <w:rPr>
          <w:rFonts w:ascii="Arial" w:hAnsi="Arial" w:cs="Arial"/>
          <w:szCs w:val="24"/>
        </w:rPr>
      </w:pPr>
    </w:p>
    <w:p w14:paraId="07F58F8A"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4EFA05BB" wp14:editId="68BAB065">
            <wp:extent cx="5040000" cy="315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png"/>
                    <pic:cNvPicPr/>
                  </pic:nvPicPr>
                  <pic:blipFill>
                    <a:blip r:embed="rId13"/>
                    <a:stretch>
                      <a:fillRect/>
                    </a:stretch>
                  </pic:blipFill>
                  <pic:spPr>
                    <a:xfrm>
                      <a:off x="0" y="0"/>
                      <a:ext cx="5040000" cy="3150000"/>
                    </a:xfrm>
                    <a:prstGeom prst="rect">
                      <a:avLst/>
                    </a:prstGeom>
                  </pic:spPr>
                </pic:pic>
              </a:graphicData>
            </a:graphic>
          </wp:inline>
        </w:drawing>
      </w:r>
    </w:p>
    <w:p w14:paraId="2727498B" w14:textId="759E6F37" w:rsidR="001731DA" w:rsidRDefault="002B0ED9" w:rsidP="00911A96">
      <w:pPr>
        <w:spacing w:after="40"/>
        <w:jc w:val="both"/>
        <w:rPr>
          <w:rFonts w:ascii="Arial" w:hAnsi="Arial" w:cs="Arial"/>
          <w:i/>
          <w:szCs w:val="24"/>
        </w:rPr>
      </w:pPr>
      <w:r w:rsidRPr="00911A96">
        <w:rPr>
          <w:rFonts w:ascii="Arial" w:hAnsi="Arial" w:cs="Arial"/>
          <w:i/>
          <w:szCs w:val="24"/>
        </w:rPr>
        <w:t>Figure 5 shows a successful ping from S-DC to 192.168.2.1, confirming that the VPN tunnel is active and the London gateway is reachable.</w:t>
      </w:r>
    </w:p>
    <w:p w14:paraId="7AD41498" w14:textId="77777777" w:rsidR="00657F52" w:rsidRDefault="00657F52" w:rsidP="00911A96">
      <w:pPr>
        <w:spacing w:after="40"/>
        <w:jc w:val="both"/>
        <w:rPr>
          <w:rFonts w:ascii="Arial" w:hAnsi="Arial" w:cs="Arial"/>
          <w:i/>
          <w:szCs w:val="24"/>
        </w:rPr>
      </w:pPr>
    </w:p>
    <w:p w14:paraId="363B9C91" w14:textId="77777777" w:rsidR="00657F52" w:rsidRPr="00911A96" w:rsidRDefault="00657F52" w:rsidP="00911A96">
      <w:pPr>
        <w:spacing w:after="40"/>
        <w:jc w:val="both"/>
        <w:rPr>
          <w:rFonts w:ascii="Arial" w:hAnsi="Arial" w:cs="Arial"/>
          <w:szCs w:val="24"/>
        </w:rPr>
      </w:pPr>
    </w:p>
    <w:p w14:paraId="293D1A9C"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5D0E0E3F" wp14:editId="7F4574E1">
            <wp:extent cx="5040000" cy="315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0.png"/>
                    <pic:cNvPicPr/>
                  </pic:nvPicPr>
                  <pic:blipFill>
                    <a:blip r:embed="rId14"/>
                    <a:stretch>
                      <a:fillRect/>
                    </a:stretch>
                  </pic:blipFill>
                  <pic:spPr>
                    <a:xfrm>
                      <a:off x="0" y="0"/>
                      <a:ext cx="5040000" cy="3150000"/>
                    </a:xfrm>
                    <a:prstGeom prst="rect">
                      <a:avLst/>
                    </a:prstGeom>
                  </pic:spPr>
                </pic:pic>
              </a:graphicData>
            </a:graphic>
          </wp:inline>
        </w:drawing>
      </w:r>
    </w:p>
    <w:p w14:paraId="3A2DD97B" w14:textId="7250CEEE" w:rsidR="001731DA" w:rsidRDefault="005B3BA5" w:rsidP="00911A96">
      <w:pPr>
        <w:spacing w:after="40"/>
        <w:jc w:val="both"/>
        <w:rPr>
          <w:rFonts w:ascii="Arial" w:hAnsi="Arial" w:cs="Arial"/>
          <w:i/>
          <w:szCs w:val="24"/>
        </w:rPr>
      </w:pPr>
      <w:r w:rsidRPr="00911A96">
        <w:rPr>
          <w:rFonts w:ascii="Arial" w:hAnsi="Arial" w:cs="Arial"/>
          <w:i/>
          <w:szCs w:val="24"/>
        </w:rPr>
        <w:t>Figure 6 shows a successful ping from S-DC to 192.168.2.10, confirming end-to-end connectivity with the London server (L-CD).</w:t>
      </w:r>
    </w:p>
    <w:p w14:paraId="4BD41CFA" w14:textId="77777777" w:rsidR="0022210C" w:rsidRPr="00911A96" w:rsidRDefault="0022210C" w:rsidP="00911A96">
      <w:pPr>
        <w:spacing w:after="40"/>
        <w:jc w:val="both"/>
        <w:rPr>
          <w:rFonts w:ascii="Arial" w:hAnsi="Arial" w:cs="Arial"/>
          <w:szCs w:val="24"/>
        </w:rPr>
      </w:pPr>
    </w:p>
    <w:p w14:paraId="0BFD095F" w14:textId="77777777" w:rsidR="001731DA" w:rsidRPr="0022210C" w:rsidRDefault="000502A7" w:rsidP="0022210C">
      <w:pPr>
        <w:pStyle w:val="Heading2"/>
        <w:rPr>
          <w:rFonts w:ascii="Arial" w:hAnsi="Arial" w:cs="Arial"/>
          <w:sz w:val="28"/>
          <w:szCs w:val="28"/>
        </w:rPr>
      </w:pPr>
      <w:bookmarkStart w:id="4" w:name="_Toc227003900"/>
      <w:r w:rsidRPr="0022210C">
        <w:rPr>
          <w:rFonts w:ascii="Arial" w:hAnsi="Arial" w:cs="Arial"/>
          <w:sz w:val="28"/>
          <w:szCs w:val="28"/>
        </w:rPr>
        <w:t>3.2 L-CD Network Tests</w:t>
      </w:r>
      <w:bookmarkEnd w:id="4"/>
    </w:p>
    <w:p w14:paraId="30C9171B" w14:textId="77777777" w:rsidR="00162018" w:rsidRPr="00162018" w:rsidRDefault="00162018" w:rsidP="00911A96">
      <w:pPr>
        <w:jc w:val="both"/>
        <w:rPr>
          <w:rFonts w:ascii="Arial" w:hAnsi="Arial" w:cs="Arial"/>
          <w:szCs w:val="24"/>
          <w:lang w:val="en-GB"/>
        </w:rPr>
      </w:pPr>
      <w:r w:rsidRPr="00162018">
        <w:rPr>
          <w:rFonts w:ascii="Arial" w:hAnsi="Arial" w:cs="Arial"/>
          <w:szCs w:val="24"/>
          <w:lang w:val="en-GB"/>
        </w:rPr>
        <w:t>The ip address command was run on L-CD to check its network configuration. The results confirm that the server is correctly set up with the IP address 192.168.2.10/24 on its main interface.</w:t>
      </w:r>
    </w:p>
    <w:p w14:paraId="2D883B41" w14:textId="77777777" w:rsidR="00162018" w:rsidRDefault="00162018" w:rsidP="00911A96">
      <w:pPr>
        <w:jc w:val="both"/>
        <w:rPr>
          <w:rFonts w:ascii="Arial" w:hAnsi="Arial" w:cs="Arial"/>
          <w:szCs w:val="24"/>
          <w:lang w:val="en-GB"/>
        </w:rPr>
      </w:pPr>
      <w:r w:rsidRPr="00162018">
        <w:rPr>
          <w:rFonts w:ascii="Arial" w:hAnsi="Arial" w:cs="Arial"/>
          <w:szCs w:val="24"/>
          <w:lang w:val="en-GB"/>
        </w:rPr>
        <w:t>To test connectivity, ping checks were performed from L-CD. These showed successful communication across the VPN, with replies from both the Swansea gateway (192.168.1.1) and the Domain Controller (192.168.1.10). A local test also confirmed that L-CD can reach its own interface, indicating there are no issues with the loopback or firewall configuration.</w:t>
      </w:r>
    </w:p>
    <w:p w14:paraId="107A1DF8" w14:textId="77777777" w:rsidR="00657F52" w:rsidRPr="00162018" w:rsidRDefault="00657F52" w:rsidP="00911A96">
      <w:pPr>
        <w:jc w:val="both"/>
        <w:rPr>
          <w:rFonts w:ascii="Arial" w:hAnsi="Arial" w:cs="Arial"/>
          <w:szCs w:val="24"/>
          <w:lang w:val="en-GB"/>
        </w:rPr>
      </w:pPr>
    </w:p>
    <w:p w14:paraId="6359647F"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6A1CE75" wp14:editId="287A1594">
            <wp:extent cx="5040000" cy="315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D1 ip a.png"/>
                    <pic:cNvPicPr/>
                  </pic:nvPicPr>
                  <pic:blipFill>
                    <a:blip r:embed="rId15"/>
                    <a:stretch>
                      <a:fillRect/>
                    </a:stretch>
                  </pic:blipFill>
                  <pic:spPr>
                    <a:xfrm>
                      <a:off x="0" y="0"/>
                      <a:ext cx="5040000" cy="3150000"/>
                    </a:xfrm>
                    <a:prstGeom prst="rect">
                      <a:avLst/>
                    </a:prstGeom>
                  </pic:spPr>
                </pic:pic>
              </a:graphicData>
            </a:graphic>
          </wp:inline>
        </w:drawing>
      </w:r>
    </w:p>
    <w:p w14:paraId="4D9804D6" w14:textId="3D88966B" w:rsidR="001731DA" w:rsidRDefault="00CE116E" w:rsidP="00911A96">
      <w:pPr>
        <w:spacing w:after="40"/>
        <w:jc w:val="both"/>
        <w:rPr>
          <w:rFonts w:ascii="Arial" w:hAnsi="Arial" w:cs="Arial"/>
          <w:i/>
          <w:szCs w:val="24"/>
        </w:rPr>
      </w:pPr>
      <w:r w:rsidRPr="00911A96">
        <w:rPr>
          <w:rFonts w:ascii="Arial" w:hAnsi="Arial" w:cs="Arial"/>
          <w:i/>
          <w:szCs w:val="24"/>
        </w:rPr>
        <w:t xml:space="preserve">Figure 7 shows the output of the ip address command on L-CD, confirming that the interface is correctly </w:t>
      </w:r>
      <w:r w:rsidR="0022210C" w:rsidRPr="00911A96">
        <w:rPr>
          <w:rFonts w:ascii="Arial" w:hAnsi="Arial" w:cs="Arial"/>
          <w:i/>
          <w:szCs w:val="24"/>
        </w:rPr>
        <w:t>assigned to</w:t>
      </w:r>
      <w:r w:rsidRPr="00911A96">
        <w:rPr>
          <w:rFonts w:ascii="Arial" w:hAnsi="Arial" w:cs="Arial"/>
          <w:i/>
          <w:szCs w:val="24"/>
        </w:rPr>
        <w:t xml:space="preserve"> the IP address 192.168.2.10/24.</w:t>
      </w:r>
    </w:p>
    <w:p w14:paraId="1CC703B8" w14:textId="77777777" w:rsidR="0022210C" w:rsidRPr="00911A96" w:rsidRDefault="0022210C" w:rsidP="00911A96">
      <w:pPr>
        <w:spacing w:after="40"/>
        <w:jc w:val="both"/>
        <w:rPr>
          <w:rFonts w:ascii="Arial" w:hAnsi="Arial" w:cs="Arial"/>
          <w:szCs w:val="24"/>
        </w:rPr>
      </w:pPr>
    </w:p>
    <w:p w14:paraId="5BFE6460"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6E9A95A5" wp14:editId="3B6BD4B3">
            <wp:extent cx="5040000" cy="315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0.png"/>
                    <pic:cNvPicPr/>
                  </pic:nvPicPr>
                  <pic:blipFill>
                    <a:blip r:embed="rId16"/>
                    <a:stretch>
                      <a:fillRect/>
                    </a:stretch>
                  </pic:blipFill>
                  <pic:spPr>
                    <a:xfrm>
                      <a:off x="0" y="0"/>
                      <a:ext cx="5040000" cy="3150000"/>
                    </a:xfrm>
                    <a:prstGeom prst="rect">
                      <a:avLst/>
                    </a:prstGeom>
                  </pic:spPr>
                </pic:pic>
              </a:graphicData>
            </a:graphic>
          </wp:inline>
        </w:drawing>
      </w:r>
    </w:p>
    <w:p w14:paraId="27E412DE" w14:textId="5A473DED" w:rsidR="001731DA" w:rsidRDefault="002F1B62" w:rsidP="00911A96">
      <w:pPr>
        <w:spacing w:after="40"/>
        <w:jc w:val="both"/>
        <w:rPr>
          <w:rFonts w:ascii="Arial" w:hAnsi="Arial" w:cs="Arial"/>
          <w:i/>
          <w:szCs w:val="24"/>
        </w:rPr>
      </w:pPr>
      <w:r w:rsidRPr="00911A96">
        <w:rPr>
          <w:rFonts w:ascii="Arial" w:hAnsi="Arial" w:cs="Arial"/>
          <w:i/>
          <w:szCs w:val="24"/>
        </w:rPr>
        <w:t>Figure 8 shows a successful ping from L-CD to 192.168.1.10, confirming cross-site connectivity to the Swansea Domain Controller (S-DC) over the VPN.</w:t>
      </w:r>
    </w:p>
    <w:p w14:paraId="1E579534" w14:textId="77777777" w:rsidR="00657F52" w:rsidRDefault="00657F52" w:rsidP="00911A96">
      <w:pPr>
        <w:spacing w:after="40"/>
        <w:jc w:val="both"/>
        <w:rPr>
          <w:rFonts w:ascii="Arial" w:hAnsi="Arial" w:cs="Arial"/>
          <w:i/>
          <w:szCs w:val="24"/>
        </w:rPr>
      </w:pPr>
    </w:p>
    <w:p w14:paraId="257B2E80" w14:textId="77777777" w:rsidR="00657F52" w:rsidRPr="00911A96" w:rsidRDefault="00657F52" w:rsidP="00911A96">
      <w:pPr>
        <w:spacing w:after="40"/>
        <w:jc w:val="both"/>
        <w:rPr>
          <w:rFonts w:ascii="Arial" w:hAnsi="Arial" w:cs="Arial"/>
          <w:szCs w:val="24"/>
        </w:rPr>
      </w:pPr>
    </w:p>
    <w:p w14:paraId="73B48E7C"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32CBB750" wp14:editId="4C443B33">
            <wp:extent cx="5040000" cy="315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1.1.png"/>
                    <pic:cNvPicPr/>
                  </pic:nvPicPr>
                  <pic:blipFill>
                    <a:blip r:embed="rId17"/>
                    <a:stretch>
                      <a:fillRect/>
                    </a:stretch>
                  </pic:blipFill>
                  <pic:spPr>
                    <a:xfrm>
                      <a:off x="0" y="0"/>
                      <a:ext cx="5040000" cy="3150000"/>
                    </a:xfrm>
                    <a:prstGeom prst="rect">
                      <a:avLst/>
                    </a:prstGeom>
                  </pic:spPr>
                </pic:pic>
              </a:graphicData>
            </a:graphic>
          </wp:inline>
        </w:drawing>
      </w:r>
    </w:p>
    <w:p w14:paraId="3BE29809" w14:textId="6F150E65" w:rsidR="001731DA" w:rsidRDefault="00E94124" w:rsidP="00911A96">
      <w:pPr>
        <w:spacing w:after="40"/>
        <w:jc w:val="both"/>
        <w:rPr>
          <w:rFonts w:ascii="Arial" w:hAnsi="Arial" w:cs="Arial"/>
          <w:i/>
          <w:szCs w:val="24"/>
        </w:rPr>
      </w:pPr>
      <w:r w:rsidRPr="00911A96">
        <w:rPr>
          <w:rFonts w:ascii="Arial" w:hAnsi="Arial" w:cs="Arial"/>
          <w:i/>
          <w:szCs w:val="24"/>
        </w:rPr>
        <w:t>Figure 9 shows a successful ping from L-CD to 192.168.1.1, confirming that the Swansea gateway is reachable through the VPN tunnel.</w:t>
      </w:r>
    </w:p>
    <w:p w14:paraId="4CBE33DA" w14:textId="77777777" w:rsidR="0022210C" w:rsidRDefault="0022210C" w:rsidP="00911A96">
      <w:pPr>
        <w:spacing w:after="40"/>
        <w:jc w:val="both"/>
        <w:rPr>
          <w:rFonts w:ascii="Arial" w:hAnsi="Arial" w:cs="Arial"/>
          <w:i/>
          <w:szCs w:val="24"/>
        </w:rPr>
      </w:pPr>
    </w:p>
    <w:p w14:paraId="780A5327" w14:textId="77777777" w:rsidR="0022210C" w:rsidRPr="00911A96" w:rsidRDefault="0022210C" w:rsidP="00911A96">
      <w:pPr>
        <w:spacing w:after="40"/>
        <w:jc w:val="both"/>
        <w:rPr>
          <w:rFonts w:ascii="Arial" w:hAnsi="Arial" w:cs="Arial"/>
          <w:szCs w:val="24"/>
        </w:rPr>
      </w:pPr>
    </w:p>
    <w:p w14:paraId="7EEF57A0"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09FE3C6" wp14:editId="40F21160">
            <wp:extent cx="5040000" cy="315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192.168.2.10.png"/>
                    <pic:cNvPicPr/>
                  </pic:nvPicPr>
                  <pic:blipFill>
                    <a:blip r:embed="rId18"/>
                    <a:stretch>
                      <a:fillRect/>
                    </a:stretch>
                  </pic:blipFill>
                  <pic:spPr>
                    <a:xfrm>
                      <a:off x="0" y="0"/>
                      <a:ext cx="5040000" cy="3150000"/>
                    </a:xfrm>
                    <a:prstGeom prst="rect">
                      <a:avLst/>
                    </a:prstGeom>
                  </pic:spPr>
                </pic:pic>
              </a:graphicData>
            </a:graphic>
          </wp:inline>
        </w:drawing>
      </w:r>
    </w:p>
    <w:p w14:paraId="3843C670" w14:textId="2079A84D" w:rsidR="001731DA" w:rsidRPr="00911A96" w:rsidRDefault="00AF4AB1" w:rsidP="00911A96">
      <w:pPr>
        <w:spacing w:after="40"/>
        <w:jc w:val="both"/>
        <w:rPr>
          <w:rFonts w:ascii="Arial" w:hAnsi="Arial" w:cs="Arial"/>
          <w:i/>
          <w:szCs w:val="24"/>
        </w:rPr>
      </w:pPr>
      <w:r w:rsidRPr="00911A96">
        <w:rPr>
          <w:rFonts w:ascii="Arial" w:hAnsi="Arial" w:cs="Arial"/>
          <w:i/>
          <w:szCs w:val="24"/>
        </w:rPr>
        <w:t>Figure 10 shows a successful ping from L-CD to 192.168.2.10, confirming that the local network stack is functioning correctly.</w:t>
      </w:r>
    </w:p>
    <w:p w14:paraId="405B128B" w14:textId="77777777" w:rsidR="00AF4AB1" w:rsidRPr="00911A96" w:rsidRDefault="00AF4AB1" w:rsidP="00911A96">
      <w:pPr>
        <w:spacing w:after="40"/>
        <w:jc w:val="both"/>
        <w:rPr>
          <w:rFonts w:ascii="Arial" w:hAnsi="Arial" w:cs="Arial"/>
          <w:szCs w:val="24"/>
        </w:rPr>
      </w:pPr>
    </w:p>
    <w:p w14:paraId="5275DF2B" w14:textId="77777777" w:rsidR="00837B20" w:rsidRPr="00837B20" w:rsidRDefault="00837B20" w:rsidP="00911A96">
      <w:pPr>
        <w:jc w:val="both"/>
        <w:rPr>
          <w:rFonts w:ascii="Arial" w:hAnsi="Arial" w:cs="Arial"/>
          <w:szCs w:val="24"/>
          <w:lang w:val="en-GB"/>
        </w:rPr>
      </w:pPr>
      <w:r w:rsidRPr="00837B20">
        <w:rPr>
          <w:rFonts w:ascii="Arial" w:hAnsi="Arial" w:cs="Arial"/>
          <w:szCs w:val="24"/>
          <w:lang w:val="en-GB"/>
        </w:rPr>
        <w:t>All network verification tests were successful, confirming that the SOAC Inc. virtual network is correctly configured and the site-to-site VPN is fully operational.</w:t>
      </w:r>
    </w:p>
    <w:p w14:paraId="22C8B01D" w14:textId="77777777" w:rsidR="008050DE" w:rsidRDefault="00837B20" w:rsidP="008050DE">
      <w:pPr>
        <w:jc w:val="both"/>
        <w:rPr>
          <w:rFonts w:ascii="Arial" w:hAnsi="Arial" w:cs="Arial"/>
          <w:szCs w:val="24"/>
        </w:rPr>
      </w:pPr>
      <w:r w:rsidRPr="00837B20">
        <w:rPr>
          <w:rFonts w:ascii="Arial" w:hAnsi="Arial" w:cs="Arial"/>
          <w:szCs w:val="24"/>
          <w:lang w:val="en-GB"/>
        </w:rPr>
        <w:t>With everything working as expected, this setup provides a solid and reliable foundation for the n</w:t>
      </w:r>
      <w:r w:rsidR="004D34EF">
        <w:rPr>
          <w:rFonts w:ascii="Arial" w:hAnsi="Arial" w:cs="Arial"/>
          <w:szCs w:val="24"/>
          <w:lang w:val="en-GB"/>
        </w:rPr>
        <w:t>e</w:t>
      </w:r>
      <w:r w:rsidRPr="00837B20">
        <w:rPr>
          <w:rFonts w:ascii="Arial" w:hAnsi="Arial" w:cs="Arial"/>
          <w:szCs w:val="24"/>
          <w:lang w:val="en-GB"/>
        </w:rPr>
        <w:t>xt stages of the security assessment [9].</w:t>
      </w:r>
    </w:p>
    <w:p w14:paraId="46C7345E" w14:textId="77777777" w:rsidR="008050DE" w:rsidRDefault="008050DE" w:rsidP="008050DE">
      <w:pPr>
        <w:jc w:val="both"/>
        <w:rPr>
          <w:rFonts w:ascii="Arial" w:hAnsi="Arial" w:cs="Arial"/>
          <w:szCs w:val="24"/>
        </w:rPr>
      </w:pPr>
    </w:p>
    <w:p w14:paraId="12273690" w14:textId="08191F02" w:rsidR="004D34EF" w:rsidRPr="008050DE" w:rsidRDefault="000502A7" w:rsidP="008050DE">
      <w:pPr>
        <w:pStyle w:val="Heading1"/>
        <w:rPr>
          <w:rFonts w:ascii="Arial" w:hAnsi="Arial" w:cs="Arial"/>
          <w:sz w:val="32"/>
          <w:szCs w:val="32"/>
          <w:lang w:val="en-GB"/>
        </w:rPr>
      </w:pPr>
      <w:bookmarkStart w:id="5" w:name="_Toc227003901"/>
      <w:r w:rsidRPr="008050DE">
        <w:rPr>
          <w:rFonts w:ascii="Arial" w:hAnsi="Arial" w:cs="Arial"/>
          <w:sz w:val="32"/>
          <w:szCs w:val="32"/>
        </w:rPr>
        <w:t>4. Task 2: Network Security Assessmen</w:t>
      </w:r>
      <w:r w:rsidR="004D34EF" w:rsidRPr="008050DE">
        <w:rPr>
          <w:rFonts w:ascii="Arial" w:hAnsi="Arial" w:cs="Arial"/>
          <w:sz w:val="32"/>
          <w:szCs w:val="32"/>
        </w:rPr>
        <w:t>t</w:t>
      </w:r>
      <w:bookmarkEnd w:id="5"/>
    </w:p>
    <w:p w14:paraId="19F5C490" w14:textId="77777777" w:rsidR="001731DA" w:rsidRPr="00911A96" w:rsidRDefault="000502A7" w:rsidP="00911A96">
      <w:pPr>
        <w:pStyle w:val="Heading2"/>
        <w:jc w:val="both"/>
        <w:rPr>
          <w:rFonts w:ascii="Arial" w:hAnsi="Arial" w:cs="Arial"/>
          <w:sz w:val="24"/>
          <w:szCs w:val="24"/>
        </w:rPr>
      </w:pPr>
      <w:bookmarkStart w:id="6" w:name="_Toc227003902"/>
      <w:r w:rsidRPr="008050DE">
        <w:rPr>
          <w:rFonts w:ascii="Arial" w:hAnsi="Arial" w:cs="Arial"/>
          <w:sz w:val="28"/>
          <w:szCs w:val="28"/>
        </w:rPr>
        <w:t>4.1 Security-Focused OS Deployment (Kali Linux)</w:t>
      </w:r>
      <w:bookmarkEnd w:id="6"/>
    </w:p>
    <w:p w14:paraId="5C1A80ED" w14:textId="77777777" w:rsidR="00AC7213" w:rsidRPr="00AC7213" w:rsidRDefault="00AC7213" w:rsidP="00911A96">
      <w:pPr>
        <w:jc w:val="both"/>
        <w:rPr>
          <w:rFonts w:ascii="Arial" w:hAnsi="Arial" w:cs="Arial"/>
          <w:szCs w:val="24"/>
          <w:lang w:val="en-GB"/>
        </w:rPr>
      </w:pPr>
      <w:r w:rsidRPr="00AC7213">
        <w:rPr>
          <w:rFonts w:ascii="Arial" w:hAnsi="Arial" w:cs="Arial"/>
          <w:szCs w:val="24"/>
          <w:lang w:val="en-GB"/>
        </w:rPr>
        <w:t>Kali Linux was set up as the main security testing machine within the Swansea network, using the IP address 192.168.1.50/24. From this position, it has direct access to local systems and can also reach the London network through the VPN.</w:t>
      </w:r>
    </w:p>
    <w:p w14:paraId="7FD0EF77" w14:textId="77777777" w:rsidR="00AC7213" w:rsidRPr="00AC7213" w:rsidRDefault="00AC7213" w:rsidP="00911A96">
      <w:pPr>
        <w:jc w:val="both"/>
        <w:rPr>
          <w:rFonts w:ascii="Arial" w:hAnsi="Arial" w:cs="Arial"/>
          <w:szCs w:val="24"/>
          <w:lang w:val="en-GB"/>
        </w:rPr>
      </w:pPr>
      <w:r w:rsidRPr="00AC7213">
        <w:rPr>
          <w:rFonts w:ascii="Arial" w:hAnsi="Arial" w:cs="Arial"/>
          <w:szCs w:val="24"/>
          <w:lang w:val="en-GB"/>
        </w:rPr>
        <w:t>As a widely used penetration testing platform, Kali comes with powerful built-in tools like Nmap, Metasploit, Nessus, Wireshark, and enum4linux, making it ideal for both scanning and analysis tasks [10][11]. Before starting any assessment, connectivity from Kali to all target systems across both sites was confirmed to ensure everything was reachable.</w:t>
      </w:r>
    </w:p>
    <w:p w14:paraId="1D88DDE9"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1915FD3" wp14:editId="6115F439">
            <wp:extent cx="5040000" cy="315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i Linux ip a part 1.png"/>
                    <pic:cNvPicPr/>
                  </pic:nvPicPr>
                  <pic:blipFill>
                    <a:blip r:embed="rId19"/>
                    <a:stretch>
                      <a:fillRect/>
                    </a:stretch>
                  </pic:blipFill>
                  <pic:spPr>
                    <a:xfrm>
                      <a:off x="0" y="0"/>
                      <a:ext cx="5040000" cy="3150000"/>
                    </a:xfrm>
                    <a:prstGeom prst="rect">
                      <a:avLst/>
                    </a:prstGeom>
                  </pic:spPr>
                </pic:pic>
              </a:graphicData>
            </a:graphic>
          </wp:inline>
        </w:drawing>
      </w:r>
    </w:p>
    <w:p w14:paraId="2CB53352" w14:textId="55CE0EF1" w:rsidR="001731DA" w:rsidRDefault="00706922" w:rsidP="00911A96">
      <w:pPr>
        <w:spacing w:after="40"/>
        <w:jc w:val="both"/>
        <w:rPr>
          <w:rFonts w:ascii="Arial" w:hAnsi="Arial" w:cs="Arial"/>
          <w:i/>
          <w:szCs w:val="24"/>
        </w:rPr>
      </w:pPr>
      <w:r w:rsidRPr="00911A96">
        <w:rPr>
          <w:rFonts w:ascii="Arial" w:hAnsi="Arial" w:cs="Arial"/>
          <w:i/>
          <w:szCs w:val="24"/>
        </w:rPr>
        <w:t>Figure 11 shows part of the ip address output from Kali Linux, highlighting that the eth1 interface is assigned the IP address 192.168.1.50/24 within the Swansea network segment.</w:t>
      </w:r>
    </w:p>
    <w:p w14:paraId="648364D7" w14:textId="77777777" w:rsidR="00657F52" w:rsidRDefault="00657F52" w:rsidP="00911A96">
      <w:pPr>
        <w:spacing w:after="40"/>
        <w:jc w:val="both"/>
        <w:rPr>
          <w:rFonts w:ascii="Arial" w:hAnsi="Arial" w:cs="Arial"/>
          <w:i/>
          <w:szCs w:val="24"/>
        </w:rPr>
      </w:pPr>
    </w:p>
    <w:p w14:paraId="361EDA8B" w14:textId="77777777" w:rsidR="00657F52" w:rsidRPr="00911A96" w:rsidRDefault="00657F52" w:rsidP="00911A96">
      <w:pPr>
        <w:spacing w:after="40"/>
        <w:jc w:val="both"/>
        <w:rPr>
          <w:rFonts w:ascii="Arial" w:hAnsi="Arial" w:cs="Arial"/>
          <w:szCs w:val="24"/>
        </w:rPr>
      </w:pPr>
    </w:p>
    <w:p w14:paraId="3E7EA4DC"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2470EFE" wp14:editId="1B16E969">
            <wp:extent cx="5040000" cy="315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i Linux ip a part 2.png"/>
                    <pic:cNvPicPr/>
                  </pic:nvPicPr>
                  <pic:blipFill>
                    <a:blip r:embed="rId20"/>
                    <a:stretch>
                      <a:fillRect/>
                    </a:stretch>
                  </pic:blipFill>
                  <pic:spPr>
                    <a:xfrm>
                      <a:off x="0" y="0"/>
                      <a:ext cx="5040000" cy="3150000"/>
                    </a:xfrm>
                    <a:prstGeom prst="rect">
                      <a:avLst/>
                    </a:prstGeom>
                  </pic:spPr>
                </pic:pic>
              </a:graphicData>
            </a:graphic>
          </wp:inline>
        </w:drawing>
      </w:r>
    </w:p>
    <w:p w14:paraId="333288B4" w14:textId="16B40D5C" w:rsidR="001731DA" w:rsidRDefault="007E5B4D" w:rsidP="00911A96">
      <w:pPr>
        <w:spacing w:after="40"/>
        <w:jc w:val="both"/>
        <w:rPr>
          <w:rFonts w:ascii="Arial" w:hAnsi="Arial" w:cs="Arial"/>
          <w:i/>
          <w:szCs w:val="24"/>
        </w:rPr>
      </w:pPr>
      <w:r w:rsidRPr="00911A96">
        <w:rPr>
          <w:rFonts w:ascii="Arial" w:hAnsi="Arial" w:cs="Arial"/>
          <w:i/>
          <w:szCs w:val="24"/>
        </w:rPr>
        <w:t>Figure 12 shows the second part of the ip address output from Kali Linux, highlighting the eth2 interface configured with 20.0.0.3/24 for VPN connectivity.</w:t>
      </w:r>
    </w:p>
    <w:p w14:paraId="5623D310" w14:textId="77777777" w:rsidR="008050DE" w:rsidRDefault="008050DE" w:rsidP="00911A96">
      <w:pPr>
        <w:spacing w:after="40"/>
        <w:jc w:val="both"/>
        <w:rPr>
          <w:rFonts w:ascii="Arial" w:hAnsi="Arial" w:cs="Arial"/>
          <w:i/>
          <w:szCs w:val="24"/>
        </w:rPr>
      </w:pPr>
    </w:p>
    <w:p w14:paraId="357E4001" w14:textId="77777777" w:rsidR="008050DE" w:rsidRPr="00911A96" w:rsidRDefault="008050DE" w:rsidP="00911A96">
      <w:pPr>
        <w:spacing w:after="40"/>
        <w:jc w:val="both"/>
        <w:rPr>
          <w:rFonts w:ascii="Arial" w:hAnsi="Arial" w:cs="Arial"/>
          <w:szCs w:val="24"/>
        </w:rPr>
      </w:pPr>
    </w:p>
    <w:p w14:paraId="34B33922"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59053164" wp14:editId="3744B7C6">
            <wp:extent cx="5040000" cy="315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part 1.png"/>
                    <pic:cNvPicPr/>
                  </pic:nvPicPr>
                  <pic:blipFill>
                    <a:blip r:embed="rId21"/>
                    <a:stretch>
                      <a:fillRect/>
                    </a:stretch>
                  </pic:blipFill>
                  <pic:spPr>
                    <a:xfrm>
                      <a:off x="0" y="0"/>
                      <a:ext cx="5040000" cy="3150000"/>
                    </a:xfrm>
                    <a:prstGeom prst="rect">
                      <a:avLst/>
                    </a:prstGeom>
                  </pic:spPr>
                </pic:pic>
              </a:graphicData>
            </a:graphic>
          </wp:inline>
        </w:drawing>
      </w:r>
    </w:p>
    <w:p w14:paraId="519A0842" w14:textId="46AC3908" w:rsidR="001731DA" w:rsidRDefault="007E5B4D" w:rsidP="00911A96">
      <w:pPr>
        <w:spacing w:after="40"/>
        <w:jc w:val="both"/>
        <w:rPr>
          <w:rFonts w:ascii="Arial" w:hAnsi="Arial" w:cs="Arial"/>
          <w:i/>
          <w:szCs w:val="24"/>
        </w:rPr>
      </w:pPr>
      <w:r w:rsidRPr="00911A96">
        <w:rPr>
          <w:rFonts w:ascii="Arial" w:hAnsi="Arial" w:cs="Arial"/>
          <w:i/>
          <w:szCs w:val="24"/>
        </w:rPr>
        <w:t>Figure 13 shows Kali Linux ping test results confirming successful connectivity to the Swansea Domain Controller (S-DC) and the London gateway.</w:t>
      </w:r>
    </w:p>
    <w:p w14:paraId="60F727F8" w14:textId="77777777" w:rsidR="00657F52" w:rsidRPr="00911A96" w:rsidRDefault="00657F52" w:rsidP="00911A96">
      <w:pPr>
        <w:spacing w:after="40"/>
        <w:jc w:val="both"/>
        <w:rPr>
          <w:rFonts w:ascii="Arial" w:hAnsi="Arial" w:cs="Arial"/>
          <w:szCs w:val="24"/>
        </w:rPr>
      </w:pPr>
    </w:p>
    <w:p w14:paraId="1D3BB614"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624AF6BA" wp14:editId="70E82891">
            <wp:extent cx="5040000" cy="315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 part 2.png"/>
                    <pic:cNvPicPr/>
                  </pic:nvPicPr>
                  <pic:blipFill>
                    <a:blip r:embed="rId22"/>
                    <a:stretch>
                      <a:fillRect/>
                    </a:stretch>
                  </pic:blipFill>
                  <pic:spPr>
                    <a:xfrm>
                      <a:off x="0" y="0"/>
                      <a:ext cx="5040000" cy="3150000"/>
                    </a:xfrm>
                    <a:prstGeom prst="rect">
                      <a:avLst/>
                    </a:prstGeom>
                  </pic:spPr>
                </pic:pic>
              </a:graphicData>
            </a:graphic>
          </wp:inline>
        </w:drawing>
      </w:r>
    </w:p>
    <w:p w14:paraId="18B3CD40" w14:textId="6F231932" w:rsidR="001731DA" w:rsidRDefault="00CE21A6" w:rsidP="00911A96">
      <w:pPr>
        <w:spacing w:after="40"/>
        <w:jc w:val="both"/>
        <w:rPr>
          <w:rFonts w:ascii="Arial" w:hAnsi="Arial" w:cs="Arial"/>
          <w:i/>
          <w:szCs w:val="24"/>
        </w:rPr>
      </w:pPr>
      <w:r w:rsidRPr="00911A96">
        <w:rPr>
          <w:rFonts w:ascii="Arial" w:hAnsi="Arial" w:cs="Arial"/>
          <w:i/>
          <w:szCs w:val="24"/>
        </w:rPr>
        <w:t>Figure 14 shows Kali Linux ping test results confirming successful connectivity to the London server (L-CD) at 192.168.2.10.</w:t>
      </w:r>
    </w:p>
    <w:p w14:paraId="50988ECC" w14:textId="77777777" w:rsidR="008050DE" w:rsidRPr="00911A96" w:rsidRDefault="008050DE" w:rsidP="00911A96">
      <w:pPr>
        <w:spacing w:after="40"/>
        <w:jc w:val="both"/>
        <w:rPr>
          <w:rFonts w:ascii="Arial" w:hAnsi="Arial" w:cs="Arial"/>
          <w:szCs w:val="24"/>
        </w:rPr>
      </w:pPr>
    </w:p>
    <w:p w14:paraId="44D5BCAF" w14:textId="77777777" w:rsidR="001731DA" w:rsidRPr="000C1E6F" w:rsidRDefault="000502A7" w:rsidP="000C1E6F">
      <w:pPr>
        <w:pStyle w:val="Heading2"/>
        <w:rPr>
          <w:rFonts w:ascii="Arial" w:hAnsi="Arial" w:cs="Arial"/>
          <w:sz w:val="28"/>
          <w:szCs w:val="28"/>
        </w:rPr>
      </w:pPr>
      <w:bookmarkStart w:id="7" w:name="_Toc227003903"/>
      <w:r w:rsidRPr="000C1E6F">
        <w:rPr>
          <w:rFonts w:ascii="Arial" w:hAnsi="Arial" w:cs="Arial"/>
          <w:sz w:val="28"/>
          <w:szCs w:val="28"/>
        </w:rPr>
        <w:t>4.2 Information Gathering and Reconnaissance</w:t>
      </w:r>
      <w:bookmarkEnd w:id="7"/>
    </w:p>
    <w:p w14:paraId="66EEC550" w14:textId="77777777" w:rsidR="00044C53" w:rsidRPr="00044C53" w:rsidRDefault="00044C53" w:rsidP="00044C53">
      <w:pPr>
        <w:jc w:val="both"/>
        <w:rPr>
          <w:rFonts w:ascii="Arial" w:hAnsi="Arial" w:cs="Arial"/>
          <w:szCs w:val="24"/>
          <w:lang w:val="en-GB"/>
        </w:rPr>
      </w:pPr>
      <w:r w:rsidRPr="00044C53">
        <w:rPr>
          <w:rFonts w:ascii="Arial" w:hAnsi="Arial" w:cs="Arial"/>
          <w:szCs w:val="24"/>
          <w:lang w:val="en-GB"/>
        </w:rPr>
        <w:t>Reconnaissance was performed using Nmap to identify active hosts and scan for open ports, services, and versions across both subnets [12].</w:t>
      </w:r>
    </w:p>
    <w:p w14:paraId="71148EDD" w14:textId="77777777" w:rsidR="00044C53" w:rsidRPr="00044C53" w:rsidRDefault="00044C53" w:rsidP="00044C53">
      <w:pPr>
        <w:jc w:val="both"/>
        <w:rPr>
          <w:rFonts w:ascii="Arial" w:hAnsi="Arial" w:cs="Arial"/>
          <w:szCs w:val="24"/>
          <w:lang w:val="en-GB"/>
        </w:rPr>
      </w:pPr>
      <w:r w:rsidRPr="00044C53">
        <w:rPr>
          <w:rFonts w:ascii="Arial" w:hAnsi="Arial" w:cs="Arial"/>
          <w:szCs w:val="24"/>
          <w:lang w:val="en-GB"/>
        </w:rPr>
        <w:t>Results showed that S-DC (192.168.1.10) has a wide attack surface with services like DNS, IIS, SMB, LDAP, and RDP, while L-CD (192.168.2.10) exposes mainly SSH and DNS. These findings guided the vulnerability analysis phase [13].</w:t>
      </w:r>
    </w:p>
    <w:p w14:paraId="3CB99757" w14:textId="77777777" w:rsidR="00044C53" w:rsidRPr="00044C53" w:rsidRDefault="00044C53" w:rsidP="00044C53">
      <w:pPr>
        <w:jc w:val="both"/>
        <w:rPr>
          <w:rFonts w:ascii="Arial" w:hAnsi="Arial" w:cs="Arial"/>
          <w:szCs w:val="24"/>
          <w:lang w:val="en-GB"/>
        </w:rPr>
      </w:pPr>
      <w:r w:rsidRPr="00044C53">
        <w:rPr>
          <w:rFonts w:ascii="Arial" w:hAnsi="Arial" w:cs="Arial"/>
          <w:szCs w:val="24"/>
          <w:lang w:val="en-GB"/>
        </w:rPr>
        <w:t>Further enumeration with enum4linux revealed domain users, groups, and password policies without authentication, highlighting a significant information disclosure risk [13].</w:t>
      </w:r>
    </w:p>
    <w:p w14:paraId="038BEB2D"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15692B34" wp14:editId="7EAB2C59">
            <wp:extent cx="5040000" cy="3150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n 192.168.1.0     192.168.2.0..24.png"/>
                    <pic:cNvPicPr/>
                  </pic:nvPicPr>
                  <pic:blipFill>
                    <a:blip r:embed="rId23"/>
                    <a:stretch>
                      <a:fillRect/>
                    </a:stretch>
                  </pic:blipFill>
                  <pic:spPr>
                    <a:xfrm>
                      <a:off x="0" y="0"/>
                      <a:ext cx="5040000" cy="3150000"/>
                    </a:xfrm>
                    <a:prstGeom prst="rect">
                      <a:avLst/>
                    </a:prstGeom>
                  </pic:spPr>
                </pic:pic>
              </a:graphicData>
            </a:graphic>
          </wp:inline>
        </w:drawing>
      </w:r>
    </w:p>
    <w:p w14:paraId="3FDE2EFF" w14:textId="2490FBE7" w:rsidR="001731DA" w:rsidRDefault="00F947B8" w:rsidP="00911A96">
      <w:pPr>
        <w:spacing w:after="40"/>
        <w:jc w:val="both"/>
        <w:rPr>
          <w:rFonts w:ascii="Arial" w:hAnsi="Arial" w:cs="Arial"/>
          <w:i/>
          <w:szCs w:val="24"/>
        </w:rPr>
      </w:pPr>
      <w:r w:rsidRPr="00911A96">
        <w:rPr>
          <w:rFonts w:ascii="Arial" w:hAnsi="Arial" w:cs="Arial"/>
          <w:i/>
          <w:szCs w:val="24"/>
        </w:rPr>
        <w:t>Figure 15 shows the results of the Nmap host discovery scan, identifying all active hosts across the 192.168.1.0/24 and 192.168.2.0/24 networks.</w:t>
      </w:r>
    </w:p>
    <w:p w14:paraId="76071B9B" w14:textId="77777777" w:rsidR="000C1E6F" w:rsidRDefault="000C1E6F" w:rsidP="00911A96">
      <w:pPr>
        <w:spacing w:after="40"/>
        <w:jc w:val="both"/>
        <w:rPr>
          <w:rFonts w:ascii="Arial" w:hAnsi="Arial" w:cs="Arial"/>
          <w:i/>
          <w:szCs w:val="24"/>
        </w:rPr>
      </w:pPr>
    </w:p>
    <w:p w14:paraId="6415DE9D" w14:textId="77777777" w:rsidR="000C1E6F" w:rsidRPr="00911A96" w:rsidRDefault="000C1E6F" w:rsidP="00911A96">
      <w:pPr>
        <w:spacing w:after="40"/>
        <w:jc w:val="both"/>
        <w:rPr>
          <w:rFonts w:ascii="Arial" w:hAnsi="Arial" w:cs="Arial"/>
          <w:szCs w:val="24"/>
        </w:rPr>
      </w:pPr>
    </w:p>
    <w:p w14:paraId="49BDB6E4"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07D156F5" wp14:editId="0501BBF7">
            <wp:extent cx="5040000" cy="315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1.10 part 1.png"/>
                    <pic:cNvPicPr/>
                  </pic:nvPicPr>
                  <pic:blipFill>
                    <a:blip r:embed="rId24"/>
                    <a:stretch>
                      <a:fillRect/>
                    </a:stretch>
                  </pic:blipFill>
                  <pic:spPr>
                    <a:xfrm>
                      <a:off x="0" y="0"/>
                      <a:ext cx="5040000" cy="3150000"/>
                    </a:xfrm>
                    <a:prstGeom prst="rect">
                      <a:avLst/>
                    </a:prstGeom>
                  </pic:spPr>
                </pic:pic>
              </a:graphicData>
            </a:graphic>
          </wp:inline>
        </w:drawing>
      </w:r>
    </w:p>
    <w:p w14:paraId="352D6B68" w14:textId="14E8B1E4" w:rsidR="001731DA" w:rsidRDefault="00F73502" w:rsidP="00911A96">
      <w:pPr>
        <w:spacing w:after="40"/>
        <w:jc w:val="both"/>
        <w:rPr>
          <w:rFonts w:ascii="Arial" w:hAnsi="Arial" w:cs="Arial"/>
          <w:i/>
          <w:szCs w:val="24"/>
        </w:rPr>
      </w:pPr>
      <w:r w:rsidRPr="00911A96">
        <w:rPr>
          <w:rFonts w:ascii="Arial" w:hAnsi="Arial" w:cs="Arial"/>
          <w:i/>
          <w:szCs w:val="24"/>
        </w:rPr>
        <w:t>Figure 16 shows the first part of the Nmap service scan for S-DC (192.168.1.10), highlighting detected open ports and their associated service versions.</w:t>
      </w:r>
    </w:p>
    <w:p w14:paraId="5192D49C" w14:textId="77777777" w:rsidR="00657F52" w:rsidRPr="00911A96" w:rsidRDefault="00657F52" w:rsidP="00911A96">
      <w:pPr>
        <w:spacing w:after="40"/>
        <w:jc w:val="both"/>
        <w:rPr>
          <w:rFonts w:ascii="Arial" w:hAnsi="Arial" w:cs="Arial"/>
          <w:szCs w:val="24"/>
        </w:rPr>
      </w:pPr>
    </w:p>
    <w:p w14:paraId="2A7E41CF"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E94A6BB" wp14:editId="17CD3006">
            <wp:extent cx="5040000" cy="315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1.10 part 2.png"/>
                    <pic:cNvPicPr/>
                  </pic:nvPicPr>
                  <pic:blipFill>
                    <a:blip r:embed="rId25"/>
                    <a:stretch>
                      <a:fillRect/>
                    </a:stretch>
                  </pic:blipFill>
                  <pic:spPr>
                    <a:xfrm>
                      <a:off x="0" y="0"/>
                      <a:ext cx="5040000" cy="3150000"/>
                    </a:xfrm>
                    <a:prstGeom prst="rect">
                      <a:avLst/>
                    </a:prstGeom>
                  </pic:spPr>
                </pic:pic>
              </a:graphicData>
            </a:graphic>
          </wp:inline>
        </w:drawing>
      </w:r>
    </w:p>
    <w:p w14:paraId="0DA3EF6A" w14:textId="2BB9BE04" w:rsidR="001731DA" w:rsidRDefault="00A57AAD" w:rsidP="00911A96">
      <w:pPr>
        <w:spacing w:after="40"/>
        <w:jc w:val="both"/>
        <w:rPr>
          <w:rFonts w:ascii="Arial" w:hAnsi="Arial" w:cs="Arial"/>
          <w:i/>
          <w:szCs w:val="24"/>
        </w:rPr>
      </w:pPr>
      <w:r w:rsidRPr="00911A96">
        <w:rPr>
          <w:rFonts w:ascii="Arial" w:hAnsi="Arial" w:cs="Arial"/>
          <w:i/>
          <w:szCs w:val="24"/>
        </w:rPr>
        <w:t>Figure 17 shows the second part of the Nmap service scan for S-DC (192.168.1.10), including script results and operating system detection details.</w:t>
      </w:r>
    </w:p>
    <w:p w14:paraId="3F457108" w14:textId="77777777" w:rsidR="000C1E6F" w:rsidRDefault="000C1E6F" w:rsidP="00911A96">
      <w:pPr>
        <w:spacing w:after="40"/>
        <w:jc w:val="both"/>
        <w:rPr>
          <w:rFonts w:ascii="Arial" w:hAnsi="Arial" w:cs="Arial"/>
          <w:i/>
          <w:szCs w:val="24"/>
        </w:rPr>
      </w:pPr>
    </w:p>
    <w:p w14:paraId="44ED7258" w14:textId="77777777" w:rsidR="000C1E6F" w:rsidRPr="00911A96" w:rsidRDefault="000C1E6F" w:rsidP="00911A96">
      <w:pPr>
        <w:spacing w:after="40"/>
        <w:jc w:val="both"/>
        <w:rPr>
          <w:rFonts w:ascii="Arial" w:hAnsi="Arial" w:cs="Arial"/>
          <w:szCs w:val="24"/>
        </w:rPr>
      </w:pPr>
    </w:p>
    <w:p w14:paraId="65246A08"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35B812B9" wp14:editId="71B3140D">
            <wp:extent cx="5040000" cy="315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V -sC -p- 192.168.2.10.png"/>
                    <pic:cNvPicPr/>
                  </pic:nvPicPr>
                  <pic:blipFill>
                    <a:blip r:embed="rId26"/>
                    <a:stretch>
                      <a:fillRect/>
                    </a:stretch>
                  </pic:blipFill>
                  <pic:spPr>
                    <a:xfrm>
                      <a:off x="0" y="0"/>
                      <a:ext cx="5040000" cy="3150000"/>
                    </a:xfrm>
                    <a:prstGeom prst="rect">
                      <a:avLst/>
                    </a:prstGeom>
                  </pic:spPr>
                </pic:pic>
              </a:graphicData>
            </a:graphic>
          </wp:inline>
        </w:drawing>
      </w:r>
    </w:p>
    <w:p w14:paraId="68CAD133" w14:textId="53CE875C" w:rsidR="001731DA" w:rsidRDefault="004465F7" w:rsidP="00911A96">
      <w:pPr>
        <w:spacing w:after="40"/>
        <w:jc w:val="both"/>
        <w:rPr>
          <w:rFonts w:ascii="Arial" w:hAnsi="Arial" w:cs="Arial"/>
          <w:i/>
          <w:szCs w:val="24"/>
        </w:rPr>
      </w:pPr>
      <w:r w:rsidRPr="00911A96">
        <w:rPr>
          <w:rFonts w:ascii="Arial" w:hAnsi="Arial" w:cs="Arial"/>
          <w:i/>
          <w:szCs w:val="24"/>
        </w:rPr>
        <w:t>Figure 18 shows the Nmap service scan results for L-CD (192.168.2.10), identifying SSH and DNS as the primary exposed services.</w:t>
      </w:r>
    </w:p>
    <w:p w14:paraId="76DFF730" w14:textId="77777777" w:rsidR="00657F52" w:rsidRDefault="00657F52" w:rsidP="00911A96">
      <w:pPr>
        <w:spacing w:after="40"/>
        <w:jc w:val="both"/>
        <w:rPr>
          <w:rFonts w:ascii="Arial" w:hAnsi="Arial" w:cs="Arial"/>
          <w:i/>
          <w:szCs w:val="24"/>
        </w:rPr>
      </w:pPr>
    </w:p>
    <w:p w14:paraId="6A81CF7A" w14:textId="77777777" w:rsidR="00657F52" w:rsidRPr="00911A96" w:rsidRDefault="00657F52" w:rsidP="00911A96">
      <w:pPr>
        <w:spacing w:after="40"/>
        <w:jc w:val="both"/>
        <w:rPr>
          <w:rFonts w:ascii="Arial" w:hAnsi="Arial" w:cs="Arial"/>
          <w:szCs w:val="24"/>
        </w:rPr>
      </w:pPr>
    </w:p>
    <w:p w14:paraId="47C88B5C"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E15368C" wp14:editId="0EDA9492">
            <wp:extent cx="5040000" cy="315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um4linux -a 192.168.1.10 part 1.png"/>
                    <pic:cNvPicPr/>
                  </pic:nvPicPr>
                  <pic:blipFill>
                    <a:blip r:embed="rId27"/>
                    <a:stretch>
                      <a:fillRect/>
                    </a:stretch>
                  </pic:blipFill>
                  <pic:spPr>
                    <a:xfrm>
                      <a:off x="0" y="0"/>
                      <a:ext cx="5040000" cy="3150000"/>
                    </a:xfrm>
                    <a:prstGeom prst="rect">
                      <a:avLst/>
                    </a:prstGeom>
                  </pic:spPr>
                </pic:pic>
              </a:graphicData>
            </a:graphic>
          </wp:inline>
        </w:drawing>
      </w:r>
    </w:p>
    <w:p w14:paraId="0A09DEFF" w14:textId="1284678F" w:rsidR="001731DA" w:rsidRDefault="00903C98" w:rsidP="00911A96">
      <w:pPr>
        <w:spacing w:after="40"/>
        <w:jc w:val="both"/>
        <w:rPr>
          <w:rFonts w:ascii="Arial" w:hAnsi="Arial" w:cs="Arial"/>
          <w:i/>
          <w:szCs w:val="24"/>
        </w:rPr>
      </w:pPr>
      <w:r w:rsidRPr="00911A96">
        <w:rPr>
          <w:rFonts w:ascii="Arial" w:hAnsi="Arial" w:cs="Arial"/>
          <w:i/>
          <w:szCs w:val="24"/>
        </w:rPr>
        <w:t>Figure 19 shows the first part of the enum4linux output, where domain users and group information were successfully extracted from the Swansea.acca domain.</w:t>
      </w:r>
    </w:p>
    <w:p w14:paraId="4BAC3111" w14:textId="77777777" w:rsidR="000C1E6F" w:rsidRDefault="000C1E6F" w:rsidP="00911A96">
      <w:pPr>
        <w:spacing w:after="40"/>
        <w:jc w:val="both"/>
        <w:rPr>
          <w:rFonts w:ascii="Arial" w:hAnsi="Arial" w:cs="Arial"/>
          <w:i/>
          <w:szCs w:val="24"/>
        </w:rPr>
      </w:pPr>
    </w:p>
    <w:p w14:paraId="54313AB7" w14:textId="77777777" w:rsidR="000C1E6F" w:rsidRPr="00911A96" w:rsidRDefault="000C1E6F" w:rsidP="00911A96">
      <w:pPr>
        <w:spacing w:after="40"/>
        <w:jc w:val="both"/>
        <w:rPr>
          <w:rFonts w:ascii="Arial" w:hAnsi="Arial" w:cs="Arial"/>
          <w:szCs w:val="24"/>
        </w:rPr>
      </w:pPr>
    </w:p>
    <w:p w14:paraId="37BC8B05"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2825451" wp14:editId="0CE998DF">
            <wp:extent cx="5040000" cy="315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um4linux -a 192.168.1.10 part 2.png"/>
                    <pic:cNvPicPr/>
                  </pic:nvPicPr>
                  <pic:blipFill>
                    <a:blip r:embed="rId28"/>
                    <a:stretch>
                      <a:fillRect/>
                    </a:stretch>
                  </pic:blipFill>
                  <pic:spPr>
                    <a:xfrm>
                      <a:off x="0" y="0"/>
                      <a:ext cx="5040000" cy="3150000"/>
                    </a:xfrm>
                    <a:prstGeom prst="rect">
                      <a:avLst/>
                    </a:prstGeom>
                  </pic:spPr>
                </pic:pic>
              </a:graphicData>
            </a:graphic>
          </wp:inline>
        </w:drawing>
      </w:r>
    </w:p>
    <w:p w14:paraId="1B35FC15" w14:textId="61269E7C" w:rsidR="001731DA" w:rsidRDefault="00903C98" w:rsidP="00911A96">
      <w:pPr>
        <w:spacing w:after="40"/>
        <w:jc w:val="both"/>
        <w:rPr>
          <w:rFonts w:ascii="Arial" w:hAnsi="Arial" w:cs="Arial"/>
          <w:i/>
          <w:szCs w:val="24"/>
        </w:rPr>
      </w:pPr>
      <w:r w:rsidRPr="00911A96">
        <w:rPr>
          <w:rFonts w:ascii="Arial" w:hAnsi="Arial" w:cs="Arial"/>
          <w:i/>
          <w:szCs w:val="24"/>
        </w:rPr>
        <w:t>Figure 20 shows the second part of the enum4linux results, highlighting the extracted password policy details and shared resource enumeration.</w:t>
      </w:r>
    </w:p>
    <w:p w14:paraId="7D29A0AC" w14:textId="77777777" w:rsidR="00657F52" w:rsidRPr="00911A96" w:rsidRDefault="00657F52" w:rsidP="00911A96">
      <w:pPr>
        <w:spacing w:after="40"/>
        <w:jc w:val="both"/>
        <w:rPr>
          <w:rFonts w:ascii="Arial" w:hAnsi="Arial" w:cs="Arial"/>
          <w:szCs w:val="24"/>
        </w:rPr>
      </w:pPr>
    </w:p>
    <w:p w14:paraId="01146662" w14:textId="77777777" w:rsidR="001731DA" w:rsidRPr="000C1E6F" w:rsidRDefault="000502A7" w:rsidP="000C1E6F">
      <w:pPr>
        <w:pStyle w:val="Heading2"/>
        <w:rPr>
          <w:rFonts w:ascii="Arial" w:hAnsi="Arial" w:cs="Arial"/>
          <w:sz w:val="28"/>
          <w:szCs w:val="28"/>
        </w:rPr>
      </w:pPr>
      <w:bookmarkStart w:id="8" w:name="_Toc227003904"/>
      <w:r w:rsidRPr="000C1E6F">
        <w:rPr>
          <w:rFonts w:ascii="Arial" w:hAnsi="Arial" w:cs="Arial"/>
          <w:sz w:val="28"/>
          <w:szCs w:val="28"/>
        </w:rPr>
        <w:t>4.3 Vulnerability Assessment</w:t>
      </w:r>
      <w:bookmarkEnd w:id="8"/>
    </w:p>
    <w:p w14:paraId="46D32F9D" w14:textId="77777777" w:rsidR="006C73D4" w:rsidRPr="006C73D4" w:rsidRDefault="006C73D4" w:rsidP="006C73D4">
      <w:pPr>
        <w:jc w:val="both"/>
        <w:rPr>
          <w:rFonts w:ascii="Arial" w:hAnsi="Arial" w:cs="Arial"/>
          <w:szCs w:val="24"/>
          <w:lang w:val="en-GB"/>
        </w:rPr>
      </w:pPr>
      <w:r w:rsidRPr="006C73D4">
        <w:rPr>
          <w:rFonts w:ascii="Arial" w:hAnsi="Arial" w:cs="Arial"/>
          <w:szCs w:val="24"/>
          <w:lang w:val="en-GB"/>
        </w:rPr>
        <w:t>A vulnerability scan was performed using Nessus Essentials across both network ranges to identify security weaknesses [14].</w:t>
      </w:r>
    </w:p>
    <w:p w14:paraId="2ED67B38" w14:textId="77777777" w:rsidR="006C73D4" w:rsidRPr="006C73D4" w:rsidRDefault="006C73D4" w:rsidP="006C73D4">
      <w:pPr>
        <w:jc w:val="both"/>
        <w:rPr>
          <w:rFonts w:ascii="Arial" w:hAnsi="Arial" w:cs="Arial"/>
          <w:szCs w:val="24"/>
          <w:lang w:val="en-GB"/>
        </w:rPr>
      </w:pPr>
      <w:r w:rsidRPr="006C73D4">
        <w:rPr>
          <w:rFonts w:ascii="Arial" w:hAnsi="Arial" w:cs="Arial"/>
          <w:szCs w:val="24"/>
          <w:lang w:val="en-GB"/>
        </w:rPr>
        <w:t>Nessus checks for known vulnerabilities, misconfigurations, and insecure services, ranking each issue using the CVSS v3.1 scoring system for consistent severity assessment [15].</w:t>
      </w:r>
    </w:p>
    <w:p w14:paraId="7541DD5F" w14:textId="77777777" w:rsidR="006C73D4" w:rsidRDefault="006C73D4" w:rsidP="006C73D4">
      <w:pPr>
        <w:jc w:val="both"/>
        <w:rPr>
          <w:rFonts w:ascii="Arial" w:hAnsi="Arial" w:cs="Arial"/>
          <w:szCs w:val="24"/>
          <w:lang w:val="en-GB"/>
        </w:rPr>
      </w:pPr>
      <w:r w:rsidRPr="006C73D4">
        <w:rPr>
          <w:rFonts w:ascii="Arial" w:hAnsi="Arial" w:cs="Arial"/>
          <w:szCs w:val="24"/>
          <w:lang w:val="en-GB"/>
        </w:rPr>
        <w:t>Table 1 summarises six key vulnerabilities, ordered by severity.</w:t>
      </w:r>
    </w:p>
    <w:p w14:paraId="2F247423" w14:textId="77777777" w:rsidR="006C73D4" w:rsidRPr="006C73D4" w:rsidRDefault="006C73D4" w:rsidP="006C73D4">
      <w:pPr>
        <w:jc w:val="both"/>
        <w:rPr>
          <w:rFonts w:ascii="Arial" w:hAnsi="Arial" w:cs="Arial"/>
          <w:szCs w:val="24"/>
          <w:lang w:val="en-GB"/>
        </w:rPr>
      </w:pPr>
    </w:p>
    <w:p w14:paraId="064EE638"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89A56C9" wp14:editId="54004A90">
            <wp:extent cx="5040000" cy="315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sus vulnerabilities part 1 (1).png"/>
                    <pic:cNvPicPr/>
                  </pic:nvPicPr>
                  <pic:blipFill>
                    <a:blip r:embed="rId29"/>
                    <a:stretch>
                      <a:fillRect/>
                    </a:stretch>
                  </pic:blipFill>
                  <pic:spPr>
                    <a:xfrm>
                      <a:off x="0" y="0"/>
                      <a:ext cx="5040000" cy="3150000"/>
                    </a:xfrm>
                    <a:prstGeom prst="rect">
                      <a:avLst/>
                    </a:prstGeom>
                  </pic:spPr>
                </pic:pic>
              </a:graphicData>
            </a:graphic>
          </wp:inline>
        </w:drawing>
      </w:r>
    </w:p>
    <w:p w14:paraId="61F0122B" w14:textId="5A205D40" w:rsidR="001731DA" w:rsidRDefault="008D7026" w:rsidP="00911A96">
      <w:pPr>
        <w:spacing w:after="40"/>
        <w:jc w:val="both"/>
        <w:rPr>
          <w:rFonts w:ascii="Arial" w:hAnsi="Arial" w:cs="Arial"/>
          <w:i/>
          <w:szCs w:val="24"/>
        </w:rPr>
      </w:pPr>
      <w:r w:rsidRPr="00911A96">
        <w:rPr>
          <w:rFonts w:ascii="Arial" w:hAnsi="Arial" w:cs="Arial"/>
          <w:i/>
          <w:szCs w:val="24"/>
        </w:rPr>
        <w:t>Figure 21 shows the first part of the Nessus Essentials scan results, listing identified vulnerabilities along with their severity ratings.</w:t>
      </w:r>
    </w:p>
    <w:p w14:paraId="1A4A6171" w14:textId="77777777" w:rsidR="00657F52" w:rsidRDefault="00657F52" w:rsidP="00911A96">
      <w:pPr>
        <w:spacing w:after="40"/>
        <w:jc w:val="both"/>
        <w:rPr>
          <w:rFonts w:ascii="Arial" w:hAnsi="Arial" w:cs="Arial"/>
          <w:i/>
          <w:szCs w:val="24"/>
        </w:rPr>
      </w:pPr>
    </w:p>
    <w:p w14:paraId="6E65323B" w14:textId="77777777" w:rsidR="00657F52" w:rsidRPr="00911A96" w:rsidRDefault="00657F52" w:rsidP="00911A96">
      <w:pPr>
        <w:spacing w:after="40"/>
        <w:jc w:val="both"/>
        <w:rPr>
          <w:rFonts w:ascii="Arial" w:hAnsi="Arial" w:cs="Arial"/>
          <w:szCs w:val="24"/>
        </w:rPr>
      </w:pPr>
    </w:p>
    <w:p w14:paraId="51F5EC03"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A3965BC" wp14:editId="77009497">
            <wp:extent cx="5040000" cy="315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sus vulnerabilities part 2 (2).png"/>
                    <pic:cNvPicPr/>
                  </pic:nvPicPr>
                  <pic:blipFill>
                    <a:blip r:embed="rId30"/>
                    <a:stretch>
                      <a:fillRect/>
                    </a:stretch>
                  </pic:blipFill>
                  <pic:spPr>
                    <a:xfrm>
                      <a:off x="0" y="0"/>
                      <a:ext cx="5040000" cy="3150000"/>
                    </a:xfrm>
                    <a:prstGeom prst="rect">
                      <a:avLst/>
                    </a:prstGeom>
                  </pic:spPr>
                </pic:pic>
              </a:graphicData>
            </a:graphic>
          </wp:inline>
        </w:drawing>
      </w:r>
    </w:p>
    <w:p w14:paraId="6845C59C" w14:textId="3DBE7867" w:rsidR="001731DA" w:rsidRDefault="00AA5EAC" w:rsidP="00911A96">
      <w:pPr>
        <w:spacing w:after="40"/>
        <w:jc w:val="both"/>
        <w:rPr>
          <w:rFonts w:ascii="Arial" w:hAnsi="Arial" w:cs="Arial"/>
          <w:i/>
          <w:szCs w:val="24"/>
        </w:rPr>
      </w:pPr>
      <w:r w:rsidRPr="00911A96">
        <w:rPr>
          <w:rFonts w:ascii="Arial" w:hAnsi="Arial" w:cs="Arial"/>
          <w:i/>
          <w:szCs w:val="24"/>
        </w:rPr>
        <w:t>Figure 22 shows a summary view of the Nessus Essentials scan results, providing an overview of all identified vulnerabilities.</w:t>
      </w:r>
    </w:p>
    <w:p w14:paraId="20352D49" w14:textId="77777777" w:rsidR="00EC24B6" w:rsidRDefault="00EC24B6" w:rsidP="00911A96">
      <w:pPr>
        <w:jc w:val="both"/>
        <w:rPr>
          <w:rFonts w:ascii="Arial" w:hAnsi="Arial" w:cs="Arial"/>
          <w:szCs w:val="24"/>
        </w:rPr>
      </w:pPr>
    </w:p>
    <w:p w14:paraId="57BAE3F0" w14:textId="13F7B05A" w:rsidR="001731DA" w:rsidRPr="00911A96" w:rsidRDefault="000502A7" w:rsidP="00911A96">
      <w:pPr>
        <w:jc w:val="both"/>
        <w:rPr>
          <w:rFonts w:ascii="Arial" w:hAnsi="Arial" w:cs="Arial"/>
          <w:szCs w:val="24"/>
        </w:rPr>
      </w:pPr>
      <w:r w:rsidRPr="00911A96">
        <w:rPr>
          <w:rFonts w:ascii="Arial" w:hAnsi="Arial" w:cs="Arial"/>
          <w:b/>
          <w:szCs w:val="24"/>
        </w:rPr>
        <w:t>Table 1: Selected Vulnerabilities by Severity</w:t>
      </w:r>
    </w:p>
    <w:tbl>
      <w:tblPr>
        <w:tblStyle w:val="TableGrid"/>
        <w:tblW w:w="11680" w:type="dxa"/>
        <w:jc w:val="center"/>
        <w:tblLook w:val="04A0" w:firstRow="1" w:lastRow="0" w:firstColumn="1" w:lastColumn="0" w:noHBand="0" w:noVBand="1"/>
      </w:tblPr>
      <w:tblGrid>
        <w:gridCol w:w="776"/>
        <w:gridCol w:w="1781"/>
        <w:gridCol w:w="1778"/>
        <w:gridCol w:w="1190"/>
        <w:gridCol w:w="870"/>
        <w:gridCol w:w="5285"/>
      </w:tblGrid>
      <w:tr w:rsidR="001731DA" w:rsidRPr="00911A96" w14:paraId="0A1F217E" w14:textId="77777777" w:rsidTr="006C73D4">
        <w:trPr>
          <w:jc w:val="center"/>
        </w:trPr>
        <w:tc>
          <w:tcPr>
            <w:tcW w:w="776" w:type="dxa"/>
            <w:shd w:val="clear" w:color="auto" w:fill="002060"/>
          </w:tcPr>
          <w:p w14:paraId="37C7481A"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ID</w:t>
            </w:r>
          </w:p>
        </w:tc>
        <w:tc>
          <w:tcPr>
            <w:tcW w:w="1781" w:type="dxa"/>
            <w:shd w:val="clear" w:color="auto" w:fill="002060"/>
          </w:tcPr>
          <w:p w14:paraId="7325E615"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Vulnerability Name</w:t>
            </w:r>
          </w:p>
        </w:tc>
        <w:tc>
          <w:tcPr>
            <w:tcW w:w="1778" w:type="dxa"/>
            <w:shd w:val="clear" w:color="auto" w:fill="002060"/>
          </w:tcPr>
          <w:p w14:paraId="0FF8AF44"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Host</w:t>
            </w:r>
          </w:p>
        </w:tc>
        <w:tc>
          <w:tcPr>
            <w:tcW w:w="1190" w:type="dxa"/>
            <w:shd w:val="clear" w:color="auto" w:fill="002060"/>
          </w:tcPr>
          <w:p w14:paraId="52686C17"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Severity</w:t>
            </w:r>
          </w:p>
        </w:tc>
        <w:tc>
          <w:tcPr>
            <w:tcW w:w="870" w:type="dxa"/>
            <w:shd w:val="clear" w:color="auto" w:fill="002060"/>
          </w:tcPr>
          <w:p w14:paraId="0B078487"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CVSS</w:t>
            </w:r>
          </w:p>
        </w:tc>
        <w:tc>
          <w:tcPr>
            <w:tcW w:w="5285" w:type="dxa"/>
            <w:shd w:val="clear" w:color="auto" w:fill="002060"/>
          </w:tcPr>
          <w:p w14:paraId="3A73DE2C"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FFFF"/>
                <w:szCs w:val="24"/>
              </w:rPr>
              <w:t>Description</w:t>
            </w:r>
          </w:p>
        </w:tc>
      </w:tr>
      <w:tr w:rsidR="001731DA" w:rsidRPr="00911A96" w14:paraId="4E3D61CB" w14:textId="77777777" w:rsidTr="006C73D4">
        <w:trPr>
          <w:jc w:val="center"/>
        </w:trPr>
        <w:tc>
          <w:tcPr>
            <w:tcW w:w="776" w:type="dxa"/>
            <w:shd w:val="clear" w:color="auto" w:fill="EEF3FA"/>
          </w:tcPr>
          <w:p w14:paraId="67549AA4"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V-01</w:t>
            </w:r>
          </w:p>
        </w:tc>
        <w:tc>
          <w:tcPr>
            <w:tcW w:w="1781" w:type="dxa"/>
            <w:shd w:val="clear" w:color="auto" w:fill="EEF3FA"/>
          </w:tcPr>
          <w:p w14:paraId="33BD6470" w14:textId="23DAFE04" w:rsidR="001731DA" w:rsidRPr="00911A96" w:rsidRDefault="00F8379E" w:rsidP="00911A96">
            <w:pPr>
              <w:spacing w:line="276" w:lineRule="auto"/>
              <w:jc w:val="both"/>
              <w:rPr>
                <w:rFonts w:ascii="Arial" w:hAnsi="Arial" w:cs="Arial"/>
                <w:szCs w:val="24"/>
              </w:rPr>
            </w:pPr>
            <w:r w:rsidRPr="00911A96">
              <w:rPr>
                <w:rFonts w:ascii="Arial" w:hAnsi="Arial" w:cs="Arial"/>
                <w:szCs w:val="24"/>
              </w:rPr>
              <w:t>SSL Medium Strength Cipher Suites (SWEET32)</w:t>
            </w:r>
          </w:p>
        </w:tc>
        <w:tc>
          <w:tcPr>
            <w:tcW w:w="1778" w:type="dxa"/>
            <w:shd w:val="clear" w:color="auto" w:fill="EEF3FA"/>
          </w:tcPr>
          <w:p w14:paraId="03C2F4E2" w14:textId="78996F10" w:rsidR="001731DA" w:rsidRPr="00911A96" w:rsidRDefault="000502A7" w:rsidP="00911A96">
            <w:pPr>
              <w:spacing w:line="276" w:lineRule="auto"/>
              <w:jc w:val="both"/>
              <w:rPr>
                <w:rFonts w:ascii="Arial" w:hAnsi="Arial" w:cs="Arial"/>
                <w:szCs w:val="24"/>
              </w:rPr>
            </w:pPr>
            <w:r w:rsidRPr="00911A96">
              <w:rPr>
                <w:rFonts w:ascii="Arial" w:hAnsi="Arial" w:cs="Arial"/>
                <w:szCs w:val="24"/>
              </w:rPr>
              <w:t>S-DC</w:t>
            </w:r>
            <w:r w:rsidRPr="00911A96">
              <w:rPr>
                <w:rFonts w:ascii="Arial" w:hAnsi="Arial" w:cs="Arial"/>
                <w:szCs w:val="24"/>
              </w:rPr>
              <w:br/>
            </w:r>
            <w:r w:rsidR="003C3F98" w:rsidRPr="00911A96">
              <w:rPr>
                <w:rFonts w:ascii="Arial" w:hAnsi="Arial" w:cs="Arial"/>
                <w:szCs w:val="24"/>
              </w:rPr>
              <w:t>(</w:t>
            </w:r>
            <w:r w:rsidRPr="00911A96">
              <w:rPr>
                <w:rFonts w:ascii="Arial" w:hAnsi="Arial" w:cs="Arial"/>
                <w:szCs w:val="24"/>
              </w:rPr>
              <w:t>192.168.1.10</w:t>
            </w:r>
            <w:r w:rsidR="003C3F98" w:rsidRPr="00911A96">
              <w:rPr>
                <w:rFonts w:ascii="Arial" w:hAnsi="Arial" w:cs="Arial"/>
                <w:szCs w:val="24"/>
              </w:rPr>
              <w:t>)</w:t>
            </w:r>
          </w:p>
        </w:tc>
        <w:tc>
          <w:tcPr>
            <w:tcW w:w="1190" w:type="dxa"/>
            <w:shd w:val="clear" w:color="auto" w:fill="EEF3FA"/>
          </w:tcPr>
          <w:p w14:paraId="69392D8F"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0000"/>
                <w:szCs w:val="24"/>
              </w:rPr>
              <w:t>HIGH</w:t>
            </w:r>
          </w:p>
        </w:tc>
        <w:tc>
          <w:tcPr>
            <w:tcW w:w="870" w:type="dxa"/>
            <w:shd w:val="clear" w:color="auto" w:fill="EEF3FA"/>
          </w:tcPr>
          <w:p w14:paraId="5195AE46"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7.5</w:t>
            </w:r>
          </w:p>
        </w:tc>
        <w:tc>
          <w:tcPr>
            <w:tcW w:w="5285" w:type="dxa"/>
            <w:shd w:val="clear" w:color="auto" w:fill="EEF3FA"/>
          </w:tcPr>
          <w:p w14:paraId="764B9FC6" w14:textId="5F1582FA" w:rsidR="001731DA" w:rsidRPr="00911A96" w:rsidRDefault="005E0136" w:rsidP="00911A96">
            <w:pPr>
              <w:spacing w:line="276" w:lineRule="auto"/>
              <w:jc w:val="both"/>
              <w:rPr>
                <w:rFonts w:ascii="Arial" w:hAnsi="Arial" w:cs="Arial"/>
                <w:szCs w:val="24"/>
              </w:rPr>
            </w:pPr>
            <w:r w:rsidRPr="00911A96">
              <w:rPr>
                <w:rFonts w:ascii="Arial" w:hAnsi="Arial" w:cs="Arial"/>
                <w:szCs w:val="24"/>
              </w:rPr>
              <w:t>Uses outdated 64-bit cipher suites (CVE-2016-2183), making encrypted sessions vulnerable to SWEET32 decryption attacks.</w:t>
            </w:r>
          </w:p>
        </w:tc>
      </w:tr>
      <w:tr w:rsidR="001731DA" w:rsidRPr="00911A96" w14:paraId="07744D0A" w14:textId="77777777" w:rsidTr="006C73D4">
        <w:trPr>
          <w:jc w:val="center"/>
        </w:trPr>
        <w:tc>
          <w:tcPr>
            <w:tcW w:w="776" w:type="dxa"/>
          </w:tcPr>
          <w:p w14:paraId="23DD941F"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V-02</w:t>
            </w:r>
          </w:p>
        </w:tc>
        <w:tc>
          <w:tcPr>
            <w:tcW w:w="1781" w:type="dxa"/>
          </w:tcPr>
          <w:p w14:paraId="068827E8" w14:textId="6B46F6C3" w:rsidR="001731DA" w:rsidRPr="00911A96" w:rsidRDefault="000C6D78" w:rsidP="00911A96">
            <w:pPr>
              <w:spacing w:line="276" w:lineRule="auto"/>
              <w:jc w:val="both"/>
              <w:rPr>
                <w:rFonts w:ascii="Arial" w:hAnsi="Arial" w:cs="Arial"/>
                <w:szCs w:val="24"/>
              </w:rPr>
            </w:pPr>
            <w:r w:rsidRPr="00911A96">
              <w:rPr>
                <w:rFonts w:ascii="Arial" w:hAnsi="Arial" w:cs="Arial"/>
                <w:szCs w:val="24"/>
              </w:rPr>
              <w:t>SMB Service Exposed / Credential-Based Access</w:t>
            </w:r>
          </w:p>
        </w:tc>
        <w:tc>
          <w:tcPr>
            <w:tcW w:w="1778" w:type="dxa"/>
          </w:tcPr>
          <w:p w14:paraId="306F9D10" w14:textId="7DAE08CE" w:rsidR="001731DA" w:rsidRPr="00911A96" w:rsidRDefault="000502A7" w:rsidP="00911A96">
            <w:pPr>
              <w:spacing w:line="276" w:lineRule="auto"/>
              <w:jc w:val="both"/>
              <w:rPr>
                <w:rFonts w:ascii="Arial" w:hAnsi="Arial" w:cs="Arial"/>
                <w:szCs w:val="24"/>
              </w:rPr>
            </w:pPr>
            <w:r w:rsidRPr="00911A96">
              <w:rPr>
                <w:rFonts w:ascii="Arial" w:hAnsi="Arial" w:cs="Arial"/>
                <w:szCs w:val="24"/>
              </w:rPr>
              <w:t>S-DC</w:t>
            </w:r>
            <w:r w:rsidRPr="00911A96">
              <w:rPr>
                <w:rFonts w:ascii="Arial" w:hAnsi="Arial" w:cs="Arial"/>
                <w:szCs w:val="24"/>
              </w:rPr>
              <w:br/>
            </w:r>
            <w:r w:rsidR="003C3F98" w:rsidRPr="00911A96">
              <w:rPr>
                <w:rFonts w:ascii="Arial" w:hAnsi="Arial" w:cs="Arial"/>
                <w:szCs w:val="24"/>
              </w:rPr>
              <w:t>(</w:t>
            </w:r>
            <w:r w:rsidRPr="00911A96">
              <w:rPr>
                <w:rFonts w:ascii="Arial" w:hAnsi="Arial" w:cs="Arial"/>
                <w:szCs w:val="24"/>
              </w:rPr>
              <w:t>192.168.1.10</w:t>
            </w:r>
            <w:r w:rsidR="003C3F98" w:rsidRPr="00911A96">
              <w:rPr>
                <w:rFonts w:ascii="Arial" w:hAnsi="Arial" w:cs="Arial"/>
                <w:szCs w:val="24"/>
              </w:rPr>
              <w:t>)</w:t>
            </w:r>
          </w:p>
        </w:tc>
        <w:tc>
          <w:tcPr>
            <w:tcW w:w="1190" w:type="dxa"/>
          </w:tcPr>
          <w:p w14:paraId="44E947FA"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0000"/>
                <w:szCs w:val="24"/>
              </w:rPr>
              <w:t>HIGH</w:t>
            </w:r>
          </w:p>
        </w:tc>
        <w:tc>
          <w:tcPr>
            <w:tcW w:w="870" w:type="dxa"/>
          </w:tcPr>
          <w:p w14:paraId="447B2181"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7.8</w:t>
            </w:r>
          </w:p>
        </w:tc>
        <w:tc>
          <w:tcPr>
            <w:tcW w:w="5285" w:type="dxa"/>
          </w:tcPr>
          <w:p w14:paraId="42C129FB" w14:textId="490D42FB" w:rsidR="001731DA" w:rsidRPr="00911A96" w:rsidRDefault="005E0136" w:rsidP="00911A96">
            <w:pPr>
              <w:spacing w:line="276" w:lineRule="auto"/>
              <w:jc w:val="both"/>
              <w:rPr>
                <w:rFonts w:ascii="Arial" w:hAnsi="Arial" w:cs="Arial"/>
                <w:szCs w:val="24"/>
              </w:rPr>
            </w:pPr>
            <w:r w:rsidRPr="00911A96">
              <w:rPr>
                <w:rFonts w:ascii="Arial" w:hAnsi="Arial" w:cs="Arial"/>
                <w:szCs w:val="24"/>
              </w:rPr>
              <w:t>SMB (Port 445) accepts domain credentials, allowing remote access and potential lateral movement across systems.</w:t>
            </w:r>
          </w:p>
        </w:tc>
      </w:tr>
      <w:tr w:rsidR="001731DA" w:rsidRPr="00911A96" w14:paraId="21EBC50A" w14:textId="77777777" w:rsidTr="006C73D4">
        <w:trPr>
          <w:jc w:val="center"/>
        </w:trPr>
        <w:tc>
          <w:tcPr>
            <w:tcW w:w="776" w:type="dxa"/>
            <w:shd w:val="clear" w:color="auto" w:fill="EEF3FA"/>
          </w:tcPr>
          <w:p w14:paraId="13BC3DB8"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V-03</w:t>
            </w:r>
          </w:p>
        </w:tc>
        <w:tc>
          <w:tcPr>
            <w:tcW w:w="1781" w:type="dxa"/>
            <w:shd w:val="clear" w:color="auto" w:fill="EEF3FA"/>
          </w:tcPr>
          <w:p w14:paraId="37988174" w14:textId="55D49543" w:rsidR="001731DA" w:rsidRPr="00911A96" w:rsidRDefault="000C6D78" w:rsidP="00911A96">
            <w:pPr>
              <w:spacing w:line="276" w:lineRule="auto"/>
              <w:jc w:val="both"/>
              <w:rPr>
                <w:rFonts w:ascii="Arial" w:hAnsi="Arial" w:cs="Arial"/>
                <w:szCs w:val="24"/>
              </w:rPr>
            </w:pPr>
            <w:r w:rsidRPr="00911A96">
              <w:rPr>
                <w:rFonts w:ascii="Arial" w:hAnsi="Arial" w:cs="Arial"/>
                <w:szCs w:val="24"/>
              </w:rPr>
              <w:t>Echo Service Running (Unnecessary Service)</w:t>
            </w:r>
          </w:p>
        </w:tc>
        <w:tc>
          <w:tcPr>
            <w:tcW w:w="1778" w:type="dxa"/>
            <w:shd w:val="clear" w:color="auto" w:fill="EEF3FA"/>
          </w:tcPr>
          <w:p w14:paraId="70AB0F29"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All Hosts</w:t>
            </w:r>
          </w:p>
        </w:tc>
        <w:tc>
          <w:tcPr>
            <w:tcW w:w="1190" w:type="dxa"/>
            <w:shd w:val="clear" w:color="auto" w:fill="EEF3FA"/>
          </w:tcPr>
          <w:p w14:paraId="6D7197CB"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8C00"/>
                <w:szCs w:val="24"/>
              </w:rPr>
              <w:t>MEDIUM</w:t>
            </w:r>
          </w:p>
        </w:tc>
        <w:tc>
          <w:tcPr>
            <w:tcW w:w="870" w:type="dxa"/>
            <w:shd w:val="clear" w:color="auto" w:fill="EEF3FA"/>
          </w:tcPr>
          <w:p w14:paraId="39D94959"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6.5</w:t>
            </w:r>
          </w:p>
        </w:tc>
        <w:tc>
          <w:tcPr>
            <w:tcW w:w="5285" w:type="dxa"/>
            <w:shd w:val="clear" w:color="auto" w:fill="EEF3FA"/>
          </w:tcPr>
          <w:p w14:paraId="5FDFA5E2" w14:textId="4F65752E" w:rsidR="001731DA" w:rsidRPr="00911A96" w:rsidRDefault="00834FED" w:rsidP="00911A96">
            <w:pPr>
              <w:spacing w:line="276" w:lineRule="auto"/>
              <w:jc w:val="both"/>
              <w:rPr>
                <w:rFonts w:ascii="Arial" w:hAnsi="Arial" w:cs="Arial"/>
                <w:szCs w:val="24"/>
              </w:rPr>
            </w:pPr>
            <w:r w:rsidRPr="00911A96">
              <w:rPr>
                <w:rFonts w:ascii="Arial" w:hAnsi="Arial" w:cs="Arial"/>
                <w:szCs w:val="24"/>
              </w:rPr>
              <w:t>Echo service (Port 7) is enabled, which can be abused for DoS amplification and network scanning.</w:t>
            </w:r>
          </w:p>
        </w:tc>
      </w:tr>
      <w:tr w:rsidR="001731DA" w:rsidRPr="00911A96" w14:paraId="3D6A8A1F" w14:textId="77777777" w:rsidTr="006C73D4">
        <w:trPr>
          <w:jc w:val="center"/>
        </w:trPr>
        <w:tc>
          <w:tcPr>
            <w:tcW w:w="776" w:type="dxa"/>
          </w:tcPr>
          <w:p w14:paraId="6CF2E6B9"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V-04</w:t>
            </w:r>
          </w:p>
        </w:tc>
        <w:tc>
          <w:tcPr>
            <w:tcW w:w="1781" w:type="dxa"/>
          </w:tcPr>
          <w:p w14:paraId="3D8A3C18" w14:textId="01CA2F55" w:rsidR="001731DA" w:rsidRPr="00911A96" w:rsidRDefault="00D572C5" w:rsidP="00911A96">
            <w:pPr>
              <w:spacing w:line="276" w:lineRule="auto"/>
              <w:jc w:val="both"/>
              <w:rPr>
                <w:rFonts w:ascii="Arial" w:hAnsi="Arial" w:cs="Arial"/>
                <w:szCs w:val="24"/>
              </w:rPr>
            </w:pPr>
            <w:r w:rsidRPr="00911A96">
              <w:rPr>
                <w:rFonts w:ascii="Arial" w:hAnsi="Arial" w:cs="Arial"/>
                <w:szCs w:val="24"/>
              </w:rPr>
              <w:t>LDAP / AD Information Disclosure</w:t>
            </w:r>
          </w:p>
        </w:tc>
        <w:tc>
          <w:tcPr>
            <w:tcW w:w="1778" w:type="dxa"/>
          </w:tcPr>
          <w:p w14:paraId="7B304C57" w14:textId="1E1202E7" w:rsidR="001731DA" w:rsidRPr="00911A96" w:rsidRDefault="000502A7" w:rsidP="00911A96">
            <w:pPr>
              <w:spacing w:line="276" w:lineRule="auto"/>
              <w:jc w:val="both"/>
              <w:rPr>
                <w:rFonts w:ascii="Arial" w:hAnsi="Arial" w:cs="Arial"/>
                <w:szCs w:val="24"/>
              </w:rPr>
            </w:pPr>
            <w:r w:rsidRPr="00911A96">
              <w:rPr>
                <w:rFonts w:ascii="Arial" w:hAnsi="Arial" w:cs="Arial"/>
                <w:szCs w:val="24"/>
              </w:rPr>
              <w:t>S-DC</w:t>
            </w:r>
            <w:r w:rsidRPr="00911A96">
              <w:rPr>
                <w:rFonts w:ascii="Arial" w:hAnsi="Arial" w:cs="Arial"/>
                <w:szCs w:val="24"/>
              </w:rPr>
              <w:br/>
            </w:r>
            <w:r w:rsidR="003C3F98" w:rsidRPr="00911A96">
              <w:rPr>
                <w:rFonts w:ascii="Arial" w:hAnsi="Arial" w:cs="Arial"/>
                <w:szCs w:val="24"/>
              </w:rPr>
              <w:t>(</w:t>
            </w:r>
            <w:r w:rsidRPr="00911A96">
              <w:rPr>
                <w:rFonts w:ascii="Arial" w:hAnsi="Arial" w:cs="Arial"/>
                <w:szCs w:val="24"/>
              </w:rPr>
              <w:t>192.168.1.10</w:t>
            </w:r>
            <w:r w:rsidR="003C3F98" w:rsidRPr="00911A96">
              <w:rPr>
                <w:rFonts w:ascii="Arial" w:hAnsi="Arial" w:cs="Arial"/>
                <w:szCs w:val="24"/>
              </w:rPr>
              <w:t>)</w:t>
            </w:r>
          </w:p>
        </w:tc>
        <w:tc>
          <w:tcPr>
            <w:tcW w:w="1190" w:type="dxa"/>
          </w:tcPr>
          <w:p w14:paraId="06EDADD4"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FF8C00"/>
                <w:szCs w:val="24"/>
              </w:rPr>
              <w:t>MEDIUM</w:t>
            </w:r>
          </w:p>
        </w:tc>
        <w:tc>
          <w:tcPr>
            <w:tcW w:w="870" w:type="dxa"/>
          </w:tcPr>
          <w:p w14:paraId="67325A2E"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5.9</w:t>
            </w:r>
          </w:p>
        </w:tc>
        <w:tc>
          <w:tcPr>
            <w:tcW w:w="5285" w:type="dxa"/>
          </w:tcPr>
          <w:p w14:paraId="11BA9172" w14:textId="4E5D163E" w:rsidR="001731DA" w:rsidRPr="00911A96" w:rsidRDefault="00834FED" w:rsidP="00911A96">
            <w:pPr>
              <w:spacing w:line="276" w:lineRule="auto"/>
              <w:jc w:val="both"/>
              <w:rPr>
                <w:rFonts w:ascii="Arial" w:hAnsi="Arial" w:cs="Arial"/>
                <w:szCs w:val="24"/>
              </w:rPr>
            </w:pPr>
            <w:r w:rsidRPr="00911A96">
              <w:rPr>
                <w:rFonts w:ascii="Arial" w:hAnsi="Arial" w:cs="Arial"/>
                <w:szCs w:val="24"/>
              </w:rPr>
              <w:t>LDAP (Port 389) exposes Active Directory data like users, groups, and policies to enumeration tools.</w:t>
            </w:r>
          </w:p>
        </w:tc>
      </w:tr>
      <w:tr w:rsidR="001731DA" w:rsidRPr="00911A96" w14:paraId="5E959658" w14:textId="77777777" w:rsidTr="006C73D4">
        <w:trPr>
          <w:jc w:val="center"/>
        </w:trPr>
        <w:tc>
          <w:tcPr>
            <w:tcW w:w="776" w:type="dxa"/>
            <w:shd w:val="clear" w:color="auto" w:fill="EEF3FA"/>
          </w:tcPr>
          <w:p w14:paraId="3B419A95"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V-05</w:t>
            </w:r>
          </w:p>
        </w:tc>
        <w:tc>
          <w:tcPr>
            <w:tcW w:w="1781" w:type="dxa"/>
            <w:shd w:val="clear" w:color="auto" w:fill="EEF3FA"/>
          </w:tcPr>
          <w:p w14:paraId="5ED41F5E" w14:textId="00278690" w:rsidR="001731DA" w:rsidRPr="00911A96" w:rsidRDefault="00D572C5" w:rsidP="00911A96">
            <w:pPr>
              <w:spacing w:line="276" w:lineRule="auto"/>
              <w:jc w:val="both"/>
              <w:rPr>
                <w:rFonts w:ascii="Arial" w:hAnsi="Arial" w:cs="Arial"/>
                <w:szCs w:val="24"/>
              </w:rPr>
            </w:pPr>
            <w:r w:rsidRPr="00911A96">
              <w:rPr>
                <w:rFonts w:ascii="Arial" w:hAnsi="Arial" w:cs="Arial"/>
                <w:szCs w:val="24"/>
              </w:rPr>
              <w:t>SSH Weak Cipher Configuration</w:t>
            </w:r>
          </w:p>
        </w:tc>
        <w:tc>
          <w:tcPr>
            <w:tcW w:w="1778" w:type="dxa"/>
            <w:shd w:val="clear" w:color="auto" w:fill="EEF3FA"/>
          </w:tcPr>
          <w:p w14:paraId="0AC43FCE" w14:textId="699EF474" w:rsidR="001731DA" w:rsidRPr="00911A96" w:rsidRDefault="000502A7" w:rsidP="00911A96">
            <w:pPr>
              <w:spacing w:line="276" w:lineRule="auto"/>
              <w:jc w:val="both"/>
              <w:rPr>
                <w:rFonts w:ascii="Arial" w:hAnsi="Arial" w:cs="Arial"/>
                <w:szCs w:val="24"/>
              </w:rPr>
            </w:pPr>
            <w:r w:rsidRPr="00911A96">
              <w:rPr>
                <w:rFonts w:ascii="Arial" w:hAnsi="Arial" w:cs="Arial"/>
                <w:szCs w:val="24"/>
              </w:rPr>
              <w:t>L-CD</w:t>
            </w:r>
            <w:r w:rsidRPr="00911A96">
              <w:rPr>
                <w:rFonts w:ascii="Arial" w:hAnsi="Arial" w:cs="Arial"/>
                <w:szCs w:val="24"/>
              </w:rPr>
              <w:br/>
            </w:r>
            <w:r w:rsidR="003C3F98" w:rsidRPr="00911A96">
              <w:rPr>
                <w:rFonts w:ascii="Arial" w:hAnsi="Arial" w:cs="Arial"/>
                <w:szCs w:val="24"/>
              </w:rPr>
              <w:t>(</w:t>
            </w:r>
            <w:r w:rsidRPr="00911A96">
              <w:rPr>
                <w:rFonts w:ascii="Arial" w:hAnsi="Arial" w:cs="Arial"/>
                <w:szCs w:val="24"/>
              </w:rPr>
              <w:t>192.168.2.10</w:t>
            </w:r>
            <w:r w:rsidR="003C3F98" w:rsidRPr="00911A96">
              <w:rPr>
                <w:rFonts w:ascii="Arial" w:hAnsi="Arial" w:cs="Arial"/>
                <w:szCs w:val="24"/>
              </w:rPr>
              <w:t>)</w:t>
            </w:r>
          </w:p>
        </w:tc>
        <w:tc>
          <w:tcPr>
            <w:tcW w:w="1190" w:type="dxa"/>
            <w:shd w:val="clear" w:color="auto" w:fill="EEF3FA"/>
          </w:tcPr>
          <w:p w14:paraId="25D06F78"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70AD47"/>
                <w:szCs w:val="24"/>
              </w:rPr>
              <w:t>LOW</w:t>
            </w:r>
          </w:p>
        </w:tc>
        <w:tc>
          <w:tcPr>
            <w:tcW w:w="870" w:type="dxa"/>
            <w:shd w:val="clear" w:color="auto" w:fill="EEF3FA"/>
          </w:tcPr>
          <w:p w14:paraId="485119D2"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3.7</w:t>
            </w:r>
          </w:p>
        </w:tc>
        <w:tc>
          <w:tcPr>
            <w:tcW w:w="5285" w:type="dxa"/>
            <w:shd w:val="clear" w:color="auto" w:fill="EEF3FA"/>
          </w:tcPr>
          <w:p w14:paraId="6A587536" w14:textId="222F338A" w:rsidR="001731DA" w:rsidRPr="00911A96" w:rsidRDefault="00104555" w:rsidP="00911A96">
            <w:pPr>
              <w:spacing w:line="276" w:lineRule="auto"/>
              <w:jc w:val="both"/>
              <w:rPr>
                <w:rFonts w:ascii="Arial" w:hAnsi="Arial" w:cs="Arial"/>
                <w:szCs w:val="24"/>
              </w:rPr>
            </w:pPr>
            <w:r w:rsidRPr="00911A96">
              <w:rPr>
                <w:rFonts w:ascii="Arial" w:hAnsi="Arial" w:cs="Arial"/>
                <w:szCs w:val="24"/>
              </w:rPr>
              <w:t xml:space="preserve">SSH may allow outdated cipher suites, increasing risk of downgrade-based attacks in certain </w:t>
            </w:r>
            <w:r w:rsidR="00DA41A4" w:rsidRPr="00911A96">
              <w:rPr>
                <w:rFonts w:ascii="Arial" w:hAnsi="Arial" w:cs="Arial"/>
                <w:szCs w:val="24"/>
              </w:rPr>
              <w:t>scenarios.</w:t>
            </w:r>
          </w:p>
        </w:tc>
      </w:tr>
      <w:tr w:rsidR="001731DA" w:rsidRPr="00911A96" w14:paraId="15EBF444" w14:textId="77777777" w:rsidTr="00660DBA">
        <w:trPr>
          <w:trHeight w:val="662"/>
          <w:jc w:val="center"/>
        </w:trPr>
        <w:tc>
          <w:tcPr>
            <w:tcW w:w="776" w:type="dxa"/>
          </w:tcPr>
          <w:p w14:paraId="2BB5A63B"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V-06</w:t>
            </w:r>
          </w:p>
        </w:tc>
        <w:tc>
          <w:tcPr>
            <w:tcW w:w="1781" w:type="dxa"/>
          </w:tcPr>
          <w:p w14:paraId="72B6ED5D" w14:textId="68308E43" w:rsidR="001731DA" w:rsidRPr="00911A96" w:rsidRDefault="003C3F98" w:rsidP="00911A96">
            <w:pPr>
              <w:spacing w:line="276" w:lineRule="auto"/>
              <w:jc w:val="both"/>
              <w:rPr>
                <w:rFonts w:ascii="Arial" w:hAnsi="Arial" w:cs="Arial"/>
                <w:szCs w:val="24"/>
              </w:rPr>
            </w:pPr>
            <w:r w:rsidRPr="00911A96">
              <w:rPr>
                <w:rFonts w:ascii="Arial" w:hAnsi="Arial" w:cs="Arial"/>
                <w:szCs w:val="24"/>
              </w:rPr>
              <w:t>ICMP Unrestricted / Network Discovery</w:t>
            </w:r>
          </w:p>
        </w:tc>
        <w:tc>
          <w:tcPr>
            <w:tcW w:w="1778" w:type="dxa"/>
          </w:tcPr>
          <w:p w14:paraId="6EBCF102"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All Hosts</w:t>
            </w:r>
          </w:p>
        </w:tc>
        <w:tc>
          <w:tcPr>
            <w:tcW w:w="1190" w:type="dxa"/>
          </w:tcPr>
          <w:p w14:paraId="6176CD0A" w14:textId="77777777" w:rsidR="001731DA" w:rsidRPr="00911A96" w:rsidRDefault="000502A7" w:rsidP="00911A96">
            <w:pPr>
              <w:spacing w:line="276" w:lineRule="auto"/>
              <w:jc w:val="both"/>
              <w:rPr>
                <w:rFonts w:ascii="Arial" w:hAnsi="Arial" w:cs="Arial"/>
                <w:szCs w:val="24"/>
              </w:rPr>
            </w:pPr>
            <w:r w:rsidRPr="00911A96">
              <w:rPr>
                <w:rFonts w:ascii="Arial" w:hAnsi="Arial" w:cs="Arial"/>
                <w:b/>
                <w:color w:val="70AD47"/>
                <w:szCs w:val="24"/>
              </w:rPr>
              <w:t>LOW</w:t>
            </w:r>
          </w:p>
        </w:tc>
        <w:tc>
          <w:tcPr>
            <w:tcW w:w="870" w:type="dxa"/>
          </w:tcPr>
          <w:p w14:paraId="25A4E774" w14:textId="77777777" w:rsidR="001731DA" w:rsidRPr="00911A96" w:rsidRDefault="000502A7" w:rsidP="00911A96">
            <w:pPr>
              <w:spacing w:line="276" w:lineRule="auto"/>
              <w:jc w:val="both"/>
              <w:rPr>
                <w:rFonts w:ascii="Arial" w:hAnsi="Arial" w:cs="Arial"/>
                <w:szCs w:val="24"/>
              </w:rPr>
            </w:pPr>
            <w:r w:rsidRPr="00911A96">
              <w:rPr>
                <w:rFonts w:ascii="Arial" w:hAnsi="Arial" w:cs="Arial"/>
                <w:szCs w:val="24"/>
              </w:rPr>
              <w:t>3.1</w:t>
            </w:r>
          </w:p>
        </w:tc>
        <w:tc>
          <w:tcPr>
            <w:tcW w:w="5285" w:type="dxa"/>
          </w:tcPr>
          <w:p w14:paraId="4250196B" w14:textId="4BE2A2AB" w:rsidR="001731DA" w:rsidRPr="00911A96" w:rsidRDefault="00104555" w:rsidP="00911A96">
            <w:pPr>
              <w:spacing w:line="276" w:lineRule="auto"/>
              <w:jc w:val="both"/>
              <w:rPr>
                <w:rFonts w:ascii="Arial" w:hAnsi="Arial" w:cs="Arial"/>
                <w:szCs w:val="24"/>
              </w:rPr>
            </w:pPr>
            <w:r w:rsidRPr="00911A96">
              <w:rPr>
                <w:rFonts w:ascii="Arial" w:hAnsi="Arial" w:cs="Arial"/>
                <w:szCs w:val="24"/>
              </w:rPr>
              <w:t>Systems respond to ICMP requests without restriction, making network mapping easier for attackers.</w:t>
            </w:r>
          </w:p>
        </w:tc>
      </w:tr>
    </w:tbl>
    <w:p w14:paraId="180698BE" w14:textId="77777777" w:rsidR="001731DA" w:rsidRDefault="001731DA" w:rsidP="00911A96">
      <w:pPr>
        <w:jc w:val="both"/>
        <w:rPr>
          <w:rFonts w:ascii="Arial" w:hAnsi="Arial" w:cs="Arial"/>
          <w:szCs w:val="24"/>
        </w:rPr>
      </w:pPr>
    </w:p>
    <w:p w14:paraId="1741AE4A" w14:textId="77777777" w:rsidR="00EC24B6" w:rsidRDefault="00EC24B6" w:rsidP="00911A96">
      <w:pPr>
        <w:jc w:val="both"/>
        <w:rPr>
          <w:rFonts w:ascii="Arial" w:hAnsi="Arial" w:cs="Arial"/>
          <w:szCs w:val="24"/>
        </w:rPr>
      </w:pPr>
    </w:p>
    <w:p w14:paraId="0F188032" w14:textId="77777777" w:rsidR="00EC24B6" w:rsidRPr="00911A96" w:rsidRDefault="00EC24B6" w:rsidP="00911A96">
      <w:pPr>
        <w:jc w:val="both"/>
        <w:rPr>
          <w:rFonts w:ascii="Arial" w:hAnsi="Arial" w:cs="Arial"/>
          <w:szCs w:val="24"/>
        </w:rPr>
      </w:pPr>
    </w:p>
    <w:p w14:paraId="501E61CD"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6C516701" wp14:editId="09E97ED6">
            <wp:extent cx="5040000" cy="315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tical risk.png"/>
                    <pic:cNvPicPr/>
                  </pic:nvPicPr>
                  <pic:blipFill>
                    <a:blip r:embed="rId31"/>
                    <a:stretch>
                      <a:fillRect/>
                    </a:stretch>
                  </pic:blipFill>
                  <pic:spPr>
                    <a:xfrm>
                      <a:off x="0" y="0"/>
                      <a:ext cx="5040000" cy="3150000"/>
                    </a:xfrm>
                    <a:prstGeom prst="rect">
                      <a:avLst/>
                    </a:prstGeom>
                  </pic:spPr>
                </pic:pic>
              </a:graphicData>
            </a:graphic>
          </wp:inline>
        </w:drawing>
      </w:r>
    </w:p>
    <w:p w14:paraId="277D1150" w14:textId="6922F365" w:rsidR="001731DA" w:rsidRDefault="00C33788" w:rsidP="00911A96">
      <w:pPr>
        <w:spacing w:after="40"/>
        <w:jc w:val="both"/>
        <w:rPr>
          <w:rFonts w:ascii="Arial" w:hAnsi="Arial" w:cs="Arial"/>
          <w:i/>
          <w:szCs w:val="24"/>
        </w:rPr>
      </w:pPr>
      <w:r w:rsidRPr="00911A96">
        <w:rPr>
          <w:rFonts w:ascii="Arial" w:hAnsi="Arial" w:cs="Arial"/>
          <w:i/>
          <w:szCs w:val="24"/>
        </w:rPr>
        <w:t>Figure 23 shows the Nessus findings for the SWEET32 vulnerability on host 192.168.1.10, highlighting a CVSS score of 7.5 and details about the use of weak SSL cipher suites.</w:t>
      </w:r>
    </w:p>
    <w:p w14:paraId="5CF5CEA8" w14:textId="77777777" w:rsidR="00657F52" w:rsidRDefault="00657F52" w:rsidP="00911A96">
      <w:pPr>
        <w:spacing w:after="40"/>
        <w:jc w:val="both"/>
        <w:rPr>
          <w:rFonts w:ascii="Arial" w:hAnsi="Arial" w:cs="Arial"/>
          <w:i/>
          <w:szCs w:val="24"/>
        </w:rPr>
      </w:pPr>
    </w:p>
    <w:p w14:paraId="013EA484" w14:textId="77777777" w:rsidR="006525A7" w:rsidRPr="00911A96" w:rsidRDefault="006525A7" w:rsidP="00911A96">
      <w:pPr>
        <w:spacing w:after="40"/>
        <w:jc w:val="both"/>
        <w:rPr>
          <w:rFonts w:ascii="Arial" w:hAnsi="Arial" w:cs="Arial"/>
          <w:szCs w:val="24"/>
        </w:rPr>
      </w:pPr>
    </w:p>
    <w:p w14:paraId="040DEACE"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5DB399C1" wp14:editId="4E1E5BED">
            <wp:extent cx="5040000" cy="315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um risk.png"/>
                    <pic:cNvPicPr/>
                  </pic:nvPicPr>
                  <pic:blipFill>
                    <a:blip r:embed="rId32"/>
                    <a:stretch>
                      <a:fillRect/>
                    </a:stretch>
                  </pic:blipFill>
                  <pic:spPr>
                    <a:xfrm>
                      <a:off x="0" y="0"/>
                      <a:ext cx="5040000" cy="3150000"/>
                    </a:xfrm>
                    <a:prstGeom prst="rect">
                      <a:avLst/>
                    </a:prstGeom>
                  </pic:spPr>
                </pic:pic>
              </a:graphicData>
            </a:graphic>
          </wp:inline>
        </w:drawing>
      </w:r>
    </w:p>
    <w:p w14:paraId="7BEB96DF" w14:textId="1EC33210" w:rsidR="001731DA" w:rsidRPr="00911A96" w:rsidRDefault="00C21AB1" w:rsidP="00911A96">
      <w:pPr>
        <w:spacing w:after="40"/>
        <w:jc w:val="both"/>
        <w:rPr>
          <w:rFonts w:ascii="Arial" w:hAnsi="Arial" w:cs="Arial"/>
          <w:szCs w:val="24"/>
        </w:rPr>
      </w:pPr>
      <w:r w:rsidRPr="00911A96">
        <w:rPr>
          <w:rFonts w:ascii="Arial" w:hAnsi="Arial" w:cs="Arial"/>
          <w:i/>
          <w:szCs w:val="24"/>
        </w:rPr>
        <w:t>Figure 24 shows the Nessus detection results for the Echo service vulnerability, highlighting its CVSS score of 6.5 and associated risk details.</w:t>
      </w:r>
    </w:p>
    <w:p w14:paraId="72990084" w14:textId="77777777" w:rsidR="004A3937" w:rsidRDefault="004A3937" w:rsidP="004A3937">
      <w:pPr>
        <w:jc w:val="both"/>
        <w:rPr>
          <w:rFonts w:ascii="Arial" w:hAnsi="Arial" w:cs="Arial"/>
          <w:szCs w:val="24"/>
        </w:rPr>
      </w:pPr>
    </w:p>
    <w:p w14:paraId="7F3D9ABF" w14:textId="5CA64B06" w:rsidR="001731DA" w:rsidRPr="004A3937" w:rsidRDefault="000502A7" w:rsidP="004A3937">
      <w:pPr>
        <w:pStyle w:val="Heading1"/>
        <w:rPr>
          <w:rFonts w:ascii="Arial" w:hAnsi="Arial" w:cs="Arial"/>
          <w:sz w:val="32"/>
          <w:szCs w:val="32"/>
        </w:rPr>
      </w:pPr>
      <w:bookmarkStart w:id="9" w:name="_Toc227003905"/>
      <w:r w:rsidRPr="004A3937">
        <w:rPr>
          <w:rFonts w:ascii="Arial" w:hAnsi="Arial" w:cs="Arial"/>
          <w:sz w:val="32"/>
          <w:szCs w:val="32"/>
        </w:rPr>
        <w:t>5. Task 3: Ethical Hacking of SWANSEA.ACCA</w:t>
      </w:r>
      <w:bookmarkEnd w:id="9"/>
    </w:p>
    <w:p w14:paraId="6D532507" w14:textId="77777777" w:rsidR="00AB161C" w:rsidRPr="00911A96" w:rsidRDefault="00AB161C" w:rsidP="00911A96">
      <w:pPr>
        <w:jc w:val="both"/>
        <w:rPr>
          <w:rFonts w:ascii="Arial" w:hAnsi="Arial" w:cs="Arial"/>
          <w:szCs w:val="24"/>
          <w:lang w:val="en-GB"/>
        </w:rPr>
      </w:pPr>
      <w:r w:rsidRPr="00911A96">
        <w:rPr>
          <w:rFonts w:ascii="Arial" w:hAnsi="Arial" w:cs="Arial"/>
          <w:szCs w:val="24"/>
          <w:lang w:val="en-GB"/>
        </w:rPr>
        <w:t>All exploitation activities in this section were carried out strictly within the approved scope of this academic assessment and confined to an isolated VirtualBox environment.</w:t>
      </w:r>
    </w:p>
    <w:p w14:paraId="29C06D90" w14:textId="77777777" w:rsidR="00AB161C" w:rsidRPr="00911A96" w:rsidRDefault="00AB161C" w:rsidP="00911A96">
      <w:pPr>
        <w:jc w:val="both"/>
        <w:rPr>
          <w:rFonts w:ascii="Arial" w:hAnsi="Arial" w:cs="Arial"/>
          <w:szCs w:val="24"/>
          <w:lang w:val="en-GB"/>
        </w:rPr>
      </w:pPr>
      <w:r w:rsidRPr="00911A96">
        <w:rPr>
          <w:rFonts w:ascii="Arial" w:hAnsi="Arial" w:cs="Arial"/>
          <w:szCs w:val="24"/>
          <w:lang w:val="en-GB"/>
        </w:rPr>
        <w:t>At no point were external or live production systems targeted or impacted, ensuring the exercise remained safe, controlled, and fully compliant with ethical guidelines [16].</w:t>
      </w:r>
    </w:p>
    <w:p w14:paraId="6D7F0FF3" w14:textId="77777777" w:rsidR="001731DA" w:rsidRPr="004A3937" w:rsidRDefault="000502A7" w:rsidP="004A3937">
      <w:pPr>
        <w:pStyle w:val="Heading2"/>
        <w:rPr>
          <w:rFonts w:ascii="Arial" w:hAnsi="Arial" w:cs="Arial"/>
          <w:sz w:val="28"/>
          <w:szCs w:val="28"/>
        </w:rPr>
      </w:pPr>
      <w:bookmarkStart w:id="10" w:name="_Toc227003906"/>
      <w:r w:rsidRPr="004A3937">
        <w:rPr>
          <w:rFonts w:ascii="Arial" w:hAnsi="Arial" w:cs="Arial"/>
          <w:sz w:val="28"/>
          <w:szCs w:val="28"/>
        </w:rPr>
        <w:t>5.1 Vulnerability Confirmation with Nmap NSE Scripts</w:t>
      </w:r>
      <w:bookmarkEnd w:id="10"/>
    </w:p>
    <w:p w14:paraId="2B3F79D5" w14:textId="77777777" w:rsidR="00B23E07" w:rsidRPr="00911A96" w:rsidRDefault="00B23E07" w:rsidP="00911A96">
      <w:pPr>
        <w:jc w:val="both"/>
        <w:rPr>
          <w:rFonts w:ascii="Arial" w:hAnsi="Arial" w:cs="Arial"/>
          <w:szCs w:val="24"/>
          <w:lang w:val="en-GB"/>
        </w:rPr>
      </w:pPr>
      <w:r w:rsidRPr="00911A96">
        <w:rPr>
          <w:rFonts w:ascii="Arial" w:hAnsi="Arial" w:cs="Arial"/>
          <w:szCs w:val="24"/>
          <w:lang w:val="en-GB"/>
        </w:rPr>
        <w:t>Before moving to exploitation, Nmap Scripting Engine (NSE) scripts were used to double-check the vulnerabilities identified by Nessus.</w:t>
      </w:r>
    </w:p>
    <w:p w14:paraId="3D319C8C" w14:textId="2738D35F" w:rsidR="00B23E07" w:rsidRPr="00911A96" w:rsidRDefault="00B23E07" w:rsidP="00911A96">
      <w:pPr>
        <w:jc w:val="both"/>
        <w:rPr>
          <w:rFonts w:ascii="Arial" w:hAnsi="Arial" w:cs="Arial"/>
          <w:szCs w:val="24"/>
          <w:lang w:val="en-GB"/>
        </w:rPr>
      </w:pPr>
      <w:r w:rsidRPr="00911A96">
        <w:rPr>
          <w:rFonts w:ascii="Arial" w:hAnsi="Arial" w:cs="Arial"/>
          <w:szCs w:val="24"/>
          <w:lang w:val="en-GB"/>
        </w:rPr>
        <w:t xml:space="preserve">This step is important because it confirms the issues are real and </w:t>
      </w:r>
      <w:r w:rsidR="002E24BE" w:rsidRPr="00911A96">
        <w:rPr>
          <w:rFonts w:ascii="Arial" w:hAnsi="Arial" w:cs="Arial"/>
          <w:szCs w:val="24"/>
          <w:lang w:val="en-GB"/>
        </w:rPr>
        <w:t>exploitable</w:t>
      </w:r>
      <w:r w:rsidRPr="00911A96">
        <w:rPr>
          <w:rFonts w:ascii="Arial" w:hAnsi="Arial" w:cs="Arial"/>
          <w:szCs w:val="24"/>
          <w:lang w:val="en-GB"/>
        </w:rPr>
        <w:t xml:space="preserve">, not just false positives, </w:t>
      </w:r>
      <w:r w:rsidR="002E24BE" w:rsidRPr="00911A96">
        <w:rPr>
          <w:rFonts w:ascii="Arial" w:hAnsi="Arial" w:cs="Arial"/>
          <w:szCs w:val="24"/>
          <w:lang w:val="en-GB"/>
        </w:rPr>
        <w:t>and</w:t>
      </w:r>
      <w:r w:rsidRPr="00911A96">
        <w:rPr>
          <w:rFonts w:ascii="Arial" w:hAnsi="Arial" w:cs="Arial"/>
          <w:szCs w:val="24"/>
          <w:lang w:val="en-GB"/>
        </w:rPr>
        <w:t xml:space="preserve"> provides extra technical evidence to support the next phase of testing [12].</w:t>
      </w:r>
    </w:p>
    <w:p w14:paraId="478821BE" w14:textId="77777777" w:rsidR="001731DA" w:rsidRPr="004A3937" w:rsidRDefault="000502A7" w:rsidP="004A3937">
      <w:pPr>
        <w:pStyle w:val="Heading2"/>
        <w:rPr>
          <w:rFonts w:ascii="Arial" w:hAnsi="Arial" w:cs="Arial"/>
          <w:sz w:val="28"/>
          <w:szCs w:val="28"/>
        </w:rPr>
      </w:pPr>
      <w:bookmarkStart w:id="11" w:name="_Toc227003907"/>
      <w:r w:rsidRPr="004A3937">
        <w:rPr>
          <w:rFonts w:ascii="Arial" w:hAnsi="Arial" w:cs="Arial"/>
          <w:sz w:val="28"/>
          <w:szCs w:val="28"/>
        </w:rPr>
        <w:t>5.1.1 SWEET32 Confirmation — SSL Cipher Enumeration (V-01)</w:t>
      </w:r>
      <w:bookmarkEnd w:id="11"/>
    </w:p>
    <w:p w14:paraId="754CB052" w14:textId="77777777" w:rsidR="00A35FDD" w:rsidRPr="00A35FDD" w:rsidRDefault="00A35FDD" w:rsidP="00911A96">
      <w:pPr>
        <w:jc w:val="both"/>
        <w:rPr>
          <w:rFonts w:ascii="Arial" w:hAnsi="Arial" w:cs="Arial"/>
          <w:szCs w:val="24"/>
          <w:lang w:val="en-GB"/>
        </w:rPr>
      </w:pPr>
      <w:r w:rsidRPr="00A35FDD">
        <w:rPr>
          <w:rFonts w:ascii="Arial" w:hAnsi="Arial" w:cs="Arial"/>
          <w:szCs w:val="24"/>
          <w:lang w:val="en-GB"/>
        </w:rPr>
        <w:t>The ssl-enum-ciphers NSE script was run against ports 443 and 3389 on S-DC (192.168.1.10) to identify which SSL/TLS cipher suites the server supports.</w:t>
      </w:r>
    </w:p>
    <w:p w14:paraId="1A153499" w14:textId="77777777" w:rsidR="00A35FDD" w:rsidRDefault="00A35FDD" w:rsidP="00911A96">
      <w:pPr>
        <w:jc w:val="both"/>
        <w:rPr>
          <w:rFonts w:ascii="Arial" w:hAnsi="Arial" w:cs="Arial"/>
          <w:szCs w:val="24"/>
          <w:lang w:val="en-GB"/>
        </w:rPr>
      </w:pPr>
      <w:r w:rsidRPr="00A35FDD">
        <w:rPr>
          <w:rFonts w:ascii="Arial" w:hAnsi="Arial" w:cs="Arial"/>
          <w:szCs w:val="24"/>
          <w:lang w:val="en-GB"/>
        </w:rPr>
        <w:t>The results confirmed the use of weak 64-bit cipher suites (3DES/DES-CBC3-SHA), verifying the SWEET32 vulnerability (CVE-2016-2183) previously flagged by Nessus with a CVSS score of 7.5. In practical terms, this means that if an attacker can capture enough encrypted traffic, they could potentially decrypt parts of the session using a birthday attack [15].</w:t>
      </w:r>
    </w:p>
    <w:p w14:paraId="22DF68BE" w14:textId="77777777" w:rsidR="004A3937" w:rsidRPr="00A35FDD" w:rsidRDefault="004A3937" w:rsidP="00911A96">
      <w:pPr>
        <w:jc w:val="both"/>
        <w:rPr>
          <w:rFonts w:ascii="Arial" w:hAnsi="Arial" w:cs="Arial"/>
          <w:szCs w:val="24"/>
          <w:lang w:val="en-GB"/>
        </w:rPr>
      </w:pPr>
    </w:p>
    <w:p w14:paraId="66B52AC5"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DB972A1" wp14:editId="4E6F7B08">
            <wp:extent cx="5040000" cy="3150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sl ciphers 192.168.1.10.png"/>
                    <pic:cNvPicPr/>
                  </pic:nvPicPr>
                  <pic:blipFill>
                    <a:blip r:embed="rId33"/>
                    <a:stretch>
                      <a:fillRect/>
                    </a:stretch>
                  </pic:blipFill>
                  <pic:spPr>
                    <a:xfrm>
                      <a:off x="0" y="0"/>
                      <a:ext cx="5040000" cy="3150000"/>
                    </a:xfrm>
                    <a:prstGeom prst="rect">
                      <a:avLst/>
                    </a:prstGeom>
                  </pic:spPr>
                </pic:pic>
              </a:graphicData>
            </a:graphic>
          </wp:inline>
        </w:drawing>
      </w:r>
    </w:p>
    <w:p w14:paraId="030808D7" w14:textId="46DF0F62" w:rsidR="001731DA" w:rsidRDefault="00891D13" w:rsidP="00911A96">
      <w:pPr>
        <w:spacing w:after="40"/>
        <w:jc w:val="both"/>
        <w:rPr>
          <w:rFonts w:ascii="Arial" w:hAnsi="Arial" w:cs="Arial"/>
          <w:i/>
          <w:szCs w:val="24"/>
        </w:rPr>
      </w:pPr>
      <w:r w:rsidRPr="00911A96">
        <w:rPr>
          <w:rFonts w:ascii="Arial" w:hAnsi="Arial" w:cs="Arial"/>
          <w:i/>
          <w:szCs w:val="24"/>
        </w:rPr>
        <w:t>Figure 25 shows the results of the ssl-enum-ciphers scan, confirming that 64-bit block ciphers are enabled on S-DC ports 443 and 3389, validating the presence of the SWEET32 vulnerability (V-01).</w:t>
      </w:r>
    </w:p>
    <w:p w14:paraId="029EF835" w14:textId="77777777" w:rsidR="004A3937" w:rsidRPr="00911A96" w:rsidRDefault="004A3937" w:rsidP="00911A96">
      <w:pPr>
        <w:spacing w:after="40"/>
        <w:jc w:val="both"/>
        <w:rPr>
          <w:rFonts w:ascii="Arial" w:hAnsi="Arial" w:cs="Arial"/>
          <w:szCs w:val="24"/>
        </w:rPr>
      </w:pPr>
    </w:p>
    <w:p w14:paraId="6647BF20" w14:textId="77777777" w:rsidR="001731DA" w:rsidRPr="004A3937" w:rsidRDefault="000502A7" w:rsidP="004A3937">
      <w:pPr>
        <w:pStyle w:val="Heading2"/>
        <w:rPr>
          <w:rFonts w:ascii="Arial" w:hAnsi="Arial" w:cs="Arial"/>
          <w:sz w:val="28"/>
          <w:szCs w:val="28"/>
        </w:rPr>
      </w:pPr>
      <w:bookmarkStart w:id="12" w:name="_Toc227003908"/>
      <w:r w:rsidRPr="004A3937">
        <w:rPr>
          <w:rFonts w:ascii="Arial" w:hAnsi="Arial" w:cs="Arial"/>
          <w:sz w:val="28"/>
          <w:szCs w:val="28"/>
        </w:rPr>
        <w:t>5.1.2 SMB Signing Disabled Confirmation (V-02)</w:t>
      </w:r>
      <w:bookmarkEnd w:id="12"/>
    </w:p>
    <w:p w14:paraId="2D65F357" w14:textId="77777777" w:rsidR="00936B77" w:rsidRPr="00936B77" w:rsidRDefault="00936B77" w:rsidP="00911A96">
      <w:pPr>
        <w:jc w:val="both"/>
        <w:rPr>
          <w:rFonts w:ascii="Arial" w:hAnsi="Arial" w:cs="Arial"/>
          <w:szCs w:val="24"/>
          <w:lang w:val="en-GB"/>
        </w:rPr>
      </w:pPr>
      <w:r w:rsidRPr="00936B77">
        <w:rPr>
          <w:rFonts w:ascii="Arial" w:hAnsi="Arial" w:cs="Arial"/>
          <w:szCs w:val="24"/>
          <w:lang w:val="en-GB"/>
        </w:rPr>
        <w:t>The smb-security-mode NSE script was used on S-DC to check how SMB signing is configured.</w:t>
      </w:r>
    </w:p>
    <w:p w14:paraId="3B351A56" w14:textId="4788D9DB" w:rsidR="00936B77" w:rsidRPr="00936B77" w:rsidRDefault="00936B77" w:rsidP="00911A96">
      <w:pPr>
        <w:jc w:val="both"/>
        <w:rPr>
          <w:rFonts w:ascii="Arial" w:hAnsi="Arial" w:cs="Arial"/>
          <w:szCs w:val="24"/>
          <w:lang w:val="en-GB"/>
        </w:rPr>
      </w:pPr>
      <w:r w:rsidRPr="00936B77">
        <w:rPr>
          <w:rFonts w:ascii="Arial" w:hAnsi="Arial" w:cs="Arial"/>
          <w:szCs w:val="24"/>
          <w:lang w:val="en-GB"/>
        </w:rPr>
        <w:t>The results showed that message signing is supported but not enforced. In other words, SMB sessions can still run without integrity checks in place. This is important because it opens the door to NTLM relay attacks</w:t>
      </w:r>
      <w:r w:rsidRPr="00911A96">
        <w:rPr>
          <w:rFonts w:ascii="Arial" w:hAnsi="Arial" w:cs="Arial"/>
          <w:szCs w:val="24"/>
          <w:lang w:val="en-GB"/>
        </w:rPr>
        <w:t xml:space="preserve">, </w:t>
      </w:r>
      <w:r w:rsidRPr="00936B77">
        <w:rPr>
          <w:rFonts w:ascii="Arial" w:hAnsi="Arial" w:cs="Arial"/>
          <w:szCs w:val="24"/>
          <w:lang w:val="en-GB"/>
        </w:rPr>
        <w:t>where an attacker can intercept authentication traffic and reuse it to access other systems without needing the actual password [17].</w:t>
      </w:r>
    </w:p>
    <w:p w14:paraId="5782D8B7"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25CFB527" wp14:editId="2C656B71">
            <wp:extent cx="5040000" cy="315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smb security mode 192.168.1.10.png"/>
                    <pic:cNvPicPr/>
                  </pic:nvPicPr>
                  <pic:blipFill>
                    <a:blip r:embed="rId34"/>
                    <a:stretch>
                      <a:fillRect/>
                    </a:stretch>
                  </pic:blipFill>
                  <pic:spPr>
                    <a:xfrm>
                      <a:off x="0" y="0"/>
                      <a:ext cx="5040000" cy="3150000"/>
                    </a:xfrm>
                    <a:prstGeom prst="rect">
                      <a:avLst/>
                    </a:prstGeom>
                  </pic:spPr>
                </pic:pic>
              </a:graphicData>
            </a:graphic>
          </wp:inline>
        </w:drawing>
      </w:r>
    </w:p>
    <w:p w14:paraId="69244F0A" w14:textId="0C3A5735" w:rsidR="001731DA" w:rsidRDefault="004E385E" w:rsidP="00911A96">
      <w:pPr>
        <w:spacing w:after="40"/>
        <w:jc w:val="both"/>
        <w:rPr>
          <w:rFonts w:ascii="Arial" w:hAnsi="Arial" w:cs="Arial"/>
          <w:i/>
          <w:szCs w:val="24"/>
        </w:rPr>
      </w:pPr>
      <w:r w:rsidRPr="00911A96">
        <w:rPr>
          <w:rFonts w:ascii="Arial" w:hAnsi="Arial" w:cs="Arial"/>
          <w:i/>
          <w:szCs w:val="24"/>
        </w:rPr>
        <w:t>Figure 26 shows the smb-security-mode scan results, confirming that SMB signing is not required on S-DC (192.168.1.10), which supports the identified NTLM relay risk (V-02).</w:t>
      </w:r>
    </w:p>
    <w:p w14:paraId="5D95779F" w14:textId="77777777" w:rsidR="004A3937" w:rsidRPr="00911A96" w:rsidRDefault="004A3937" w:rsidP="00911A96">
      <w:pPr>
        <w:spacing w:after="40"/>
        <w:jc w:val="both"/>
        <w:rPr>
          <w:rFonts w:ascii="Arial" w:hAnsi="Arial" w:cs="Arial"/>
          <w:szCs w:val="24"/>
        </w:rPr>
      </w:pPr>
    </w:p>
    <w:p w14:paraId="30F916BD" w14:textId="77777777" w:rsidR="001731DA" w:rsidRPr="004A3937" w:rsidRDefault="000502A7" w:rsidP="004A3937">
      <w:pPr>
        <w:pStyle w:val="Heading2"/>
        <w:rPr>
          <w:rFonts w:ascii="Arial" w:hAnsi="Arial" w:cs="Arial"/>
          <w:sz w:val="28"/>
          <w:szCs w:val="28"/>
        </w:rPr>
      </w:pPr>
      <w:bookmarkStart w:id="13" w:name="_Toc227003909"/>
      <w:r w:rsidRPr="004A3937">
        <w:rPr>
          <w:rFonts w:ascii="Arial" w:hAnsi="Arial" w:cs="Arial"/>
          <w:sz w:val="28"/>
          <w:szCs w:val="28"/>
        </w:rPr>
        <w:t>5.1.3 Echo Service Confirmation (V-03)</w:t>
      </w:r>
      <w:bookmarkEnd w:id="13"/>
    </w:p>
    <w:p w14:paraId="351E3950" w14:textId="77777777" w:rsidR="00CD43ED" w:rsidRPr="00CD43ED" w:rsidRDefault="00CD43ED" w:rsidP="00911A96">
      <w:pPr>
        <w:jc w:val="both"/>
        <w:rPr>
          <w:rFonts w:ascii="Arial" w:hAnsi="Arial" w:cs="Arial"/>
          <w:szCs w:val="24"/>
          <w:lang w:val="en-GB"/>
        </w:rPr>
      </w:pPr>
      <w:r w:rsidRPr="00CD43ED">
        <w:rPr>
          <w:rFonts w:ascii="Arial" w:hAnsi="Arial" w:cs="Arial"/>
          <w:szCs w:val="24"/>
          <w:lang w:val="en-GB"/>
        </w:rPr>
        <w:t>An Nmap scan targeting TCP port 7 was run on both S-DC (192.168.1.10) and L-CD (192.168.2.10) to verify the presence of the Echo service flagged by Nessus.</w:t>
      </w:r>
    </w:p>
    <w:p w14:paraId="638984A2" w14:textId="2B58FD93" w:rsidR="00CD43ED" w:rsidRPr="00CD43ED" w:rsidRDefault="00CD43ED" w:rsidP="00911A96">
      <w:pPr>
        <w:jc w:val="both"/>
        <w:rPr>
          <w:rFonts w:ascii="Arial" w:hAnsi="Arial" w:cs="Arial"/>
          <w:szCs w:val="24"/>
          <w:lang w:val="en-GB"/>
        </w:rPr>
      </w:pPr>
      <w:r w:rsidRPr="00CD43ED">
        <w:rPr>
          <w:rFonts w:ascii="Arial" w:hAnsi="Arial" w:cs="Arial"/>
          <w:szCs w:val="24"/>
          <w:lang w:val="en-GB"/>
        </w:rPr>
        <w:t>The results confirmed that port 7 is open on both systems, proving the service is active and unnecessarily exposed. This matters because the Echo service can be abused in denial-of-service scenarios</w:t>
      </w:r>
      <w:r w:rsidRPr="00911A96">
        <w:rPr>
          <w:rFonts w:ascii="Arial" w:hAnsi="Arial" w:cs="Arial"/>
          <w:szCs w:val="24"/>
          <w:lang w:val="en-GB"/>
        </w:rPr>
        <w:t xml:space="preserve">, </w:t>
      </w:r>
      <w:r w:rsidRPr="00CD43ED">
        <w:rPr>
          <w:rFonts w:ascii="Arial" w:hAnsi="Arial" w:cs="Arial"/>
          <w:szCs w:val="24"/>
          <w:lang w:val="en-GB"/>
        </w:rPr>
        <w:t>for example, by bouncing traffic between two hosts to create a continuous loop that overwhelms the network [12].</w:t>
      </w:r>
    </w:p>
    <w:p w14:paraId="568A57E6"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49D79276" wp14:editId="6E1A8C7C">
            <wp:extent cx="5040000" cy="315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echo port 7.png"/>
                    <pic:cNvPicPr/>
                  </pic:nvPicPr>
                  <pic:blipFill>
                    <a:blip r:embed="rId35"/>
                    <a:stretch>
                      <a:fillRect/>
                    </a:stretch>
                  </pic:blipFill>
                  <pic:spPr>
                    <a:xfrm>
                      <a:off x="0" y="0"/>
                      <a:ext cx="5040000" cy="3150000"/>
                    </a:xfrm>
                    <a:prstGeom prst="rect">
                      <a:avLst/>
                    </a:prstGeom>
                  </pic:spPr>
                </pic:pic>
              </a:graphicData>
            </a:graphic>
          </wp:inline>
        </w:drawing>
      </w:r>
    </w:p>
    <w:p w14:paraId="7F5F6E08" w14:textId="72E0223C" w:rsidR="001731DA" w:rsidRDefault="00540B86" w:rsidP="00911A96">
      <w:pPr>
        <w:spacing w:after="40"/>
        <w:jc w:val="both"/>
        <w:rPr>
          <w:rFonts w:ascii="Arial" w:hAnsi="Arial" w:cs="Arial"/>
          <w:i/>
          <w:szCs w:val="24"/>
        </w:rPr>
      </w:pPr>
      <w:r w:rsidRPr="00911A96">
        <w:rPr>
          <w:rFonts w:ascii="Arial" w:hAnsi="Arial" w:cs="Arial"/>
          <w:i/>
          <w:szCs w:val="24"/>
        </w:rPr>
        <w:t>Figure 27 shows the Nmap scan results for TCP port 7, confirming that the Echo service is open on the target hosts and validating vulnerability V-03.</w:t>
      </w:r>
    </w:p>
    <w:p w14:paraId="2F908CEB" w14:textId="77777777" w:rsidR="004A3937" w:rsidRPr="00911A96" w:rsidRDefault="004A3937" w:rsidP="00911A96">
      <w:pPr>
        <w:spacing w:after="40"/>
        <w:jc w:val="both"/>
        <w:rPr>
          <w:rFonts w:ascii="Arial" w:hAnsi="Arial" w:cs="Arial"/>
          <w:szCs w:val="24"/>
        </w:rPr>
      </w:pPr>
    </w:p>
    <w:p w14:paraId="0B0D2B36" w14:textId="77777777" w:rsidR="001731DA" w:rsidRPr="00A55AA3" w:rsidRDefault="000502A7" w:rsidP="00A55AA3">
      <w:pPr>
        <w:pStyle w:val="Heading1"/>
        <w:rPr>
          <w:rFonts w:ascii="Arial" w:hAnsi="Arial" w:cs="Arial"/>
          <w:sz w:val="32"/>
          <w:szCs w:val="32"/>
        </w:rPr>
      </w:pPr>
      <w:bookmarkStart w:id="14" w:name="_Toc227003910"/>
      <w:r w:rsidRPr="00A55AA3">
        <w:rPr>
          <w:rFonts w:ascii="Arial" w:hAnsi="Arial" w:cs="Arial"/>
          <w:sz w:val="32"/>
          <w:szCs w:val="32"/>
        </w:rPr>
        <w:t>5.2 Exploitation Methodology</w:t>
      </w:r>
      <w:bookmarkEnd w:id="14"/>
    </w:p>
    <w:p w14:paraId="3A2B5E84" w14:textId="456D439F" w:rsidR="000C06F5" w:rsidRPr="00911A96" w:rsidRDefault="000C06F5" w:rsidP="00911A96">
      <w:pPr>
        <w:jc w:val="both"/>
        <w:rPr>
          <w:rFonts w:ascii="Arial" w:hAnsi="Arial" w:cs="Arial"/>
          <w:szCs w:val="24"/>
          <w:lang w:val="en-GB"/>
        </w:rPr>
      </w:pPr>
      <w:r w:rsidRPr="00911A96">
        <w:rPr>
          <w:rFonts w:ascii="Arial" w:hAnsi="Arial" w:cs="Arial"/>
          <w:szCs w:val="24"/>
          <w:lang w:val="en-GB"/>
        </w:rPr>
        <w:t>After confirming the vulnerabilities with NSE scripts, active exploitation was carried out using the Metasploit Framework, a widely used tool in professional penetration testing thanks to its extensive library of modules [11].</w:t>
      </w:r>
    </w:p>
    <w:p w14:paraId="2CD5BF07" w14:textId="77777777" w:rsidR="000C06F5" w:rsidRPr="00911A96" w:rsidRDefault="000C06F5" w:rsidP="00911A96">
      <w:pPr>
        <w:jc w:val="both"/>
        <w:rPr>
          <w:rFonts w:ascii="Arial" w:hAnsi="Arial" w:cs="Arial"/>
          <w:szCs w:val="24"/>
          <w:lang w:val="en-GB"/>
        </w:rPr>
      </w:pPr>
      <w:r w:rsidRPr="00911A96">
        <w:rPr>
          <w:rFonts w:ascii="Arial" w:hAnsi="Arial" w:cs="Arial"/>
          <w:szCs w:val="24"/>
          <w:lang w:val="en-GB"/>
        </w:rPr>
        <w:t>The focus was on two key areas: V-02, which involves SMB credential-based access, and V-03/V-06, which relate to network discovery through Echo and ICMP.</w:t>
      </w:r>
    </w:p>
    <w:p w14:paraId="021DF4AC" w14:textId="77777777" w:rsidR="001731DA" w:rsidRPr="00A55AA3" w:rsidRDefault="000502A7" w:rsidP="00A55AA3">
      <w:pPr>
        <w:pStyle w:val="Heading2"/>
        <w:rPr>
          <w:rFonts w:ascii="Arial" w:hAnsi="Arial" w:cs="Arial"/>
          <w:sz w:val="28"/>
          <w:szCs w:val="28"/>
        </w:rPr>
      </w:pPr>
      <w:bookmarkStart w:id="15" w:name="_Toc227003911"/>
      <w:r w:rsidRPr="00A55AA3">
        <w:rPr>
          <w:rFonts w:ascii="Arial" w:hAnsi="Arial" w:cs="Arial"/>
          <w:sz w:val="28"/>
          <w:szCs w:val="28"/>
        </w:rPr>
        <w:t>5.2.1 High Severity — SMB Exploitation (V-02)</w:t>
      </w:r>
      <w:bookmarkEnd w:id="15"/>
    </w:p>
    <w:p w14:paraId="1867799F" w14:textId="77777777" w:rsidR="00D909BD" w:rsidRPr="00D909BD" w:rsidRDefault="00D909BD" w:rsidP="00911A96">
      <w:pPr>
        <w:jc w:val="both"/>
        <w:rPr>
          <w:rFonts w:ascii="Arial" w:hAnsi="Arial" w:cs="Arial"/>
          <w:szCs w:val="24"/>
          <w:lang w:val="en-GB"/>
        </w:rPr>
      </w:pPr>
      <w:r w:rsidRPr="00D909BD">
        <w:rPr>
          <w:rFonts w:ascii="Arial" w:hAnsi="Arial" w:cs="Arial"/>
          <w:szCs w:val="24"/>
          <w:lang w:val="en-GB"/>
        </w:rPr>
        <w:t>SMB exploitation was carried out in several stages to clearly demonstrate the level of exposure.</w:t>
      </w:r>
    </w:p>
    <w:p w14:paraId="54B19137" w14:textId="77777777" w:rsidR="00D909BD" w:rsidRPr="00D909BD" w:rsidRDefault="00D909BD" w:rsidP="00911A96">
      <w:pPr>
        <w:jc w:val="both"/>
        <w:rPr>
          <w:rFonts w:ascii="Arial" w:hAnsi="Arial" w:cs="Arial"/>
          <w:szCs w:val="24"/>
          <w:lang w:val="en-GB"/>
        </w:rPr>
      </w:pPr>
      <w:r w:rsidRPr="00D909BD">
        <w:rPr>
          <w:rFonts w:ascii="Arial" w:hAnsi="Arial" w:cs="Arial"/>
          <w:szCs w:val="24"/>
          <w:lang w:val="en-GB"/>
        </w:rPr>
        <w:t>The first step was a null session attack against S-DC, aiming to enumerate shared resources without any authentication. The results confirmed that unauthenticated SMB access is possible, revealing an immediate security weakness [17].</w:t>
      </w:r>
    </w:p>
    <w:p w14:paraId="00010119"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0B8C662A" wp14:editId="24380924">
            <wp:extent cx="5040000" cy="315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ll session smb.png"/>
                    <pic:cNvPicPr/>
                  </pic:nvPicPr>
                  <pic:blipFill>
                    <a:blip r:embed="rId36"/>
                    <a:stretch>
                      <a:fillRect/>
                    </a:stretch>
                  </pic:blipFill>
                  <pic:spPr>
                    <a:xfrm>
                      <a:off x="0" y="0"/>
                      <a:ext cx="5040000" cy="3150000"/>
                    </a:xfrm>
                    <a:prstGeom prst="rect">
                      <a:avLst/>
                    </a:prstGeom>
                  </pic:spPr>
                </pic:pic>
              </a:graphicData>
            </a:graphic>
          </wp:inline>
        </w:drawing>
      </w:r>
    </w:p>
    <w:p w14:paraId="5F2C8B82" w14:textId="5E40F894" w:rsidR="001731DA" w:rsidRDefault="000D3BD5" w:rsidP="00911A96">
      <w:pPr>
        <w:spacing w:after="40"/>
        <w:jc w:val="both"/>
        <w:rPr>
          <w:rFonts w:ascii="Arial" w:hAnsi="Arial" w:cs="Arial"/>
          <w:i/>
          <w:szCs w:val="24"/>
        </w:rPr>
      </w:pPr>
      <w:r w:rsidRPr="00911A96">
        <w:rPr>
          <w:rFonts w:ascii="Arial" w:hAnsi="Arial" w:cs="Arial"/>
          <w:i/>
          <w:szCs w:val="24"/>
        </w:rPr>
        <w:t>Figure 28 shows the results of a null session SMB attempt, where smbclient was used to enumerate shared resources on 192.168.1.1 without authentication.</w:t>
      </w:r>
    </w:p>
    <w:p w14:paraId="6E84574B" w14:textId="77777777" w:rsidR="0078129B" w:rsidRPr="00911A96" w:rsidRDefault="0078129B" w:rsidP="00911A96">
      <w:pPr>
        <w:spacing w:after="40"/>
        <w:jc w:val="both"/>
        <w:rPr>
          <w:rFonts w:ascii="Arial" w:hAnsi="Arial" w:cs="Arial"/>
          <w:szCs w:val="24"/>
        </w:rPr>
      </w:pPr>
    </w:p>
    <w:p w14:paraId="42ED15E7" w14:textId="77777777" w:rsidR="007A7393" w:rsidRDefault="00896120" w:rsidP="00896120">
      <w:pPr>
        <w:jc w:val="both"/>
        <w:rPr>
          <w:rFonts w:ascii="Arial" w:hAnsi="Arial" w:cs="Arial"/>
          <w:szCs w:val="24"/>
          <w:lang w:val="en-GB"/>
        </w:rPr>
      </w:pPr>
      <w:r w:rsidRPr="00896120">
        <w:rPr>
          <w:rFonts w:ascii="Arial" w:hAnsi="Arial" w:cs="Arial"/>
          <w:szCs w:val="24"/>
          <w:lang w:val="en-GB"/>
        </w:rPr>
        <w:t>Hydra was used to brute force the SMB service, successfully recovering the Administrator password.</w:t>
      </w:r>
    </w:p>
    <w:p w14:paraId="6FB03D2F" w14:textId="061085E3" w:rsidR="00896120" w:rsidRPr="00896120" w:rsidRDefault="00896120" w:rsidP="00896120">
      <w:pPr>
        <w:jc w:val="both"/>
        <w:rPr>
          <w:rFonts w:ascii="Arial" w:hAnsi="Arial" w:cs="Arial"/>
          <w:szCs w:val="24"/>
          <w:lang w:val="en-GB"/>
        </w:rPr>
      </w:pPr>
      <w:r w:rsidRPr="00896120">
        <w:rPr>
          <w:rFonts w:ascii="Arial" w:hAnsi="Arial" w:cs="Arial"/>
          <w:szCs w:val="24"/>
          <w:lang w:val="en-GB"/>
        </w:rPr>
        <w:t>This shows how weak passwords can be easily compromised, giving attackers high-level access.</w:t>
      </w:r>
    </w:p>
    <w:p w14:paraId="168E049F"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14C3602E" wp14:editId="12344EE0">
            <wp:extent cx="3901079" cy="2438174"/>
            <wp:effectExtent l="0" t="0" r="444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a smb.png"/>
                    <pic:cNvPicPr/>
                  </pic:nvPicPr>
                  <pic:blipFill>
                    <a:blip r:embed="rId37"/>
                    <a:stretch>
                      <a:fillRect/>
                    </a:stretch>
                  </pic:blipFill>
                  <pic:spPr>
                    <a:xfrm>
                      <a:off x="0" y="0"/>
                      <a:ext cx="3927983" cy="2454989"/>
                    </a:xfrm>
                    <a:prstGeom prst="rect">
                      <a:avLst/>
                    </a:prstGeom>
                  </pic:spPr>
                </pic:pic>
              </a:graphicData>
            </a:graphic>
          </wp:inline>
        </w:drawing>
      </w:r>
    </w:p>
    <w:p w14:paraId="71F075C1" w14:textId="77833298" w:rsidR="001731DA" w:rsidRDefault="0038251D" w:rsidP="00911A96">
      <w:pPr>
        <w:spacing w:after="40"/>
        <w:jc w:val="both"/>
        <w:rPr>
          <w:rFonts w:ascii="Arial" w:hAnsi="Arial" w:cs="Arial"/>
          <w:i/>
          <w:szCs w:val="24"/>
        </w:rPr>
      </w:pPr>
      <w:r w:rsidRPr="00911A96">
        <w:rPr>
          <w:rFonts w:ascii="Arial" w:hAnsi="Arial" w:cs="Arial"/>
          <w:i/>
          <w:szCs w:val="24"/>
        </w:rPr>
        <w:t>Figure 29 shows the results of the Hydra brute force attack on SMB, where the Administrator password was successfully recovered using a dictionary-based method.</w:t>
      </w:r>
    </w:p>
    <w:p w14:paraId="381DF931" w14:textId="77777777" w:rsidR="00896120" w:rsidRPr="00911A96" w:rsidRDefault="00896120" w:rsidP="00911A96">
      <w:pPr>
        <w:spacing w:after="40"/>
        <w:jc w:val="both"/>
        <w:rPr>
          <w:rFonts w:ascii="Arial" w:hAnsi="Arial" w:cs="Arial"/>
          <w:szCs w:val="24"/>
        </w:rPr>
      </w:pPr>
    </w:p>
    <w:p w14:paraId="66CB8282" w14:textId="77777777" w:rsidR="00896120" w:rsidRDefault="001A4818" w:rsidP="00911A96">
      <w:pPr>
        <w:jc w:val="both"/>
        <w:rPr>
          <w:rFonts w:ascii="Arial" w:hAnsi="Arial" w:cs="Arial"/>
          <w:szCs w:val="24"/>
        </w:rPr>
      </w:pPr>
      <w:r w:rsidRPr="00911A96">
        <w:rPr>
          <w:rFonts w:ascii="Arial" w:hAnsi="Arial" w:cs="Arial"/>
          <w:szCs w:val="24"/>
        </w:rPr>
        <w:t>Further SMB exploitation confirmed that authenticated access was successfully obtained, along with the ability to move laterally across the domain environment.</w:t>
      </w:r>
    </w:p>
    <w:p w14:paraId="78E1D5AC" w14:textId="70ED9DCC"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05DD518B" wp14:editId="168DF679">
            <wp:extent cx="5040000" cy="315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b exploit.png"/>
                    <pic:cNvPicPr/>
                  </pic:nvPicPr>
                  <pic:blipFill>
                    <a:blip r:embed="rId38"/>
                    <a:stretch>
                      <a:fillRect/>
                    </a:stretch>
                  </pic:blipFill>
                  <pic:spPr>
                    <a:xfrm>
                      <a:off x="0" y="0"/>
                      <a:ext cx="5040000" cy="3150000"/>
                    </a:xfrm>
                    <a:prstGeom prst="rect">
                      <a:avLst/>
                    </a:prstGeom>
                  </pic:spPr>
                </pic:pic>
              </a:graphicData>
            </a:graphic>
          </wp:inline>
        </w:drawing>
      </w:r>
    </w:p>
    <w:p w14:paraId="44BFE450" w14:textId="68B82D89" w:rsidR="001731DA" w:rsidRDefault="00D951FA" w:rsidP="00911A96">
      <w:pPr>
        <w:spacing w:after="40"/>
        <w:jc w:val="both"/>
        <w:rPr>
          <w:rFonts w:ascii="Arial" w:hAnsi="Arial" w:cs="Arial"/>
          <w:i/>
          <w:szCs w:val="24"/>
        </w:rPr>
      </w:pPr>
      <w:r w:rsidRPr="00911A96">
        <w:rPr>
          <w:rFonts w:ascii="Arial" w:hAnsi="Arial" w:cs="Arial"/>
          <w:i/>
          <w:szCs w:val="24"/>
        </w:rPr>
        <w:t>Figure 30 shows the SMB exploitation results, confirming that authenticated access was successfully obtained on S-DC.</w:t>
      </w:r>
    </w:p>
    <w:p w14:paraId="3900A4E1" w14:textId="77777777" w:rsidR="00896120" w:rsidRPr="00911A96" w:rsidRDefault="00896120" w:rsidP="00911A96">
      <w:pPr>
        <w:spacing w:after="40"/>
        <w:jc w:val="both"/>
        <w:rPr>
          <w:rFonts w:ascii="Arial" w:hAnsi="Arial" w:cs="Arial"/>
          <w:szCs w:val="24"/>
        </w:rPr>
      </w:pPr>
    </w:p>
    <w:p w14:paraId="0F82BE3E" w14:textId="77777777" w:rsidR="00D951FA" w:rsidRPr="00D951FA" w:rsidRDefault="00D951FA" w:rsidP="00911A96">
      <w:pPr>
        <w:jc w:val="both"/>
        <w:rPr>
          <w:rFonts w:ascii="Arial" w:hAnsi="Arial" w:cs="Arial"/>
          <w:szCs w:val="24"/>
          <w:lang w:val="en-GB"/>
        </w:rPr>
      </w:pPr>
      <w:r w:rsidRPr="00D951FA">
        <w:rPr>
          <w:rFonts w:ascii="Arial" w:hAnsi="Arial" w:cs="Arial"/>
          <w:szCs w:val="24"/>
          <w:lang w:val="en-GB"/>
        </w:rPr>
        <w:t>The Metasploit psexec module was then used to attempt remote access over SMB on 192.168.1.1:445. Authentication was successful, showing that the compromised credentials were valid.</w:t>
      </w:r>
    </w:p>
    <w:p w14:paraId="25C8FDEF" w14:textId="77777777" w:rsidR="00D951FA" w:rsidRPr="00D951FA" w:rsidRDefault="00D951FA" w:rsidP="00911A96">
      <w:pPr>
        <w:jc w:val="both"/>
        <w:rPr>
          <w:rFonts w:ascii="Arial" w:hAnsi="Arial" w:cs="Arial"/>
          <w:szCs w:val="24"/>
          <w:lang w:val="en-GB"/>
        </w:rPr>
      </w:pPr>
      <w:r w:rsidRPr="00D951FA">
        <w:rPr>
          <w:rFonts w:ascii="Arial" w:hAnsi="Arial" w:cs="Arial"/>
          <w:szCs w:val="24"/>
          <w:lang w:val="en-GB"/>
        </w:rPr>
        <w:t>However, the Meterpreter payload was detected and blocked by Windows Defender on Windows Server 2022 before it could run. This highlights two key points: Windows Defender can effectively stop known attack payloads, but at the same time, compromised credentials still pose a serious risk to the system [17].</w:t>
      </w:r>
    </w:p>
    <w:p w14:paraId="64C653C9"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5F35438A" wp14:editId="196CFF32">
            <wp:extent cx="5040000" cy="315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sploit psexec part 1.png"/>
                    <pic:cNvPicPr/>
                  </pic:nvPicPr>
                  <pic:blipFill>
                    <a:blip r:embed="rId39"/>
                    <a:stretch>
                      <a:fillRect/>
                    </a:stretch>
                  </pic:blipFill>
                  <pic:spPr>
                    <a:xfrm>
                      <a:off x="0" y="0"/>
                      <a:ext cx="5040000" cy="3150000"/>
                    </a:xfrm>
                    <a:prstGeom prst="rect">
                      <a:avLst/>
                    </a:prstGeom>
                  </pic:spPr>
                </pic:pic>
              </a:graphicData>
            </a:graphic>
          </wp:inline>
        </w:drawing>
      </w:r>
    </w:p>
    <w:p w14:paraId="5746B6AA" w14:textId="1076D9E7" w:rsidR="001731DA" w:rsidRDefault="00EE3E95" w:rsidP="00911A96">
      <w:pPr>
        <w:spacing w:after="40"/>
        <w:jc w:val="both"/>
        <w:rPr>
          <w:rFonts w:ascii="Arial" w:hAnsi="Arial" w:cs="Arial"/>
          <w:i/>
          <w:szCs w:val="24"/>
        </w:rPr>
      </w:pPr>
      <w:r w:rsidRPr="00911A96">
        <w:rPr>
          <w:rFonts w:ascii="Arial" w:hAnsi="Arial" w:cs="Arial"/>
          <w:i/>
          <w:szCs w:val="24"/>
        </w:rPr>
        <w:t>Figure 31 shows the configuration of the Metasploit psexec module, including RHOSTS set to 192.168.1.1, SMBUser as Administrator, and LHOST as 192.168.1.50.</w:t>
      </w:r>
    </w:p>
    <w:p w14:paraId="75E0762A" w14:textId="77777777" w:rsidR="007A7393" w:rsidRDefault="007A7393" w:rsidP="00911A96">
      <w:pPr>
        <w:spacing w:after="40"/>
        <w:jc w:val="both"/>
        <w:rPr>
          <w:rFonts w:ascii="Arial" w:hAnsi="Arial" w:cs="Arial"/>
          <w:i/>
          <w:szCs w:val="24"/>
        </w:rPr>
      </w:pPr>
    </w:p>
    <w:p w14:paraId="7814D3DF" w14:textId="77777777" w:rsidR="00896120" w:rsidRPr="00911A96" w:rsidRDefault="00896120" w:rsidP="00911A96">
      <w:pPr>
        <w:spacing w:after="40"/>
        <w:jc w:val="both"/>
        <w:rPr>
          <w:rFonts w:ascii="Arial" w:hAnsi="Arial" w:cs="Arial"/>
          <w:szCs w:val="24"/>
        </w:rPr>
      </w:pPr>
    </w:p>
    <w:p w14:paraId="4EDA7904"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0586D086" wp14:editId="1FFA505D">
            <wp:extent cx="5040000" cy="3150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sploit psexec part 2.png"/>
                    <pic:cNvPicPr/>
                  </pic:nvPicPr>
                  <pic:blipFill>
                    <a:blip r:embed="rId40"/>
                    <a:stretch>
                      <a:fillRect/>
                    </a:stretch>
                  </pic:blipFill>
                  <pic:spPr>
                    <a:xfrm>
                      <a:off x="0" y="0"/>
                      <a:ext cx="5040000" cy="3150000"/>
                    </a:xfrm>
                    <a:prstGeom prst="rect">
                      <a:avLst/>
                    </a:prstGeom>
                  </pic:spPr>
                </pic:pic>
              </a:graphicData>
            </a:graphic>
          </wp:inline>
        </w:drawing>
      </w:r>
    </w:p>
    <w:p w14:paraId="6897A62D" w14:textId="4B99BE45" w:rsidR="001731DA" w:rsidRPr="00911A96" w:rsidRDefault="00041A7D" w:rsidP="00911A96">
      <w:pPr>
        <w:spacing w:after="40"/>
        <w:jc w:val="both"/>
        <w:rPr>
          <w:rFonts w:ascii="Arial" w:hAnsi="Arial" w:cs="Arial"/>
          <w:szCs w:val="24"/>
        </w:rPr>
      </w:pPr>
      <w:r w:rsidRPr="00911A96">
        <w:rPr>
          <w:rFonts w:ascii="Arial" w:hAnsi="Arial" w:cs="Arial"/>
          <w:i/>
          <w:szCs w:val="24"/>
        </w:rPr>
        <w:t>Figure 32 shows the result of the Metasploit psexec attempt, where SMB authentication succeeded but the payload execution was blocked by Windows Defender.</w:t>
      </w:r>
    </w:p>
    <w:p w14:paraId="1CCEFFAA" w14:textId="77777777" w:rsidR="001731DA" w:rsidRPr="00896120" w:rsidRDefault="000502A7" w:rsidP="00896120">
      <w:pPr>
        <w:pStyle w:val="Heading2"/>
        <w:rPr>
          <w:rFonts w:ascii="Arial" w:hAnsi="Arial" w:cs="Arial"/>
          <w:sz w:val="28"/>
          <w:szCs w:val="28"/>
        </w:rPr>
      </w:pPr>
      <w:bookmarkStart w:id="16" w:name="_Toc227003912"/>
      <w:r w:rsidRPr="00896120">
        <w:rPr>
          <w:rFonts w:ascii="Arial" w:hAnsi="Arial" w:cs="Arial"/>
          <w:sz w:val="28"/>
          <w:szCs w:val="28"/>
        </w:rPr>
        <w:t>5.2.2 High Severity — FTP Service Exploitation</w:t>
      </w:r>
      <w:bookmarkEnd w:id="16"/>
    </w:p>
    <w:p w14:paraId="124DB833" w14:textId="77777777" w:rsidR="00901B2F" w:rsidRPr="00901B2F" w:rsidRDefault="00901B2F" w:rsidP="00911A96">
      <w:pPr>
        <w:jc w:val="both"/>
        <w:rPr>
          <w:rFonts w:ascii="Arial" w:hAnsi="Arial" w:cs="Arial"/>
          <w:szCs w:val="24"/>
          <w:lang w:val="en-GB"/>
        </w:rPr>
      </w:pPr>
      <w:r w:rsidRPr="00901B2F">
        <w:rPr>
          <w:rFonts w:ascii="Arial" w:hAnsi="Arial" w:cs="Arial"/>
          <w:szCs w:val="24"/>
          <w:lang w:val="en-GB"/>
        </w:rPr>
        <w:t xml:space="preserve">During the rpcclient enumeration phase, a dedicated </w:t>
      </w:r>
      <w:r w:rsidRPr="00901B2F">
        <w:rPr>
          <w:rFonts w:ascii="Arial" w:hAnsi="Arial" w:cs="Arial"/>
          <w:b/>
          <w:bCs/>
          <w:szCs w:val="24"/>
          <w:lang w:val="en-GB"/>
        </w:rPr>
        <w:t>ftpuser</w:t>
      </w:r>
      <w:r w:rsidRPr="00901B2F">
        <w:rPr>
          <w:rFonts w:ascii="Arial" w:hAnsi="Arial" w:cs="Arial"/>
          <w:szCs w:val="24"/>
          <w:lang w:val="en-GB"/>
        </w:rPr>
        <w:t xml:space="preserve"> account was discovered on S-DC, suggesting that an FTP service is active.</w:t>
      </w:r>
    </w:p>
    <w:p w14:paraId="4AA03F96" w14:textId="77777777" w:rsidR="00901B2F" w:rsidRDefault="00901B2F" w:rsidP="00911A96">
      <w:pPr>
        <w:jc w:val="both"/>
        <w:rPr>
          <w:rFonts w:ascii="Arial" w:hAnsi="Arial" w:cs="Arial"/>
          <w:szCs w:val="24"/>
          <w:lang w:val="en-GB"/>
        </w:rPr>
      </w:pPr>
      <w:r w:rsidRPr="00901B2F">
        <w:rPr>
          <w:rFonts w:ascii="Arial" w:hAnsi="Arial" w:cs="Arial"/>
          <w:szCs w:val="24"/>
          <w:lang w:val="en-GB"/>
        </w:rPr>
        <w:t>This was confirmed with Nmap, which showed that port 21 is open and accepting connections. Further testing demonstrated that the FTP service allows unauthorised file access, exposing sensitive data. A key issue here is that FTP sends credentials in plaintext, making it highly insecure and a serious risk in enterprise environments [12].</w:t>
      </w:r>
    </w:p>
    <w:p w14:paraId="19954889" w14:textId="77777777" w:rsidR="007A7393" w:rsidRPr="00901B2F" w:rsidRDefault="007A7393" w:rsidP="00911A96">
      <w:pPr>
        <w:jc w:val="both"/>
        <w:rPr>
          <w:rFonts w:ascii="Arial" w:hAnsi="Arial" w:cs="Arial"/>
          <w:szCs w:val="24"/>
          <w:lang w:val="en-GB"/>
        </w:rPr>
      </w:pPr>
    </w:p>
    <w:p w14:paraId="578D5B63"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60E9D5A7" wp14:editId="05B647A8">
            <wp:extent cx="5040000" cy="315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map ftp scan.png"/>
                    <pic:cNvPicPr/>
                  </pic:nvPicPr>
                  <pic:blipFill>
                    <a:blip r:embed="rId41"/>
                    <a:stretch>
                      <a:fillRect/>
                    </a:stretch>
                  </pic:blipFill>
                  <pic:spPr>
                    <a:xfrm>
                      <a:off x="0" y="0"/>
                      <a:ext cx="5040000" cy="3150000"/>
                    </a:xfrm>
                    <a:prstGeom prst="rect">
                      <a:avLst/>
                    </a:prstGeom>
                  </pic:spPr>
                </pic:pic>
              </a:graphicData>
            </a:graphic>
          </wp:inline>
        </w:drawing>
      </w:r>
    </w:p>
    <w:p w14:paraId="0F799559" w14:textId="2B8215A4" w:rsidR="001731DA" w:rsidRPr="00911A96" w:rsidRDefault="00901B2F" w:rsidP="00911A96">
      <w:pPr>
        <w:spacing w:after="40"/>
        <w:jc w:val="both"/>
        <w:rPr>
          <w:rFonts w:ascii="Arial" w:hAnsi="Arial" w:cs="Arial"/>
          <w:szCs w:val="24"/>
        </w:rPr>
      </w:pPr>
      <w:r w:rsidRPr="00911A96">
        <w:rPr>
          <w:rFonts w:ascii="Arial" w:hAnsi="Arial" w:cs="Arial"/>
          <w:i/>
          <w:szCs w:val="24"/>
        </w:rPr>
        <w:t>Figure 33 shows the Nmap scan results confirming that port 21 is open on S-DC (192.168.1.1), indicating that the FTP service is active.</w:t>
      </w:r>
    </w:p>
    <w:p w14:paraId="46632BA2"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3CE79F4B" wp14:editId="1CD6E0FB">
            <wp:extent cx="5040000" cy="3150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p exploit.png"/>
                    <pic:cNvPicPr/>
                  </pic:nvPicPr>
                  <pic:blipFill>
                    <a:blip r:embed="rId42"/>
                    <a:stretch>
                      <a:fillRect/>
                    </a:stretch>
                  </pic:blipFill>
                  <pic:spPr>
                    <a:xfrm>
                      <a:off x="0" y="0"/>
                      <a:ext cx="5040000" cy="3150000"/>
                    </a:xfrm>
                    <a:prstGeom prst="rect">
                      <a:avLst/>
                    </a:prstGeom>
                  </pic:spPr>
                </pic:pic>
              </a:graphicData>
            </a:graphic>
          </wp:inline>
        </w:drawing>
      </w:r>
    </w:p>
    <w:p w14:paraId="08C38934" w14:textId="51488CFF" w:rsidR="001731DA" w:rsidRDefault="003803FC" w:rsidP="00911A96">
      <w:pPr>
        <w:spacing w:after="40"/>
        <w:jc w:val="both"/>
        <w:rPr>
          <w:rFonts w:ascii="Arial" w:hAnsi="Arial" w:cs="Arial"/>
          <w:i/>
          <w:szCs w:val="24"/>
        </w:rPr>
      </w:pPr>
      <w:r w:rsidRPr="00911A96">
        <w:rPr>
          <w:rFonts w:ascii="Arial" w:hAnsi="Arial" w:cs="Arial"/>
          <w:i/>
          <w:szCs w:val="24"/>
        </w:rPr>
        <w:t xml:space="preserve">Figure 34 shows the FTP exploitation results, where authenticated access was successfully gained using the </w:t>
      </w:r>
      <w:r w:rsidRPr="00911A96">
        <w:rPr>
          <w:rFonts w:ascii="Arial" w:hAnsi="Arial" w:cs="Arial"/>
          <w:b/>
          <w:bCs/>
          <w:i/>
          <w:szCs w:val="24"/>
        </w:rPr>
        <w:t>ftpuser</w:t>
      </w:r>
      <w:r w:rsidRPr="00911A96">
        <w:rPr>
          <w:rFonts w:ascii="Arial" w:hAnsi="Arial" w:cs="Arial"/>
          <w:i/>
          <w:szCs w:val="24"/>
        </w:rPr>
        <w:t xml:space="preserve"> account on S-DC.</w:t>
      </w:r>
    </w:p>
    <w:p w14:paraId="479BA8B6" w14:textId="77777777" w:rsidR="001127D6" w:rsidRPr="00911A96" w:rsidRDefault="001127D6" w:rsidP="00911A96">
      <w:pPr>
        <w:spacing w:after="40"/>
        <w:jc w:val="both"/>
        <w:rPr>
          <w:rFonts w:ascii="Arial" w:hAnsi="Arial" w:cs="Arial"/>
          <w:szCs w:val="24"/>
        </w:rPr>
      </w:pPr>
    </w:p>
    <w:p w14:paraId="50733BDF" w14:textId="77777777" w:rsidR="001731DA" w:rsidRPr="001127D6" w:rsidRDefault="000502A7" w:rsidP="001127D6">
      <w:pPr>
        <w:pStyle w:val="Heading2"/>
        <w:rPr>
          <w:rFonts w:ascii="Arial" w:hAnsi="Arial" w:cs="Arial"/>
          <w:sz w:val="28"/>
          <w:szCs w:val="28"/>
        </w:rPr>
      </w:pPr>
      <w:bookmarkStart w:id="17" w:name="_Toc227003913"/>
      <w:r w:rsidRPr="001127D6">
        <w:rPr>
          <w:rFonts w:ascii="Arial" w:hAnsi="Arial" w:cs="Arial"/>
          <w:sz w:val="28"/>
          <w:szCs w:val="28"/>
        </w:rPr>
        <w:t>5.2.3 Medium Severity — LDAP Information Disclosure (V-04)</w:t>
      </w:r>
      <w:bookmarkEnd w:id="17"/>
    </w:p>
    <w:p w14:paraId="67C8FB9A" w14:textId="77777777" w:rsidR="007868FD" w:rsidRPr="007868FD" w:rsidRDefault="007868FD" w:rsidP="00911A96">
      <w:pPr>
        <w:jc w:val="both"/>
        <w:rPr>
          <w:rFonts w:ascii="Arial" w:hAnsi="Arial" w:cs="Arial"/>
          <w:szCs w:val="24"/>
          <w:lang w:val="en-GB"/>
        </w:rPr>
      </w:pPr>
      <w:r w:rsidRPr="007868FD">
        <w:rPr>
          <w:rFonts w:ascii="Arial" w:hAnsi="Arial" w:cs="Arial"/>
          <w:szCs w:val="24"/>
          <w:lang w:val="en-GB"/>
        </w:rPr>
        <w:t>The ldapsearch tool was used to query the Active Directory LDAP service on S-DC without needing elevated privileges.</w:t>
      </w:r>
    </w:p>
    <w:p w14:paraId="24692268" w14:textId="77777777" w:rsidR="007868FD" w:rsidRPr="007868FD" w:rsidRDefault="007868FD" w:rsidP="00911A96">
      <w:pPr>
        <w:jc w:val="both"/>
        <w:rPr>
          <w:rFonts w:ascii="Arial" w:hAnsi="Arial" w:cs="Arial"/>
          <w:szCs w:val="24"/>
          <w:lang w:val="en-GB"/>
        </w:rPr>
      </w:pPr>
      <w:r w:rsidRPr="007868FD">
        <w:rPr>
          <w:rFonts w:ascii="Arial" w:hAnsi="Arial" w:cs="Arial"/>
          <w:szCs w:val="24"/>
          <w:lang w:val="en-GB"/>
        </w:rPr>
        <w:t>The query successfully returned detailed domain information, including user accounts, organisational units, and other directory attributes. This confirms the LDAP information disclosure issue identified by Nessus, showing that sensitive data can be accessed with minimal effort [13].</w:t>
      </w:r>
    </w:p>
    <w:p w14:paraId="1EB17A9D"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7A81C3C3" wp14:editId="5F401416">
            <wp:extent cx="5040000" cy="315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apsearch.png"/>
                    <pic:cNvPicPr/>
                  </pic:nvPicPr>
                  <pic:blipFill>
                    <a:blip r:embed="rId43"/>
                    <a:stretch>
                      <a:fillRect/>
                    </a:stretch>
                  </pic:blipFill>
                  <pic:spPr>
                    <a:xfrm>
                      <a:off x="0" y="0"/>
                      <a:ext cx="5040000" cy="3150000"/>
                    </a:xfrm>
                    <a:prstGeom prst="rect">
                      <a:avLst/>
                    </a:prstGeom>
                  </pic:spPr>
                </pic:pic>
              </a:graphicData>
            </a:graphic>
          </wp:inline>
        </w:drawing>
      </w:r>
    </w:p>
    <w:p w14:paraId="0277DF6A" w14:textId="2F6D759E" w:rsidR="001731DA" w:rsidRDefault="00C2674B" w:rsidP="00911A96">
      <w:pPr>
        <w:spacing w:after="40"/>
        <w:jc w:val="both"/>
        <w:rPr>
          <w:rFonts w:ascii="Arial" w:hAnsi="Arial" w:cs="Arial"/>
          <w:i/>
          <w:szCs w:val="24"/>
        </w:rPr>
      </w:pPr>
      <w:r w:rsidRPr="00911A96">
        <w:rPr>
          <w:rFonts w:ascii="Arial" w:hAnsi="Arial" w:cs="Arial"/>
          <w:i/>
          <w:szCs w:val="24"/>
        </w:rPr>
        <w:t>Figure 35 shows ldapsearch results, confirming that Active Directory data can be retrieved from 192.168.1.1, validating V-04.</w:t>
      </w:r>
    </w:p>
    <w:p w14:paraId="297B7F97" w14:textId="77777777" w:rsidR="001127D6" w:rsidRPr="00911A96" w:rsidRDefault="001127D6" w:rsidP="00911A96">
      <w:pPr>
        <w:spacing w:after="40"/>
        <w:jc w:val="both"/>
        <w:rPr>
          <w:rFonts w:ascii="Arial" w:hAnsi="Arial" w:cs="Arial"/>
          <w:szCs w:val="24"/>
        </w:rPr>
      </w:pPr>
    </w:p>
    <w:p w14:paraId="4BC2A246" w14:textId="77777777" w:rsidR="001731DA" w:rsidRPr="001127D6" w:rsidRDefault="000502A7" w:rsidP="001127D6">
      <w:pPr>
        <w:pStyle w:val="Heading2"/>
        <w:rPr>
          <w:rFonts w:ascii="Arial" w:hAnsi="Arial" w:cs="Arial"/>
          <w:sz w:val="28"/>
          <w:szCs w:val="28"/>
        </w:rPr>
      </w:pPr>
      <w:bookmarkStart w:id="18" w:name="_Toc227003914"/>
      <w:r w:rsidRPr="001127D6">
        <w:rPr>
          <w:rFonts w:ascii="Arial" w:hAnsi="Arial" w:cs="Arial"/>
          <w:sz w:val="28"/>
          <w:szCs w:val="28"/>
        </w:rPr>
        <w:t>5.2.4 Low Severity — SSH Brute Force (V-05)</w:t>
      </w:r>
      <w:bookmarkEnd w:id="18"/>
    </w:p>
    <w:p w14:paraId="72531649" w14:textId="77777777" w:rsidR="00E95EFD" w:rsidRPr="00E95EFD" w:rsidRDefault="00E95EFD" w:rsidP="00911A96">
      <w:pPr>
        <w:jc w:val="both"/>
        <w:rPr>
          <w:rFonts w:ascii="Arial" w:hAnsi="Arial" w:cs="Arial"/>
          <w:szCs w:val="24"/>
          <w:lang w:val="en-GB"/>
        </w:rPr>
      </w:pPr>
      <w:r w:rsidRPr="00E95EFD">
        <w:rPr>
          <w:rFonts w:ascii="Arial" w:hAnsi="Arial" w:cs="Arial"/>
          <w:szCs w:val="24"/>
          <w:lang w:val="en-GB"/>
        </w:rPr>
        <w:t>Hydra was used to run a dictionary attack against the SSH service on L-CD (192.168.2.10), targeting the root account.</w:t>
      </w:r>
    </w:p>
    <w:p w14:paraId="788AEAAC" w14:textId="3144C3BD" w:rsidR="00E95EFD" w:rsidRPr="00E95EFD" w:rsidRDefault="00E95EFD" w:rsidP="00911A96">
      <w:pPr>
        <w:jc w:val="both"/>
        <w:rPr>
          <w:rFonts w:ascii="Arial" w:hAnsi="Arial" w:cs="Arial"/>
          <w:szCs w:val="24"/>
          <w:lang w:val="en-GB"/>
        </w:rPr>
      </w:pPr>
      <w:r w:rsidRPr="00E95EFD">
        <w:rPr>
          <w:rFonts w:ascii="Arial" w:hAnsi="Arial" w:cs="Arial"/>
          <w:szCs w:val="24"/>
          <w:lang w:val="en-GB"/>
        </w:rPr>
        <w:t>The attack successfully recovered the login credentials, showing that weak passwords</w:t>
      </w:r>
      <w:r w:rsidRPr="00911A96">
        <w:rPr>
          <w:rFonts w:ascii="Arial" w:hAnsi="Arial" w:cs="Arial"/>
          <w:szCs w:val="24"/>
          <w:lang w:val="en-GB"/>
        </w:rPr>
        <w:t xml:space="preserve">, </w:t>
      </w:r>
      <w:r w:rsidRPr="00E95EFD">
        <w:rPr>
          <w:rFonts w:ascii="Arial" w:hAnsi="Arial" w:cs="Arial"/>
          <w:szCs w:val="24"/>
          <w:lang w:val="en-GB"/>
        </w:rPr>
        <w:t>combined with the insecure cipher setup from V-05</w:t>
      </w:r>
      <w:r w:rsidRPr="00911A96">
        <w:rPr>
          <w:rFonts w:ascii="Arial" w:hAnsi="Arial" w:cs="Arial"/>
          <w:szCs w:val="24"/>
          <w:lang w:val="en-GB"/>
        </w:rPr>
        <w:t xml:space="preserve">, </w:t>
      </w:r>
      <w:r w:rsidRPr="00E95EFD">
        <w:rPr>
          <w:rFonts w:ascii="Arial" w:hAnsi="Arial" w:cs="Arial"/>
          <w:szCs w:val="24"/>
          <w:lang w:val="en-GB"/>
        </w:rPr>
        <w:t>make it easier for attackers to gain access through both brute force and cryptographic weaknesses [11].</w:t>
      </w:r>
    </w:p>
    <w:p w14:paraId="76B0182D" w14:textId="77777777" w:rsidR="001731DA" w:rsidRPr="00911A96" w:rsidRDefault="000502A7" w:rsidP="00911A96">
      <w:pPr>
        <w:jc w:val="both"/>
        <w:rPr>
          <w:rFonts w:ascii="Arial" w:hAnsi="Arial" w:cs="Arial"/>
          <w:szCs w:val="24"/>
        </w:rPr>
      </w:pPr>
      <w:r w:rsidRPr="00911A96">
        <w:rPr>
          <w:rFonts w:ascii="Arial" w:hAnsi="Arial" w:cs="Arial"/>
          <w:noProof/>
          <w:szCs w:val="24"/>
        </w:rPr>
        <w:drawing>
          <wp:inline distT="0" distB="0" distL="0" distR="0" wp14:anchorId="384F80C3" wp14:editId="5D0B7A7A">
            <wp:extent cx="5040000" cy="3150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a ssh.png"/>
                    <pic:cNvPicPr/>
                  </pic:nvPicPr>
                  <pic:blipFill>
                    <a:blip r:embed="rId44"/>
                    <a:stretch>
                      <a:fillRect/>
                    </a:stretch>
                  </pic:blipFill>
                  <pic:spPr>
                    <a:xfrm>
                      <a:off x="0" y="0"/>
                      <a:ext cx="5040000" cy="3150000"/>
                    </a:xfrm>
                    <a:prstGeom prst="rect">
                      <a:avLst/>
                    </a:prstGeom>
                  </pic:spPr>
                </pic:pic>
              </a:graphicData>
            </a:graphic>
          </wp:inline>
        </w:drawing>
      </w:r>
    </w:p>
    <w:p w14:paraId="7799E6B1" w14:textId="5E427B33" w:rsidR="001731DA" w:rsidRDefault="006B08F2" w:rsidP="00911A96">
      <w:pPr>
        <w:spacing w:after="40"/>
        <w:jc w:val="both"/>
        <w:rPr>
          <w:rFonts w:ascii="Arial" w:hAnsi="Arial" w:cs="Arial"/>
          <w:i/>
          <w:szCs w:val="24"/>
        </w:rPr>
      </w:pPr>
      <w:r w:rsidRPr="00911A96">
        <w:rPr>
          <w:rFonts w:ascii="Arial" w:hAnsi="Arial" w:cs="Arial"/>
          <w:i/>
          <w:szCs w:val="24"/>
        </w:rPr>
        <w:t>Figure 36 shows the Hydra attack results, confirming that root credentials were successfully recovered on L-CD (192.168.2.10), validating V-05.</w:t>
      </w:r>
    </w:p>
    <w:p w14:paraId="1893CF39" w14:textId="77777777" w:rsidR="00A63744" w:rsidRPr="00911A96" w:rsidRDefault="00A63744" w:rsidP="00911A96">
      <w:pPr>
        <w:spacing w:after="40"/>
        <w:jc w:val="both"/>
        <w:rPr>
          <w:rFonts w:ascii="Arial" w:hAnsi="Arial" w:cs="Arial"/>
          <w:szCs w:val="24"/>
        </w:rPr>
      </w:pPr>
    </w:p>
    <w:p w14:paraId="66341CD1" w14:textId="77777777" w:rsidR="001731DA" w:rsidRPr="00A63744" w:rsidRDefault="000502A7" w:rsidP="00A63744">
      <w:pPr>
        <w:pStyle w:val="Heading2"/>
        <w:rPr>
          <w:rFonts w:ascii="Arial" w:hAnsi="Arial" w:cs="Arial"/>
          <w:sz w:val="32"/>
          <w:szCs w:val="32"/>
        </w:rPr>
      </w:pPr>
      <w:bookmarkStart w:id="19" w:name="_Toc227003915"/>
      <w:r w:rsidRPr="00A63744">
        <w:rPr>
          <w:rFonts w:ascii="Arial" w:hAnsi="Arial" w:cs="Arial"/>
          <w:sz w:val="32"/>
          <w:szCs w:val="32"/>
        </w:rPr>
        <w:t>5.2.5 Medium/Low — Network Discovery (V-03/V-06)</w:t>
      </w:r>
      <w:bookmarkEnd w:id="19"/>
    </w:p>
    <w:p w14:paraId="5F9D2ECB" w14:textId="77777777" w:rsidR="004E52B3" w:rsidRPr="00A66751" w:rsidRDefault="004E52B3" w:rsidP="00A66751">
      <w:pPr>
        <w:jc w:val="both"/>
        <w:rPr>
          <w:rFonts w:ascii="Arial" w:hAnsi="Arial" w:cs="Arial"/>
          <w:lang w:val="en-GB"/>
        </w:rPr>
      </w:pPr>
      <w:r w:rsidRPr="00A66751">
        <w:rPr>
          <w:rFonts w:ascii="Arial" w:hAnsi="Arial" w:cs="Arial"/>
          <w:lang w:val="en-GB"/>
        </w:rPr>
        <w:t>An Nmap ICMP ping sweep (nmap -sn) identified all active hosts, showing how easily a network can be mapped.</w:t>
      </w:r>
    </w:p>
    <w:p w14:paraId="2C190E05" w14:textId="77777777" w:rsidR="004E52B3" w:rsidRPr="00A66751" w:rsidRDefault="004E52B3" w:rsidP="00A66751">
      <w:pPr>
        <w:jc w:val="both"/>
        <w:rPr>
          <w:rFonts w:ascii="Arial" w:hAnsi="Arial" w:cs="Arial"/>
          <w:lang w:val="en-GB"/>
        </w:rPr>
      </w:pPr>
      <w:r w:rsidRPr="00A66751">
        <w:rPr>
          <w:rFonts w:ascii="Arial" w:hAnsi="Arial" w:cs="Arial"/>
          <w:lang w:val="en-GB"/>
        </w:rPr>
        <w:t>Because it operates at a low level, it may avoid detection, and with Echo service (Port 7) active, it increases the risk of DoS amplification attacks [12].</w:t>
      </w:r>
    </w:p>
    <w:p w14:paraId="29A88CC4" w14:textId="77777777" w:rsidR="001731DA" w:rsidRPr="004C640D" w:rsidRDefault="000502A7" w:rsidP="004C640D">
      <w:pPr>
        <w:pStyle w:val="Heading2"/>
        <w:rPr>
          <w:rFonts w:ascii="Arial" w:hAnsi="Arial" w:cs="Arial"/>
          <w:sz w:val="28"/>
          <w:szCs w:val="28"/>
        </w:rPr>
      </w:pPr>
      <w:bookmarkStart w:id="20" w:name="_Toc227003916"/>
      <w:r w:rsidRPr="004C640D">
        <w:rPr>
          <w:rFonts w:ascii="Arial" w:hAnsi="Arial" w:cs="Arial"/>
          <w:sz w:val="28"/>
          <w:szCs w:val="28"/>
        </w:rPr>
        <w:t>5.3 Post-Exploitation Assessment</w:t>
      </w:r>
      <w:bookmarkEnd w:id="20"/>
    </w:p>
    <w:p w14:paraId="2C6738E7" w14:textId="77777777" w:rsidR="004C640D" w:rsidRPr="004C640D" w:rsidRDefault="004C640D" w:rsidP="004C640D">
      <w:pPr>
        <w:jc w:val="both"/>
        <w:rPr>
          <w:rFonts w:ascii="Arial" w:hAnsi="Arial" w:cs="Arial"/>
          <w:szCs w:val="24"/>
          <w:lang w:val="en-GB"/>
        </w:rPr>
      </w:pPr>
      <w:r w:rsidRPr="004C640D">
        <w:rPr>
          <w:rFonts w:ascii="Arial" w:hAnsi="Arial" w:cs="Arial"/>
          <w:szCs w:val="24"/>
          <w:lang w:val="en-GB"/>
        </w:rPr>
        <w:t>Although the payload was blocked by Windows Defender, the gained access still poses serious risks.</w:t>
      </w:r>
    </w:p>
    <w:p w14:paraId="0EFEC39F" w14:textId="77777777" w:rsidR="004C640D" w:rsidRPr="004C640D" w:rsidRDefault="004C640D" w:rsidP="004C640D">
      <w:pPr>
        <w:jc w:val="both"/>
        <w:rPr>
          <w:rFonts w:ascii="Arial" w:hAnsi="Arial" w:cs="Arial"/>
          <w:szCs w:val="24"/>
          <w:lang w:val="en-GB"/>
        </w:rPr>
      </w:pPr>
      <w:r w:rsidRPr="004C640D">
        <w:rPr>
          <w:rFonts w:ascii="Arial" w:hAnsi="Arial" w:cs="Arial"/>
          <w:szCs w:val="24"/>
          <w:lang w:val="en-GB"/>
        </w:rPr>
        <w:t>With domain admin credentials, an attacker could move across systems, maintain access, and retrieve sensitive Active Directory data. This highlights the need for strong passwords, MFA, and network segmentation [18].</w:t>
      </w:r>
    </w:p>
    <w:p w14:paraId="3034E457" w14:textId="77777777" w:rsidR="001731DA" w:rsidRPr="00911A96" w:rsidRDefault="000502A7" w:rsidP="00911A96">
      <w:pPr>
        <w:jc w:val="both"/>
        <w:rPr>
          <w:rFonts w:ascii="Arial" w:hAnsi="Arial" w:cs="Arial"/>
          <w:szCs w:val="24"/>
        </w:rPr>
      </w:pPr>
      <w:r w:rsidRPr="00911A96">
        <w:rPr>
          <w:rFonts w:ascii="Arial" w:hAnsi="Arial" w:cs="Arial"/>
          <w:szCs w:val="24"/>
        </w:rPr>
        <w:br w:type="page"/>
      </w:r>
    </w:p>
    <w:p w14:paraId="7828B139" w14:textId="77777777" w:rsidR="001731DA" w:rsidRPr="000732C1" w:rsidRDefault="000502A7" w:rsidP="000732C1">
      <w:pPr>
        <w:pStyle w:val="Heading1"/>
        <w:rPr>
          <w:rFonts w:ascii="Arial" w:hAnsi="Arial" w:cs="Arial"/>
          <w:sz w:val="32"/>
          <w:szCs w:val="32"/>
        </w:rPr>
      </w:pPr>
      <w:bookmarkStart w:id="21" w:name="_Toc227003917"/>
      <w:r w:rsidRPr="000732C1">
        <w:rPr>
          <w:rFonts w:ascii="Arial" w:hAnsi="Arial" w:cs="Arial"/>
          <w:sz w:val="32"/>
          <w:szCs w:val="32"/>
        </w:rPr>
        <w:t>6. Task 4: Preventive Security Measures</w:t>
      </w:r>
      <w:bookmarkEnd w:id="21"/>
    </w:p>
    <w:p w14:paraId="272A4183" w14:textId="77777777" w:rsidR="00A70A00" w:rsidRPr="00911A96" w:rsidRDefault="00A70A00" w:rsidP="00911A96">
      <w:pPr>
        <w:jc w:val="both"/>
        <w:rPr>
          <w:rFonts w:ascii="Arial" w:hAnsi="Arial" w:cs="Arial"/>
          <w:szCs w:val="24"/>
          <w:lang w:val="en-GB"/>
        </w:rPr>
      </w:pPr>
      <w:r w:rsidRPr="00911A96">
        <w:rPr>
          <w:rFonts w:ascii="Arial" w:hAnsi="Arial" w:cs="Arial"/>
          <w:szCs w:val="24"/>
          <w:lang w:val="en-GB"/>
        </w:rPr>
        <w:t>The following security measures are recommended to address the six identified vulnerabilities.</w:t>
      </w:r>
    </w:p>
    <w:p w14:paraId="1B200C5E" w14:textId="77777777" w:rsidR="00A70A00" w:rsidRPr="00911A96" w:rsidRDefault="00A70A00" w:rsidP="00911A96">
      <w:pPr>
        <w:jc w:val="both"/>
        <w:rPr>
          <w:rFonts w:ascii="Arial" w:hAnsi="Arial" w:cs="Arial"/>
          <w:szCs w:val="24"/>
          <w:lang w:val="en-GB"/>
        </w:rPr>
      </w:pPr>
      <w:r w:rsidRPr="00911A96">
        <w:rPr>
          <w:rFonts w:ascii="Arial" w:hAnsi="Arial" w:cs="Arial"/>
          <w:szCs w:val="24"/>
          <w:lang w:val="en-GB"/>
        </w:rPr>
        <w:t>Each recommendation aligns with the NIST CSF Protect function and CIS Controls Version 8, ensuring they follow recognised best practices [19]. To make remediation more effective, the measures are prioritised from high to low severity, helping focus on the most critical risks first.</w:t>
      </w:r>
    </w:p>
    <w:p w14:paraId="14756A89" w14:textId="77777777" w:rsidR="001731DA" w:rsidRPr="000732C1" w:rsidRDefault="000502A7" w:rsidP="000732C1">
      <w:pPr>
        <w:pStyle w:val="Heading2"/>
        <w:rPr>
          <w:rFonts w:ascii="Arial" w:hAnsi="Arial" w:cs="Arial"/>
          <w:sz w:val="28"/>
          <w:szCs w:val="28"/>
        </w:rPr>
      </w:pPr>
      <w:bookmarkStart w:id="22" w:name="_Toc227003918"/>
      <w:r w:rsidRPr="000732C1">
        <w:rPr>
          <w:rFonts w:ascii="Arial" w:hAnsi="Arial" w:cs="Arial"/>
          <w:sz w:val="28"/>
          <w:szCs w:val="28"/>
        </w:rPr>
        <w:t>6.1 Mitigate V-01 — SSL/TLS Hardening (SWEET32)</w:t>
      </w:r>
      <w:bookmarkEnd w:id="22"/>
    </w:p>
    <w:p w14:paraId="135B87BB" w14:textId="77777777" w:rsidR="00F260C1" w:rsidRPr="00911A96" w:rsidRDefault="00F260C1" w:rsidP="00911A96">
      <w:pPr>
        <w:jc w:val="both"/>
        <w:rPr>
          <w:rFonts w:ascii="Arial" w:hAnsi="Arial" w:cs="Arial"/>
          <w:szCs w:val="24"/>
          <w:lang w:val="en-GB"/>
        </w:rPr>
      </w:pPr>
      <w:r w:rsidRPr="00911A96">
        <w:rPr>
          <w:rFonts w:ascii="Arial" w:hAnsi="Arial" w:cs="Arial"/>
          <w:szCs w:val="24"/>
          <w:lang w:val="en-GB"/>
        </w:rPr>
        <w:t>Disable 64-bit cipher suites on IIS, RDP, and LDAP, and enforce TLS 1.2/1.3 using IIS Crypto or Group Policy.</w:t>
      </w:r>
    </w:p>
    <w:p w14:paraId="3972C11D" w14:textId="77777777" w:rsidR="00F260C1" w:rsidRPr="00911A96" w:rsidRDefault="00F260C1" w:rsidP="00911A96">
      <w:pPr>
        <w:jc w:val="both"/>
        <w:rPr>
          <w:rFonts w:ascii="Arial" w:hAnsi="Arial" w:cs="Arial"/>
          <w:szCs w:val="24"/>
          <w:lang w:val="en-GB"/>
        </w:rPr>
      </w:pPr>
      <w:r w:rsidRPr="00911A96">
        <w:rPr>
          <w:rFonts w:ascii="Arial" w:hAnsi="Arial" w:cs="Arial"/>
          <w:szCs w:val="24"/>
          <w:lang w:val="en-GB"/>
        </w:rPr>
        <w:t>Apply Microsoft Security Advisory 3155527 to fix CVE-2016-2183, removing the SWEET32 risk and protecting encrypted sessions [20].</w:t>
      </w:r>
    </w:p>
    <w:p w14:paraId="3AC18708" w14:textId="77777777" w:rsidR="001731DA" w:rsidRPr="000732C1" w:rsidRDefault="000502A7" w:rsidP="000732C1">
      <w:pPr>
        <w:pStyle w:val="Heading2"/>
        <w:rPr>
          <w:rFonts w:ascii="Arial" w:hAnsi="Arial" w:cs="Arial"/>
          <w:sz w:val="28"/>
          <w:szCs w:val="28"/>
        </w:rPr>
      </w:pPr>
      <w:bookmarkStart w:id="23" w:name="_Toc227003919"/>
      <w:r w:rsidRPr="000732C1">
        <w:rPr>
          <w:rFonts w:ascii="Arial" w:hAnsi="Arial" w:cs="Arial"/>
          <w:sz w:val="28"/>
          <w:szCs w:val="28"/>
        </w:rPr>
        <w:t>6.2 Mitigate V-02 — SMB Signing and Password Policy</w:t>
      </w:r>
      <w:bookmarkEnd w:id="23"/>
    </w:p>
    <w:p w14:paraId="4353EADF" w14:textId="77777777" w:rsidR="00B822E4" w:rsidRPr="00911A96" w:rsidRDefault="00B822E4" w:rsidP="00911A96">
      <w:pPr>
        <w:jc w:val="both"/>
        <w:rPr>
          <w:rFonts w:ascii="Arial" w:hAnsi="Arial" w:cs="Arial"/>
          <w:szCs w:val="24"/>
          <w:lang w:val="en-GB"/>
        </w:rPr>
      </w:pPr>
      <w:r w:rsidRPr="00911A96">
        <w:rPr>
          <w:rFonts w:ascii="Arial" w:hAnsi="Arial" w:cs="Arial"/>
          <w:szCs w:val="24"/>
          <w:lang w:val="en-GB"/>
        </w:rPr>
        <w:t xml:space="preserve">Enable SMB signing through Group Policy by setting </w:t>
      </w:r>
      <w:r w:rsidRPr="00911A96">
        <w:rPr>
          <w:rFonts w:ascii="Arial" w:hAnsi="Arial" w:cs="Arial"/>
          <w:b/>
          <w:bCs/>
          <w:szCs w:val="24"/>
          <w:lang w:val="en-GB"/>
        </w:rPr>
        <w:t>“Microsoft network server: Digitally sign communications (always)”</w:t>
      </w:r>
      <w:r w:rsidRPr="00911A96">
        <w:rPr>
          <w:rFonts w:ascii="Arial" w:hAnsi="Arial" w:cs="Arial"/>
          <w:szCs w:val="24"/>
          <w:lang w:val="en-GB"/>
        </w:rPr>
        <w:t xml:space="preserve"> to </w:t>
      </w:r>
      <w:r w:rsidRPr="00911A96">
        <w:rPr>
          <w:rFonts w:ascii="Arial" w:hAnsi="Arial" w:cs="Arial"/>
          <w:i/>
          <w:iCs/>
          <w:szCs w:val="24"/>
          <w:lang w:val="en-GB"/>
        </w:rPr>
        <w:t>Enabled</w:t>
      </w:r>
      <w:r w:rsidRPr="00911A96">
        <w:rPr>
          <w:rFonts w:ascii="Arial" w:hAnsi="Arial" w:cs="Arial"/>
          <w:szCs w:val="24"/>
          <w:lang w:val="en-GB"/>
        </w:rPr>
        <w:t xml:space="preserve"> to block relay attacks.</w:t>
      </w:r>
    </w:p>
    <w:p w14:paraId="05664AD1" w14:textId="77777777" w:rsidR="00B822E4" w:rsidRPr="00911A96" w:rsidRDefault="00B822E4" w:rsidP="00911A96">
      <w:pPr>
        <w:jc w:val="both"/>
        <w:rPr>
          <w:rFonts w:ascii="Arial" w:hAnsi="Arial" w:cs="Arial"/>
          <w:szCs w:val="24"/>
          <w:lang w:val="en-GB"/>
        </w:rPr>
      </w:pPr>
      <w:r w:rsidRPr="00911A96">
        <w:rPr>
          <w:rFonts w:ascii="Arial" w:hAnsi="Arial" w:cs="Arial"/>
          <w:szCs w:val="24"/>
          <w:lang w:val="en-GB"/>
        </w:rPr>
        <w:t>Strengthen password policies (minimum 15 characters, complexity, and account lockout after failed attempts) and enforce MFA for all administrator accounts to prevent misuse of compromised credentials [21].</w:t>
      </w:r>
    </w:p>
    <w:p w14:paraId="41FCFCCC" w14:textId="77777777" w:rsidR="001731DA" w:rsidRPr="000732C1" w:rsidRDefault="000502A7" w:rsidP="000732C1">
      <w:pPr>
        <w:pStyle w:val="Heading2"/>
        <w:rPr>
          <w:rFonts w:ascii="Arial" w:hAnsi="Arial" w:cs="Arial"/>
          <w:sz w:val="28"/>
          <w:szCs w:val="28"/>
        </w:rPr>
      </w:pPr>
      <w:bookmarkStart w:id="24" w:name="_Toc227003920"/>
      <w:r w:rsidRPr="000732C1">
        <w:rPr>
          <w:rFonts w:ascii="Arial" w:hAnsi="Arial" w:cs="Arial"/>
          <w:sz w:val="28"/>
          <w:szCs w:val="28"/>
        </w:rPr>
        <w:t>6.3 Mitigate V-03 — Disable Echo Service</w:t>
      </w:r>
      <w:bookmarkEnd w:id="24"/>
    </w:p>
    <w:p w14:paraId="127BE90F" w14:textId="77777777" w:rsidR="007A1AEA" w:rsidRPr="00911A96" w:rsidRDefault="007A1AEA" w:rsidP="00911A96">
      <w:pPr>
        <w:jc w:val="both"/>
        <w:rPr>
          <w:rFonts w:ascii="Arial" w:hAnsi="Arial" w:cs="Arial"/>
          <w:szCs w:val="24"/>
          <w:lang w:val="en-GB"/>
        </w:rPr>
      </w:pPr>
      <w:r w:rsidRPr="00911A96">
        <w:rPr>
          <w:rFonts w:ascii="Arial" w:hAnsi="Arial" w:cs="Arial"/>
          <w:szCs w:val="24"/>
          <w:lang w:val="en-GB"/>
        </w:rPr>
        <w:t>Disable the Echo service (port 7) on all hosts, as it’s unnecessary and increases risk. On Windows, use sc config echo start=disabled, and on Linux, disable it in inetd/xinetd and restart the service.</w:t>
      </w:r>
    </w:p>
    <w:p w14:paraId="36A88EC9" w14:textId="46D1F6D8" w:rsidR="007A1AEA" w:rsidRPr="00911A96" w:rsidRDefault="007A1AEA" w:rsidP="00911A96">
      <w:pPr>
        <w:jc w:val="both"/>
        <w:rPr>
          <w:rFonts w:ascii="Arial" w:hAnsi="Arial" w:cs="Arial"/>
          <w:szCs w:val="24"/>
          <w:lang w:val="en-GB"/>
        </w:rPr>
      </w:pPr>
      <w:r w:rsidRPr="00911A96">
        <w:rPr>
          <w:rFonts w:ascii="Arial" w:hAnsi="Arial" w:cs="Arial"/>
          <w:szCs w:val="24"/>
          <w:lang w:val="en-GB"/>
        </w:rPr>
        <w:t>More broadly, remove any unused services following CIS benchmarks</w:t>
      </w:r>
      <w:r w:rsidR="0028656E" w:rsidRPr="00911A96">
        <w:rPr>
          <w:rFonts w:ascii="Arial" w:hAnsi="Arial" w:cs="Arial"/>
          <w:szCs w:val="24"/>
          <w:lang w:val="en-GB"/>
        </w:rPr>
        <w:t xml:space="preserve">, </w:t>
      </w:r>
      <w:r w:rsidRPr="00911A96">
        <w:rPr>
          <w:rFonts w:ascii="Arial" w:hAnsi="Arial" w:cs="Arial"/>
          <w:szCs w:val="24"/>
          <w:lang w:val="en-GB"/>
        </w:rPr>
        <w:t>this helps reduce the overall attack surface and limits potential entry points.</w:t>
      </w:r>
    </w:p>
    <w:p w14:paraId="0752E243" w14:textId="77777777" w:rsidR="001731DA" w:rsidRPr="000732C1" w:rsidRDefault="000502A7" w:rsidP="000732C1">
      <w:pPr>
        <w:pStyle w:val="Heading2"/>
        <w:rPr>
          <w:rFonts w:ascii="Arial" w:hAnsi="Arial" w:cs="Arial"/>
          <w:sz w:val="28"/>
          <w:szCs w:val="28"/>
        </w:rPr>
      </w:pPr>
      <w:bookmarkStart w:id="25" w:name="_Toc227003921"/>
      <w:r w:rsidRPr="000732C1">
        <w:rPr>
          <w:rFonts w:ascii="Arial" w:hAnsi="Arial" w:cs="Arial"/>
          <w:sz w:val="28"/>
          <w:szCs w:val="28"/>
        </w:rPr>
        <w:t>6.4 Mitigate V-04 — LDAP Signing and Channel Binding</w:t>
      </w:r>
      <w:bookmarkEnd w:id="25"/>
    </w:p>
    <w:p w14:paraId="72D1FCED" w14:textId="77777777" w:rsidR="00B45851" w:rsidRPr="00911A96" w:rsidRDefault="00B45851" w:rsidP="00911A96">
      <w:pPr>
        <w:jc w:val="both"/>
        <w:rPr>
          <w:rFonts w:ascii="Arial" w:hAnsi="Arial" w:cs="Arial"/>
          <w:szCs w:val="24"/>
          <w:lang w:val="en-GB"/>
        </w:rPr>
      </w:pPr>
      <w:r w:rsidRPr="00911A96">
        <w:rPr>
          <w:rFonts w:ascii="Arial" w:hAnsi="Arial" w:cs="Arial"/>
          <w:szCs w:val="24"/>
          <w:lang w:val="en-GB"/>
        </w:rPr>
        <w:t xml:space="preserve">Enable LDAP signing on S-DC via Group Policy by setting </w:t>
      </w:r>
      <w:r w:rsidRPr="00911A96">
        <w:rPr>
          <w:rFonts w:ascii="Arial" w:hAnsi="Arial" w:cs="Arial"/>
          <w:b/>
          <w:bCs/>
          <w:szCs w:val="24"/>
          <w:lang w:val="en-GB"/>
        </w:rPr>
        <w:t>“Domain controller: LDAP server signing requirements”</w:t>
      </w:r>
      <w:r w:rsidRPr="00911A96">
        <w:rPr>
          <w:rFonts w:ascii="Arial" w:hAnsi="Arial" w:cs="Arial"/>
          <w:szCs w:val="24"/>
          <w:lang w:val="en-GB"/>
        </w:rPr>
        <w:t xml:space="preserve"> to </w:t>
      </w:r>
      <w:r w:rsidRPr="00911A96">
        <w:rPr>
          <w:rFonts w:ascii="Arial" w:hAnsi="Arial" w:cs="Arial"/>
          <w:i/>
          <w:iCs/>
          <w:szCs w:val="24"/>
          <w:lang w:val="en-GB"/>
        </w:rPr>
        <w:t>Require signing</w:t>
      </w:r>
      <w:r w:rsidRPr="00911A96">
        <w:rPr>
          <w:rFonts w:ascii="Arial" w:hAnsi="Arial" w:cs="Arial"/>
          <w:szCs w:val="24"/>
          <w:lang w:val="en-GB"/>
        </w:rPr>
        <w:t>. Also enable LDAP channel binding (CBT).</w:t>
      </w:r>
    </w:p>
    <w:p w14:paraId="7CE0FCF7" w14:textId="77777777" w:rsidR="00B45851" w:rsidRPr="00911A96" w:rsidRDefault="00B45851" w:rsidP="00911A96">
      <w:pPr>
        <w:jc w:val="both"/>
        <w:rPr>
          <w:rFonts w:ascii="Arial" w:hAnsi="Arial" w:cs="Arial"/>
          <w:szCs w:val="24"/>
          <w:lang w:val="en-GB"/>
        </w:rPr>
      </w:pPr>
      <w:r w:rsidRPr="00911A96">
        <w:rPr>
          <w:rFonts w:ascii="Arial" w:hAnsi="Arial" w:cs="Arial"/>
          <w:szCs w:val="24"/>
          <w:lang w:val="en-GB"/>
        </w:rPr>
        <w:t>These controls block LDAP relay attacks and prevent unauthorised tools like enum4linux from enumerating Active Directory data.</w:t>
      </w:r>
    </w:p>
    <w:p w14:paraId="60450BCA" w14:textId="77777777" w:rsidR="001731DA" w:rsidRPr="000732C1" w:rsidRDefault="000502A7" w:rsidP="000732C1">
      <w:pPr>
        <w:pStyle w:val="Heading2"/>
        <w:rPr>
          <w:rFonts w:ascii="Arial" w:hAnsi="Arial" w:cs="Arial"/>
          <w:sz w:val="28"/>
          <w:szCs w:val="28"/>
        </w:rPr>
      </w:pPr>
      <w:bookmarkStart w:id="26" w:name="_Toc227003922"/>
      <w:r w:rsidRPr="000732C1">
        <w:rPr>
          <w:rFonts w:ascii="Arial" w:hAnsi="Arial" w:cs="Arial"/>
          <w:sz w:val="28"/>
          <w:szCs w:val="28"/>
        </w:rPr>
        <w:t>6.5 Mitigate V-05 — SSH Cipher Hardening (L-CD)</w:t>
      </w:r>
      <w:bookmarkEnd w:id="26"/>
    </w:p>
    <w:p w14:paraId="16834D9A" w14:textId="77777777" w:rsidR="00D44E40" w:rsidRPr="00911A96" w:rsidRDefault="00D44E40" w:rsidP="00911A96">
      <w:pPr>
        <w:jc w:val="both"/>
        <w:rPr>
          <w:rFonts w:ascii="Arial" w:hAnsi="Arial" w:cs="Arial"/>
          <w:szCs w:val="24"/>
          <w:lang w:val="en-GB"/>
        </w:rPr>
      </w:pPr>
      <w:r w:rsidRPr="00911A96">
        <w:rPr>
          <w:rFonts w:ascii="Arial" w:hAnsi="Arial" w:cs="Arial"/>
          <w:szCs w:val="24"/>
          <w:lang w:val="en-GB"/>
        </w:rPr>
        <w:t xml:space="preserve">Update the SSH configuration on L-CD (/etc/ssh/sshd_config) to allow only secure ciphers like </w:t>
      </w:r>
      <w:r w:rsidRPr="00911A96">
        <w:rPr>
          <w:rFonts w:ascii="Arial" w:hAnsi="Arial" w:cs="Arial"/>
          <w:b/>
          <w:bCs/>
          <w:szCs w:val="24"/>
          <w:lang w:val="en-GB"/>
        </w:rPr>
        <w:t>aes256-gcm</w:t>
      </w:r>
      <w:r w:rsidRPr="00911A96">
        <w:rPr>
          <w:rFonts w:ascii="Arial" w:hAnsi="Arial" w:cs="Arial"/>
          <w:szCs w:val="24"/>
          <w:lang w:val="en-GB"/>
        </w:rPr>
        <w:t xml:space="preserve">, </w:t>
      </w:r>
      <w:r w:rsidRPr="00911A96">
        <w:rPr>
          <w:rFonts w:ascii="Arial" w:hAnsi="Arial" w:cs="Arial"/>
          <w:b/>
          <w:bCs/>
          <w:szCs w:val="24"/>
          <w:lang w:val="en-GB"/>
        </w:rPr>
        <w:t>aes128-gcm</w:t>
      </w:r>
      <w:r w:rsidRPr="00911A96">
        <w:rPr>
          <w:rFonts w:ascii="Arial" w:hAnsi="Arial" w:cs="Arial"/>
          <w:szCs w:val="24"/>
          <w:lang w:val="en-GB"/>
        </w:rPr>
        <w:t xml:space="preserve">, and </w:t>
      </w:r>
      <w:r w:rsidRPr="00911A96">
        <w:rPr>
          <w:rFonts w:ascii="Arial" w:hAnsi="Arial" w:cs="Arial"/>
          <w:b/>
          <w:bCs/>
          <w:szCs w:val="24"/>
          <w:lang w:val="en-GB"/>
        </w:rPr>
        <w:t>chacha20-poly1305</w:t>
      </w:r>
      <w:r w:rsidRPr="00911A96">
        <w:rPr>
          <w:rFonts w:ascii="Arial" w:hAnsi="Arial" w:cs="Arial"/>
          <w:szCs w:val="24"/>
          <w:lang w:val="en-GB"/>
        </w:rPr>
        <w:t>, and remove outdated ones such as arcfour, 3des-cbc, and blowfish-cbc.</w:t>
      </w:r>
    </w:p>
    <w:p w14:paraId="4644DBC5" w14:textId="77777777" w:rsidR="00D44E40" w:rsidRPr="00911A96" w:rsidRDefault="00D44E40" w:rsidP="00911A96">
      <w:pPr>
        <w:jc w:val="both"/>
        <w:rPr>
          <w:rFonts w:ascii="Arial" w:hAnsi="Arial" w:cs="Arial"/>
          <w:szCs w:val="24"/>
          <w:lang w:val="en-GB"/>
        </w:rPr>
      </w:pPr>
      <w:r w:rsidRPr="00911A96">
        <w:rPr>
          <w:rFonts w:ascii="Arial" w:hAnsi="Arial" w:cs="Arial"/>
          <w:szCs w:val="24"/>
          <w:lang w:val="en-GB"/>
        </w:rPr>
        <w:t>After making changes, restart SSH (sudo systemctl restart sshd). This prevents downgrade attacks and strengthens SSH security.</w:t>
      </w:r>
    </w:p>
    <w:p w14:paraId="245DC601" w14:textId="77777777" w:rsidR="001731DA" w:rsidRPr="000732C1" w:rsidRDefault="000502A7" w:rsidP="000732C1">
      <w:pPr>
        <w:pStyle w:val="Heading2"/>
        <w:rPr>
          <w:rFonts w:ascii="Arial" w:hAnsi="Arial" w:cs="Arial"/>
          <w:sz w:val="28"/>
          <w:szCs w:val="28"/>
        </w:rPr>
      </w:pPr>
      <w:bookmarkStart w:id="27" w:name="_Toc227003923"/>
      <w:r w:rsidRPr="000732C1">
        <w:rPr>
          <w:rFonts w:ascii="Arial" w:hAnsi="Arial" w:cs="Arial"/>
          <w:sz w:val="28"/>
          <w:szCs w:val="28"/>
        </w:rPr>
        <w:t>6.6 Mitigate V-06 — ICMP Restriction and Monitoring</w:t>
      </w:r>
      <w:bookmarkEnd w:id="27"/>
    </w:p>
    <w:p w14:paraId="7CFA4EE5" w14:textId="77777777" w:rsidR="00B21AAE" w:rsidRPr="00B21AAE" w:rsidRDefault="00B21AAE" w:rsidP="00911A96">
      <w:pPr>
        <w:jc w:val="both"/>
        <w:rPr>
          <w:rFonts w:ascii="Arial" w:hAnsi="Arial" w:cs="Arial"/>
          <w:szCs w:val="24"/>
          <w:lang w:val="en-GB"/>
        </w:rPr>
      </w:pPr>
      <w:r w:rsidRPr="00B21AAE">
        <w:rPr>
          <w:rFonts w:ascii="Arial" w:hAnsi="Arial" w:cs="Arial"/>
          <w:szCs w:val="24"/>
          <w:lang w:val="en-GB"/>
        </w:rPr>
        <w:t>Configure Windows Defender Firewall on S-DC to block ICMP echo requests from untrusted sources, allowing only approved management hosts. On L-CD, apply similar restrictions using iptables.</w:t>
      </w:r>
    </w:p>
    <w:p w14:paraId="29B19C4E" w14:textId="77777777" w:rsidR="00B21AAE" w:rsidRDefault="00B21AAE" w:rsidP="00911A96">
      <w:pPr>
        <w:jc w:val="both"/>
        <w:rPr>
          <w:rFonts w:ascii="Arial" w:hAnsi="Arial" w:cs="Arial"/>
          <w:szCs w:val="24"/>
          <w:lang w:val="en-GB"/>
        </w:rPr>
      </w:pPr>
      <w:r w:rsidRPr="00B21AAE">
        <w:rPr>
          <w:rFonts w:ascii="Arial" w:hAnsi="Arial" w:cs="Arial"/>
          <w:szCs w:val="24"/>
          <w:lang w:val="en-GB"/>
        </w:rPr>
        <w:t>In addition, use monitoring tools like Wireshark or an IDS to detect unusual traffic patterns, such as ICMP floods or port scans, so threats can be identified and addressed quickly [22].</w:t>
      </w:r>
    </w:p>
    <w:p w14:paraId="23ABA3C4" w14:textId="77777777" w:rsidR="000732C1" w:rsidRPr="00B21AAE" w:rsidRDefault="000732C1" w:rsidP="00911A96">
      <w:pPr>
        <w:jc w:val="both"/>
        <w:rPr>
          <w:rFonts w:ascii="Arial" w:hAnsi="Arial" w:cs="Arial"/>
          <w:szCs w:val="24"/>
          <w:lang w:val="en-GB"/>
        </w:rPr>
      </w:pPr>
    </w:p>
    <w:p w14:paraId="18205BE7" w14:textId="71FB8C75" w:rsidR="001731DA" w:rsidRPr="000732C1" w:rsidRDefault="000502A7" w:rsidP="000732C1">
      <w:pPr>
        <w:pStyle w:val="Heading1"/>
        <w:rPr>
          <w:rFonts w:ascii="Arial" w:hAnsi="Arial" w:cs="Arial"/>
          <w:sz w:val="32"/>
          <w:szCs w:val="32"/>
        </w:rPr>
      </w:pPr>
      <w:bookmarkStart w:id="28" w:name="_Toc227003924"/>
      <w:r w:rsidRPr="000732C1">
        <w:rPr>
          <w:rFonts w:ascii="Arial" w:hAnsi="Arial" w:cs="Arial"/>
          <w:sz w:val="32"/>
          <w:szCs w:val="32"/>
        </w:rPr>
        <w:t>7. Conclusion and Self-Reflection</w:t>
      </w:r>
      <w:bookmarkEnd w:id="28"/>
    </w:p>
    <w:p w14:paraId="3345E4D6" w14:textId="77777777" w:rsidR="00CE1F7D" w:rsidRPr="00CE1F7D" w:rsidRDefault="00CE1F7D" w:rsidP="00911A96">
      <w:pPr>
        <w:jc w:val="both"/>
        <w:rPr>
          <w:rFonts w:ascii="Arial" w:hAnsi="Arial" w:cs="Arial"/>
          <w:szCs w:val="24"/>
          <w:lang w:val="en-GB"/>
        </w:rPr>
      </w:pPr>
      <w:r w:rsidRPr="00CE1F7D">
        <w:rPr>
          <w:rFonts w:ascii="Arial" w:hAnsi="Arial" w:cs="Arial"/>
          <w:szCs w:val="24"/>
          <w:lang w:val="en-GB"/>
        </w:rPr>
        <w:t>This report assessed the SOAC Inc. network using the NIST framework, confirming proper connectivity and identifying six vulnerabilities, including critical issues like SWEET32 and SMB exposure. While Windows Defender blocked payload execution, successful authentication showed that credential compromise remains a major risk. Recommended controls address all identified weaknesses [23].</w:t>
      </w:r>
    </w:p>
    <w:p w14:paraId="1B68C188" w14:textId="77777777" w:rsidR="00CE1F7D" w:rsidRPr="00CE1F7D" w:rsidRDefault="00CE1F7D" w:rsidP="00911A96">
      <w:pPr>
        <w:jc w:val="both"/>
        <w:rPr>
          <w:rFonts w:ascii="Arial" w:hAnsi="Arial" w:cs="Arial"/>
          <w:szCs w:val="24"/>
          <w:lang w:val="en-GB"/>
        </w:rPr>
      </w:pPr>
      <w:r w:rsidRPr="00CE1F7D">
        <w:rPr>
          <w:rFonts w:ascii="Arial" w:hAnsi="Arial" w:cs="Arial"/>
          <w:szCs w:val="24"/>
          <w:lang w:val="en-GB"/>
        </w:rPr>
        <w:t>This assessment also strengthened my practical understanding of cybersecurity. Using tools like enum4linux and Hydra showed how easily sensitive data and weak passwords can be exploited, while troubleshooting improved my knowledge of networking and routing. Overall, it helped bridge the gap between theory and real-world practice [19].</w:t>
      </w:r>
    </w:p>
    <w:p w14:paraId="0A99553D" w14:textId="4F52B711" w:rsidR="001731DA" w:rsidRPr="00911A96" w:rsidRDefault="001731DA" w:rsidP="00911A96">
      <w:pPr>
        <w:jc w:val="both"/>
        <w:rPr>
          <w:rFonts w:ascii="Arial" w:hAnsi="Arial" w:cs="Arial"/>
          <w:szCs w:val="24"/>
        </w:rPr>
      </w:pPr>
    </w:p>
    <w:p w14:paraId="3767BBEF" w14:textId="77777777" w:rsidR="001731DA" w:rsidRPr="00911A96" w:rsidRDefault="000502A7" w:rsidP="00911A96">
      <w:pPr>
        <w:jc w:val="both"/>
        <w:rPr>
          <w:rFonts w:ascii="Arial" w:hAnsi="Arial" w:cs="Arial"/>
          <w:szCs w:val="24"/>
        </w:rPr>
      </w:pPr>
      <w:r w:rsidRPr="00911A96">
        <w:rPr>
          <w:rFonts w:ascii="Arial" w:hAnsi="Arial" w:cs="Arial"/>
          <w:szCs w:val="24"/>
        </w:rPr>
        <w:br w:type="page"/>
      </w:r>
    </w:p>
    <w:p w14:paraId="21A19133" w14:textId="77777777" w:rsidR="001731DA" w:rsidRDefault="000502A7" w:rsidP="000732C1">
      <w:pPr>
        <w:pStyle w:val="Heading1"/>
        <w:rPr>
          <w:rFonts w:ascii="Arial" w:hAnsi="Arial" w:cs="Arial"/>
          <w:sz w:val="32"/>
          <w:szCs w:val="32"/>
        </w:rPr>
      </w:pPr>
      <w:bookmarkStart w:id="29" w:name="_Toc227003925"/>
      <w:r w:rsidRPr="000732C1">
        <w:rPr>
          <w:rFonts w:ascii="Arial" w:hAnsi="Arial" w:cs="Arial"/>
          <w:sz w:val="32"/>
          <w:szCs w:val="32"/>
        </w:rPr>
        <w:t>8. References</w:t>
      </w:r>
      <w:bookmarkEnd w:id="29"/>
    </w:p>
    <w:p w14:paraId="6A758131" w14:textId="77777777" w:rsidR="000732C1" w:rsidRPr="000732C1" w:rsidRDefault="000732C1" w:rsidP="000732C1"/>
    <w:p w14:paraId="48D98079"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 ENISA, </w:t>
      </w:r>
      <w:r w:rsidRPr="00CA3DCD">
        <w:rPr>
          <w:rFonts w:ascii="Arial" w:hAnsi="Arial" w:cs="Arial"/>
          <w:i/>
          <w:iCs/>
          <w:szCs w:val="24"/>
          <w:lang w:val="en-GB"/>
        </w:rPr>
        <w:t>ENISA Threat Landscape 2023</w:t>
      </w:r>
      <w:r w:rsidRPr="00CA3DCD">
        <w:rPr>
          <w:rFonts w:ascii="Arial" w:hAnsi="Arial" w:cs="Arial"/>
          <w:szCs w:val="24"/>
          <w:lang w:val="en-GB"/>
        </w:rPr>
        <w:t xml:space="preserve">, 2023. [Online]. Available: </w:t>
      </w:r>
      <w:hyperlink r:id="rId45" w:tgtFrame="_new" w:history="1">
        <w:r w:rsidRPr="00CA3DCD">
          <w:rPr>
            <w:rStyle w:val="Hyperlink"/>
            <w:rFonts w:ascii="Arial" w:hAnsi="Arial" w:cs="Arial"/>
            <w:szCs w:val="24"/>
            <w:lang w:val="en-GB"/>
          </w:rPr>
          <w:t>https://www.enisa.europa.eu</w:t>
        </w:r>
      </w:hyperlink>
    </w:p>
    <w:p w14:paraId="5B2276B3"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[2] M. Bishop, </w:t>
      </w:r>
      <w:r w:rsidRPr="00CA3DCD">
        <w:rPr>
          <w:rFonts w:ascii="Arial" w:hAnsi="Arial" w:cs="Arial"/>
          <w:i/>
          <w:iCs/>
          <w:szCs w:val="24"/>
          <w:lang w:val="en-GB"/>
        </w:rPr>
        <w:t>Computer Security: Art and Science</w:t>
      </w:r>
      <w:r w:rsidRPr="00CA3DCD">
        <w:rPr>
          <w:rFonts w:ascii="Arial" w:hAnsi="Arial" w:cs="Arial"/>
          <w:szCs w:val="24"/>
          <w:lang w:val="en-GB"/>
        </w:rPr>
        <w:t>, 2nd ed. Boston, MA: Addison-Wesley, 2019.</w:t>
      </w:r>
    </w:p>
    <w:p w14:paraId="54309B93"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[3] NIST, </w:t>
      </w:r>
      <w:r w:rsidRPr="00CA3DCD">
        <w:rPr>
          <w:rFonts w:ascii="Arial" w:hAnsi="Arial" w:cs="Arial"/>
          <w:i/>
          <w:iCs/>
          <w:szCs w:val="24"/>
          <w:lang w:val="en-GB"/>
        </w:rPr>
        <w:t>Framework for Improving Critical Infrastructure Cybersecurity v1.1</w:t>
      </w:r>
      <w:r w:rsidRPr="00CA3DCD">
        <w:rPr>
          <w:rFonts w:ascii="Arial" w:hAnsi="Arial" w:cs="Arial"/>
          <w:szCs w:val="24"/>
          <w:lang w:val="en-GB"/>
        </w:rPr>
        <w:t xml:space="preserve">, Apr. 2018. [Online]. Available: </w:t>
      </w:r>
      <w:hyperlink r:id="rId46" w:tgtFrame="_new" w:history="1">
        <w:r w:rsidRPr="00CA3DCD">
          <w:rPr>
            <w:rStyle w:val="Hyperlink"/>
            <w:rFonts w:ascii="Arial" w:hAnsi="Arial" w:cs="Arial"/>
            <w:szCs w:val="24"/>
            <w:lang w:val="en-GB"/>
          </w:rPr>
          <w:t>https://doi.org/10.6028/NIST.CSWP.04162018</w:t>
        </w:r>
      </w:hyperlink>
    </w:p>
    <w:p w14:paraId="67CD3B7A"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[4] EC-Council, </w:t>
      </w:r>
      <w:r w:rsidRPr="00CA3DCD">
        <w:rPr>
          <w:rFonts w:ascii="Arial" w:hAnsi="Arial" w:cs="Arial"/>
          <w:i/>
          <w:iCs/>
          <w:szCs w:val="24"/>
          <w:lang w:val="en-GB"/>
        </w:rPr>
        <w:t>Certified Ethical Hacker (CEH) v12: Study Guide</w:t>
      </w:r>
      <w:r w:rsidRPr="00CA3DCD">
        <w:rPr>
          <w:rFonts w:ascii="Arial" w:hAnsi="Arial" w:cs="Arial"/>
          <w:szCs w:val="24"/>
          <w:lang w:val="en-GB"/>
        </w:rPr>
        <w:t>. Albuquerque, NM: EC-Council Press, 2022.</w:t>
      </w:r>
    </w:p>
    <w:p w14:paraId="476FB8CC"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[5] R. McGraw, “Red Team vs. Blue Team Penetration Testing,” in </w:t>
      </w:r>
      <w:r w:rsidRPr="00CA3DCD">
        <w:rPr>
          <w:rFonts w:ascii="Arial" w:hAnsi="Arial" w:cs="Arial"/>
          <w:i/>
          <w:iCs/>
          <w:szCs w:val="24"/>
          <w:lang w:val="en-GB"/>
        </w:rPr>
        <w:t>Proc. IEEE Symp. Security and Privacy Workshops</w:t>
      </w:r>
      <w:r w:rsidRPr="00CA3DCD">
        <w:rPr>
          <w:rFonts w:ascii="Arial" w:hAnsi="Arial" w:cs="Arial"/>
          <w:szCs w:val="24"/>
          <w:lang w:val="en-GB"/>
        </w:rPr>
        <w:t>, 2020, pp. 112–119.</w:t>
      </w:r>
    </w:p>
    <w:p w14:paraId="24113F28"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[6] O. Chapple and J. Seidl, </w:t>
      </w:r>
      <w:r w:rsidRPr="00CA3DCD">
        <w:rPr>
          <w:rFonts w:ascii="Arial" w:hAnsi="Arial" w:cs="Arial"/>
          <w:i/>
          <w:iCs/>
          <w:szCs w:val="24"/>
          <w:lang w:val="en-GB"/>
        </w:rPr>
        <w:t>CompTIA Security+ Study Guide: Exam SY0-701</w:t>
      </w:r>
      <w:r w:rsidRPr="00CA3DCD">
        <w:rPr>
          <w:rFonts w:ascii="Arial" w:hAnsi="Arial" w:cs="Arial"/>
          <w:szCs w:val="24"/>
          <w:lang w:val="en-GB"/>
        </w:rPr>
        <w:t>, 9th ed. Indianapolis, IN: Wiley, 2023.</w:t>
      </w:r>
    </w:p>
    <w:p w14:paraId="44B09B3A"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[7] W. Stallings and L. Brown, </w:t>
      </w:r>
      <w:r w:rsidRPr="00CA3DCD">
        <w:rPr>
          <w:rFonts w:ascii="Arial" w:hAnsi="Arial" w:cs="Arial"/>
          <w:i/>
          <w:iCs/>
          <w:szCs w:val="24"/>
          <w:lang w:val="en-GB"/>
        </w:rPr>
        <w:t>Computer Security: Principles and Practice</w:t>
      </w:r>
      <w:r w:rsidRPr="00CA3DCD">
        <w:rPr>
          <w:rFonts w:ascii="Arial" w:hAnsi="Arial" w:cs="Arial"/>
          <w:szCs w:val="24"/>
          <w:lang w:val="en-GB"/>
        </w:rPr>
        <w:t>, 4th ed. Hoboken, NJ: Pearson, 2021.</w:t>
      </w:r>
    </w:p>
    <w:p w14:paraId="463FD4AA"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[8] Cisco Systems, </w:t>
      </w:r>
      <w:r w:rsidRPr="00CA3DCD">
        <w:rPr>
          <w:rFonts w:ascii="Arial" w:hAnsi="Arial" w:cs="Arial"/>
          <w:i/>
          <w:iCs/>
          <w:szCs w:val="24"/>
          <w:lang w:val="en-GB"/>
        </w:rPr>
        <w:t>Network Infrastructure Security Guide</w:t>
      </w:r>
      <w:r w:rsidRPr="00CA3DCD">
        <w:rPr>
          <w:rFonts w:ascii="Arial" w:hAnsi="Arial" w:cs="Arial"/>
          <w:szCs w:val="24"/>
          <w:lang w:val="en-GB"/>
        </w:rPr>
        <w:t>. Cisco Press, 2022.</w:t>
      </w:r>
    </w:p>
    <w:p w14:paraId="19CE5A5F"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[9] R. Shimonski, </w:t>
      </w:r>
      <w:r w:rsidRPr="00CA3DCD">
        <w:rPr>
          <w:rFonts w:ascii="Arial" w:hAnsi="Arial" w:cs="Arial"/>
          <w:i/>
          <w:iCs/>
          <w:szCs w:val="24"/>
          <w:lang w:val="en-GB"/>
        </w:rPr>
        <w:t>The Wireshark Field Guide</w:t>
      </w:r>
      <w:r w:rsidRPr="00CA3DCD">
        <w:rPr>
          <w:rFonts w:ascii="Arial" w:hAnsi="Arial" w:cs="Arial"/>
          <w:szCs w:val="24"/>
          <w:lang w:val="en-GB"/>
        </w:rPr>
        <w:t>. Waltham, MA: Syngress, 2013.</w:t>
      </w:r>
    </w:p>
    <w:p w14:paraId="1C6DB579"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[10] Offensive Security, “Kali Linux Documentation,” 2024. [Online]. Available: </w:t>
      </w:r>
      <w:hyperlink r:id="rId47" w:tgtFrame="_new" w:history="1">
        <w:r w:rsidRPr="00CA3DCD">
          <w:rPr>
            <w:rStyle w:val="Hyperlink"/>
            <w:rFonts w:ascii="Arial" w:hAnsi="Arial" w:cs="Arial"/>
            <w:szCs w:val="24"/>
            <w:lang w:val="en-GB"/>
          </w:rPr>
          <w:t>https://www.kali.org/docs/</w:t>
        </w:r>
      </w:hyperlink>
    </w:p>
    <w:p w14:paraId="37D796F5"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[11] G. Weidman, </w:t>
      </w:r>
      <w:r w:rsidRPr="00CA3DCD">
        <w:rPr>
          <w:rFonts w:ascii="Arial" w:hAnsi="Arial" w:cs="Arial"/>
          <w:i/>
          <w:iCs/>
          <w:szCs w:val="24"/>
          <w:lang w:val="en-GB"/>
        </w:rPr>
        <w:t>Penetration Testing: A Hands-On Introduction to Hacking</w:t>
      </w:r>
      <w:r w:rsidRPr="00CA3DCD">
        <w:rPr>
          <w:rFonts w:ascii="Arial" w:hAnsi="Arial" w:cs="Arial"/>
          <w:szCs w:val="24"/>
          <w:lang w:val="en-GB"/>
        </w:rPr>
        <w:t>. San Francisco, CA: No Starch Press, 2014.</w:t>
      </w:r>
    </w:p>
    <w:p w14:paraId="64C71117"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[12] G. Lyon, </w:t>
      </w:r>
      <w:r w:rsidRPr="00CA3DCD">
        <w:rPr>
          <w:rFonts w:ascii="Arial" w:hAnsi="Arial" w:cs="Arial"/>
          <w:i/>
          <w:iCs/>
          <w:szCs w:val="24"/>
          <w:lang w:val="en-GB"/>
        </w:rPr>
        <w:t>Nmap Network Scanning</w:t>
      </w:r>
      <w:r w:rsidRPr="00CA3DCD">
        <w:rPr>
          <w:rFonts w:ascii="Arial" w:hAnsi="Arial" w:cs="Arial"/>
          <w:szCs w:val="24"/>
          <w:lang w:val="en-GB"/>
        </w:rPr>
        <w:t xml:space="preserve">. Insecure.Com LLC, 2009. [Online]. Available: </w:t>
      </w:r>
      <w:hyperlink r:id="rId48" w:tgtFrame="_new" w:history="1">
        <w:r w:rsidRPr="00CA3DCD">
          <w:rPr>
            <w:rStyle w:val="Hyperlink"/>
            <w:rFonts w:ascii="Arial" w:hAnsi="Arial" w:cs="Arial"/>
            <w:szCs w:val="24"/>
            <w:lang w:val="en-GB"/>
          </w:rPr>
          <w:t>https://nmap.org/book/</w:t>
        </w:r>
      </w:hyperlink>
    </w:p>
    <w:p w14:paraId="43E78243"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[13] S. Metcalf, “Active Directory Security,” 2023. [Online]. Available: </w:t>
      </w:r>
      <w:hyperlink r:id="rId49" w:tgtFrame="_new" w:history="1">
        <w:r w:rsidRPr="00CA3DCD">
          <w:rPr>
            <w:rStyle w:val="Hyperlink"/>
            <w:rFonts w:ascii="Arial" w:hAnsi="Arial" w:cs="Arial"/>
            <w:szCs w:val="24"/>
            <w:lang w:val="en-GB"/>
          </w:rPr>
          <w:t>https://adsecurity.org</w:t>
        </w:r>
      </w:hyperlink>
    </w:p>
    <w:p w14:paraId="237D1531"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[14] Tenable, “Nessus Vulnerability Scanner Documentation,” 2024. [Online]. Available: </w:t>
      </w:r>
      <w:hyperlink r:id="rId50" w:tgtFrame="_new" w:history="1">
        <w:r w:rsidRPr="00CA3DCD">
          <w:rPr>
            <w:rStyle w:val="Hyperlink"/>
            <w:rFonts w:ascii="Arial" w:hAnsi="Arial" w:cs="Arial"/>
            <w:szCs w:val="24"/>
            <w:lang w:val="en-GB"/>
          </w:rPr>
          <w:t>https://docs.tenable.com/nessus</w:t>
        </w:r>
      </w:hyperlink>
    </w:p>
    <w:p w14:paraId="10A2ABE8"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[15] NIST, “National Vulnerability Database: CVSS,” 2024. [Online]. Available: </w:t>
      </w:r>
      <w:hyperlink r:id="rId51" w:tgtFrame="_new" w:history="1">
        <w:r w:rsidRPr="00CA3DCD">
          <w:rPr>
            <w:rStyle w:val="Hyperlink"/>
            <w:rFonts w:ascii="Arial" w:hAnsi="Arial" w:cs="Arial"/>
            <w:szCs w:val="24"/>
            <w:lang w:val="en-GB"/>
          </w:rPr>
          <w:t>https://nvd.nist.gov/vuln-metrics/cvss</w:t>
        </w:r>
      </w:hyperlink>
    </w:p>
    <w:p w14:paraId="4BA9921C"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[16] A. Allen and B. Barr, “Ethical Frameworks for Penetration Testing,” </w:t>
      </w:r>
      <w:r w:rsidRPr="00CA3DCD">
        <w:rPr>
          <w:rFonts w:ascii="Arial" w:hAnsi="Arial" w:cs="Arial"/>
          <w:i/>
          <w:iCs/>
          <w:szCs w:val="24"/>
          <w:lang w:val="en-GB"/>
        </w:rPr>
        <w:t>J. Cybersecurity</w:t>
      </w:r>
      <w:r w:rsidRPr="00CA3DCD">
        <w:rPr>
          <w:rFonts w:ascii="Arial" w:hAnsi="Arial" w:cs="Arial"/>
          <w:szCs w:val="24"/>
          <w:lang w:val="en-GB"/>
        </w:rPr>
        <w:t>, vol. 8, no. 2, pp. 45–59, 2022.</w:t>
      </w:r>
    </w:p>
    <w:p w14:paraId="43572A2B"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[17] M. Bechtsoudis and N. Sklavos, “Pass-the-Hash Attacks in Active Directory,” in </w:t>
      </w:r>
      <w:r w:rsidRPr="00CA3DCD">
        <w:rPr>
          <w:rFonts w:ascii="Arial" w:hAnsi="Arial" w:cs="Arial"/>
          <w:i/>
          <w:iCs/>
          <w:szCs w:val="24"/>
          <w:lang w:val="en-GB"/>
        </w:rPr>
        <w:t>Proc. IEEE Int. Symp. Hardware Oriented Security</w:t>
      </w:r>
      <w:r w:rsidRPr="00CA3DCD">
        <w:rPr>
          <w:rFonts w:ascii="Arial" w:hAnsi="Arial" w:cs="Arial"/>
          <w:szCs w:val="24"/>
          <w:lang w:val="en-GB"/>
        </w:rPr>
        <w:t>, 2022, pp. 78–84.</w:t>
      </w:r>
    </w:p>
    <w:p w14:paraId="01F97FFA"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[18] B. Schneier, </w:t>
      </w:r>
      <w:r w:rsidRPr="00CA3DCD">
        <w:rPr>
          <w:rFonts w:ascii="Arial" w:hAnsi="Arial" w:cs="Arial"/>
          <w:i/>
          <w:iCs/>
          <w:szCs w:val="24"/>
          <w:lang w:val="en-GB"/>
        </w:rPr>
        <w:t>Secrets and Lies: Digital Security in a Networked World</w:t>
      </w:r>
      <w:r w:rsidRPr="00CA3DCD">
        <w:rPr>
          <w:rFonts w:ascii="Arial" w:hAnsi="Arial" w:cs="Arial"/>
          <w:szCs w:val="24"/>
          <w:lang w:val="en-GB"/>
        </w:rPr>
        <w:t>. Indianapolis, IN: Wiley, 2015.</w:t>
      </w:r>
    </w:p>
    <w:p w14:paraId="5BAF50D1"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[19] Center for Internet Security, </w:t>
      </w:r>
      <w:r w:rsidRPr="00CA3DCD">
        <w:rPr>
          <w:rFonts w:ascii="Arial" w:hAnsi="Arial" w:cs="Arial"/>
          <w:i/>
          <w:iCs/>
          <w:szCs w:val="24"/>
          <w:lang w:val="en-GB"/>
        </w:rPr>
        <w:t>CIS Controls Version 8</w:t>
      </w:r>
      <w:r w:rsidRPr="00CA3DCD">
        <w:rPr>
          <w:rFonts w:ascii="Arial" w:hAnsi="Arial" w:cs="Arial"/>
          <w:szCs w:val="24"/>
          <w:lang w:val="en-GB"/>
        </w:rPr>
        <w:t xml:space="preserve">, 2021. [Online]. Available: </w:t>
      </w:r>
      <w:hyperlink r:id="rId52" w:tgtFrame="_new" w:history="1">
        <w:r w:rsidRPr="00CA3DCD">
          <w:rPr>
            <w:rStyle w:val="Hyperlink"/>
            <w:rFonts w:ascii="Arial" w:hAnsi="Arial" w:cs="Arial"/>
            <w:szCs w:val="24"/>
            <w:lang w:val="en-GB"/>
          </w:rPr>
          <w:t>https://www.cisecurity.org/controls</w:t>
        </w:r>
      </w:hyperlink>
    </w:p>
    <w:p w14:paraId="6FBC4834"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[20] Microsoft, “Microsoft Security Advisory 3155527,” 2016. [Online]. Available: </w:t>
      </w:r>
      <w:hyperlink r:id="rId53" w:tgtFrame="_new" w:history="1">
        <w:r w:rsidRPr="00CA3DCD">
          <w:rPr>
            <w:rStyle w:val="Hyperlink"/>
            <w:rFonts w:ascii="Arial" w:hAnsi="Arial" w:cs="Arial"/>
            <w:szCs w:val="24"/>
            <w:lang w:val="en-GB"/>
          </w:rPr>
          <w:t>https://learn.microsoft.com/en-us/security-updates</w:t>
        </w:r>
      </w:hyperlink>
    </w:p>
    <w:p w14:paraId="252AE169"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[21] Microsoft, “Group Managed Service Accounts Overview,” 2023. [Online]. Available: </w:t>
      </w:r>
      <w:hyperlink r:id="rId54" w:tgtFrame="_new" w:history="1">
        <w:r w:rsidRPr="00CA3DCD">
          <w:rPr>
            <w:rStyle w:val="Hyperlink"/>
            <w:rFonts w:ascii="Arial" w:hAnsi="Arial" w:cs="Arial"/>
            <w:szCs w:val="24"/>
            <w:lang w:val="en-GB"/>
          </w:rPr>
          <w:t>https://learn.microsoft.com/en-us/windows-server/security/group-managed-service-accounts</w:t>
        </w:r>
      </w:hyperlink>
    </w:p>
    <w:p w14:paraId="79164FFC"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[22] L. Chappell, </w:t>
      </w:r>
      <w:r w:rsidRPr="00CA3DCD">
        <w:rPr>
          <w:rFonts w:ascii="Arial" w:hAnsi="Arial" w:cs="Arial"/>
          <w:i/>
          <w:iCs/>
          <w:szCs w:val="24"/>
          <w:lang w:val="en-GB"/>
        </w:rPr>
        <w:t>Wireshark Network Analysis</w:t>
      </w:r>
      <w:r w:rsidRPr="00CA3DCD">
        <w:rPr>
          <w:rFonts w:ascii="Arial" w:hAnsi="Arial" w:cs="Arial"/>
          <w:szCs w:val="24"/>
          <w:lang w:val="en-GB"/>
        </w:rPr>
        <w:t>, 2nd ed. San Jose, CA: Protocol Analysis Institute, 2012.</w:t>
      </w:r>
    </w:p>
    <w:p w14:paraId="68076464" w14:textId="77777777" w:rsidR="00CA3DCD" w:rsidRPr="00CA3DCD" w:rsidRDefault="00CA3DCD" w:rsidP="00911A96">
      <w:pPr>
        <w:spacing w:after="80"/>
        <w:ind w:left="567" w:hanging="567"/>
        <w:jc w:val="both"/>
        <w:rPr>
          <w:rFonts w:ascii="Arial" w:hAnsi="Arial" w:cs="Arial"/>
          <w:szCs w:val="24"/>
          <w:lang w:val="en-GB"/>
        </w:rPr>
      </w:pPr>
      <w:r w:rsidRPr="00CA3DCD">
        <w:rPr>
          <w:rFonts w:ascii="Arial" w:hAnsi="Arial" w:cs="Arial"/>
          <w:szCs w:val="24"/>
          <w:lang w:val="en-GB"/>
        </w:rPr>
        <w:t xml:space="preserve">[23] J. Andress, </w:t>
      </w:r>
      <w:r w:rsidRPr="00CA3DCD">
        <w:rPr>
          <w:rFonts w:ascii="Arial" w:hAnsi="Arial" w:cs="Arial"/>
          <w:i/>
          <w:iCs/>
          <w:szCs w:val="24"/>
          <w:lang w:val="en-GB"/>
        </w:rPr>
        <w:t>The Basics of Information Security</w:t>
      </w:r>
      <w:r w:rsidRPr="00CA3DCD">
        <w:rPr>
          <w:rFonts w:ascii="Arial" w:hAnsi="Arial" w:cs="Arial"/>
          <w:szCs w:val="24"/>
          <w:lang w:val="en-GB"/>
        </w:rPr>
        <w:t>, 2nd ed. Waltham, MA: Syngress, 2014.</w:t>
      </w:r>
    </w:p>
    <w:p w14:paraId="6635841B" w14:textId="1CCEE951" w:rsidR="001731DA" w:rsidRPr="00911A96" w:rsidRDefault="001731DA" w:rsidP="00911A96">
      <w:pPr>
        <w:spacing w:after="80"/>
        <w:ind w:left="567" w:hanging="567"/>
        <w:jc w:val="both"/>
        <w:rPr>
          <w:rFonts w:ascii="Arial" w:hAnsi="Arial" w:cs="Arial"/>
          <w:szCs w:val="24"/>
        </w:rPr>
      </w:pPr>
    </w:p>
    <w:sectPr w:rsidR="001731DA" w:rsidRPr="00911A96" w:rsidSect="004C552D">
      <w:headerReference w:type="default" r:id="rId55"/>
      <w:footerReference w:type="default" r:id="rId5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411FE" w14:textId="77777777" w:rsidR="00551F53" w:rsidRDefault="00551F53">
      <w:pPr>
        <w:spacing w:after="0" w:line="240" w:lineRule="auto"/>
      </w:pPr>
      <w:r>
        <w:separator/>
      </w:r>
    </w:p>
  </w:endnote>
  <w:endnote w:type="continuationSeparator" w:id="0">
    <w:p w14:paraId="36C34A2E" w14:textId="77777777" w:rsidR="00551F53" w:rsidRDefault="00551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DA6C" w14:textId="6F6E9B65" w:rsidR="001731DA" w:rsidRDefault="000502A7">
    <w:pPr>
      <w:pStyle w:val="Footer"/>
      <w:jc w:val="center"/>
    </w:pPr>
    <w:r>
      <w:t xml:space="preserve">Page </w:t>
    </w:r>
    <w:r>
      <w:fldChar w:fldCharType="begin"/>
    </w:r>
    <w:r>
      <w:instrText>PAGE</w:instrText>
    </w:r>
    <w:r>
      <w:fldChar w:fldCharType="separate"/>
    </w:r>
    <w:r w:rsidR="000E5F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7A9D5" w14:textId="77777777" w:rsidR="00551F53" w:rsidRDefault="00551F53">
      <w:pPr>
        <w:spacing w:after="0" w:line="240" w:lineRule="auto"/>
      </w:pPr>
      <w:r>
        <w:separator/>
      </w:r>
    </w:p>
  </w:footnote>
  <w:footnote w:type="continuationSeparator" w:id="0">
    <w:p w14:paraId="4C26B74C" w14:textId="77777777" w:rsidR="00551F53" w:rsidRDefault="00551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7202C" w14:textId="2D98FFF3" w:rsidR="001731DA" w:rsidRDefault="001731DA" w:rsidP="004F31F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55010BA"/>
    <w:lvl w:ilvl="0">
      <w:start w:val="1"/>
      <w:numFmt w:val="bullet"/>
      <w:pStyle w:val="ListBullet"/>
      <w:lvlText w:val=""/>
      <w:lvlJc w:val="left"/>
      <w:pPr>
        <w:tabs>
          <w:tab w:val="num" w:pos="360"/>
        </w:tabs>
        <w:ind w:left="360" w:hanging="360"/>
      </w:pPr>
      <w:rPr>
        <w:rFonts w:ascii="Symbol" w:hAnsi="Symbol" w:hint="default"/>
      </w:rPr>
    </w:lvl>
  </w:abstractNum>
  <w:num w:numId="1" w16cid:durableId="732773092">
    <w:abstractNumId w:val="8"/>
  </w:num>
  <w:num w:numId="2" w16cid:durableId="173082540">
    <w:abstractNumId w:val="6"/>
  </w:num>
  <w:num w:numId="3" w16cid:durableId="483284059">
    <w:abstractNumId w:val="5"/>
  </w:num>
  <w:num w:numId="4" w16cid:durableId="1251087836">
    <w:abstractNumId w:val="4"/>
  </w:num>
  <w:num w:numId="5" w16cid:durableId="432825689">
    <w:abstractNumId w:val="7"/>
  </w:num>
  <w:num w:numId="6" w16cid:durableId="1794977027">
    <w:abstractNumId w:val="3"/>
  </w:num>
  <w:num w:numId="7" w16cid:durableId="1413893899">
    <w:abstractNumId w:val="2"/>
  </w:num>
  <w:num w:numId="8" w16cid:durableId="987320072">
    <w:abstractNumId w:val="1"/>
  </w:num>
  <w:num w:numId="9" w16cid:durableId="96799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FA8"/>
    <w:rsid w:val="00034616"/>
    <w:rsid w:val="00034801"/>
    <w:rsid w:val="00041A7D"/>
    <w:rsid w:val="00044C53"/>
    <w:rsid w:val="000502A7"/>
    <w:rsid w:val="0006063C"/>
    <w:rsid w:val="00062688"/>
    <w:rsid w:val="000732C1"/>
    <w:rsid w:val="00092327"/>
    <w:rsid w:val="000A5DBD"/>
    <w:rsid w:val="000B5A69"/>
    <w:rsid w:val="000C06F5"/>
    <w:rsid w:val="000C1E6F"/>
    <w:rsid w:val="000C6D78"/>
    <w:rsid w:val="000D04AE"/>
    <w:rsid w:val="000D3BD5"/>
    <w:rsid w:val="000D4AF0"/>
    <w:rsid w:val="000E5F42"/>
    <w:rsid w:val="00104555"/>
    <w:rsid w:val="001127D6"/>
    <w:rsid w:val="0011675B"/>
    <w:rsid w:val="00134C44"/>
    <w:rsid w:val="0015074B"/>
    <w:rsid w:val="00162018"/>
    <w:rsid w:val="001639F3"/>
    <w:rsid w:val="001731DA"/>
    <w:rsid w:val="001A4818"/>
    <w:rsid w:val="0022210C"/>
    <w:rsid w:val="0028656E"/>
    <w:rsid w:val="0029639D"/>
    <w:rsid w:val="002B0ED9"/>
    <w:rsid w:val="002E05AD"/>
    <w:rsid w:val="002E24BE"/>
    <w:rsid w:val="002F1B62"/>
    <w:rsid w:val="00300D0D"/>
    <w:rsid w:val="00326F90"/>
    <w:rsid w:val="003346B0"/>
    <w:rsid w:val="003803FC"/>
    <w:rsid w:val="0038251D"/>
    <w:rsid w:val="003C3F98"/>
    <w:rsid w:val="00404CE2"/>
    <w:rsid w:val="004465F7"/>
    <w:rsid w:val="004527AF"/>
    <w:rsid w:val="00474687"/>
    <w:rsid w:val="004A27DD"/>
    <w:rsid w:val="004A3937"/>
    <w:rsid w:val="004B3F91"/>
    <w:rsid w:val="004C552D"/>
    <w:rsid w:val="004C640D"/>
    <w:rsid w:val="004D34EF"/>
    <w:rsid w:val="004E385E"/>
    <w:rsid w:val="004E52B3"/>
    <w:rsid w:val="004F31FB"/>
    <w:rsid w:val="00540B86"/>
    <w:rsid w:val="005450B9"/>
    <w:rsid w:val="005464FA"/>
    <w:rsid w:val="00551F53"/>
    <w:rsid w:val="005A01CB"/>
    <w:rsid w:val="005B3BA5"/>
    <w:rsid w:val="005D63BF"/>
    <w:rsid w:val="005D74AD"/>
    <w:rsid w:val="005E0136"/>
    <w:rsid w:val="005E6856"/>
    <w:rsid w:val="00636F1C"/>
    <w:rsid w:val="006525A7"/>
    <w:rsid w:val="00657F52"/>
    <w:rsid w:val="00660DBA"/>
    <w:rsid w:val="006A02C3"/>
    <w:rsid w:val="006B08F2"/>
    <w:rsid w:val="006C73D4"/>
    <w:rsid w:val="00706922"/>
    <w:rsid w:val="0071632A"/>
    <w:rsid w:val="0075432E"/>
    <w:rsid w:val="0078129B"/>
    <w:rsid w:val="007868FD"/>
    <w:rsid w:val="007915E8"/>
    <w:rsid w:val="007A1AEA"/>
    <w:rsid w:val="007A7393"/>
    <w:rsid w:val="007E5B4D"/>
    <w:rsid w:val="008007CA"/>
    <w:rsid w:val="008050DE"/>
    <w:rsid w:val="00820C37"/>
    <w:rsid w:val="00821ED9"/>
    <w:rsid w:val="00834F77"/>
    <w:rsid w:val="00834FED"/>
    <w:rsid w:val="00837B20"/>
    <w:rsid w:val="00891D13"/>
    <w:rsid w:val="00896120"/>
    <w:rsid w:val="008D7026"/>
    <w:rsid w:val="00901B2F"/>
    <w:rsid w:val="00903C98"/>
    <w:rsid w:val="009073C5"/>
    <w:rsid w:val="00911A96"/>
    <w:rsid w:val="00936B77"/>
    <w:rsid w:val="009C371F"/>
    <w:rsid w:val="009E7C75"/>
    <w:rsid w:val="009F260D"/>
    <w:rsid w:val="00A01257"/>
    <w:rsid w:val="00A22B86"/>
    <w:rsid w:val="00A35FDD"/>
    <w:rsid w:val="00A55AA3"/>
    <w:rsid w:val="00A57AAD"/>
    <w:rsid w:val="00A63744"/>
    <w:rsid w:val="00A66751"/>
    <w:rsid w:val="00A676F1"/>
    <w:rsid w:val="00A70A00"/>
    <w:rsid w:val="00AA1D8D"/>
    <w:rsid w:val="00AA5EAC"/>
    <w:rsid w:val="00AB161C"/>
    <w:rsid w:val="00AC7213"/>
    <w:rsid w:val="00AF4AB1"/>
    <w:rsid w:val="00B21AAE"/>
    <w:rsid w:val="00B23E07"/>
    <w:rsid w:val="00B45851"/>
    <w:rsid w:val="00B47730"/>
    <w:rsid w:val="00B822E4"/>
    <w:rsid w:val="00BE217D"/>
    <w:rsid w:val="00C21AB1"/>
    <w:rsid w:val="00C2674B"/>
    <w:rsid w:val="00C33788"/>
    <w:rsid w:val="00C374AA"/>
    <w:rsid w:val="00C87478"/>
    <w:rsid w:val="00CA3DCD"/>
    <w:rsid w:val="00CA71DC"/>
    <w:rsid w:val="00CB0664"/>
    <w:rsid w:val="00CB7C03"/>
    <w:rsid w:val="00CD43ED"/>
    <w:rsid w:val="00CE116E"/>
    <w:rsid w:val="00CE1F7D"/>
    <w:rsid w:val="00CE21A6"/>
    <w:rsid w:val="00D16947"/>
    <w:rsid w:val="00D44A36"/>
    <w:rsid w:val="00D44E40"/>
    <w:rsid w:val="00D572C5"/>
    <w:rsid w:val="00D909BD"/>
    <w:rsid w:val="00D94E4F"/>
    <w:rsid w:val="00D951FA"/>
    <w:rsid w:val="00DA41A4"/>
    <w:rsid w:val="00E02BD9"/>
    <w:rsid w:val="00E17E59"/>
    <w:rsid w:val="00E60A2C"/>
    <w:rsid w:val="00E66924"/>
    <w:rsid w:val="00E81AE7"/>
    <w:rsid w:val="00E94124"/>
    <w:rsid w:val="00E95EFD"/>
    <w:rsid w:val="00EA5067"/>
    <w:rsid w:val="00EC24B6"/>
    <w:rsid w:val="00EC281D"/>
    <w:rsid w:val="00EC6BE1"/>
    <w:rsid w:val="00ED4042"/>
    <w:rsid w:val="00EE3E95"/>
    <w:rsid w:val="00F013A9"/>
    <w:rsid w:val="00F04FF3"/>
    <w:rsid w:val="00F260C1"/>
    <w:rsid w:val="00F61A42"/>
    <w:rsid w:val="00F7267F"/>
    <w:rsid w:val="00F73502"/>
    <w:rsid w:val="00F8379E"/>
    <w:rsid w:val="00F90F8D"/>
    <w:rsid w:val="00F947B8"/>
    <w:rsid w:val="00FB0E07"/>
    <w:rsid w:val="00FC1CB0"/>
    <w:rsid w:val="00FC693F"/>
    <w:rsid w:val="00FD3F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1516218-A445-4684-A8A4-B2137029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467F"/>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467F"/>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467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C9A86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705728"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705728"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626262"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C9A86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626262"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A8833D"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C9A86A"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C9A86A" w:themeColor="accent1"/>
    </w:rPr>
  </w:style>
  <w:style w:type="paragraph" w:styleId="Title">
    <w:name w:val="Title"/>
    <w:basedOn w:val="Normal"/>
    <w:next w:val="Normal"/>
    <w:link w:val="TitleChar"/>
    <w:uiPriority w:val="10"/>
    <w:qFormat/>
    <w:rsid w:val="00FC693F"/>
    <w:pPr>
      <w:pBdr>
        <w:bottom w:val="single" w:sz="8" w:space="4" w:color="C9A86A" w:themeColor="accent1"/>
      </w:pBdr>
      <w:spacing w:after="300" w:line="240" w:lineRule="auto"/>
      <w:contextualSpacing/>
    </w:pPr>
    <w:rPr>
      <w:rFonts w:asciiTheme="majorHAnsi" w:eastAsiaTheme="majorEastAsia" w:hAnsiTheme="majorHAnsi" w:cstheme="majorBidi"/>
      <w:color w:val="495C4C"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495C4C"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C9A86A"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C9A86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2E2E2E" w:themeColor="text1"/>
    </w:rPr>
  </w:style>
  <w:style w:type="character" w:customStyle="1" w:styleId="QuoteChar">
    <w:name w:val="Quote Char"/>
    <w:basedOn w:val="DefaultParagraphFont"/>
    <w:link w:val="Quote"/>
    <w:uiPriority w:val="29"/>
    <w:rsid w:val="00FC693F"/>
    <w:rPr>
      <w:i/>
      <w:iCs/>
      <w:color w:val="2E2E2E"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C9A86A"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705728"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705728"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626262"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C9A86A"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626262"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C9A86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C9A86A" w:themeColor="accent1"/>
      </w:pBdr>
      <w:spacing w:before="200" w:after="280"/>
      <w:ind w:left="936" w:right="936"/>
    </w:pPr>
    <w:rPr>
      <w:b/>
      <w:bCs/>
      <w:i/>
      <w:iCs/>
      <w:color w:val="C9A86A" w:themeColor="accent1"/>
    </w:rPr>
  </w:style>
  <w:style w:type="character" w:customStyle="1" w:styleId="IntenseQuoteChar">
    <w:name w:val="Intense Quote Char"/>
    <w:basedOn w:val="DefaultParagraphFont"/>
    <w:link w:val="IntenseQuote"/>
    <w:uiPriority w:val="30"/>
    <w:rsid w:val="00FC693F"/>
    <w:rPr>
      <w:b/>
      <w:bCs/>
      <w:i/>
      <w:iCs/>
      <w:color w:val="C9A86A" w:themeColor="accent1"/>
    </w:rPr>
  </w:style>
  <w:style w:type="character" w:styleId="SubtleEmphasis">
    <w:name w:val="Subtle Emphasis"/>
    <w:basedOn w:val="DefaultParagraphFont"/>
    <w:uiPriority w:val="19"/>
    <w:qFormat/>
    <w:rsid w:val="00FC693F"/>
    <w:rPr>
      <w:i/>
      <w:iCs/>
      <w:color w:val="969696" w:themeColor="text1" w:themeTint="7F"/>
    </w:rPr>
  </w:style>
  <w:style w:type="character" w:styleId="IntenseEmphasis">
    <w:name w:val="Intense Emphasis"/>
    <w:basedOn w:val="DefaultParagraphFont"/>
    <w:uiPriority w:val="21"/>
    <w:qFormat/>
    <w:rsid w:val="00FC693F"/>
    <w:rPr>
      <w:b/>
      <w:bCs/>
      <w:i/>
      <w:iCs/>
      <w:color w:val="C9A86A" w:themeColor="accent1"/>
    </w:rPr>
  </w:style>
  <w:style w:type="character" w:styleId="SubtleReference">
    <w:name w:val="Subtle Reference"/>
    <w:basedOn w:val="DefaultParagraphFont"/>
    <w:uiPriority w:val="31"/>
    <w:qFormat/>
    <w:rsid w:val="00FC693F"/>
    <w:rPr>
      <w:smallCaps/>
      <w:color w:val="E4D6B6" w:themeColor="accent2"/>
      <w:u w:val="single"/>
    </w:rPr>
  </w:style>
  <w:style w:type="character" w:styleId="IntenseReference">
    <w:name w:val="Intense Reference"/>
    <w:basedOn w:val="DefaultParagraphFont"/>
    <w:uiPriority w:val="32"/>
    <w:qFormat/>
    <w:rsid w:val="00FC693F"/>
    <w:rPr>
      <w:b/>
      <w:bCs/>
      <w:smallCaps/>
      <w:color w:val="E4D6B6"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222222" w:themeColor="text1" w:themeShade="BF"/>
    </w:rPr>
    <w:tblPr>
      <w:tblStyleRowBandSize w:val="1"/>
      <w:tblStyleColBandSize w:val="1"/>
      <w:tblBorders>
        <w:top w:val="single" w:sz="8" w:space="0" w:color="2E2E2E" w:themeColor="text1"/>
        <w:bottom w:val="single" w:sz="8" w:space="0" w:color="2E2E2E" w:themeColor="text1"/>
      </w:tblBorders>
    </w:tblPr>
    <w:tblStylePr w:type="firstRow">
      <w:pPr>
        <w:spacing w:before="0" w:after="0" w:line="240" w:lineRule="auto"/>
      </w:pPr>
      <w:rPr>
        <w:b/>
        <w:bCs/>
      </w:rPr>
      <w:tblPr/>
      <w:tcPr>
        <w:tcBorders>
          <w:top w:val="single" w:sz="8" w:space="0" w:color="2E2E2E" w:themeColor="text1"/>
          <w:left w:val="nil"/>
          <w:bottom w:val="single" w:sz="8" w:space="0" w:color="2E2E2E" w:themeColor="text1"/>
          <w:right w:val="nil"/>
          <w:insideH w:val="nil"/>
          <w:insideV w:val="nil"/>
        </w:tcBorders>
      </w:tcPr>
    </w:tblStylePr>
    <w:tblStylePr w:type="lastRow">
      <w:pPr>
        <w:spacing w:before="0" w:after="0" w:line="240" w:lineRule="auto"/>
      </w:pPr>
      <w:rPr>
        <w:b/>
        <w:bCs/>
      </w:rPr>
      <w:tblPr/>
      <w:tcPr>
        <w:tcBorders>
          <w:top w:val="single" w:sz="8" w:space="0" w:color="2E2E2E" w:themeColor="text1"/>
          <w:left w:val="nil"/>
          <w:bottom w:val="single" w:sz="8" w:space="0" w:color="2E2E2E"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BCB" w:themeFill="text1" w:themeFillTint="3F"/>
      </w:tcPr>
    </w:tblStylePr>
    <w:tblStylePr w:type="band1Horz">
      <w:tblPr/>
      <w:tcPr>
        <w:tcBorders>
          <w:left w:val="nil"/>
          <w:right w:val="nil"/>
          <w:insideH w:val="nil"/>
          <w:insideV w:val="nil"/>
        </w:tcBorders>
        <w:shd w:val="clear" w:color="auto" w:fill="CBCBCB" w:themeFill="text1" w:themeFillTint="3F"/>
      </w:tcPr>
    </w:tblStylePr>
  </w:style>
  <w:style w:type="table" w:styleId="LightShading-Accent1">
    <w:name w:val="Light Shading Accent 1"/>
    <w:basedOn w:val="TableNormal"/>
    <w:uiPriority w:val="60"/>
    <w:rsid w:val="00FC693F"/>
    <w:pPr>
      <w:spacing w:after="0" w:line="240" w:lineRule="auto"/>
    </w:pPr>
    <w:rPr>
      <w:color w:val="A8833D" w:themeColor="accent1" w:themeShade="BF"/>
    </w:rPr>
    <w:tblPr>
      <w:tblStyleRowBandSize w:val="1"/>
      <w:tblStyleColBandSize w:val="1"/>
      <w:tblBorders>
        <w:top w:val="single" w:sz="8" w:space="0" w:color="C9A86A" w:themeColor="accent1"/>
        <w:bottom w:val="single" w:sz="8" w:space="0" w:color="C9A86A" w:themeColor="accent1"/>
      </w:tblBorders>
    </w:tblPr>
    <w:tblStylePr w:type="firstRow">
      <w:pPr>
        <w:spacing w:before="0" w:after="0" w:line="240" w:lineRule="auto"/>
      </w:pPr>
      <w:rPr>
        <w:b/>
        <w:bCs/>
      </w:rPr>
      <w:tblPr/>
      <w:tcPr>
        <w:tcBorders>
          <w:top w:val="single" w:sz="8" w:space="0" w:color="C9A86A" w:themeColor="accent1"/>
          <w:left w:val="nil"/>
          <w:bottom w:val="single" w:sz="8" w:space="0" w:color="C9A86A" w:themeColor="accent1"/>
          <w:right w:val="nil"/>
          <w:insideH w:val="nil"/>
          <w:insideV w:val="nil"/>
        </w:tcBorders>
      </w:tcPr>
    </w:tblStylePr>
    <w:tblStylePr w:type="lastRow">
      <w:pPr>
        <w:spacing w:before="0" w:after="0" w:line="240" w:lineRule="auto"/>
      </w:pPr>
      <w:rPr>
        <w:b/>
        <w:bCs/>
      </w:rPr>
      <w:tblPr/>
      <w:tcPr>
        <w:tcBorders>
          <w:top w:val="single" w:sz="8" w:space="0" w:color="C9A86A" w:themeColor="accent1"/>
          <w:left w:val="nil"/>
          <w:bottom w:val="single" w:sz="8" w:space="0" w:color="C9A86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E9DA" w:themeFill="accent1" w:themeFillTint="3F"/>
      </w:tcPr>
    </w:tblStylePr>
    <w:tblStylePr w:type="band1Horz">
      <w:tblPr/>
      <w:tcPr>
        <w:tcBorders>
          <w:left w:val="nil"/>
          <w:right w:val="nil"/>
          <w:insideH w:val="nil"/>
          <w:insideV w:val="nil"/>
        </w:tcBorders>
        <w:shd w:val="clear" w:color="auto" w:fill="F1E9DA" w:themeFill="accent1" w:themeFillTint="3F"/>
      </w:tcPr>
    </w:tblStylePr>
  </w:style>
  <w:style w:type="table" w:styleId="LightShading-Accent2">
    <w:name w:val="Light Shading Accent 2"/>
    <w:basedOn w:val="TableNormal"/>
    <w:uiPriority w:val="60"/>
    <w:rsid w:val="00FC693F"/>
    <w:pPr>
      <w:spacing w:after="0" w:line="240" w:lineRule="auto"/>
    </w:pPr>
    <w:rPr>
      <w:color w:val="C8AB6A" w:themeColor="accent2" w:themeShade="BF"/>
    </w:rPr>
    <w:tblPr>
      <w:tblStyleRowBandSize w:val="1"/>
      <w:tblStyleColBandSize w:val="1"/>
      <w:tblBorders>
        <w:top w:val="single" w:sz="8" w:space="0" w:color="E4D6B6" w:themeColor="accent2"/>
        <w:bottom w:val="single" w:sz="8" w:space="0" w:color="E4D6B6" w:themeColor="accent2"/>
      </w:tblBorders>
    </w:tblPr>
    <w:tblStylePr w:type="firstRow">
      <w:pPr>
        <w:spacing w:before="0" w:after="0" w:line="240" w:lineRule="auto"/>
      </w:pPr>
      <w:rPr>
        <w:b/>
        <w:bCs/>
      </w:rPr>
      <w:tblPr/>
      <w:tcPr>
        <w:tcBorders>
          <w:top w:val="single" w:sz="8" w:space="0" w:color="E4D6B6" w:themeColor="accent2"/>
          <w:left w:val="nil"/>
          <w:bottom w:val="single" w:sz="8" w:space="0" w:color="E4D6B6" w:themeColor="accent2"/>
          <w:right w:val="nil"/>
          <w:insideH w:val="nil"/>
          <w:insideV w:val="nil"/>
        </w:tcBorders>
      </w:tcPr>
    </w:tblStylePr>
    <w:tblStylePr w:type="lastRow">
      <w:pPr>
        <w:spacing w:before="0" w:after="0" w:line="240" w:lineRule="auto"/>
      </w:pPr>
      <w:rPr>
        <w:b/>
        <w:bCs/>
      </w:rPr>
      <w:tblPr/>
      <w:tcPr>
        <w:tcBorders>
          <w:top w:val="single" w:sz="8" w:space="0" w:color="E4D6B6" w:themeColor="accent2"/>
          <w:left w:val="nil"/>
          <w:bottom w:val="single" w:sz="8" w:space="0" w:color="E4D6B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F4EC" w:themeFill="accent2" w:themeFillTint="3F"/>
      </w:tcPr>
    </w:tblStylePr>
    <w:tblStylePr w:type="band1Horz">
      <w:tblPr/>
      <w:tcPr>
        <w:tcBorders>
          <w:left w:val="nil"/>
          <w:right w:val="nil"/>
          <w:insideH w:val="nil"/>
          <w:insideV w:val="nil"/>
        </w:tcBorders>
        <w:shd w:val="clear" w:color="auto" w:fill="F8F4EC" w:themeFill="accent2" w:themeFillTint="3F"/>
      </w:tcPr>
    </w:tblStylePr>
  </w:style>
  <w:style w:type="table" w:styleId="LightShading-Accent3">
    <w:name w:val="Light Shading Accent 3"/>
    <w:basedOn w:val="TableNormal"/>
    <w:uiPriority w:val="60"/>
    <w:rsid w:val="00FC693F"/>
    <w:pPr>
      <w:spacing w:after="0" w:line="240" w:lineRule="auto"/>
    </w:pPr>
    <w:rPr>
      <w:color w:val="495C4C" w:themeColor="accent3" w:themeShade="BF"/>
    </w:rPr>
    <w:tblPr>
      <w:tblStyleRowBandSize w:val="1"/>
      <w:tblStyleColBandSize w:val="1"/>
      <w:tblBorders>
        <w:top w:val="single" w:sz="8" w:space="0" w:color="627C66" w:themeColor="accent3"/>
        <w:bottom w:val="single" w:sz="8" w:space="0" w:color="627C66" w:themeColor="accent3"/>
      </w:tblBorders>
    </w:tblPr>
    <w:tblStylePr w:type="firstRow">
      <w:pPr>
        <w:spacing w:before="0" w:after="0" w:line="240" w:lineRule="auto"/>
      </w:pPr>
      <w:rPr>
        <w:b/>
        <w:bCs/>
      </w:rPr>
      <w:tblPr/>
      <w:tcPr>
        <w:tcBorders>
          <w:top w:val="single" w:sz="8" w:space="0" w:color="627C66" w:themeColor="accent3"/>
          <w:left w:val="nil"/>
          <w:bottom w:val="single" w:sz="8" w:space="0" w:color="627C66" w:themeColor="accent3"/>
          <w:right w:val="nil"/>
          <w:insideH w:val="nil"/>
          <w:insideV w:val="nil"/>
        </w:tcBorders>
      </w:tcPr>
    </w:tblStylePr>
    <w:tblStylePr w:type="lastRow">
      <w:pPr>
        <w:spacing w:before="0" w:after="0" w:line="240" w:lineRule="auto"/>
      </w:pPr>
      <w:rPr>
        <w:b/>
        <w:bCs/>
      </w:rPr>
      <w:tblPr/>
      <w:tcPr>
        <w:tcBorders>
          <w:top w:val="single" w:sz="8" w:space="0" w:color="627C66" w:themeColor="accent3"/>
          <w:left w:val="nil"/>
          <w:bottom w:val="single" w:sz="8" w:space="0" w:color="627C6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FD8" w:themeFill="accent3" w:themeFillTint="3F"/>
      </w:tcPr>
    </w:tblStylePr>
    <w:tblStylePr w:type="band1Horz">
      <w:tblPr/>
      <w:tcPr>
        <w:tcBorders>
          <w:left w:val="nil"/>
          <w:right w:val="nil"/>
          <w:insideH w:val="nil"/>
          <w:insideV w:val="nil"/>
        </w:tcBorders>
        <w:shd w:val="clear" w:color="auto" w:fill="D7DFD8" w:themeFill="accent3" w:themeFillTint="3F"/>
      </w:tcPr>
    </w:tblStylePr>
  </w:style>
  <w:style w:type="table" w:styleId="LightShading-Accent4">
    <w:name w:val="Light Shading Accent 4"/>
    <w:basedOn w:val="TableNormal"/>
    <w:uiPriority w:val="60"/>
    <w:rsid w:val="00FC693F"/>
    <w:pPr>
      <w:spacing w:after="0" w:line="240" w:lineRule="auto"/>
    </w:pPr>
    <w:rPr>
      <w:color w:val="9BB4A3" w:themeColor="accent4" w:themeShade="BF"/>
    </w:rPr>
    <w:tblPr>
      <w:tblStyleRowBandSize w:val="1"/>
      <w:tblStyleColBandSize w:val="1"/>
      <w:tblBorders>
        <w:top w:val="single" w:sz="8" w:space="0" w:color="DCE5DF" w:themeColor="accent4"/>
        <w:bottom w:val="single" w:sz="8" w:space="0" w:color="DCE5DF" w:themeColor="accent4"/>
      </w:tblBorders>
    </w:tblPr>
    <w:tblStylePr w:type="firstRow">
      <w:pPr>
        <w:spacing w:before="0" w:after="0" w:line="240" w:lineRule="auto"/>
      </w:pPr>
      <w:rPr>
        <w:b/>
        <w:bCs/>
      </w:rPr>
      <w:tblPr/>
      <w:tcPr>
        <w:tcBorders>
          <w:top w:val="single" w:sz="8" w:space="0" w:color="DCE5DF" w:themeColor="accent4"/>
          <w:left w:val="nil"/>
          <w:bottom w:val="single" w:sz="8" w:space="0" w:color="DCE5DF" w:themeColor="accent4"/>
          <w:right w:val="nil"/>
          <w:insideH w:val="nil"/>
          <w:insideV w:val="nil"/>
        </w:tcBorders>
      </w:tcPr>
    </w:tblStylePr>
    <w:tblStylePr w:type="lastRow">
      <w:pPr>
        <w:spacing w:before="0" w:after="0" w:line="240" w:lineRule="auto"/>
      </w:pPr>
      <w:rPr>
        <w:b/>
        <w:bCs/>
      </w:rPr>
      <w:tblPr/>
      <w:tcPr>
        <w:tcBorders>
          <w:top w:val="single" w:sz="8" w:space="0" w:color="DCE5DF" w:themeColor="accent4"/>
          <w:left w:val="nil"/>
          <w:bottom w:val="single" w:sz="8" w:space="0" w:color="DCE5D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8F6" w:themeFill="accent4" w:themeFillTint="3F"/>
      </w:tcPr>
    </w:tblStylePr>
    <w:tblStylePr w:type="band1Horz">
      <w:tblPr/>
      <w:tcPr>
        <w:tcBorders>
          <w:left w:val="nil"/>
          <w:right w:val="nil"/>
          <w:insideH w:val="nil"/>
          <w:insideV w:val="nil"/>
        </w:tcBorders>
        <w:shd w:val="clear" w:color="auto" w:fill="F6F8F6" w:themeFill="accent4" w:themeFillTint="3F"/>
      </w:tcPr>
    </w:tblStylePr>
  </w:style>
  <w:style w:type="table" w:styleId="LightShading-Accent5">
    <w:name w:val="Light Shading Accent 5"/>
    <w:basedOn w:val="TableNormal"/>
    <w:uiPriority w:val="60"/>
    <w:rsid w:val="00FC693F"/>
    <w:pPr>
      <w:spacing w:after="0" w:line="240" w:lineRule="auto"/>
    </w:pPr>
    <w:rPr>
      <w:color w:val="D7BF98" w:themeColor="accent5" w:themeShade="BF"/>
    </w:rPr>
    <w:tblPr>
      <w:tblStyleRowBandSize w:val="1"/>
      <w:tblStyleColBandSize w:val="1"/>
      <w:tblBorders>
        <w:top w:val="single" w:sz="8" w:space="0" w:color="FAF7F2" w:themeColor="accent5"/>
        <w:bottom w:val="single" w:sz="8" w:space="0" w:color="FAF7F2" w:themeColor="accent5"/>
      </w:tblBorders>
    </w:tblPr>
    <w:tblStylePr w:type="firstRow">
      <w:pPr>
        <w:spacing w:before="0" w:after="0" w:line="240" w:lineRule="auto"/>
      </w:pPr>
      <w:rPr>
        <w:b/>
        <w:bCs/>
      </w:rPr>
      <w:tblPr/>
      <w:tcPr>
        <w:tcBorders>
          <w:top w:val="single" w:sz="8" w:space="0" w:color="FAF7F2" w:themeColor="accent5"/>
          <w:left w:val="nil"/>
          <w:bottom w:val="single" w:sz="8" w:space="0" w:color="FAF7F2" w:themeColor="accent5"/>
          <w:right w:val="nil"/>
          <w:insideH w:val="nil"/>
          <w:insideV w:val="nil"/>
        </w:tcBorders>
      </w:tcPr>
    </w:tblStylePr>
    <w:tblStylePr w:type="lastRow">
      <w:pPr>
        <w:spacing w:before="0" w:after="0" w:line="240" w:lineRule="auto"/>
      </w:pPr>
      <w:rPr>
        <w:b/>
        <w:bCs/>
      </w:rPr>
      <w:tblPr/>
      <w:tcPr>
        <w:tcBorders>
          <w:top w:val="single" w:sz="8" w:space="0" w:color="FAF7F2" w:themeColor="accent5"/>
          <w:left w:val="nil"/>
          <w:bottom w:val="single" w:sz="8" w:space="0" w:color="FAF7F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CFB" w:themeFill="accent5" w:themeFillTint="3F"/>
      </w:tcPr>
    </w:tblStylePr>
    <w:tblStylePr w:type="band1Horz">
      <w:tblPr/>
      <w:tcPr>
        <w:tcBorders>
          <w:left w:val="nil"/>
          <w:right w:val="nil"/>
          <w:insideH w:val="nil"/>
          <w:insideV w:val="nil"/>
        </w:tcBorders>
        <w:shd w:val="clear" w:color="auto" w:fill="FDFCFB" w:themeFill="accent5" w:themeFillTint="3F"/>
      </w:tcPr>
    </w:tblStylePr>
  </w:style>
  <w:style w:type="table" w:styleId="LightShading-Accent6">
    <w:name w:val="Light Shading Accent 6"/>
    <w:basedOn w:val="TableNormal"/>
    <w:uiPriority w:val="60"/>
    <w:rsid w:val="00FC693F"/>
    <w:pPr>
      <w:spacing w:after="0" w:line="240" w:lineRule="auto"/>
    </w:pPr>
    <w:rPr>
      <w:color w:val="222222" w:themeColor="accent6" w:themeShade="BF"/>
    </w:rPr>
    <w:tblPr>
      <w:tblStyleRowBandSize w:val="1"/>
      <w:tblStyleColBandSize w:val="1"/>
      <w:tblBorders>
        <w:top w:val="single" w:sz="8" w:space="0" w:color="2E2E2E" w:themeColor="accent6"/>
        <w:bottom w:val="single" w:sz="8" w:space="0" w:color="2E2E2E" w:themeColor="accent6"/>
      </w:tblBorders>
    </w:tblPr>
    <w:tblStylePr w:type="firstRow">
      <w:pPr>
        <w:spacing w:before="0" w:after="0" w:line="240" w:lineRule="auto"/>
      </w:pPr>
      <w:rPr>
        <w:b/>
        <w:bCs/>
      </w:rPr>
      <w:tblPr/>
      <w:tcPr>
        <w:tcBorders>
          <w:top w:val="single" w:sz="8" w:space="0" w:color="2E2E2E" w:themeColor="accent6"/>
          <w:left w:val="nil"/>
          <w:bottom w:val="single" w:sz="8" w:space="0" w:color="2E2E2E" w:themeColor="accent6"/>
          <w:right w:val="nil"/>
          <w:insideH w:val="nil"/>
          <w:insideV w:val="nil"/>
        </w:tcBorders>
      </w:tcPr>
    </w:tblStylePr>
    <w:tblStylePr w:type="lastRow">
      <w:pPr>
        <w:spacing w:before="0" w:after="0" w:line="240" w:lineRule="auto"/>
      </w:pPr>
      <w:rPr>
        <w:b/>
        <w:bCs/>
      </w:rPr>
      <w:tblPr/>
      <w:tcPr>
        <w:tcBorders>
          <w:top w:val="single" w:sz="8" w:space="0" w:color="2E2E2E" w:themeColor="accent6"/>
          <w:left w:val="nil"/>
          <w:bottom w:val="single" w:sz="8" w:space="0" w:color="2E2E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BCB" w:themeFill="accent6" w:themeFillTint="3F"/>
      </w:tcPr>
    </w:tblStylePr>
    <w:tblStylePr w:type="band1Horz">
      <w:tblPr/>
      <w:tcPr>
        <w:tcBorders>
          <w:left w:val="nil"/>
          <w:right w:val="nil"/>
          <w:insideH w:val="nil"/>
          <w:insideV w:val="nil"/>
        </w:tcBorders>
        <w:shd w:val="clear" w:color="auto" w:fill="CBCBCB"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2E2E2E" w:themeColor="text1"/>
        <w:left w:val="single" w:sz="8" w:space="0" w:color="2E2E2E" w:themeColor="text1"/>
        <w:bottom w:val="single" w:sz="8" w:space="0" w:color="2E2E2E" w:themeColor="text1"/>
        <w:right w:val="single" w:sz="8" w:space="0" w:color="2E2E2E" w:themeColor="text1"/>
      </w:tblBorders>
    </w:tblPr>
    <w:tblStylePr w:type="firstRow">
      <w:pPr>
        <w:spacing w:before="0" w:after="0" w:line="240" w:lineRule="auto"/>
      </w:pPr>
      <w:rPr>
        <w:b/>
        <w:bCs/>
        <w:color w:val="FAF7F2" w:themeColor="background1"/>
      </w:rPr>
      <w:tblPr/>
      <w:tcPr>
        <w:shd w:val="clear" w:color="auto" w:fill="2E2E2E" w:themeFill="text1"/>
      </w:tcPr>
    </w:tblStylePr>
    <w:tblStylePr w:type="lastRow">
      <w:pPr>
        <w:spacing w:before="0" w:after="0" w:line="240" w:lineRule="auto"/>
      </w:pPr>
      <w:rPr>
        <w:b/>
        <w:bCs/>
      </w:rPr>
      <w:tblPr/>
      <w:tcPr>
        <w:tcBorders>
          <w:top w:val="double" w:sz="6" w:space="0" w:color="2E2E2E" w:themeColor="text1"/>
          <w:left w:val="single" w:sz="8" w:space="0" w:color="2E2E2E" w:themeColor="text1"/>
          <w:bottom w:val="single" w:sz="8" w:space="0" w:color="2E2E2E" w:themeColor="text1"/>
          <w:right w:val="single" w:sz="8" w:space="0" w:color="2E2E2E" w:themeColor="text1"/>
        </w:tcBorders>
      </w:tcPr>
    </w:tblStylePr>
    <w:tblStylePr w:type="firstCol">
      <w:rPr>
        <w:b/>
        <w:bCs/>
      </w:rPr>
    </w:tblStylePr>
    <w:tblStylePr w:type="lastCol">
      <w:rPr>
        <w:b/>
        <w:bCs/>
      </w:rPr>
    </w:tblStylePr>
    <w:tblStylePr w:type="band1Vert">
      <w:tblPr/>
      <w:tcPr>
        <w:tcBorders>
          <w:top w:val="single" w:sz="8" w:space="0" w:color="2E2E2E" w:themeColor="text1"/>
          <w:left w:val="single" w:sz="8" w:space="0" w:color="2E2E2E" w:themeColor="text1"/>
          <w:bottom w:val="single" w:sz="8" w:space="0" w:color="2E2E2E" w:themeColor="text1"/>
          <w:right w:val="single" w:sz="8" w:space="0" w:color="2E2E2E" w:themeColor="text1"/>
        </w:tcBorders>
      </w:tcPr>
    </w:tblStylePr>
    <w:tblStylePr w:type="band1Horz">
      <w:tblPr/>
      <w:tcPr>
        <w:tcBorders>
          <w:top w:val="single" w:sz="8" w:space="0" w:color="2E2E2E" w:themeColor="text1"/>
          <w:left w:val="single" w:sz="8" w:space="0" w:color="2E2E2E" w:themeColor="text1"/>
          <w:bottom w:val="single" w:sz="8" w:space="0" w:color="2E2E2E" w:themeColor="text1"/>
          <w:right w:val="single" w:sz="8" w:space="0" w:color="2E2E2E"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C9A86A" w:themeColor="accent1"/>
        <w:left w:val="single" w:sz="8" w:space="0" w:color="C9A86A" w:themeColor="accent1"/>
        <w:bottom w:val="single" w:sz="8" w:space="0" w:color="C9A86A" w:themeColor="accent1"/>
        <w:right w:val="single" w:sz="8" w:space="0" w:color="C9A86A" w:themeColor="accent1"/>
      </w:tblBorders>
    </w:tblPr>
    <w:tblStylePr w:type="firstRow">
      <w:pPr>
        <w:spacing w:before="0" w:after="0" w:line="240" w:lineRule="auto"/>
      </w:pPr>
      <w:rPr>
        <w:b/>
        <w:bCs/>
        <w:color w:val="FAF7F2" w:themeColor="background1"/>
      </w:rPr>
      <w:tblPr/>
      <w:tcPr>
        <w:shd w:val="clear" w:color="auto" w:fill="C9A86A" w:themeFill="accent1"/>
      </w:tcPr>
    </w:tblStylePr>
    <w:tblStylePr w:type="lastRow">
      <w:pPr>
        <w:spacing w:before="0" w:after="0" w:line="240" w:lineRule="auto"/>
      </w:pPr>
      <w:rPr>
        <w:b/>
        <w:bCs/>
      </w:rPr>
      <w:tblPr/>
      <w:tcPr>
        <w:tcBorders>
          <w:top w:val="double" w:sz="6" w:space="0" w:color="C9A86A" w:themeColor="accent1"/>
          <w:left w:val="single" w:sz="8" w:space="0" w:color="C9A86A" w:themeColor="accent1"/>
          <w:bottom w:val="single" w:sz="8" w:space="0" w:color="C9A86A" w:themeColor="accent1"/>
          <w:right w:val="single" w:sz="8" w:space="0" w:color="C9A86A" w:themeColor="accent1"/>
        </w:tcBorders>
      </w:tcPr>
    </w:tblStylePr>
    <w:tblStylePr w:type="firstCol">
      <w:rPr>
        <w:b/>
        <w:bCs/>
      </w:rPr>
    </w:tblStylePr>
    <w:tblStylePr w:type="lastCol">
      <w:rPr>
        <w:b/>
        <w:bCs/>
      </w:rPr>
    </w:tblStylePr>
    <w:tblStylePr w:type="band1Vert">
      <w:tblPr/>
      <w:tcPr>
        <w:tcBorders>
          <w:top w:val="single" w:sz="8" w:space="0" w:color="C9A86A" w:themeColor="accent1"/>
          <w:left w:val="single" w:sz="8" w:space="0" w:color="C9A86A" w:themeColor="accent1"/>
          <w:bottom w:val="single" w:sz="8" w:space="0" w:color="C9A86A" w:themeColor="accent1"/>
          <w:right w:val="single" w:sz="8" w:space="0" w:color="C9A86A" w:themeColor="accent1"/>
        </w:tcBorders>
      </w:tcPr>
    </w:tblStylePr>
    <w:tblStylePr w:type="band1Horz">
      <w:tblPr/>
      <w:tcPr>
        <w:tcBorders>
          <w:top w:val="single" w:sz="8" w:space="0" w:color="C9A86A" w:themeColor="accent1"/>
          <w:left w:val="single" w:sz="8" w:space="0" w:color="C9A86A" w:themeColor="accent1"/>
          <w:bottom w:val="single" w:sz="8" w:space="0" w:color="C9A86A" w:themeColor="accent1"/>
          <w:right w:val="single" w:sz="8" w:space="0" w:color="C9A86A"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4D6B6" w:themeColor="accent2"/>
        <w:left w:val="single" w:sz="8" w:space="0" w:color="E4D6B6" w:themeColor="accent2"/>
        <w:bottom w:val="single" w:sz="8" w:space="0" w:color="E4D6B6" w:themeColor="accent2"/>
        <w:right w:val="single" w:sz="8" w:space="0" w:color="E4D6B6" w:themeColor="accent2"/>
      </w:tblBorders>
    </w:tblPr>
    <w:tblStylePr w:type="firstRow">
      <w:pPr>
        <w:spacing w:before="0" w:after="0" w:line="240" w:lineRule="auto"/>
      </w:pPr>
      <w:rPr>
        <w:b/>
        <w:bCs/>
        <w:color w:val="FAF7F2" w:themeColor="background1"/>
      </w:rPr>
      <w:tblPr/>
      <w:tcPr>
        <w:shd w:val="clear" w:color="auto" w:fill="E4D6B6" w:themeFill="accent2"/>
      </w:tcPr>
    </w:tblStylePr>
    <w:tblStylePr w:type="lastRow">
      <w:pPr>
        <w:spacing w:before="0" w:after="0" w:line="240" w:lineRule="auto"/>
      </w:pPr>
      <w:rPr>
        <w:b/>
        <w:bCs/>
      </w:rPr>
      <w:tblPr/>
      <w:tcPr>
        <w:tcBorders>
          <w:top w:val="double" w:sz="6" w:space="0" w:color="E4D6B6" w:themeColor="accent2"/>
          <w:left w:val="single" w:sz="8" w:space="0" w:color="E4D6B6" w:themeColor="accent2"/>
          <w:bottom w:val="single" w:sz="8" w:space="0" w:color="E4D6B6" w:themeColor="accent2"/>
          <w:right w:val="single" w:sz="8" w:space="0" w:color="E4D6B6" w:themeColor="accent2"/>
        </w:tcBorders>
      </w:tcPr>
    </w:tblStylePr>
    <w:tblStylePr w:type="firstCol">
      <w:rPr>
        <w:b/>
        <w:bCs/>
      </w:rPr>
    </w:tblStylePr>
    <w:tblStylePr w:type="lastCol">
      <w:rPr>
        <w:b/>
        <w:bCs/>
      </w:rPr>
    </w:tblStylePr>
    <w:tblStylePr w:type="band1Vert">
      <w:tblPr/>
      <w:tcPr>
        <w:tcBorders>
          <w:top w:val="single" w:sz="8" w:space="0" w:color="E4D6B6" w:themeColor="accent2"/>
          <w:left w:val="single" w:sz="8" w:space="0" w:color="E4D6B6" w:themeColor="accent2"/>
          <w:bottom w:val="single" w:sz="8" w:space="0" w:color="E4D6B6" w:themeColor="accent2"/>
          <w:right w:val="single" w:sz="8" w:space="0" w:color="E4D6B6" w:themeColor="accent2"/>
        </w:tcBorders>
      </w:tcPr>
    </w:tblStylePr>
    <w:tblStylePr w:type="band1Horz">
      <w:tblPr/>
      <w:tcPr>
        <w:tcBorders>
          <w:top w:val="single" w:sz="8" w:space="0" w:color="E4D6B6" w:themeColor="accent2"/>
          <w:left w:val="single" w:sz="8" w:space="0" w:color="E4D6B6" w:themeColor="accent2"/>
          <w:bottom w:val="single" w:sz="8" w:space="0" w:color="E4D6B6" w:themeColor="accent2"/>
          <w:right w:val="single" w:sz="8" w:space="0" w:color="E4D6B6"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627C66" w:themeColor="accent3"/>
        <w:left w:val="single" w:sz="8" w:space="0" w:color="627C66" w:themeColor="accent3"/>
        <w:bottom w:val="single" w:sz="8" w:space="0" w:color="627C66" w:themeColor="accent3"/>
        <w:right w:val="single" w:sz="8" w:space="0" w:color="627C66" w:themeColor="accent3"/>
      </w:tblBorders>
    </w:tblPr>
    <w:tblStylePr w:type="firstRow">
      <w:pPr>
        <w:spacing w:before="0" w:after="0" w:line="240" w:lineRule="auto"/>
      </w:pPr>
      <w:rPr>
        <w:b/>
        <w:bCs/>
        <w:color w:val="FAF7F2" w:themeColor="background1"/>
      </w:rPr>
      <w:tblPr/>
      <w:tcPr>
        <w:shd w:val="clear" w:color="auto" w:fill="627C66" w:themeFill="accent3"/>
      </w:tcPr>
    </w:tblStylePr>
    <w:tblStylePr w:type="lastRow">
      <w:pPr>
        <w:spacing w:before="0" w:after="0" w:line="240" w:lineRule="auto"/>
      </w:pPr>
      <w:rPr>
        <w:b/>
        <w:bCs/>
      </w:rPr>
      <w:tblPr/>
      <w:tcPr>
        <w:tcBorders>
          <w:top w:val="double" w:sz="6" w:space="0" w:color="627C66" w:themeColor="accent3"/>
          <w:left w:val="single" w:sz="8" w:space="0" w:color="627C66" w:themeColor="accent3"/>
          <w:bottom w:val="single" w:sz="8" w:space="0" w:color="627C66" w:themeColor="accent3"/>
          <w:right w:val="single" w:sz="8" w:space="0" w:color="627C66" w:themeColor="accent3"/>
        </w:tcBorders>
      </w:tcPr>
    </w:tblStylePr>
    <w:tblStylePr w:type="firstCol">
      <w:rPr>
        <w:b/>
        <w:bCs/>
      </w:rPr>
    </w:tblStylePr>
    <w:tblStylePr w:type="lastCol">
      <w:rPr>
        <w:b/>
        <w:bCs/>
      </w:rPr>
    </w:tblStylePr>
    <w:tblStylePr w:type="band1Vert">
      <w:tblPr/>
      <w:tcPr>
        <w:tcBorders>
          <w:top w:val="single" w:sz="8" w:space="0" w:color="627C66" w:themeColor="accent3"/>
          <w:left w:val="single" w:sz="8" w:space="0" w:color="627C66" w:themeColor="accent3"/>
          <w:bottom w:val="single" w:sz="8" w:space="0" w:color="627C66" w:themeColor="accent3"/>
          <w:right w:val="single" w:sz="8" w:space="0" w:color="627C66" w:themeColor="accent3"/>
        </w:tcBorders>
      </w:tcPr>
    </w:tblStylePr>
    <w:tblStylePr w:type="band1Horz">
      <w:tblPr/>
      <w:tcPr>
        <w:tcBorders>
          <w:top w:val="single" w:sz="8" w:space="0" w:color="627C66" w:themeColor="accent3"/>
          <w:left w:val="single" w:sz="8" w:space="0" w:color="627C66" w:themeColor="accent3"/>
          <w:bottom w:val="single" w:sz="8" w:space="0" w:color="627C66" w:themeColor="accent3"/>
          <w:right w:val="single" w:sz="8" w:space="0" w:color="627C66"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DCE5DF" w:themeColor="accent4"/>
        <w:left w:val="single" w:sz="8" w:space="0" w:color="DCE5DF" w:themeColor="accent4"/>
        <w:bottom w:val="single" w:sz="8" w:space="0" w:color="DCE5DF" w:themeColor="accent4"/>
        <w:right w:val="single" w:sz="8" w:space="0" w:color="DCE5DF" w:themeColor="accent4"/>
      </w:tblBorders>
    </w:tblPr>
    <w:tblStylePr w:type="firstRow">
      <w:pPr>
        <w:spacing w:before="0" w:after="0" w:line="240" w:lineRule="auto"/>
      </w:pPr>
      <w:rPr>
        <w:b/>
        <w:bCs/>
        <w:color w:val="FAF7F2" w:themeColor="background1"/>
      </w:rPr>
      <w:tblPr/>
      <w:tcPr>
        <w:shd w:val="clear" w:color="auto" w:fill="DCE5DF" w:themeFill="accent4"/>
      </w:tcPr>
    </w:tblStylePr>
    <w:tblStylePr w:type="lastRow">
      <w:pPr>
        <w:spacing w:before="0" w:after="0" w:line="240" w:lineRule="auto"/>
      </w:pPr>
      <w:rPr>
        <w:b/>
        <w:bCs/>
      </w:rPr>
      <w:tblPr/>
      <w:tcPr>
        <w:tcBorders>
          <w:top w:val="double" w:sz="6" w:space="0" w:color="DCE5DF" w:themeColor="accent4"/>
          <w:left w:val="single" w:sz="8" w:space="0" w:color="DCE5DF" w:themeColor="accent4"/>
          <w:bottom w:val="single" w:sz="8" w:space="0" w:color="DCE5DF" w:themeColor="accent4"/>
          <w:right w:val="single" w:sz="8" w:space="0" w:color="DCE5DF" w:themeColor="accent4"/>
        </w:tcBorders>
      </w:tcPr>
    </w:tblStylePr>
    <w:tblStylePr w:type="firstCol">
      <w:rPr>
        <w:b/>
        <w:bCs/>
      </w:rPr>
    </w:tblStylePr>
    <w:tblStylePr w:type="lastCol">
      <w:rPr>
        <w:b/>
        <w:bCs/>
      </w:rPr>
    </w:tblStylePr>
    <w:tblStylePr w:type="band1Vert">
      <w:tblPr/>
      <w:tcPr>
        <w:tcBorders>
          <w:top w:val="single" w:sz="8" w:space="0" w:color="DCE5DF" w:themeColor="accent4"/>
          <w:left w:val="single" w:sz="8" w:space="0" w:color="DCE5DF" w:themeColor="accent4"/>
          <w:bottom w:val="single" w:sz="8" w:space="0" w:color="DCE5DF" w:themeColor="accent4"/>
          <w:right w:val="single" w:sz="8" w:space="0" w:color="DCE5DF" w:themeColor="accent4"/>
        </w:tcBorders>
      </w:tcPr>
    </w:tblStylePr>
    <w:tblStylePr w:type="band1Horz">
      <w:tblPr/>
      <w:tcPr>
        <w:tcBorders>
          <w:top w:val="single" w:sz="8" w:space="0" w:color="DCE5DF" w:themeColor="accent4"/>
          <w:left w:val="single" w:sz="8" w:space="0" w:color="DCE5DF" w:themeColor="accent4"/>
          <w:bottom w:val="single" w:sz="8" w:space="0" w:color="DCE5DF" w:themeColor="accent4"/>
          <w:right w:val="single" w:sz="8" w:space="0" w:color="DCE5DF"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FAF7F2" w:themeColor="accent5"/>
        <w:left w:val="single" w:sz="8" w:space="0" w:color="FAF7F2" w:themeColor="accent5"/>
        <w:bottom w:val="single" w:sz="8" w:space="0" w:color="FAF7F2" w:themeColor="accent5"/>
        <w:right w:val="single" w:sz="8" w:space="0" w:color="FAF7F2" w:themeColor="accent5"/>
      </w:tblBorders>
    </w:tblPr>
    <w:tblStylePr w:type="firstRow">
      <w:pPr>
        <w:spacing w:before="0" w:after="0" w:line="240" w:lineRule="auto"/>
      </w:pPr>
      <w:rPr>
        <w:b/>
        <w:bCs/>
        <w:color w:val="FAF7F2" w:themeColor="background1"/>
      </w:rPr>
      <w:tblPr/>
      <w:tcPr>
        <w:shd w:val="clear" w:color="auto" w:fill="FAF7F2" w:themeFill="accent5"/>
      </w:tcPr>
    </w:tblStylePr>
    <w:tblStylePr w:type="lastRow">
      <w:pPr>
        <w:spacing w:before="0" w:after="0" w:line="240" w:lineRule="auto"/>
      </w:pPr>
      <w:rPr>
        <w:b/>
        <w:bCs/>
      </w:rPr>
      <w:tblPr/>
      <w:tcPr>
        <w:tcBorders>
          <w:top w:val="double" w:sz="6" w:space="0" w:color="FAF7F2" w:themeColor="accent5"/>
          <w:left w:val="single" w:sz="8" w:space="0" w:color="FAF7F2" w:themeColor="accent5"/>
          <w:bottom w:val="single" w:sz="8" w:space="0" w:color="FAF7F2" w:themeColor="accent5"/>
          <w:right w:val="single" w:sz="8" w:space="0" w:color="FAF7F2" w:themeColor="accent5"/>
        </w:tcBorders>
      </w:tcPr>
    </w:tblStylePr>
    <w:tblStylePr w:type="firstCol">
      <w:rPr>
        <w:b/>
        <w:bCs/>
      </w:rPr>
    </w:tblStylePr>
    <w:tblStylePr w:type="lastCol">
      <w:rPr>
        <w:b/>
        <w:bCs/>
      </w:rPr>
    </w:tblStylePr>
    <w:tblStylePr w:type="band1Vert">
      <w:tblPr/>
      <w:tcPr>
        <w:tcBorders>
          <w:top w:val="single" w:sz="8" w:space="0" w:color="FAF7F2" w:themeColor="accent5"/>
          <w:left w:val="single" w:sz="8" w:space="0" w:color="FAF7F2" w:themeColor="accent5"/>
          <w:bottom w:val="single" w:sz="8" w:space="0" w:color="FAF7F2" w:themeColor="accent5"/>
          <w:right w:val="single" w:sz="8" w:space="0" w:color="FAF7F2" w:themeColor="accent5"/>
        </w:tcBorders>
      </w:tcPr>
    </w:tblStylePr>
    <w:tblStylePr w:type="band1Horz">
      <w:tblPr/>
      <w:tcPr>
        <w:tcBorders>
          <w:top w:val="single" w:sz="8" w:space="0" w:color="FAF7F2" w:themeColor="accent5"/>
          <w:left w:val="single" w:sz="8" w:space="0" w:color="FAF7F2" w:themeColor="accent5"/>
          <w:bottom w:val="single" w:sz="8" w:space="0" w:color="FAF7F2" w:themeColor="accent5"/>
          <w:right w:val="single" w:sz="8" w:space="0" w:color="FAF7F2"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2E2E2E" w:themeColor="accent6"/>
        <w:left w:val="single" w:sz="8" w:space="0" w:color="2E2E2E" w:themeColor="accent6"/>
        <w:bottom w:val="single" w:sz="8" w:space="0" w:color="2E2E2E" w:themeColor="accent6"/>
        <w:right w:val="single" w:sz="8" w:space="0" w:color="2E2E2E" w:themeColor="accent6"/>
      </w:tblBorders>
    </w:tblPr>
    <w:tblStylePr w:type="firstRow">
      <w:pPr>
        <w:spacing w:before="0" w:after="0" w:line="240" w:lineRule="auto"/>
      </w:pPr>
      <w:rPr>
        <w:b/>
        <w:bCs/>
        <w:color w:val="FAF7F2" w:themeColor="background1"/>
      </w:rPr>
      <w:tblPr/>
      <w:tcPr>
        <w:shd w:val="clear" w:color="auto" w:fill="2E2E2E" w:themeFill="accent6"/>
      </w:tcPr>
    </w:tblStylePr>
    <w:tblStylePr w:type="lastRow">
      <w:pPr>
        <w:spacing w:before="0" w:after="0" w:line="240" w:lineRule="auto"/>
      </w:pPr>
      <w:rPr>
        <w:b/>
        <w:bCs/>
      </w:rPr>
      <w:tblPr/>
      <w:tcPr>
        <w:tcBorders>
          <w:top w:val="double" w:sz="6" w:space="0" w:color="2E2E2E" w:themeColor="accent6"/>
          <w:left w:val="single" w:sz="8" w:space="0" w:color="2E2E2E" w:themeColor="accent6"/>
          <w:bottom w:val="single" w:sz="8" w:space="0" w:color="2E2E2E" w:themeColor="accent6"/>
          <w:right w:val="single" w:sz="8" w:space="0" w:color="2E2E2E" w:themeColor="accent6"/>
        </w:tcBorders>
      </w:tcPr>
    </w:tblStylePr>
    <w:tblStylePr w:type="firstCol">
      <w:rPr>
        <w:b/>
        <w:bCs/>
      </w:rPr>
    </w:tblStylePr>
    <w:tblStylePr w:type="lastCol">
      <w:rPr>
        <w:b/>
        <w:bCs/>
      </w:rPr>
    </w:tblStylePr>
    <w:tblStylePr w:type="band1Vert">
      <w:tblPr/>
      <w:tcPr>
        <w:tcBorders>
          <w:top w:val="single" w:sz="8" w:space="0" w:color="2E2E2E" w:themeColor="accent6"/>
          <w:left w:val="single" w:sz="8" w:space="0" w:color="2E2E2E" w:themeColor="accent6"/>
          <w:bottom w:val="single" w:sz="8" w:space="0" w:color="2E2E2E" w:themeColor="accent6"/>
          <w:right w:val="single" w:sz="8" w:space="0" w:color="2E2E2E" w:themeColor="accent6"/>
        </w:tcBorders>
      </w:tcPr>
    </w:tblStylePr>
    <w:tblStylePr w:type="band1Horz">
      <w:tblPr/>
      <w:tcPr>
        <w:tcBorders>
          <w:top w:val="single" w:sz="8" w:space="0" w:color="2E2E2E" w:themeColor="accent6"/>
          <w:left w:val="single" w:sz="8" w:space="0" w:color="2E2E2E" w:themeColor="accent6"/>
          <w:bottom w:val="single" w:sz="8" w:space="0" w:color="2E2E2E" w:themeColor="accent6"/>
          <w:right w:val="single" w:sz="8" w:space="0" w:color="2E2E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2E2E2E" w:themeColor="text1"/>
        <w:left w:val="single" w:sz="8" w:space="0" w:color="2E2E2E" w:themeColor="text1"/>
        <w:bottom w:val="single" w:sz="8" w:space="0" w:color="2E2E2E" w:themeColor="text1"/>
        <w:right w:val="single" w:sz="8" w:space="0" w:color="2E2E2E" w:themeColor="text1"/>
        <w:insideH w:val="single" w:sz="8" w:space="0" w:color="2E2E2E" w:themeColor="text1"/>
        <w:insideV w:val="single" w:sz="8" w:space="0" w:color="2E2E2E"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E2E2E" w:themeColor="text1"/>
          <w:left w:val="single" w:sz="8" w:space="0" w:color="2E2E2E" w:themeColor="text1"/>
          <w:bottom w:val="single" w:sz="18" w:space="0" w:color="2E2E2E" w:themeColor="text1"/>
          <w:right w:val="single" w:sz="8" w:space="0" w:color="2E2E2E" w:themeColor="text1"/>
          <w:insideH w:val="nil"/>
          <w:insideV w:val="single" w:sz="8" w:space="0" w:color="2E2E2E"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E2E2E" w:themeColor="text1"/>
          <w:left w:val="single" w:sz="8" w:space="0" w:color="2E2E2E" w:themeColor="text1"/>
          <w:bottom w:val="single" w:sz="8" w:space="0" w:color="2E2E2E" w:themeColor="text1"/>
          <w:right w:val="single" w:sz="8" w:space="0" w:color="2E2E2E" w:themeColor="text1"/>
          <w:insideH w:val="nil"/>
          <w:insideV w:val="single" w:sz="8" w:space="0" w:color="2E2E2E"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E2E2E" w:themeColor="text1"/>
          <w:left w:val="single" w:sz="8" w:space="0" w:color="2E2E2E" w:themeColor="text1"/>
          <w:bottom w:val="single" w:sz="8" w:space="0" w:color="2E2E2E" w:themeColor="text1"/>
          <w:right w:val="single" w:sz="8" w:space="0" w:color="2E2E2E" w:themeColor="text1"/>
        </w:tcBorders>
      </w:tcPr>
    </w:tblStylePr>
    <w:tblStylePr w:type="band1Vert">
      <w:tblPr/>
      <w:tcPr>
        <w:tcBorders>
          <w:top w:val="single" w:sz="8" w:space="0" w:color="2E2E2E" w:themeColor="text1"/>
          <w:left w:val="single" w:sz="8" w:space="0" w:color="2E2E2E" w:themeColor="text1"/>
          <w:bottom w:val="single" w:sz="8" w:space="0" w:color="2E2E2E" w:themeColor="text1"/>
          <w:right w:val="single" w:sz="8" w:space="0" w:color="2E2E2E" w:themeColor="text1"/>
        </w:tcBorders>
        <w:shd w:val="clear" w:color="auto" w:fill="CBCBCB" w:themeFill="text1" w:themeFillTint="3F"/>
      </w:tcPr>
    </w:tblStylePr>
    <w:tblStylePr w:type="band1Horz">
      <w:tblPr/>
      <w:tcPr>
        <w:tcBorders>
          <w:top w:val="single" w:sz="8" w:space="0" w:color="2E2E2E" w:themeColor="text1"/>
          <w:left w:val="single" w:sz="8" w:space="0" w:color="2E2E2E" w:themeColor="text1"/>
          <w:bottom w:val="single" w:sz="8" w:space="0" w:color="2E2E2E" w:themeColor="text1"/>
          <w:right w:val="single" w:sz="8" w:space="0" w:color="2E2E2E" w:themeColor="text1"/>
          <w:insideV w:val="single" w:sz="8" w:space="0" w:color="2E2E2E" w:themeColor="text1"/>
        </w:tcBorders>
        <w:shd w:val="clear" w:color="auto" w:fill="CBCBCB" w:themeFill="text1" w:themeFillTint="3F"/>
      </w:tcPr>
    </w:tblStylePr>
    <w:tblStylePr w:type="band2Horz">
      <w:tblPr/>
      <w:tcPr>
        <w:tcBorders>
          <w:top w:val="single" w:sz="8" w:space="0" w:color="2E2E2E" w:themeColor="text1"/>
          <w:left w:val="single" w:sz="8" w:space="0" w:color="2E2E2E" w:themeColor="text1"/>
          <w:bottom w:val="single" w:sz="8" w:space="0" w:color="2E2E2E" w:themeColor="text1"/>
          <w:right w:val="single" w:sz="8" w:space="0" w:color="2E2E2E" w:themeColor="text1"/>
          <w:insideV w:val="single" w:sz="8" w:space="0" w:color="2E2E2E"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C9A86A" w:themeColor="accent1"/>
        <w:left w:val="single" w:sz="8" w:space="0" w:color="C9A86A" w:themeColor="accent1"/>
        <w:bottom w:val="single" w:sz="8" w:space="0" w:color="C9A86A" w:themeColor="accent1"/>
        <w:right w:val="single" w:sz="8" w:space="0" w:color="C9A86A" w:themeColor="accent1"/>
        <w:insideH w:val="single" w:sz="8" w:space="0" w:color="C9A86A" w:themeColor="accent1"/>
        <w:insideV w:val="single" w:sz="8" w:space="0" w:color="C9A86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9A86A" w:themeColor="accent1"/>
          <w:left w:val="single" w:sz="8" w:space="0" w:color="C9A86A" w:themeColor="accent1"/>
          <w:bottom w:val="single" w:sz="18" w:space="0" w:color="C9A86A" w:themeColor="accent1"/>
          <w:right w:val="single" w:sz="8" w:space="0" w:color="C9A86A" w:themeColor="accent1"/>
          <w:insideH w:val="nil"/>
          <w:insideV w:val="single" w:sz="8" w:space="0" w:color="C9A86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9A86A" w:themeColor="accent1"/>
          <w:left w:val="single" w:sz="8" w:space="0" w:color="C9A86A" w:themeColor="accent1"/>
          <w:bottom w:val="single" w:sz="8" w:space="0" w:color="C9A86A" w:themeColor="accent1"/>
          <w:right w:val="single" w:sz="8" w:space="0" w:color="C9A86A" w:themeColor="accent1"/>
          <w:insideH w:val="nil"/>
          <w:insideV w:val="single" w:sz="8" w:space="0" w:color="C9A86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9A86A" w:themeColor="accent1"/>
          <w:left w:val="single" w:sz="8" w:space="0" w:color="C9A86A" w:themeColor="accent1"/>
          <w:bottom w:val="single" w:sz="8" w:space="0" w:color="C9A86A" w:themeColor="accent1"/>
          <w:right w:val="single" w:sz="8" w:space="0" w:color="C9A86A" w:themeColor="accent1"/>
        </w:tcBorders>
      </w:tcPr>
    </w:tblStylePr>
    <w:tblStylePr w:type="band1Vert">
      <w:tblPr/>
      <w:tcPr>
        <w:tcBorders>
          <w:top w:val="single" w:sz="8" w:space="0" w:color="C9A86A" w:themeColor="accent1"/>
          <w:left w:val="single" w:sz="8" w:space="0" w:color="C9A86A" w:themeColor="accent1"/>
          <w:bottom w:val="single" w:sz="8" w:space="0" w:color="C9A86A" w:themeColor="accent1"/>
          <w:right w:val="single" w:sz="8" w:space="0" w:color="C9A86A" w:themeColor="accent1"/>
        </w:tcBorders>
        <w:shd w:val="clear" w:color="auto" w:fill="F1E9DA" w:themeFill="accent1" w:themeFillTint="3F"/>
      </w:tcPr>
    </w:tblStylePr>
    <w:tblStylePr w:type="band1Horz">
      <w:tblPr/>
      <w:tcPr>
        <w:tcBorders>
          <w:top w:val="single" w:sz="8" w:space="0" w:color="C9A86A" w:themeColor="accent1"/>
          <w:left w:val="single" w:sz="8" w:space="0" w:color="C9A86A" w:themeColor="accent1"/>
          <w:bottom w:val="single" w:sz="8" w:space="0" w:color="C9A86A" w:themeColor="accent1"/>
          <w:right w:val="single" w:sz="8" w:space="0" w:color="C9A86A" w:themeColor="accent1"/>
          <w:insideV w:val="single" w:sz="8" w:space="0" w:color="C9A86A" w:themeColor="accent1"/>
        </w:tcBorders>
        <w:shd w:val="clear" w:color="auto" w:fill="F1E9DA" w:themeFill="accent1" w:themeFillTint="3F"/>
      </w:tcPr>
    </w:tblStylePr>
    <w:tblStylePr w:type="band2Horz">
      <w:tblPr/>
      <w:tcPr>
        <w:tcBorders>
          <w:top w:val="single" w:sz="8" w:space="0" w:color="C9A86A" w:themeColor="accent1"/>
          <w:left w:val="single" w:sz="8" w:space="0" w:color="C9A86A" w:themeColor="accent1"/>
          <w:bottom w:val="single" w:sz="8" w:space="0" w:color="C9A86A" w:themeColor="accent1"/>
          <w:right w:val="single" w:sz="8" w:space="0" w:color="C9A86A" w:themeColor="accent1"/>
          <w:insideV w:val="single" w:sz="8" w:space="0" w:color="C9A86A"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4D6B6" w:themeColor="accent2"/>
        <w:left w:val="single" w:sz="8" w:space="0" w:color="E4D6B6" w:themeColor="accent2"/>
        <w:bottom w:val="single" w:sz="8" w:space="0" w:color="E4D6B6" w:themeColor="accent2"/>
        <w:right w:val="single" w:sz="8" w:space="0" w:color="E4D6B6" w:themeColor="accent2"/>
        <w:insideH w:val="single" w:sz="8" w:space="0" w:color="E4D6B6" w:themeColor="accent2"/>
        <w:insideV w:val="single" w:sz="8" w:space="0" w:color="E4D6B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4D6B6" w:themeColor="accent2"/>
          <w:left w:val="single" w:sz="8" w:space="0" w:color="E4D6B6" w:themeColor="accent2"/>
          <w:bottom w:val="single" w:sz="18" w:space="0" w:color="E4D6B6" w:themeColor="accent2"/>
          <w:right w:val="single" w:sz="8" w:space="0" w:color="E4D6B6" w:themeColor="accent2"/>
          <w:insideH w:val="nil"/>
          <w:insideV w:val="single" w:sz="8" w:space="0" w:color="E4D6B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4D6B6" w:themeColor="accent2"/>
          <w:left w:val="single" w:sz="8" w:space="0" w:color="E4D6B6" w:themeColor="accent2"/>
          <w:bottom w:val="single" w:sz="8" w:space="0" w:color="E4D6B6" w:themeColor="accent2"/>
          <w:right w:val="single" w:sz="8" w:space="0" w:color="E4D6B6" w:themeColor="accent2"/>
          <w:insideH w:val="nil"/>
          <w:insideV w:val="single" w:sz="8" w:space="0" w:color="E4D6B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4D6B6" w:themeColor="accent2"/>
          <w:left w:val="single" w:sz="8" w:space="0" w:color="E4D6B6" w:themeColor="accent2"/>
          <w:bottom w:val="single" w:sz="8" w:space="0" w:color="E4D6B6" w:themeColor="accent2"/>
          <w:right w:val="single" w:sz="8" w:space="0" w:color="E4D6B6" w:themeColor="accent2"/>
        </w:tcBorders>
      </w:tcPr>
    </w:tblStylePr>
    <w:tblStylePr w:type="band1Vert">
      <w:tblPr/>
      <w:tcPr>
        <w:tcBorders>
          <w:top w:val="single" w:sz="8" w:space="0" w:color="E4D6B6" w:themeColor="accent2"/>
          <w:left w:val="single" w:sz="8" w:space="0" w:color="E4D6B6" w:themeColor="accent2"/>
          <w:bottom w:val="single" w:sz="8" w:space="0" w:color="E4D6B6" w:themeColor="accent2"/>
          <w:right w:val="single" w:sz="8" w:space="0" w:color="E4D6B6" w:themeColor="accent2"/>
        </w:tcBorders>
        <w:shd w:val="clear" w:color="auto" w:fill="F8F4EC" w:themeFill="accent2" w:themeFillTint="3F"/>
      </w:tcPr>
    </w:tblStylePr>
    <w:tblStylePr w:type="band1Horz">
      <w:tblPr/>
      <w:tcPr>
        <w:tcBorders>
          <w:top w:val="single" w:sz="8" w:space="0" w:color="E4D6B6" w:themeColor="accent2"/>
          <w:left w:val="single" w:sz="8" w:space="0" w:color="E4D6B6" w:themeColor="accent2"/>
          <w:bottom w:val="single" w:sz="8" w:space="0" w:color="E4D6B6" w:themeColor="accent2"/>
          <w:right w:val="single" w:sz="8" w:space="0" w:color="E4D6B6" w:themeColor="accent2"/>
          <w:insideV w:val="single" w:sz="8" w:space="0" w:color="E4D6B6" w:themeColor="accent2"/>
        </w:tcBorders>
        <w:shd w:val="clear" w:color="auto" w:fill="F8F4EC" w:themeFill="accent2" w:themeFillTint="3F"/>
      </w:tcPr>
    </w:tblStylePr>
    <w:tblStylePr w:type="band2Horz">
      <w:tblPr/>
      <w:tcPr>
        <w:tcBorders>
          <w:top w:val="single" w:sz="8" w:space="0" w:color="E4D6B6" w:themeColor="accent2"/>
          <w:left w:val="single" w:sz="8" w:space="0" w:color="E4D6B6" w:themeColor="accent2"/>
          <w:bottom w:val="single" w:sz="8" w:space="0" w:color="E4D6B6" w:themeColor="accent2"/>
          <w:right w:val="single" w:sz="8" w:space="0" w:color="E4D6B6" w:themeColor="accent2"/>
          <w:insideV w:val="single" w:sz="8" w:space="0" w:color="E4D6B6"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627C66" w:themeColor="accent3"/>
        <w:left w:val="single" w:sz="8" w:space="0" w:color="627C66" w:themeColor="accent3"/>
        <w:bottom w:val="single" w:sz="8" w:space="0" w:color="627C66" w:themeColor="accent3"/>
        <w:right w:val="single" w:sz="8" w:space="0" w:color="627C66" w:themeColor="accent3"/>
        <w:insideH w:val="single" w:sz="8" w:space="0" w:color="627C66" w:themeColor="accent3"/>
        <w:insideV w:val="single" w:sz="8" w:space="0" w:color="627C6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7C66" w:themeColor="accent3"/>
          <w:left w:val="single" w:sz="8" w:space="0" w:color="627C66" w:themeColor="accent3"/>
          <w:bottom w:val="single" w:sz="18" w:space="0" w:color="627C66" w:themeColor="accent3"/>
          <w:right w:val="single" w:sz="8" w:space="0" w:color="627C66" w:themeColor="accent3"/>
          <w:insideH w:val="nil"/>
          <w:insideV w:val="single" w:sz="8" w:space="0" w:color="627C6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7C66" w:themeColor="accent3"/>
          <w:left w:val="single" w:sz="8" w:space="0" w:color="627C66" w:themeColor="accent3"/>
          <w:bottom w:val="single" w:sz="8" w:space="0" w:color="627C66" w:themeColor="accent3"/>
          <w:right w:val="single" w:sz="8" w:space="0" w:color="627C66" w:themeColor="accent3"/>
          <w:insideH w:val="nil"/>
          <w:insideV w:val="single" w:sz="8" w:space="0" w:color="627C6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7C66" w:themeColor="accent3"/>
          <w:left w:val="single" w:sz="8" w:space="0" w:color="627C66" w:themeColor="accent3"/>
          <w:bottom w:val="single" w:sz="8" w:space="0" w:color="627C66" w:themeColor="accent3"/>
          <w:right w:val="single" w:sz="8" w:space="0" w:color="627C66" w:themeColor="accent3"/>
        </w:tcBorders>
      </w:tcPr>
    </w:tblStylePr>
    <w:tblStylePr w:type="band1Vert">
      <w:tblPr/>
      <w:tcPr>
        <w:tcBorders>
          <w:top w:val="single" w:sz="8" w:space="0" w:color="627C66" w:themeColor="accent3"/>
          <w:left w:val="single" w:sz="8" w:space="0" w:color="627C66" w:themeColor="accent3"/>
          <w:bottom w:val="single" w:sz="8" w:space="0" w:color="627C66" w:themeColor="accent3"/>
          <w:right w:val="single" w:sz="8" w:space="0" w:color="627C66" w:themeColor="accent3"/>
        </w:tcBorders>
        <w:shd w:val="clear" w:color="auto" w:fill="D7DFD8" w:themeFill="accent3" w:themeFillTint="3F"/>
      </w:tcPr>
    </w:tblStylePr>
    <w:tblStylePr w:type="band1Horz">
      <w:tblPr/>
      <w:tcPr>
        <w:tcBorders>
          <w:top w:val="single" w:sz="8" w:space="0" w:color="627C66" w:themeColor="accent3"/>
          <w:left w:val="single" w:sz="8" w:space="0" w:color="627C66" w:themeColor="accent3"/>
          <w:bottom w:val="single" w:sz="8" w:space="0" w:color="627C66" w:themeColor="accent3"/>
          <w:right w:val="single" w:sz="8" w:space="0" w:color="627C66" w:themeColor="accent3"/>
          <w:insideV w:val="single" w:sz="8" w:space="0" w:color="627C66" w:themeColor="accent3"/>
        </w:tcBorders>
        <w:shd w:val="clear" w:color="auto" w:fill="D7DFD8" w:themeFill="accent3" w:themeFillTint="3F"/>
      </w:tcPr>
    </w:tblStylePr>
    <w:tblStylePr w:type="band2Horz">
      <w:tblPr/>
      <w:tcPr>
        <w:tcBorders>
          <w:top w:val="single" w:sz="8" w:space="0" w:color="627C66" w:themeColor="accent3"/>
          <w:left w:val="single" w:sz="8" w:space="0" w:color="627C66" w:themeColor="accent3"/>
          <w:bottom w:val="single" w:sz="8" w:space="0" w:color="627C66" w:themeColor="accent3"/>
          <w:right w:val="single" w:sz="8" w:space="0" w:color="627C66" w:themeColor="accent3"/>
          <w:insideV w:val="single" w:sz="8" w:space="0" w:color="627C66"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DCE5DF" w:themeColor="accent4"/>
        <w:left w:val="single" w:sz="8" w:space="0" w:color="DCE5DF" w:themeColor="accent4"/>
        <w:bottom w:val="single" w:sz="8" w:space="0" w:color="DCE5DF" w:themeColor="accent4"/>
        <w:right w:val="single" w:sz="8" w:space="0" w:color="DCE5DF" w:themeColor="accent4"/>
        <w:insideH w:val="single" w:sz="8" w:space="0" w:color="DCE5DF" w:themeColor="accent4"/>
        <w:insideV w:val="single" w:sz="8" w:space="0" w:color="DCE5D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E5DF" w:themeColor="accent4"/>
          <w:left w:val="single" w:sz="8" w:space="0" w:color="DCE5DF" w:themeColor="accent4"/>
          <w:bottom w:val="single" w:sz="18" w:space="0" w:color="DCE5DF" w:themeColor="accent4"/>
          <w:right w:val="single" w:sz="8" w:space="0" w:color="DCE5DF" w:themeColor="accent4"/>
          <w:insideH w:val="nil"/>
          <w:insideV w:val="single" w:sz="8" w:space="0" w:color="DCE5D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E5DF" w:themeColor="accent4"/>
          <w:left w:val="single" w:sz="8" w:space="0" w:color="DCE5DF" w:themeColor="accent4"/>
          <w:bottom w:val="single" w:sz="8" w:space="0" w:color="DCE5DF" w:themeColor="accent4"/>
          <w:right w:val="single" w:sz="8" w:space="0" w:color="DCE5DF" w:themeColor="accent4"/>
          <w:insideH w:val="nil"/>
          <w:insideV w:val="single" w:sz="8" w:space="0" w:color="DCE5D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E5DF" w:themeColor="accent4"/>
          <w:left w:val="single" w:sz="8" w:space="0" w:color="DCE5DF" w:themeColor="accent4"/>
          <w:bottom w:val="single" w:sz="8" w:space="0" w:color="DCE5DF" w:themeColor="accent4"/>
          <w:right w:val="single" w:sz="8" w:space="0" w:color="DCE5DF" w:themeColor="accent4"/>
        </w:tcBorders>
      </w:tcPr>
    </w:tblStylePr>
    <w:tblStylePr w:type="band1Vert">
      <w:tblPr/>
      <w:tcPr>
        <w:tcBorders>
          <w:top w:val="single" w:sz="8" w:space="0" w:color="DCE5DF" w:themeColor="accent4"/>
          <w:left w:val="single" w:sz="8" w:space="0" w:color="DCE5DF" w:themeColor="accent4"/>
          <w:bottom w:val="single" w:sz="8" w:space="0" w:color="DCE5DF" w:themeColor="accent4"/>
          <w:right w:val="single" w:sz="8" w:space="0" w:color="DCE5DF" w:themeColor="accent4"/>
        </w:tcBorders>
        <w:shd w:val="clear" w:color="auto" w:fill="F6F8F6" w:themeFill="accent4" w:themeFillTint="3F"/>
      </w:tcPr>
    </w:tblStylePr>
    <w:tblStylePr w:type="band1Horz">
      <w:tblPr/>
      <w:tcPr>
        <w:tcBorders>
          <w:top w:val="single" w:sz="8" w:space="0" w:color="DCE5DF" w:themeColor="accent4"/>
          <w:left w:val="single" w:sz="8" w:space="0" w:color="DCE5DF" w:themeColor="accent4"/>
          <w:bottom w:val="single" w:sz="8" w:space="0" w:color="DCE5DF" w:themeColor="accent4"/>
          <w:right w:val="single" w:sz="8" w:space="0" w:color="DCE5DF" w:themeColor="accent4"/>
          <w:insideV w:val="single" w:sz="8" w:space="0" w:color="DCE5DF" w:themeColor="accent4"/>
        </w:tcBorders>
        <w:shd w:val="clear" w:color="auto" w:fill="F6F8F6" w:themeFill="accent4" w:themeFillTint="3F"/>
      </w:tcPr>
    </w:tblStylePr>
    <w:tblStylePr w:type="band2Horz">
      <w:tblPr/>
      <w:tcPr>
        <w:tcBorders>
          <w:top w:val="single" w:sz="8" w:space="0" w:color="DCE5DF" w:themeColor="accent4"/>
          <w:left w:val="single" w:sz="8" w:space="0" w:color="DCE5DF" w:themeColor="accent4"/>
          <w:bottom w:val="single" w:sz="8" w:space="0" w:color="DCE5DF" w:themeColor="accent4"/>
          <w:right w:val="single" w:sz="8" w:space="0" w:color="DCE5DF" w:themeColor="accent4"/>
          <w:insideV w:val="single" w:sz="8" w:space="0" w:color="DCE5DF"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FAF7F2" w:themeColor="accent5"/>
        <w:left w:val="single" w:sz="8" w:space="0" w:color="FAF7F2" w:themeColor="accent5"/>
        <w:bottom w:val="single" w:sz="8" w:space="0" w:color="FAF7F2" w:themeColor="accent5"/>
        <w:right w:val="single" w:sz="8" w:space="0" w:color="FAF7F2" w:themeColor="accent5"/>
        <w:insideH w:val="single" w:sz="8" w:space="0" w:color="FAF7F2" w:themeColor="accent5"/>
        <w:insideV w:val="single" w:sz="8" w:space="0" w:color="FAF7F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AF7F2" w:themeColor="accent5"/>
          <w:left w:val="single" w:sz="8" w:space="0" w:color="FAF7F2" w:themeColor="accent5"/>
          <w:bottom w:val="single" w:sz="18" w:space="0" w:color="FAF7F2" w:themeColor="accent5"/>
          <w:right w:val="single" w:sz="8" w:space="0" w:color="FAF7F2" w:themeColor="accent5"/>
          <w:insideH w:val="nil"/>
          <w:insideV w:val="single" w:sz="8" w:space="0" w:color="FAF7F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AF7F2" w:themeColor="accent5"/>
          <w:left w:val="single" w:sz="8" w:space="0" w:color="FAF7F2" w:themeColor="accent5"/>
          <w:bottom w:val="single" w:sz="8" w:space="0" w:color="FAF7F2" w:themeColor="accent5"/>
          <w:right w:val="single" w:sz="8" w:space="0" w:color="FAF7F2" w:themeColor="accent5"/>
          <w:insideH w:val="nil"/>
          <w:insideV w:val="single" w:sz="8" w:space="0" w:color="FAF7F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AF7F2" w:themeColor="accent5"/>
          <w:left w:val="single" w:sz="8" w:space="0" w:color="FAF7F2" w:themeColor="accent5"/>
          <w:bottom w:val="single" w:sz="8" w:space="0" w:color="FAF7F2" w:themeColor="accent5"/>
          <w:right w:val="single" w:sz="8" w:space="0" w:color="FAF7F2" w:themeColor="accent5"/>
        </w:tcBorders>
      </w:tcPr>
    </w:tblStylePr>
    <w:tblStylePr w:type="band1Vert">
      <w:tblPr/>
      <w:tcPr>
        <w:tcBorders>
          <w:top w:val="single" w:sz="8" w:space="0" w:color="FAF7F2" w:themeColor="accent5"/>
          <w:left w:val="single" w:sz="8" w:space="0" w:color="FAF7F2" w:themeColor="accent5"/>
          <w:bottom w:val="single" w:sz="8" w:space="0" w:color="FAF7F2" w:themeColor="accent5"/>
          <w:right w:val="single" w:sz="8" w:space="0" w:color="FAF7F2" w:themeColor="accent5"/>
        </w:tcBorders>
        <w:shd w:val="clear" w:color="auto" w:fill="FDFCFB" w:themeFill="accent5" w:themeFillTint="3F"/>
      </w:tcPr>
    </w:tblStylePr>
    <w:tblStylePr w:type="band1Horz">
      <w:tblPr/>
      <w:tcPr>
        <w:tcBorders>
          <w:top w:val="single" w:sz="8" w:space="0" w:color="FAF7F2" w:themeColor="accent5"/>
          <w:left w:val="single" w:sz="8" w:space="0" w:color="FAF7F2" w:themeColor="accent5"/>
          <w:bottom w:val="single" w:sz="8" w:space="0" w:color="FAF7F2" w:themeColor="accent5"/>
          <w:right w:val="single" w:sz="8" w:space="0" w:color="FAF7F2" w:themeColor="accent5"/>
          <w:insideV w:val="single" w:sz="8" w:space="0" w:color="FAF7F2" w:themeColor="accent5"/>
        </w:tcBorders>
        <w:shd w:val="clear" w:color="auto" w:fill="FDFCFB" w:themeFill="accent5" w:themeFillTint="3F"/>
      </w:tcPr>
    </w:tblStylePr>
    <w:tblStylePr w:type="band2Horz">
      <w:tblPr/>
      <w:tcPr>
        <w:tcBorders>
          <w:top w:val="single" w:sz="8" w:space="0" w:color="FAF7F2" w:themeColor="accent5"/>
          <w:left w:val="single" w:sz="8" w:space="0" w:color="FAF7F2" w:themeColor="accent5"/>
          <w:bottom w:val="single" w:sz="8" w:space="0" w:color="FAF7F2" w:themeColor="accent5"/>
          <w:right w:val="single" w:sz="8" w:space="0" w:color="FAF7F2" w:themeColor="accent5"/>
          <w:insideV w:val="single" w:sz="8" w:space="0" w:color="FAF7F2"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2E2E2E" w:themeColor="accent6"/>
        <w:left w:val="single" w:sz="8" w:space="0" w:color="2E2E2E" w:themeColor="accent6"/>
        <w:bottom w:val="single" w:sz="8" w:space="0" w:color="2E2E2E" w:themeColor="accent6"/>
        <w:right w:val="single" w:sz="8" w:space="0" w:color="2E2E2E" w:themeColor="accent6"/>
        <w:insideH w:val="single" w:sz="8" w:space="0" w:color="2E2E2E" w:themeColor="accent6"/>
        <w:insideV w:val="single" w:sz="8" w:space="0" w:color="2E2E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E2E2E" w:themeColor="accent6"/>
          <w:left w:val="single" w:sz="8" w:space="0" w:color="2E2E2E" w:themeColor="accent6"/>
          <w:bottom w:val="single" w:sz="18" w:space="0" w:color="2E2E2E" w:themeColor="accent6"/>
          <w:right w:val="single" w:sz="8" w:space="0" w:color="2E2E2E" w:themeColor="accent6"/>
          <w:insideH w:val="nil"/>
          <w:insideV w:val="single" w:sz="8" w:space="0" w:color="2E2E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E2E2E" w:themeColor="accent6"/>
          <w:left w:val="single" w:sz="8" w:space="0" w:color="2E2E2E" w:themeColor="accent6"/>
          <w:bottom w:val="single" w:sz="8" w:space="0" w:color="2E2E2E" w:themeColor="accent6"/>
          <w:right w:val="single" w:sz="8" w:space="0" w:color="2E2E2E" w:themeColor="accent6"/>
          <w:insideH w:val="nil"/>
          <w:insideV w:val="single" w:sz="8" w:space="0" w:color="2E2E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E2E2E" w:themeColor="accent6"/>
          <w:left w:val="single" w:sz="8" w:space="0" w:color="2E2E2E" w:themeColor="accent6"/>
          <w:bottom w:val="single" w:sz="8" w:space="0" w:color="2E2E2E" w:themeColor="accent6"/>
          <w:right w:val="single" w:sz="8" w:space="0" w:color="2E2E2E" w:themeColor="accent6"/>
        </w:tcBorders>
      </w:tcPr>
    </w:tblStylePr>
    <w:tblStylePr w:type="band1Vert">
      <w:tblPr/>
      <w:tcPr>
        <w:tcBorders>
          <w:top w:val="single" w:sz="8" w:space="0" w:color="2E2E2E" w:themeColor="accent6"/>
          <w:left w:val="single" w:sz="8" w:space="0" w:color="2E2E2E" w:themeColor="accent6"/>
          <w:bottom w:val="single" w:sz="8" w:space="0" w:color="2E2E2E" w:themeColor="accent6"/>
          <w:right w:val="single" w:sz="8" w:space="0" w:color="2E2E2E" w:themeColor="accent6"/>
        </w:tcBorders>
        <w:shd w:val="clear" w:color="auto" w:fill="CBCBCB" w:themeFill="accent6" w:themeFillTint="3F"/>
      </w:tcPr>
    </w:tblStylePr>
    <w:tblStylePr w:type="band1Horz">
      <w:tblPr/>
      <w:tcPr>
        <w:tcBorders>
          <w:top w:val="single" w:sz="8" w:space="0" w:color="2E2E2E" w:themeColor="accent6"/>
          <w:left w:val="single" w:sz="8" w:space="0" w:color="2E2E2E" w:themeColor="accent6"/>
          <w:bottom w:val="single" w:sz="8" w:space="0" w:color="2E2E2E" w:themeColor="accent6"/>
          <w:right w:val="single" w:sz="8" w:space="0" w:color="2E2E2E" w:themeColor="accent6"/>
          <w:insideV w:val="single" w:sz="8" w:space="0" w:color="2E2E2E" w:themeColor="accent6"/>
        </w:tcBorders>
        <w:shd w:val="clear" w:color="auto" w:fill="CBCBCB" w:themeFill="accent6" w:themeFillTint="3F"/>
      </w:tcPr>
    </w:tblStylePr>
    <w:tblStylePr w:type="band2Horz">
      <w:tblPr/>
      <w:tcPr>
        <w:tcBorders>
          <w:top w:val="single" w:sz="8" w:space="0" w:color="2E2E2E" w:themeColor="accent6"/>
          <w:left w:val="single" w:sz="8" w:space="0" w:color="2E2E2E" w:themeColor="accent6"/>
          <w:bottom w:val="single" w:sz="8" w:space="0" w:color="2E2E2E" w:themeColor="accent6"/>
          <w:right w:val="single" w:sz="8" w:space="0" w:color="2E2E2E" w:themeColor="accent6"/>
          <w:insideV w:val="single" w:sz="8" w:space="0" w:color="2E2E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626262" w:themeColor="text1" w:themeTint="BF"/>
        <w:left w:val="single" w:sz="8" w:space="0" w:color="626262" w:themeColor="text1" w:themeTint="BF"/>
        <w:bottom w:val="single" w:sz="8" w:space="0" w:color="626262" w:themeColor="text1" w:themeTint="BF"/>
        <w:right w:val="single" w:sz="8" w:space="0" w:color="626262" w:themeColor="text1" w:themeTint="BF"/>
        <w:insideH w:val="single" w:sz="8" w:space="0" w:color="626262" w:themeColor="text1" w:themeTint="BF"/>
      </w:tblBorders>
    </w:tblPr>
    <w:tblStylePr w:type="firstRow">
      <w:pPr>
        <w:spacing w:before="0" w:after="0" w:line="240" w:lineRule="auto"/>
      </w:pPr>
      <w:rPr>
        <w:b/>
        <w:bCs/>
        <w:color w:val="FAF7F2" w:themeColor="background1"/>
      </w:rPr>
      <w:tblPr/>
      <w:tcPr>
        <w:tcBorders>
          <w:top w:val="single" w:sz="8" w:space="0" w:color="626262" w:themeColor="text1" w:themeTint="BF"/>
          <w:left w:val="single" w:sz="8" w:space="0" w:color="626262" w:themeColor="text1" w:themeTint="BF"/>
          <w:bottom w:val="single" w:sz="8" w:space="0" w:color="626262" w:themeColor="text1" w:themeTint="BF"/>
          <w:right w:val="single" w:sz="8" w:space="0" w:color="626262" w:themeColor="text1" w:themeTint="BF"/>
          <w:insideH w:val="nil"/>
          <w:insideV w:val="nil"/>
        </w:tcBorders>
        <w:shd w:val="clear" w:color="auto" w:fill="2E2E2E" w:themeFill="text1"/>
      </w:tcPr>
    </w:tblStylePr>
    <w:tblStylePr w:type="lastRow">
      <w:pPr>
        <w:spacing w:before="0" w:after="0" w:line="240" w:lineRule="auto"/>
      </w:pPr>
      <w:rPr>
        <w:b/>
        <w:bCs/>
      </w:rPr>
      <w:tblPr/>
      <w:tcPr>
        <w:tcBorders>
          <w:top w:val="double" w:sz="6" w:space="0" w:color="626262" w:themeColor="text1" w:themeTint="BF"/>
          <w:left w:val="single" w:sz="8" w:space="0" w:color="626262" w:themeColor="text1" w:themeTint="BF"/>
          <w:bottom w:val="single" w:sz="8" w:space="0" w:color="626262" w:themeColor="text1" w:themeTint="BF"/>
          <w:right w:val="single" w:sz="8" w:space="0" w:color="626262" w:themeColor="text1" w:themeTint="BF"/>
          <w:insideH w:val="nil"/>
          <w:insideV w:val="nil"/>
        </w:tcBorders>
      </w:tcPr>
    </w:tblStylePr>
    <w:tblStylePr w:type="firstCol">
      <w:rPr>
        <w:b/>
        <w:bCs/>
      </w:rPr>
    </w:tblStylePr>
    <w:tblStylePr w:type="lastCol">
      <w:rPr>
        <w:b/>
        <w:bCs/>
      </w:rPr>
    </w:tblStylePr>
    <w:tblStylePr w:type="band1Vert">
      <w:tblPr/>
      <w:tcPr>
        <w:shd w:val="clear" w:color="auto" w:fill="CBCBCB" w:themeFill="text1" w:themeFillTint="3F"/>
      </w:tcPr>
    </w:tblStylePr>
    <w:tblStylePr w:type="band1Horz">
      <w:tblPr/>
      <w:tcPr>
        <w:tcBorders>
          <w:insideH w:val="nil"/>
          <w:insideV w:val="nil"/>
        </w:tcBorders>
        <w:shd w:val="clear" w:color="auto" w:fill="CBCBCB"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D6BD8F" w:themeColor="accent1" w:themeTint="BF"/>
        <w:left w:val="single" w:sz="8" w:space="0" w:color="D6BD8F" w:themeColor="accent1" w:themeTint="BF"/>
        <w:bottom w:val="single" w:sz="8" w:space="0" w:color="D6BD8F" w:themeColor="accent1" w:themeTint="BF"/>
        <w:right w:val="single" w:sz="8" w:space="0" w:color="D6BD8F" w:themeColor="accent1" w:themeTint="BF"/>
        <w:insideH w:val="single" w:sz="8" w:space="0" w:color="D6BD8F" w:themeColor="accent1" w:themeTint="BF"/>
      </w:tblBorders>
    </w:tblPr>
    <w:tblStylePr w:type="firstRow">
      <w:pPr>
        <w:spacing w:before="0" w:after="0" w:line="240" w:lineRule="auto"/>
      </w:pPr>
      <w:rPr>
        <w:b/>
        <w:bCs/>
        <w:color w:val="FAF7F2" w:themeColor="background1"/>
      </w:rPr>
      <w:tblPr/>
      <w:tcPr>
        <w:tcBorders>
          <w:top w:val="single" w:sz="8" w:space="0" w:color="D6BD8F" w:themeColor="accent1" w:themeTint="BF"/>
          <w:left w:val="single" w:sz="8" w:space="0" w:color="D6BD8F" w:themeColor="accent1" w:themeTint="BF"/>
          <w:bottom w:val="single" w:sz="8" w:space="0" w:color="D6BD8F" w:themeColor="accent1" w:themeTint="BF"/>
          <w:right w:val="single" w:sz="8" w:space="0" w:color="D6BD8F" w:themeColor="accent1" w:themeTint="BF"/>
          <w:insideH w:val="nil"/>
          <w:insideV w:val="nil"/>
        </w:tcBorders>
        <w:shd w:val="clear" w:color="auto" w:fill="C9A86A" w:themeFill="accent1"/>
      </w:tcPr>
    </w:tblStylePr>
    <w:tblStylePr w:type="lastRow">
      <w:pPr>
        <w:spacing w:before="0" w:after="0" w:line="240" w:lineRule="auto"/>
      </w:pPr>
      <w:rPr>
        <w:b/>
        <w:bCs/>
      </w:rPr>
      <w:tblPr/>
      <w:tcPr>
        <w:tcBorders>
          <w:top w:val="double" w:sz="6" w:space="0" w:color="D6BD8F" w:themeColor="accent1" w:themeTint="BF"/>
          <w:left w:val="single" w:sz="8" w:space="0" w:color="D6BD8F" w:themeColor="accent1" w:themeTint="BF"/>
          <w:bottom w:val="single" w:sz="8" w:space="0" w:color="D6BD8F" w:themeColor="accent1" w:themeTint="BF"/>
          <w:right w:val="single" w:sz="8" w:space="0" w:color="D6BD8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1E9DA" w:themeFill="accent1" w:themeFillTint="3F"/>
      </w:tcPr>
    </w:tblStylePr>
    <w:tblStylePr w:type="band1Horz">
      <w:tblPr/>
      <w:tcPr>
        <w:tcBorders>
          <w:insideH w:val="nil"/>
          <w:insideV w:val="nil"/>
        </w:tcBorders>
        <w:shd w:val="clear" w:color="auto" w:fill="F1E9D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AE0C8" w:themeColor="accent2" w:themeTint="BF"/>
        <w:left w:val="single" w:sz="8" w:space="0" w:color="EAE0C8" w:themeColor="accent2" w:themeTint="BF"/>
        <w:bottom w:val="single" w:sz="8" w:space="0" w:color="EAE0C8" w:themeColor="accent2" w:themeTint="BF"/>
        <w:right w:val="single" w:sz="8" w:space="0" w:color="EAE0C8" w:themeColor="accent2" w:themeTint="BF"/>
        <w:insideH w:val="single" w:sz="8" w:space="0" w:color="EAE0C8" w:themeColor="accent2" w:themeTint="BF"/>
      </w:tblBorders>
    </w:tblPr>
    <w:tblStylePr w:type="firstRow">
      <w:pPr>
        <w:spacing w:before="0" w:after="0" w:line="240" w:lineRule="auto"/>
      </w:pPr>
      <w:rPr>
        <w:b/>
        <w:bCs/>
        <w:color w:val="FAF7F2" w:themeColor="background1"/>
      </w:rPr>
      <w:tblPr/>
      <w:tcPr>
        <w:tcBorders>
          <w:top w:val="single" w:sz="8" w:space="0" w:color="EAE0C8" w:themeColor="accent2" w:themeTint="BF"/>
          <w:left w:val="single" w:sz="8" w:space="0" w:color="EAE0C8" w:themeColor="accent2" w:themeTint="BF"/>
          <w:bottom w:val="single" w:sz="8" w:space="0" w:color="EAE0C8" w:themeColor="accent2" w:themeTint="BF"/>
          <w:right w:val="single" w:sz="8" w:space="0" w:color="EAE0C8" w:themeColor="accent2" w:themeTint="BF"/>
          <w:insideH w:val="nil"/>
          <w:insideV w:val="nil"/>
        </w:tcBorders>
        <w:shd w:val="clear" w:color="auto" w:fill="E4D6B6" w:themeFill="accent2"/>
      </w:tcPr>
    </w:tblStylePr>
    <w:tblStylePr w:type="lastRow">
      <w:pPr>
        <w:spacing w:before="0" w:after="0" w:line="240" w:lineRule="auto"/>
      </w:pPr>
      <w:rPr>
        <w:b/>
        <w:bCs/>
      </w:rPr>
      <w:tblPr/>
      <w:tcPr>
        <w:tcBorders>
          <w:top w:val="double" w:sz="6" w:space="0" w:color="EAE0C8" w:themeColor="accent2" w:themeTint="BF"/>
          <w:left w:val="single" w:sz="8" w:space="0" w:color="EAE0C8" w:themeColor="accent2" w:themeTint="BF"/>
          <w:bottom w:val="single" w:sz="8" w:space="0" w:color="EAE0C8" w:themeColor="accent2" w:themeTint="BF"/>
          <w:right w:val="single" w:sz="8" w:space="0" w:color="EAE0C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8F4EC" w:themeFill="accent2" w:themeFillTint="3F"/>
      </w:tcPr>
    </w:tblStylePr>
    <w:tblStylePr w:type="band1Horz">
      <w:tblPr/>
      <w:tcPr>
        <w:tcBorders>
          <w:insideH w:val="nil"/>
          <w:insideV w:val="nil"/>
        </w:tcBorders>
        <w:shd w:val="clear" w:color="auto" w:fill="F8F4E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869F8A" w:themeColor="accent3" w:themeTint="BF"/>
        <w:left w:val="single" w:sz="8" w:space="0" w:color="869F8A" w:themeColor="accent3" w:themeTint="BF"/>
        <w:bottom w:val="single" w:sz="8" w:space="0" w:color="869F8A" w:themeColor="accent3" w:themeTint="BF"/>
        <w:right w:val="single" w:sz="8" w:space="0" w:color="869F8A" w:themeColor="accent3" w:themeTint="BF"/>
        <w:insideH w:val="single" w:sz="8" w:space="0" w:color="869F8A" w:themeColor="accent3" w:themeTint="BF"/>
      </w:tblBorders>
    </w:tblPr>
    <w:tblStylePr w:type="firstRow">
      <w:pPr>
        <w:spacing w:before="0" w:after="0" w:line="240" w:lineRule="auto"/>
      </w:pPr>
      <w:rPr>
        <w:b/>
        <w:bCs/>
        <w:color w:val="FAF7F2" w:themeColor="background1"/>
      </w:rPr>
      <w:tblPr/>
      <w:tcPr>
        <w:tcBorders>
          <w:top w:val="single" w:sz="8" w:space="0" w:color="869F8A" w:themeColor="accent3" w:themeTint="BF"/>
          <w:left w:val="single" w:sz="8" w:space="0" w:color="869F8A" w:themeColor="accent3" w:themeTint="BF"/>
          <w:bottom w:val="single" w:sz="8" w:space="0" w:color="869F8A" w:themeColor="accent3" w:themeTint="BF"/>
          <w:right w:val="single" w:sz="8" w:space="0" w:color="869F8A" w:themeColor="accent3" w:themeTint="BF"/>
          <w:insideH w:val="nil"/>
          <w:insideV w:val="nil"/>
        </w:tcBorders>
        <w:shd w:val="clear" w:color="auto" w:fill="627C66" w:themeFill="accent3"/>
      </w:tcPr>
    </w:tblStylePr>
    <w:tblStylePr w:type="lastRow">
      <w:pPr>
        <w:spacing w:before="0" w:after="0" w:line="240" w:lineRule="auto"/>
      </w:pPr>
      <w:rPr>
        <w:b/>
        <w:bCs/>
      </w:rPr>
      <w:tblPr/>
      <w:tcPr>
        <w:tcBorders>
          <w:top w:val="double" w:sz="6" w:space="0" w:color="869F8A" w:themeColor="accent3" w:themeTint="BF"/>
          <w:left w:val="single" w:sz="8" w:space="0" w:color="869F8A" w:themeColor="accent3" w:themeTint="BF"/>
          <w:bottom w:val="single" w:sz="8" w:space="0" w:color="869F8A" w:themeColor="accent3" w:themeTint="BF"/>
          <w:right w:val="single" w:sz="8" w:space="0" w:color="869F8A"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FD8" w:themeFill="accent3" w:themeFillTint="3F"/>
      </w:tcPr>
    </w:tblStylePr>
    <w:tblStylePr w:type="band1Horz">
      <w:tblPr/>
      <w:tcPr>
        <w:tcBorders>
          <w:insideH w:val="nil"/>
          <w:insideV w:val="nil"/>
        </w:tcBorders>
        <w:shd w:val="clear" w:color="auto" w:fill="D7DFD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E4EBE6" w:themeColor="accent4" w:themeTint="BF"/>
        <w:left w:val="single" w:sz="8" w:space="0" w:color="E4EBE6" w:themeColor="accent4" w:themeTint="BF"/>
        <w:bottom w:val="single" w:sz="8" w:space="0" w:color="E4EBE6" w:themeColor="accent4" w:themeTint="BF"/>
        <w:right w:val="single" w:sz="8" w:space="0" w:color="E4EBE6" w:themeColor="accent4" w:themeTint="BF"/>
        <w:insideH w:val="single" w:sz="8" w:space="0" w:color="E4EBE6" w:themeColor="accent4" w:themeTint="BF"/>
      </w:tblBorders>
    </w:tblPr>
    <w:tblStylePr w:type="firstRow">
      <w:pPr>
        <w:spacing w:before="0" w:after="0" w:line="240" w:lineRule="auto"/>
      </w:pPr>
      <w:rPr>
        <w:b/>
        <w:bCs/>
        <w:color w:val="FAF7F2" w:themeColor="background1"/>
      </w:rPr>
      <w:tblPr/>
      <w:tcPr>
        <w:tcBorders>
          <w:top w:val="single" w:sz="8" w:space="0" w:color="E4EBE6" w:themeColor="accent4" w:themeTint="BF"/>
          <w:left w:val="single" w:sz="8" w:space="0" w:color="E4EBE6" w:themeColor="accent4" w:themeTint="BF"/>
          <w:bottom w:val="single" w:sz="8" w:space="0" w:color="E4EBE6" w:themeColor="accent4" w:themeTint="BF"/>
          <w:right w:val="single" w:sz="8" w:space="0" w:color="E4EBE6" w:themeColor="accent4" w:themeTint="BF"/>
          <w:insideH w:val="nil"/>
          <w:insideV w:val="nil"/>
        </w:tcBorders>
        <w:shd w:val="clear" w:color="auto" w:fill="DCE5DF" w:themeFill="accent4"/>
      </w:tcPr>
    </w:tblStylePr>
    <w:tblStylePr w:type="lastRow">
      <w:pPr>
        <w:spacing w:before="0" w:after="0" w:line="240" w:lineRule="auto"/>
      </w:pPr>
      <w:rPr>
        <w:b/>
        <w:bCs/>
      </w:rPr>
      <w:tblPr/>
      <w:tcPr>
        <w:tcBorders>
          <w:top w:val="double" w:sz="6" w:space="0" w:color="E4EBE6" w:themeColor="accent4" w:themeTint="BF"/>
          <w:left w:val="single" w:sz="8" w:space="0" w:color="E4EBE6" w:themeColor="accent4" w:themeTint="BF"/>
          <w:bottom w:val="single" w:sz="8" w:space="0" w:color="E4EBE6" w:themeColor="accent4" w:themeTint="BF"/>
          <w:right w:val="single" w:sz="8" w:space="0" w:color="E4EBE6" w:themeColor="accent4" w:themeTint="BF"/>
          <w:insideH w:val="nil"/>
          <w:insideV w:val="nil"/>
        </w:tcBorders>
      </w:tcPr>
    </w:tblStylePr>
    <w:tblStylePr w:type="firstCol">
      <w:rPr>
        <w:b/>
        <w:bCs/>
      </w:rPr>
    </w:tblStylePr>
    <w:tblStylePr w:type="lastCol">
      <w:rPr>
        <w:b/>
        <w:bCs/>
      </w:rPr>
    </w:tblStylePr>
    <w:tblStylePr w:type="band1Vert">
      <w:tblPr/>
      <w:tcPr>
        <w:shd w:val="clear" w:color="auto" w:fill="F6F8F6" w:themeFill="accent4" w:themeFillTint="3F"/>
      </w:tcPr>
    </w:tblStylePr>
    <w:tblStylePr w:type="band1Horz">
      <w:tblPr/>
      <w:tcPr>
        <w:tcBorders>
          <w:insideH w:val="nil"/>
          <w:insideV w:val="nil"/>
        </w:tcBorders>
        <w:shd w:val="clear" w:color="auto" w:fill="F6F8F6"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FBF8F5" w:themeColor="accent5" w:themeTint="BF"/>
        <w:left w:val="single" w:sz="8" w:space="0" w:color="FBF8F5" w:themeColor="accent5" w:themeTint="BF"/>
        <w:bottom w:val="single" w:sz="8" w:space="0" w:color="FBF8F5" w:themeColor="accent5" w:themeTint="BF"/>
        <w:right w:val="single" w:sz="8" w:space="0" w:color="FBF8F5" w:themeColor="accent5" w:themeTint="BF"/>
        <w:insideH w:val="single" w:sz="8" w:space="0" w:color="FBF8F5" w:themeColor="accent5" w:themeTint="BF"/>
      </w:tblBorders>
    </w:tblPr>
    <w:tblStylePr w:type="firstRow">
      <w:pPr>
        <w:spacing w:before="0" w:after="0" w:line="240" w:lineRule="auto"/>
      </w:pPr>
      <w:rPr>
        <w:b/>
        <w:bCs/>
        <w:color w:val="FAF7F2" w:themeColor="background1"/>
      </w:rPr>
      <w:tblPr/>
      <w:tcPr>
        <w:tcBorders>
          <w:top w:val="single" w:sz="8" w:space="0" w:color="FBF8F5" w:themeColor="accent5" w:themeTint="BF"/>
          <w:left w:val="single" w:sz="8" w:space="0" w:color="FBF8F5" w:themeColor="accent5" w:themeTint="BF"/>
          <w:bottom w:val="single" w:sz="8" w:space="0" w:color="FBF8F5" w:themeColor="accent5" w:themeTint="BF"/>
          <w:right w:val="single" w:sz="8" w:space="0" w:color="FBF8F5" w:themeColor="accent5" w:themeTint="BF"/>
          <w:insideH w:val="nil"/>
          <w:insideV w:val="nil"/>
        </w:tcBorders>
        <w:shd w:val="clear" w:color="auto" w:fill="FAF7F2" w:themeFill="accent5"/>
      </w:tcPr>
    </w:tblStylePr>
    <w:tblStylePr w:type="lastRow">
      <w:pPr>
        <w:spacing w:before="0" w:after="0" w:line="240" w:lineRule="auto"/>
      </w:pPr>
      <w:rPr>
        <w:b/>
        <w:bCs/>
      </w:rPr>
      <w:tblPr/>
      <w:tcPr>
        <w:tcBorders>
          <w:top w:val="double" w:sz="6" w:space="0" w:color="FBF8F5" w:themeColor="accent5" w:themeTint="BF"/>
          <w:left w:val="single" w:sz="8" w:space="0" w:color="FBF8F5" w:themeColor="accent5" w:themeTint="BF"/>
          <w:bottom w:val="single" w:sz="8" w:space="0" w:color="FBF8F5" w:themeColor="accent5" w:themeTint="BF"/>
          <w:right w:val="single" w:sz="8" w:space="0" w:color="FBF8F5"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FCFB" w:themeFill="accent5" w:themeFillTint="3F"/>
      </w:tcPr>
    </w:tblStylePr>
    <w:tblStylePr w:type="band1Horz">
      <w:tblPr/>
      <w:tcPr>
        <w:tcBorders>
          <w:insideH w:val="nil"/>
          <w:insideV w:val="nil"/>
        </w:tcBorders>
        <w:shd w:val="clear" w:color="auto" w:fill="FDFCF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626262" w:themeColor="accent6" w:themeTint="BF"/>
        <w:left w:val="single" w:sz="8" w:space="0" w:color="626262" w:themeColor="accent6" w:themeTint="BF"/>
        <w:bottom w:val="single" w:sz="8" w:space="0" w:color="626262" w:themeColor="accent6" w:themeTint="BF"/>
        <w:right w:val="single" w:sz="8" w:space="0" w:color="626262" w:themeColor="accent6" w:themeTint="BF"/>
        <w:insideH w:val="single" w:sz="8" w:space="0" w:color="626262" w:themeColor="accent6" w:themeTint="BF"/>
      </w:tblBorders>
    </w:tblPr>
    <w:tblStylePr w:type="firstRow">
      <w:pPr>
        <w:spacing w:before="0" w:after="0" w:line="240" w:lineRule="auto"/>
      </w:pPr>
      <w:rPr>
        <w:b/>
        <w:bCs/>
        <w:color w:val="FAF7F2" w:themeColor="background1"/>
      </w:rPr>
      <w:tblPr/>
      <w:tcPr>
        <w:tcBorders>
          <w:top w:val="single" w:sz="8" w:space="0" w:color="626262" w:themeColor="accent6" w:themeTint="BF"/>
          <w:left w:val="single" w:sz="8" w:space="0" w:color="626262" w:themeColor="accent6" w:themeTint="BF"/>
          <w:bottom w:val="single" w:sz="8" w:space="0" w:color="626262" w:themeColor="accent6" w:themeTint="BF"/>
          <w:right w:val="single" w:sz="8" w:space="0" w:color="626262" w:themeColor="accent6" w:themeTint="BF"/>
          <w:insideH w:val="nil"/>
          <w:insideV w:val="nil"/>
        </w:tcBorders>
        <w:shd w:val="clear" w:color="auto" w:fill="2E2E2E" w:themeFill="accent6"/>
      </w:tcPr>
    </w:tblStylePr>
    <w:tblStylePr w:type="lastRow">
      <w:pPr>
        <w:spacing w:before="0" w:after="0" w:line="240" w:lineRule="auto"/>
      </w:pPr>
      <w:rPr>
        <w:b/>
        <w:bCs/>
      </w:rPr>
      <w:tblPr/>
      <w:tcPr>
        <w:tcBorders>
          <w:top w:val="double" w:sz="6" w:space="0" w:color="626262" w:themeColor="accent6" w:themeTint="BF"/>
          <w:left w:val="single" w:sz="8" w:space="0" w:color="626262" w:themeColor="accent6" w:themeTint="BF"/>
          <w:bottom w:val="single" w:sz="8" w:space="0" w:color="626262" w:themeColor="accent6" w:themeTint="BF"/>
          <w:right w:val="single" w:sz="8" w:space="0" w:color="6262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CBCBCB" w:themeFill="accent6" w:themeFillTint="3F"/>
      </w:tcPr>
    </w:tblStylePr>
    <w:tblStylePr w:type="band1Horz">
      <w:tblPr/>
      <w:tcPr>
        <w:tcBorders>
          <w:insideH w:val="nil"/>
          <w:insideV w:val="nil"/>
        </w:tcBorders>
        <w:shd w:val="clear" w:color="auto" w:fill="CBCB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2E2E2E"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2E2E2E" w:themeFill="text1"/>
      </w:tcPr>
    </w:tblStylePr>
    <w:tblStylePr w:type="lastCol">
      <w:rPr>
        <w:b/>
        <w:bCs/>
        <w:color w:val="FAF7F2" w:themeColor="background1"/>
      </w:rPr>
      <w:tblPr/>
      <w:tcPr>
        <w:tcBorders>
          <w:left w:val="nil"/>
          <w:right w:val="nil"/>
          <w:insideH w:val="nil"/>
          <w:insideV w:val="nil"/>
        </w:tcBorders>
        <w:shd w:val="clear" w:color="auto" w:fill="2E2E2E" w:themeFill="text1"/>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C9A86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C9A86A" w:themeFill="accent1"/>
      </w:tcPr>
    </w:tblStylePr>
    <w:tblStylePr w:type="lastCol">
      <w:rPr>
        <w:b/>
        <w:bCs/>
        <w:color w:val="FAF7F2" w:themeColor="background1"/>
      </w:rPr>
      <w:tblPr/>
      <w:tcPr>
        <w:tcBorders>
          <w:left w:val="nil"/>
          <w:right w:val="nil"/>
          <w:insideH w:val="nil"/>
          <w:insideV w:val="nil"/>
        </w:tcBorders>
        <w:shd w:val="clear" w:color="auto" w:fill="C9A86A" w:themeFill="accent1"/>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E4D6B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E4D6B6" w:themeFill="accent2"/>
      </w:tcPr>
    </w:tblStylePr>
    <w:tblStylePr w:type="lastCol">
      <w:rPr>
        <w:b/>
        <w:bCs/>
        <w:color w:val="FAF7F2" w:themeColor="background1"/>
      </w:rPr>
      <w:tblPr/>
      <w:tcPr>
        <w:tcBorders>
          <w:left w:val="nil"/>
          <w:right w:val="nil"/>
          <w:insideH w:val="nil"/>
          <w:insideV w:val="nil"/>
        </w:tcBorders>
        <w:shd w:val="clear" w:color="auto" w:fill="E4D6B6" w:themeFill="accent2"/>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627C6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627C66" w:themeFill="accent3"/>
      </w:tcPr>
    </w:tblStylePr>
    <w:tblStylePr w:type="lastCol">
      <w:rPr>
        <w:b/>
        <w:bCs/>
        <w:color w:val="FAF7F2" w:themeColor="background1"/>
      </w:rPr>
      <w:tblPr/>
      <w:tcPr>
        <w:tcBorders>
          <w:left w:val="nil"/>
          <w:right w:val="nil"/>
          <w:insideH w:val="nil"/>
          <w:insideV w:val="nil"/>
        </w:tcBorders>
        <w:shd w:val="clear" w:color="auto" w:fill="627C66" w:themeFill="accent3"/>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DCE5D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DCE5DF" w:themeFill="accent4"/>
      </w:tcPr>
    </w:tblStylePr>
    <w:tblStylePr w:type="lastCol">
      <w:rPr>
        <w:b/>
        <w:bCs/>
        <w:color w:val="FAF7F2" w:themeColor="background1"/>
      </w:rPr>
      <w:tblPr/>
      <w:tcPr>
        <w:tcBorders>
          <w:left w:val="nil"/>
          <w:right w:val="nil"/>
          <w:insideH w:val="nil"/>
          <w:insideV w:val="nil"/>
        </w:tcBorders>
        <w:shd w:val="clear" w:color="auto" w:fill="DCE5DF" w:themeFill="accent4"/>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FAF7F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FAF7F2" w:themeFill="accent5"/>
      </w:tcPr>
    </w:tblStylePr>
    <w:tblStylePr w:type="lastCol">
      <w:rPr>
        <w:b/>
        <w:bCs/>
        <w:color w:val="FAF7F2" w:themeColor="background1"/>
      </w:rPr>
      <w:tblPr/>
      <w:tcPr>
        <w:tcBorders>
          <w:left w:val="nil"/>
          <w:right w:val="nil"/>
          <w:insideH w:val="nil"/>
          <w:insideV w:val="nil"/>
        </w:tcBorders>
        <w:shd w:val="clear" w:color="auto" w:fill="FAF7F2" w:themeFill="accent5"/>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AF7F2" w:themeColor="background1"/>
      </w:rPr>
      <w:tblPr/>
      <w:tcPr>
        <w:tcBorders>
          <w:top w:val="single" w:sz="18" w:space="0" w:color="auto"/>
          <w:left w:val="nil"/>
          <w:bottom w:val="single" w:sz="18" w:space="0" w:color="auto"/>
          <w:right w:val="nil"/>
          <w:insideH w:val="nil"/>
          <w:insideV w:val="nil"/>
        </w:tcBorders>
        <w:shd w:val="clear" w:color="auto" w:fill="2E2E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AF7F2" w:themeFill="background1"/>
      </w:tcPr>
    </w:tblStylePr>
    <w:tblStylePr w:type="firstCol">
      <w:rPr>
        <w:b/>
        <w:bCs/>
        <w:color w:val="FAF7F2" w:themeColor="background1"/>
      </w:rPr>
      <w:tblPr/>
      <w:tcPr>
        <w:tcBorders>
          <w:top w:val="nil"/>
          <w:left w:val="nil"/>
          <w:bottom w:val="single" w:sz="18" w:space="0" w:color="auto"/>
          <w:right w:val="nil"/>
          <w:insideH w:val="nil"/>
          <w:insideV w:val="nil"/>
        </w:tcBorders>
        <w:shd w:val="clear" w:color="auto" w:fill="2E2E2E" w:themeFill="accent6"/>
      </w:tcPr>
    </w:tblStylePr>
    <w:tblStylePr w:type="lastCol">
      <w:rPr>
        <w:b/>
        <w:bCs/>
        <w:color w:val="FAF7F2" w:themeColor="background1"/>
      </w:rPr>
      <w:tblPr/>
      <w:tcPr>
        <w:tcBorders>
          <w:left w:val="nil"/>
          <w:right w:val="nil"/>
          <w:insideH w:val="nil"/>
          <w:insideV w:val="nil"/>
        </w:tcBorders>
        <w:shd w:val="clear" w:color="auto" w:fill="2E2E2E" w:themeFill="accent6"/>
      </w:tcPr>
    </w:tblStylePr>
    <w:tblStylePr w:type="band1Vert">
      <w:tblPr/>
      <w:tcPr>
        <w:tcBorders>
          <w:left w:val="nil"/>
          <w:right w:val="nil"/>
          <w:insideH w:val="nil"/>
          <w:insideV w:val="nil"/>
        </w:tcBorders>
        <w:shd w:val="clear" w:color="auto" w:fill="E5D5BB" w:themeFill="background1" w:themeFillShade="D8"/>
      </w:tcPr>
    </w:tblStylePr>
    <w:tblStylePr w:type="band1Horz">
      <w:tblPr/>
      <w:tcPr>
        <w:shd w:val="clear" w:color="auto" w:fill="E5D5BB"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AF7F2"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2E2E2E" w:themeColor="text1"/>
    </w:rPr>
    <w:tblPr>
      <w:tblStyleRowBandSize w:val="1"/>
      <w:tblStyleColBandSize w:val="1"/>
      <w:tblBorders>
        <w:top w:val="single" w:sz="8" w:space="0" w:color="2E2E2E" w:themeColor="text1"/>
        <w:bottom w:val="single" w:sz="8" w:space="0" w:color="2E2E2E" w:themeColor="text1"/>
      </w:tblBorders>
    </w:tblPr>
    <w:tblStylePr w:type="firstRow">
      <w:rPr>
        <w:rFonts w:asciiTheme="majorHAnsi" w:eastAsiaTheme="majorEastAsia" w:hAnsiTheme="majorHAnsi" w:cstheme="majorBidi"/>
      </w:rPr>
      <w:tblPr/>
      <w:tcPr>
        <w:tcBorders>
          <w:top w:val="nil"/>
          <w:bottom w:val="single" w:sz="8" w:space="0" w:color="2E2E2E" w:themeColor="text1"/>
        </w:tcBorders>
      </w:tcPr>
    </w:tblStylePr>
    <w:tblStylePr w:type="lastRow">
      <w:rPr>
        <w:b/>
        <w:bCs/>
        <w:color w:val="627C66" w:themeColor="text2"/>
      </w:rPr>
      <w:tblPr/>
      <w:tcPr>
        <w:tcBorders>
          <w:top w:val="single" w:sz="8" w:space="0" w:color="2E2E2E" w:themeColor="text1"/>
          <w:bottom w:val="single" w:sz="8" w:space="0" w:color="2E2E2E" w:themeColor="text1"/>
        </w:tcBorders>
      </w:tcPr>
    </w:tblStylePr>
    <w:tblStylePr w:type="firstCol">
      <w:rPr>
        <w:b/>
        <w:bCs/>
      </w:rPr>
    </w:tblStylePr>
    <w:tblStylePr w:type="lastCol">
      <w:rPr>
        <w:b/>
        <w:bCs/>
      </w:rPr>
      <w:tblPr/>
      <w:tcPr>
        <w:tcBorders>
          <w:top w:val="single" w:sz="8" w:space="0" w:color="2E2E2E" w:themeColor="text1"/>
          <w:bottom w:val="single" w:sz="8" w:space="0" w:color="2E2E2E" w:themeColor="text1"/>
        </w:tcBorders>
      </w:tcPr>
    </w:tblStylePr>
    <w:tblStylePr w:type="band1Vert">
      <w:tblPr/>
      <w:tcPr>
        <w:shd w:val="clear" w:color="auto" w:fill="CBCBCB" w:themeFill="text1" w:themeFillTint="3F"/>
      </w:tcPr>
    </w:tblStylePr>
    <w:tblStylePr w:type="band1Horz">
      <w:tblPr/>
      <w:tcPr>
        <w:shd w:val="clear" w:color="auto" w:fill="CBCBCB" w:themeFill="text1" w:themeFillTint="3F"/>
      </w:tcPr>
    </w:tblStylePr>
  </w:style>
  <w:style w:type="table" w:styleId="MediumList1-Accent1">
    <w:name w:val="Medium List 1 Accent 1"/>
    <w:basedOn w:val="TableNormal"/>
    <w:uiPriority w:val="65"/>
    <w:rsid w:val="00CB0664"/>
    <w:pPr>
      <w:spacing w:after="0" w:line="240" w:lineRule="auto"/>
    </w:pPr>
    <w:rPr>
      <w:color w:val="2E2E2E" w:themeColor="text1"/>
    </w:rPr>
    <w:tblPr>
      <w:tblStyleRowBandSize w:val="1"/>
      <w:tblStyleColBandSize w:val="1"/>
      <w:tblBorders>
        <w:top w:val="single" w:sz="8" w:space="0" w:color="C9A86A" w:themeColor="accent1"/>
        <w:bottom w:val="single" w:sz="8" w:space="0" w:color="C9A86A" w:themeColor="accent1"/>
      </w:tblBorders>
    </w:tblPr>
    <w:tblStylePr w:type="firstRow">
      <w:rPr>
        <w:rFonts w:asciiTheme="majorHAnsi" w:eastAsiaTheme="majorEastAsia" w:hAnsiTheme="majorHAnsi" w:cstheme="majorBidi"/>
      </w:rPr>
      <w:tblPr/>
      <w:tcPr>
        <w:tcBorders>
          <w:top w:val="nil"/>
          <w:bottom w:val="single" w:sz="8" w:space="0" w:color="C9A86A" w:themeColor="accent1"/>
        </w:tcBorders>
      </w:tcPr>
    </w:tblStylePr>
    <w:tblStylePr w:type="lastRow">
      <w:rPr>
        <w:b/>
        <w:bCs/>
        <w:color w:val="627C66" w:themeColor="text2"/>
      </w:rPr>
      <w:tblPr/>
      <w:tcPr>
        <w:tcBorders>
          <w:top w:val="single" w:sz="8" w:space="0" w:color="C9A86A" w:themeColor="accent1"/>
          <w:bottom w:val="single" w:sz="8" w:space="0" w:color="C9A86A" w:themeColor="accent1"/>
        </w:tcBorders>
      </w:tcPr>
    </w:tblStylePr>
    <w:tblStylePr w:type="firstCol">
      <w:rPr>
        <w:b/>
        <w:bCs/>
      </w:rPr>
    </w:tblStylePr>
    <w:tblStylePr w:type="lastCol">
      <w:rPr>
        <w:b/>
        <w:bCs/>
      </w:rPr>
      <w:tblPr/>
      <w:tcPr>
        <w:tcBorders>
          <w:top w:val="single" w:sz="8" w:space="0" w:color="C9A86A" w:themeColor="accent1"/>
          <w:bottom w:val="single" w:sz="8" w:space="0" w:color="C9A86A" w:themeColor="accent1"/>
        </w:tcBorders>
      </w:tcPr>
    </w:tblStylePr>
    <w:tblStylePr w:type="band1Vert">
      <w:tblPr/>
      <w:tcPr>
        <w:shd w:val="clear" w:color="auto" w:fill="F1E9DA" w:themeFill="accent1" w:themeFillTint="3F"/>
      </w:tcPr>
    </w:tblStylePr>
    <w:tblStylePr w:type="band1Horz">
      <w:tblPr/>
      <w:tcPr>
        <w:shd w:val="clear" w:color="auto" w:fill="F1E9DA" w:themeFill="accent1" w:themeFillTint="3F"/>
      </w:tcPr>
    </w:tblStylePr>
  </w:style>
  <w:style w:type="table" w:styleId="MediumList1-Accent2">
    <w:name w:val="Medium List 1 Accent 2"/>
    <w:basedOn w:val="TableNormal"/>
    <w:uiPriority w:val="65"/>
    <w:rsid w:val="00CB0664"/>
    <w:pPr>
      <w:spacing w:after="0" w:line="240" w:lineRule="auto"/>
    </w:pPr>
    <w:rPr>
      <w:color w:val="2E2E2E" w:themeColor="text1"/>
    </w:rPr>
    <w:tblPr>
      <w:tblStyleRowBandSize w:val="1"/>
      <w:tblStyleColBandSize w:val="1"/>
      <w:tblBorders>
        <w:top w:val="single" w:sz="8" w:space="0" w:color="E4D6B6" w:themeColor="accent2"/>
        <w:bottom w:val="single" w:sz="8" w:space="0" w:color="E4D6B6" w:themeColor="accent2"/>
      </w:tblBorders>
    </w:tblPr>
    <w:tblStylePr w:type="firstRow">
      <w:rPr>
        <w:rFonts w:asciiTheme="majorHAnsi" w:eastAsiaTheme="majorEastAsia" w:hAnsiTheme="majorHAnsi" w:cstheme="majorBidi"/>
      </w:rPr>
      <w:tblPr/>
      <w:tcPr>
        <w:tcBorders>
          <w:top w:val="nil"/>
          <w:bottom w:val="single" w:sz="8" w:space="0" w:color="E4D6B6" w:themeColor="accent2"/>
        </w:tcBorders>
      </w:tcPr>
    </w:tblStylePr>
    <w:tblStylePr w:type="lastRow">
      <w:rPr>
        <w:b/>
        <w:bCs/>
        <w:color w:val="627C66" w:themeColor="text2"/>
      </w:rPr>
      <w:tblPr/>
      <w:tcPr>
        <w:tcBorders>
          <w:top w:val="single" w:sz="8" w:space="0" w:color="E4D6B6" w:themeColor="accent2"/>
          <w:bottom w:val="single" w:sz="8" w:space="0" w:color="E4D6B6" w:themeColor="accent2"/>
        </w:tcBorders>
      </w:tcPr>
    </w:tblStylePr>
    <w:tblStylePr w:type="firstCol">
      <w:rPr>
        <w:b/>
        <w:bCs/>
      </w:rPr>
    </w:tblStylePr>
    <w:tblStylePr w:type="lastCol">
      <w:rPr>
        <w:b/>
        <w:bCs/>
      </w:rPr>
      <w:tblPr/>
      <w:tcPr>
        <w:tcBorders>
          <w:top w:val="single" w:sz="8" w:space="0" w:color="E4D6B6" w:themeColor="accent2"/>
          <w:bottom w:val="single" w:sz="8" w:space="0" w:color="E4D6B6" w:themeColor="accent2"/>
        </w:tcBorders>
      </w:tcPr>
    </w:tblStylePr>
    <w:tblStylePr w:type="band1Vert">
      <w:tblPr/>
      <w:tcPr>
        <w:shd w:val="clear" w:color="auto" w:fill="F8F4EC" w:themeFill="accent2" w:themeFillTint="3F"/>
      </w:tcPr>
    </w:tblStylePr>
    <w:tblStylePr w:type="band1Horz">
      <w:tblPr/>
      <w:tcPr>
        <w:shd w:val="clear" w:color="auto" w:fill="F8F4EC" w:themeFill="accent2" w:themeFillTint="3F"/>
      </w:tcPr>
    </w:tblStylePr>
  </w:style>
  <w:style w:type="table" w:styleId="MediumList1-Accent3">
    <w:name w:val="Medium List 1 Accent 3"/>
    <w:basedOn w:val="TableNormal"/>
    <w:uiPriority w:val="65"/>
    <w:rsid w:val="00CB0664"/>
    <w:pPr>
      <w:spacing w:after="0" w:line="240" w:lineRule="auto"/>
    </w:pPr>
    <w:rPr>
      <w:color w:val="2E2E2E" w:themeColor="text1"/>
    </w:rPr>
    <w:tblPr>
      <w:tblStyleRowBandSize w:val="1"/>
      <w:tblStyleColBandSize w:val="1"/>
      <w:tblBorders>
        <w:top w:val="single" w:sz="8" w:space="0" w:color="627C66" w:themeColor="accent3"/>
        <w:bottom w:val="single" w:sz="8" w:space="0" w:color="627C66" w:themeColor="accent3"/>
      </w:tblBorders>
    </w:tblPr>
    <w:tblStylePr w:type="firstRow">
      <w:rPr>
        <w:rFonts w:asciiTheme="majorHAnsi" w:eastAsiaTheme="majorEastAsia" w:hAnsiTheme="majorHAnsi" w:cstheme="majorBidi"/>
      </w:rPr>
      <w:tblPr/>
      <w:tcPr>
        <w:tcBorders>
          <w:top w:val="nil"/>
          <w:bottom w:val="single" w:sz="8" w:space="0" w:color="627C66" w:themeColor="accent3"/>
        </w:tcBorders>
      </w:tcPr>
    </w:tblStylePr>
    <w:tblStylePr w:type="lastRow">
      <w:rPr>
        <w:b/>
        <w:bCs/>
        <w:color w:val="627C66" w:themeColor="text2"/>
      </w:rPr>
      <w:tblPr/>
      <w:tcPr>
        <w:tcBorders>
          <w:top w:val="single" w:sz="8" w:space="0" w:color="627C66" w:themeColor="accent3"/>
          <w:bottom w:val="single" w:sz="8" w:space="0" w:color="627C66" w:themeColor="accent3"/>
        </w:tcBorders>
      </w:tcPr>
    </w:tblStylePr>
    <w:tblStylePr w:type="firstCol">
      <w:rPr>
        <w:b/>
        <w:bCs/>
      </w:rPr>
    </w:tblStylePr>
    <w:tblStylePr w:type="lastCol">
      <w:rPr>
        <w:b/>
        <w:bCs/>
      </w:rPr>
      <w:tblPr/>
      <w:tcPr>
        <w:tcBorders>
          <w:top w:val="single" w:sz="8" w:space="0" w:color="627C66" w:themeColor="accent3"/>
          <w:bottom w:val="single" w:sz="8" w:space="0" w:color="627C66" w:themeColor="accent3"/>
        </w:tcBorders>
      </w:tcPr>
    </w:tblStylePr>
    <w:tblStylePr w:type="band1Vert">
      <w:tblPr/>
      <w:tcPr>
        <w:shd w:val="clear" w:color="auto" w:fill="D7DFD8" w:themeFill="accent3" w:themeFillTint="3F"/>
      </w:tcPr>
    </w:tblStylePr>
    <w:tblStylePr w:type="band1Horz">
      <w:tblPr/>
      <w:tcPr>
        <w:shd w:val="clear" w:color="auto" w:fill="D7DFD8" w:themeFill="accent3" w:themeFillTint="3F"/>
      </w:tcPr>
    </w:tblStylePr>
  </w:style>
  <w:style w:type="table" w:styleId="MediumList1-Accent4">
    <w:name w:val="Medium List 1 Accent 4"/>
    <w:basedOn w:val="TableNormal"/>
    <w:uiPriority w:val="65"/>
    <w:rsid w:val="00CB0664"/>
    <w:pPr>
      <w:spacing w:after="0" w:line="240" w:lineRule="auto"/>
    </w:pPr>
    <w:rPr>
      <w:color w:val="2E2E2E" w:themeColor="text1"/>
    </w:rPr>
    <w:tblPr>
      <w:tblStyleRowBandSize w:val="1"/>
      <w:tblStyleColBandSize w:val="1"/>
      <w:tblBorders>
        <w:top w:val="single" w:sz="8" w:space="0" w:color="DCE5DF" w:themeColor="accent4"/>
        <w:bottom w:val="single" w:sz="8" w:space="0" w:color="DCE5DF" w:themeColor="accent4"/>
      </w:tblBorders>
    </w:tblPr>
    <w:tblStylePr w:type="firstRow">
      <w:rPr>
        <w:rFonts w:asciiTheme="majorHAnsi" w:eastAsiaTheme="majorEastAsia" w:hAnsiTheme="majorHAnsi" w:cstheme="majorBidi"/>
      </w:rPr>
      <w:tblPr/>
      <w:tcPr>
        <w:tcBorders>
          <w:top w:val="nil"/>
          <w:bottom w:val="single" w:sz="8" w:space="0" w:color="DCE5DF" w:themeColor="accent4"/>
        </w:tcBorders>
      </w:tcPr>
    </w:tblStylePr>
    <w:tblStylePr w:type="lastRow">
      <w:rPr>
        <w:b/>
        <w:bCs/>
        <w:color w:val="627C66" w:themeColor="text2"/>
      </w:rPr>
      <w:tblPr/>
      <w:tcPr>
        <w:tcBorders>
          <w:top w:val="single" w:sz="8" w:space="0" w:color="DCE5DF" w:themeColor="accent4"/>
          <w:bottom w:val="single" w:sz="8" w:space="0" w:color="DCE5DF" w:themeColor="accent4"/>
        </w:tcBorders>
      </w:tcPr>
    </w:tblStylePr>
    <w:tblStylePr w:type="firstCol">
      <w:rPr>
        <w:b/>
        <w:bCs/>
      </w:rPr>
    </w:tblStylePr>
    <w:tblStylePr w:type="lastCol">
      <w:rPr>
        <w:b/>
        <w:bCs/>
      </w:rPr>
      <w:tblPr/>
      <w:tcPr>
        <w:tcBorders>
          <w:top w:val="single" w:sz="8" w:space="0" w:color="DCE5DF" w:themeColor="accent4"/>
          <w:bottom w:val="single" w:sz="8" w:space="0" w:color="DCE5DF" w:themeColor="accent4"/>
        </w:tcBorders>
      </w:tcPr>
    </w:tblStylePr>
    <w:tblStylePr w:type="band1Vert">
      <w:tblPr/>
      <w:tcPr>
        <w:shd w:val="clear" w:color="auto" w:fill="F6F8F6" w:themeFill="accent4" w:themeFillTint="3F"/>
      </w:tcPr>
    </w:tblStylePr>
    <w:tblStylePr w:type="band1Horz">
      <w:tblPr/>
      <w:tcPr>
        <w:shd w:val="clear" w:color="auto" w:fill="F6F8F6" w:themeFill="accent4" w:themeFillTint="3F"/>
      </w:tcPr>
    </w:tblStylePr>
  </w:style>
  <w:style w:type="table" w:styleId="MediumList1-Accent5">
    <w:name w:val="Medium List 1 Accent 5"/>
    <w:basedOn w:val="TableNormal"/>
    <w:uiPriority w:val="65"/>
    <w:rsid w:val="00CB0664"/>
    <w:pPr>
      <w:spacing w:after="0" w:line="240" w:lineRule="auto"/>
    </w:pPr>
    <w:rPr>
      <w:color w:val="2E2E2E" w:themeColor="text1"/>
    </w:rPr>
    <w:tblPr>
      <w:tblStyleRowBandSize w:val="1"/>
      <w:tblStyleColBandSize w:val="1"/>
      <w:tblBorders>
        <w:top w:val="single" w:sz="8" w:space="0" w:color="FAF7F2" w:themeColor="accent5"/>
        <w:bottom w:val="single" w:sz="8" w:space="0" w:color="FAF7F2" w:themeColor="accent5"/>
      </w:tblBorders>
    </w:tblPr>
    <w:tblStylePr w:type="firstRow">
      <w:rPr>
        <w:rFonts w:asciiTheme="majorHAnsi" w:eastAsiaTheme="majorEastAsia" w:hAnsiTheme="majorHAnsi" w:cstheme="majorBidi"/>
      </w:rPr>
      <w:tblPr/>
      <w:tcPr>
        <w:tcBorders>
          <w:top w:val="nil"/>
          <w:bottom w:val="single" w:sz="8" w:space="0" w:color="FAF7F2" w:themeColor="accent5"/>
        </w:tcBorders>
      </w:tcPr>
    </w:tblStylePr>
    <w:tblStylePr w:type="lastRow">
      <w:rPr>
        <w:b/>
        <w:bCs/>
        <w:color w:val="627C66" w:themeColor="text2"/>
      </w:rPr>
      <w:tblPr/>
      <w:tcPr>
        <w:tcBorders>
          <w:top w:val="single" w:sz="8" w:space="0" w:color="FAF7F2" w:themeColor="accent5"/>
          <w:bottom w:val="single" w:sz="8" w:space="0" w:color="FAF7F2" w:themeColor="accent5"/>
        </w:tcBorders>
      </w:tcPr>
    </w:tblStylePr>
    <w:tblStylePr w:type="firstCol">
      <w:rPr>
        <w:b/>
        <w:bCs/>
      </w:rPr>
    </w:tblStylePr>
    <w:tblStylePr w:type="lastCol">
      <w:rPr>
        <w:b/>
        <w:bCs/>
      </w:rPr>
      <w:tblPr/>
      <w:tcPr>
        <w:tcBorders>
          <w:top w:val="single" w:sz="8" w:space="0" w:color="FAF7F2" w:themeColor="accent5"/>
          <w:bottom w:val="single" w:sz="8" w:space="0" w:color="FAF7F2" w:themeColor="accent5"/>
        </w:tcBorders>
      </w:tcPr>
    </w:tblStylePr>
    <w:tblStylePr w:type="band1Vert">
      <w:tblPr/>
      <w:tcPr>
        <w:shd w:val="clear" w:color="auto" w:fill="FDFCFB" w:themeFill="accent5" w:themeFillTint="3F"/>
      </w:tcPr>
    </w:tblStylePr>
    <w:tblStylePr w:type="band1Horz">
      <w:tblPr/>
      <w:tcPr>
        <w:shd w:val="clear" w:color="auto" w:fill="FDFCFB" w:themeFill="accent5" w:themeFillTint="3F"/>
      </w:tcPr>
    </w:tblStylePr>
  </w:style>
  <w:style w:type="table" w:styleId="MediumList1-Accent6">
    <w:name w:val="Medium List 1 Accent 6"/>
    <w:basedOn w:val="TableNormal"/>
    <w:uiPriority w:val="65"/>
    <w:rsid w:val="00CB0664"/>
    <w:pPr>
      <w:spacing w:after="0" w:line="240" w:lineRule="auto"/>
    </w:pPr>
    <w:rPr>
      <w:color w:val="2E2E2E" w:themeColor="text1"/>
    </w:rPr>
    <w:tblPr>
      <w:tblStyleRowBandSize w:val="1"/>
      <w:tblStyleColBandSize w:val="1"/>
      <w:tblBorders>
        <w:top w:val="single" w:sz="8" w:space="0" w:color="2E2E2E" w:themeColor="accent6"/>
        <w:bottom w:val="single" w:sz="8" w:space="0" w:color="2E2E2E" w:themeColor="accent6"/>
      </w:tblBorders>
    </w:tblPr>
    <w:tblStylePr w:type="firstRow">
      <w:rPr>
        <w:rFonts w:asciiTheme="majorHAnsi" w:eastAsiaTheme="majorEastAsia" w:hAnsiTheme="majorHAnsi" w:cstheme="majorBidi"/>
      </w:rPr>
      <w:tblPr/>
      <w:tcPr>
        <w:tcBorders>
          <w:top w:val="nil"/>
          <w:bottom w:val="single" w:sz="8" w:space="0" w:color="2E2E2E" w:themeColor="accent6"/>
        </w:tcBorders>
      </w:tcPr>
    </w:tblStylePr>
    <w:tblStylePr w:type="lastRow">
      <w:rPr>
        <w:b/>
        <w:bCs/>
        <w:color w:val="627C66" w:themeColor="text2"/>
      </w:rPr>
      <w:tblPr/>
      <w:tcPr>
        <w:tcBorders>
          <w:top w:val="single" w:sz="8" w:space="0" w:color="2E2E2E" w:themeColor="accent6"/>
          <w:bottom w:val="single" w:sz="8" w:space="0" w:color="2E2E2E" w:themeColor="accent6"/>
        </w:tcBorders>
      </w:tcPr>
    </w:tblStylePr>
    <w:tblStylePr w:type="firstCol">
      <w:rPr>
        <w:b/>
        <w:bCs/>
      </w:rPr>
    </w:tblStylePr>
    <w:tblStylePr w:type="lastCol">
      <w:rPr>
        <w:b/>
        <w:bCs/>
      </w:rPr>
      <w:tblPr/>
      <w:tcPr>
        <w:tcBorders>
          <w:top w:val="single" w:sz="8" w:space="0" w:color="2E2E2E" w:themeColor="accent6"/>
          <w:bottom w:val="single" w:sz="8" w:space="0" w:color="2E2E2E" w:themeColor="accent6"/>
        </w:tcBorders>
      </w:tcPr>
    </w:tblStylePr>
    <w:tblStylePr w:type="band1Vert">
      <w:tblPr/>
      <w:tcPr>
        <w:shd w:val="clear" w:color="auto" w:fill="CBCBCB" w:themeFill="accent6" w:themeFillTint="3F"/>
      </w:tcPr>
    </w:tblStylePr>
    <w:tblStylePr w:type="band1Horz">
      <w:tblPr/>
      <w:tcPr>
        <w:shd w:val="clear" w:color="auto" w:fill="CBCBCB"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2E2E2E" w:themeColor="text1"/>
        <w:left w:val="single" w:sz="8" w:space="0" w:color="2E2E2E" w:themeColor="text1"/>
        <w:bottom w:val="single" w:sz="8" w:space="0" w:color="2E2E2E" w:themeColor="text1"/>
        <w:right w:val="single" w:sz="8" w:space="0" w:color="2E2E2E" w:themeColor="text1"/>
      </w:tblBorders>
    </w:tblPr>
    <w:tblStylePr w:type="firstRow">
      <w:rPr>
        <w:sz w:val="24"/>
        <w:szCs w:val="24"/>
      </w:rPr>
      <w:tblPr/>
      <w:tcPr>
        <w:tcBorders>
          <w:top w:val="nil"/>
          <w:left w:val="nil"/>
          <w:bottom w:val="single" w:sz="24" w:space="0" w:color="2E2E2E" w:themeColor="text1"/>
          <w:right w:val="nil"/>
          <w:insideH w:val="nil"/>
          <w:insideV w:val="nil"/>
        </w:tcBorders>
        <w:shd w:val="clear" w:color="auto" w:fill="FAF7F2" w:themeFill="background1"/>
      </w:tcPr>
    </w:tblStylePr>
    <w:tblStylePr w:type="lastRow">
      <w:tblPr/>
      <w:tcPr>
        <w:tcBorders>
          <w:top w:val="single" w:sz="8" w:space="0" w:color="2E2E2E" w:themeColor="text1"/>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2E2E2E" w:themeColor="text1"/>
          <w:insideH w:val="nil"/>
          <w:insideV w:val="nil"/>
        </w:tcBorders>
        <w:shd w:val="clear" w:color="auto" w:fill="FAF7F2" w:themeFill="background1"/>
      </w:tcPr>
    </w:tblStylePr>
    <w:tblStylePr w:type="lastCol">
      <w:tblPr/>
      <w:tcPr>
        <w:tcBorders>
          <w:top w:val="nil"/>
          <w:left w:val="single" w:sz="8" w:space="0" w:color="2E2E2E" w:themeColor="text1"/>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CBCBCB" w:themeFill="text1" w:themeFillTint="3F"/>
      </w:tcPr>
    </w:tblStylePr>
    <w:tblStylePr w:type="band1Horz">
      <w:tblPr/>
      <w:tcPr>
        <w:tcBorders>
          <w:top w:val="nil"/>
          <w:bottom w:val="nil"/>
          <w:insideH w:val="nil"/>
          <w:insideV w:val="nil"/>
        </w:tcBorders>
        <w:shd w:val="clear" w:color="auto" w:fill="CBCBCB" w:themeFill="text1"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C9A86A" w:themeColor="accent1"/>
        <w:left w:val="single" w:sz="8" w:space="0" w:color="C9A86A" w:themeColor="accent1"/>
        <w:bottom w:val="single" w:sz="8" w:space="0" w:color="C9A86A" w:themeColor="accent1"/>
        <w:right w:val="single" w:sz="8" w:space="0" w:color="C9A86A" w:themeColor="accent1"/>
      </w:tblBorders>
    </w:tblPr>
    <w:tblStylePr w:type="firstRow">
      <w:rPr>
        <w:sz w:val="24"/>
        <w:szCs w:val="24"/>
      </w:rPr>
      <w:tblPr/>
      <w:tcPr>
        <w:tcBorders>
          <w:top w:val="nil"/>
          <w:left w:val="nil"/>
          <w:bottom w:val="single" w:sz="24" w:space="0" w:color="C9A86A" w:themeColor="accent1"/>
          <w:right w:val="nil"/>
          <w:insideH w:val="nil"/>
          <w:insideV w:val="nil"/>
        </w:tcBorders>
        <w:shd w:val="clear" w:color="auto" w:fill="FAF7F2" w:themeFill="background1"/>
      </w:tcPr>
    </w:tblStylePr>
    <w:tblStylePr w:type="lastRow">
      <w:tblPr/>
      <w:tcPr>
        <w:tcBorders>
          <w:top w:val="single" w:sz="8" w:space="0" w:color="C9A86A" w:themeColor="accent1"/>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C9A86A" w:themeColor="accent1"/>
          <w:insideH w:val="nil"/>
          <w:insideV w:val="nil"/>
        </w:tcBorders>
        <w:shd w:val="clear" w:color="auto" w:fill="FAF7F2" w:themeFill="background1"/>
      </w:tcPr>
    </w:tblStylePr>
    <w:tblStylePr w:type="lastCol">
      <w:tblPr/>
      <w:tcPr>
        <w:tcBorders>
          <w:top w:val="nil"/>
          <w:left w:val="single" w:sz="8" w:space="0" w:color="C9A86A" w:themeColor="accent1"/>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F1E9DA" w:themeFill="accent1" w:themeFillTint="3F"/>
      </w:tcPr>
    </w:tblStylePr>
    <w:tblStylePr w:type="band1Horz">
      <w:tblPr/>
      <w:tcPr>
        <w:tcBorders>
          <w:top w:val="nil"/>
          <w:bottom w:val="nil"/>
          <w:insideH w:val="nil"/>
          <w:insideV w:val="nil"/>
        </w:tcBorders>
        <w:shd w:val="clear" w:color="auto" w:fill="F1E9DA" w:themeFill="accent1"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E4D6B6" w:themeColor="accent2"/>
        <w:left w:val="single" w:sz="8" w:space="0" w:color="E4D6B6" w:themeColor="accent2"/>
        <w:bottom w:val="single" w:sz="8" w:space="0" w:color="E4D6B6" w:themeColor="accent2"/>
        <w:right w:val="single" w:sz="8" w:space="0" w:color="E4D6B6" w:themeColor="accent2"/>
      </w:tblBorders>
    </w:tblPr>
    <w:tblStylePr w:type="firstRow">
      <w:rPr>
        <w:sz w:val="24"/>
        <w:szCs w:val="24"/>
      </w:rPr>
      <w:tblPr/>
      <w:tcPr>
        <w:tcBorders>
          <w:top w:val="nil"/>
          <w:left w:val="nil"/>
          <w:bottom w:val="single" w:sz="24" w:space="0" w:color="E4D6B6" w:themeColor="accent2"/>
          <w:right w:val="nil"/>
          <w:insideH w:val="nil"/>
          <w:insideV w:val="nil"/>
        </w:tcBorders>
        <w:shd w:val="clear" w:color="auto" w:fill="FAF7F2" w:themeFill="background1"/>
      </w:tcPr>
    </w:tblStylePr>
    <w:tblStylePr w:type="lastRow">
      <w:tblPr/>
      <w:tcPr>
        <w:tcBorders>
          <w:top w:val="single" w:sz="8" w:space="0" w:color="E4D6B6" w:themeColor="accent2"/>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E4D6B6" w:themeColor="accent2"/>
          <w:insideH w:val="nil"/>
          <w:insideV w:val="nil"/>
        </w:tcBorders>
        <w:shd w:val="clear" w:color="auto" w:fill="FAF7F2" w:themeFill="background1"/>
      </w:tcPr>
    </w:tblStylePr>
    <w:tblStylePr w:type="lastCol">
      <w:tblPr/>
      <w:tcPr>
        <w:tcBorders>
          <w:top w:val="nil"/>
          <w:left w:val="single" w:sz="8" w:space="0" w:color="E4D6B6" w:themeColor="accent2"/>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F8F4EC" w:themeFill="accent2" w:themeFillTint="3F"/>
      </w:tcPr>
    </w:tblStylePr>
    <w:tblStylePr w:type="band1Horz">
      <w:tblPr/>
      <w:tcPr>
        <w:tcBorders>
          <w:top w:val="nil"/>
          <w:bottom w:val="nil"/>
          <w:insideH w:val="nil"/>
          <w:insideV w:val="nil"/>
        </w:tcBorders>
        <w:shd w:val="clear" w:color="auto" w:fill="F8F4EC" w:themeFill="accent2"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627C66" w:themeColor="accent3"/>
        <w:left w:val="single" w:sz="8" w:space="0" w:color="627C66" w:themeColor="accent3"/>
        <w:bottom w:val="single" w:sz="8" w:space="0" w:color="627C66" w:themeColor="accent3"/>
        <w:right w:val="single" w:sz="8" w:space="0" w:color="627C66" w:themeColor="accent3"/>
      </w:tblBorders>
    </w:tblPr>
    <w:tblStylePr w:type="firstRow">
      <w:rPr>
        <w:sz w:val="24"/>
        <w:szCs w:val="24"/>
      </w:rPr>
      <w:tblPr/>
      <w:tcPr>
        <w:tcBorders>
          <w:top w:val="nil"/>
          <w:left w:val="nil"/>
          <w:bottom w:val="single" w:sz="24" w:space="0" w:color="627C66" w:themeColor="accent3"/>
          <w:right w:val="nil"/>
          <w:insideH w:val="nil"/>
          <w:insideV w:val="nil"/>
        </w:tcBorders>
        <w:shd w:val="clear" w:color="auto" w:fill="FAF7F2" w:themeFill="background1"/>
      </w:tcPr>
    </w:tblStylePr>
    <w:tblStylePr w:type="lastRow">
      <w:tblPr/>
      <w:tcPr>
        <w:tcBorders>
          <w:top w:val="single" w:sz="8" w:space="0" w:color="627C66" w:themeColor="accent3"/>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627C66" w:themeColor="accent3"/>
          <w:insideH w:val="nil"/>
          <w:insideV w:val="nil"/>
        </w:tcBorders>
        <w:shd w:val="clear" w:color="auto" w:fill="FAF7F2" w:themeFill="background1"/>
      </w:tcPr>
    </w:tblStylePr>
    <w:tblStylePr w:type="lastCol">
      <w:tblPr/>
      <w:tcPr>
        <w:tcBorders>
          <w:top w:val="nil"/>
          <w:left w:val="single" w:sz="8" w:space="0" w:color="627C66" w:themeColor="accent3"/>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D7DFD8" w:themeFill="accent3" w:themeFillTint="3F"/>
      </w:tcPr>
    </w:tblStylePr>
    <w:tblStylePr w:type="band1Horz">
      <w:tblPr/>
      <w:tcPr>
        <w:tcBorders>
          <w:top w:val="nil"/>
          <w:bottom w:val="nil"/>
          <w:insideH w:val="nil"/>
          <w:insideV w:val="nil"/>
        </w:tcBorders>
        <w:shd w:val="clear" w:color="auto" w:fill="D7DFD8" w:themeFill="accent3"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DCE5DF" w:themeColor="accent4"/>
        <w:left w:val="single" w:sz="8" w:space="0" w:color="DCE5DF" w:themeColor="accent4"/>
        <w:bottom w:val="single" w:sz="8" w:space="0" w:color="DCE5DF" w:themeColor="accent4"/>
        <w:right w:val="single" w:sz="8" w:space="0" w:color="DCE5DF" w:themeColor="accent4"/>
      </w:tblBorders>
    </w:tblPr>
    <w:tblStylePr w:type="firstRow">
      <w:rPr>
        <w:sz w:val="24"/>
        <w:szCs w:val="24"/>
      </w:rPr>
      <w:tblPr/>
      <w:tcPr>
        <w:tcBorders>
          <w:top w:val="nil"/>
          <w:left w:val="nil"/>
          <w:bottom w:val="single" w:sz="24" w:space="0" w:color="DCE5DF" w:themeColor="accent4"/>
          <w:right w:val="nil"/>
          <w:insideH w:val="nil"/>
          <w:insideV w:val="nil"/>
        </w:tcBorders>
        <w:shd w:val="clear" w:color="auto" w:fill="FAF7F2" w:themeFill="background1"/>
      </w:tcPr>
    </w:tblStylePr>
    <w:tblStylePr w:type="lastRow">
      <w:tblPr/>
      <w:tcPr>
        <w:tcBorders>
          <w:top w:val="single" w:sz="8" w:space="0" w:color="DCE5DF" w:themeColor="accent4"/>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DCE5DF" w:themeColor="accent4"/>
          <w:insideH w:val="nil"/>
          <w:insideV w:val="nil"/>
        </w:tcBorders>
        <w:shd w:val="clear" w:color="auto" w:fill="FAF7F2" w:themeFill="background1"/>
      </w:tcPr>
    </w:tblStylePr>
    <w:tblStylePr w:type="lastCol">
      <w:tblPr/>
      <w:tcPr>
        <w:tcBorders>
          <w:top w:val="nil"/>
          <w:left w:val="single" w:sz="8" w:space="0" w:color="DCE5DF" w:themeColor="accent4"/>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F6F8F6" w:themeFill="accent4" w:themeFillTint="3F"/>
      </w:tcPr>
    </w:tblStylePr>
    <w:tblStylePr w:type="band1Horz">
      <w:tblPr/>
      <w:tcPr>
        <w:tcBorders>
          <w:top w:val="nil"/>
          <w:bottom w:val="nil"/>
          <w:insideH w:val="nil"/>
          <w:insideV w:val="nil"/>
        </w:tcBorders>
        <w:shd w:val="clear" w:color="auto" w:fill="F6F8F6" w:themeFill="accent4"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FAF7F2" w:themeColor="accent5"/>
        <w:left w:val="single" w:sz="8" w:space="0" w:color="FAF7F2" w:themeColor="accent5"/>
        <w:bottom w:val="single" w:sz="8" w:space="0" w:color="FAF7F2" w:themeColor="accent5"/>
        <w:right w:val="single" w:sz="8" w:space="0" w:color="FAF7F2" w:themeColor="accent5"/>
      </w:tblBorders>
    </w:tblPr>
    <w:tblStylePr w:type="firstRow">
      <w:rPr>
        <w:sz w:val="24"/>
        <w:szCs w:val="24"/>
      </w:rPr>
      <w:tblPr/>
      <w:tcPr>
        <w:tcBorders>
          <w:top w:val="nil"/>
          <w:left w:val="nil"/>
          <w:bottom w:val="single" w:sz="24" w:space="0" w:color="FAF7F2" w:themeColor="accent5"/>
          <w:right w:val="nil"/>
          <w:insideH w:val="nil"/>
          <w:insideV w:val="nil"/>
        </w:tcBorders>
        <w:shd w:val="clear" w:color="auto" w:fill="FAF7F2" w:themeFill="background1"/>
      </w:tcPr>
    </w:tblStylePr>
    <w:tblStylePr w:type="lastRow">
      <w:tblPr/>
      <w:tcPr>
        <w:tcBorders>
          <w:top w:val="single" w:sz="8" w:space="0" w:color="FAF7F2" w:themeColor="accent5"/>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FAF7F2" w:themeColor="accent5"/>
          <w:insideH w:val="nil"/>
          <w:insideV w:val="nil"/>
        </w:tcBorders>
        <w:shd w:val="clear" w:color="auto" w:fill="FAF7F2" w:themeFill="background1"/>
      </w:tcPr>
    </w:tblStylePr>
    <w:tblStylePr w:type="lastCol">
      <w:tblPr/>
      <w:tcPr>
        <w:tcBorders>
          <w:top w:val="nil"/>
          <w:left w:val="single" w:sz="8" w:space="0" w:color="FAF7F2" w:themeColor="accent5"/>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FDFCFB" w:themeFill="accent5" w:themeFillTint="3F"/>
      </w:tcPr>
    </w:tblStylePr>
    <w:tblStylePr w:type="band1Horz">
      <w:tblPr/>
      <w:tcPr>
        <w:tcBorders>
          <w:top w:val="nil"/>
          <w:bottom w:val="nil"/>
          <w:insideH w:val="nil"/>
          <w:insideV w:val="nil"/>
        </w:tcBorders>
        <w:shd w:val="clear" w:color="auto" w:fill="FDFCFB" w:themeFill="accent5"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2E2E2E" w:themeColor="accent6"/>
        <w:left w:val="single" w:sz="8" w:space="0" w:color="2E2E2E" w:themeColor="accent6"/>
        <w:bottom w:val="single" w:sz="8" w:space="0" w:color="2E2E2E" w:themeColor="accent6"/>
        <w:right w:val="single" w:sz="8" w:space="0" w:color="2E2E2E" w:themeColor="accent6"/>
      </w:tblBorders>
    </w:tblPr>
    <w:tblStylePr w:type="firstRow">
      <w:rPr>
        <w:sz w:val="24"/>
        <w:szCs w:val="24"/>
      </w:rPr>
      <w:tblPr/>
      <w:tcPr>
        <w:tcBorders>
          <w:top w:val="nil"/>
          <w:left w:val="nil"/>
          <w:bottom w:val="single" w:sz="24" w:space="0" w:color="2E2E2E" w:themeColor="accent6"/>
          <w:right w:val="nil"/>
          <w:insideH w:val="nil"/>
          <w:insideV w:val="nil"/>
        </w:tcBorders>
        <w:shd w:val="clear" w:color="auto" w:fill="FAF7F2" w:themeFill="background1"/>
      </w:tcPr>
    </w:tblStylePr>
    <w:tblStylePr w:type="lastRow">
      <w:tblPr/>
      <w:tcPr>
        <w:tcBorders>
          <w:top w:val="single" w:sz="8" w:space="0" w:color="2E2E2E" w:themeColor="accent6"/>
          <w:left w:val="nil"/>
          <w:bottom w:val="nil"/>
          <w:right w:val="nil"/>
          <w:insideH w:val="nil"/>
          <w:insideV w:val="nil"/>
        </w:tcBorders>
        <w:shd w:val="clear" w:color="auto" w:fill="FAF7F2" w:themeFill="background1"/>
      </w:tcPr>
    </w:tblStylePr>
    <w:tblStylePr w:type="firstCol">
      <w:tblPr/>
      <w:tcPr>
        <w:tcBorders>
          <w:top w:val="nil"/>
          <w:left w:val="nil"/>
          <w:bottom w:val="nil"/>
          <w:right w:val="single" w:sz="8" w:space="0" w:color="2E2E2E" w:themeColor="accent6"/>
          <w:insideH w:val="nil"/>
          <w:insideV w:val="nil"/>
        </w:tcBorders>
        <w:shd w:val="clear" w:color="auto" w:fill="FAF7F2" w:themeFill="background1"/>
      </w:tcPr>
    </w:tblStylePr>
    <w:tblStylePr w:type="lastCol">
      <w:tblPr/>
      <w:tcPr>
        <w:tcBorders>
          <w:top w:val="nil"/>
          <w:left w:val="single" w:sz="8" w:space="0" w:color="2E2E2E" w:themeColor="accent6"/>
          <w:bottom w:val="nil"/>
          <w:right w:val="nil"/>
          <w:insideH w:val="nil"/>
          <w:insideV w:val="nil"/>
        </w:tcBorders>
        <w:shd w:val="clear" w:color="auto" w:fill="FAF7F2" w:themeFill="background1"/>
      </w:tcPr>
    </w:tblStylePr>
    <w:tblStylePr w:type="band1Vert">
      <w:tblPr/>
      <w:tcPr>
        <w:tcBorders>
          <w:left w:val="nil"/>
          <w:right w:val="nil"/>
          <w:insideH w:val="nil"/>
          <w:insideV w:val="nil"/>
        </w:tcBorders>
        <w:shd w:val="clear" w:color="auto" w:fill="CBCBCB" w:themeFill="accent6" w:themeFillTint="3F"/>
      </w:tcPr>
    </w:tblStylePr>
    <w:tblStylePr w:type="band1Horz">
      <w:tblPr/>
      <w:tcPr>
        <w:tcBorders>
          <w:top w:val="nil"/>
          <w:bottom w:val="nil"/>
          <w:insideH w:val="nil"/>
          <w:insideV w:val="nil"/>
        </w:tcBorders>
        <w:shd w:val="clear" w:color="auto" w:fill="CBCBCB" w:themeFill="accent6" w:themeFillTint="3F"/>
      </w:tcPr>
    </w:tblStylePr>
    <w:tblStylePr w:type="nwCell">
      <w:tblPr/>
      <w:tcPr>
        <w:shd w:val="clear" w:color="auto" w:fill="FAF7F2"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626262" w:themeColor="text1" w:themeTint="BF"/>
        <w:left w:val="single" w:sz="8" w:space="0" w:color="626262" w:themeColor="text1" w:themeTint="BF"/>
        <w:bottom w:val="single" w:sz="8" w:space="0" w:color="626262" w:themeColor="text1" w:themeTint="BF"/>
        <w:right w:val="single" w:sz="8" w:space="0" w:color="626262" w:themeColor="text1" w:themeTint="BF"/>
        <w:insideH w:val="single" w:sz="8" w:space="0" w:color="626262" w:themeColor="text1" w:themeTint="BF"/>
        <w:insideV w:val="single" w:sz="8" w:space="0" w:color="626262" w:themeColor="text1" w:themeTint="BF"/>
      </w:tblBorders>
    </w:tblPr>
    <w:tcPr>
      <w:shd w:val="clear" w:color="auto" w:fill="CBCBCB" w:themeFill="text1" w:themeFillTint="3F"/>
    </w:tcPr>
    <w:tblStylePr w:type="firstRow">
      <w:rPr>
        <w:b/>
        <w:bCs/>
      </w:rPr>
    </w:tblStylePr>
    <w:tblStylePr w:type="lastRow">
      <w:rPr>
        <w:b/>
        <w:bCs/>
      </w:rPr>
      <w:tblPr/>
      <w:tcPr>
        <w:tcBorders>
          <w:top w:val="single" w:sz="18" w:space="0" w:color="626262" w:themeColor="text1" w:themeTint="BF"/>
        </w:tcBorders>
      </w:tcPr>
    </w:tblStylePr>
    <w:tblStylePr w:type="firstCol">
      <w:rPr>
        <w:b/>
        <w:bCs/>
      </w:rPr>
    </w:tblStylePr>
    <w:tblStylePr w:type="lastCol">
      <w:rPr>
        <w:b/>
        <w:bCs/>
      </w:rPr>
    </w:tblStylePr>
    <w:tblStylePr w:type="band1Vert">
      <w:tblPr/>
      <w:tcPr>
        <w:shd w:val="clear" w:color="auto" w:fill="969696" w:themeFill="text1" w:themeFillTint="7F"/>
      </w:tcPr>
    </w:tblStylePr>
    <w:tblStylePr w:type="band1Horz">
      <w:tblPr/>
      <w:tcPr>
        <w:shd w:val="clear" w:color="auto" w:fill="969696"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D6BD8F" w:themeColor="accent1" w:themeTint="BF"/>
        <w:left w:val="single" w:sz="8" w:space="0" w:color="D6BD8F" w:themeColor="accent1" w:themeTint="BF"/>
        <w:bottom w:val="single" w:sz="8" w:space="0" w:color="D6BD8F" w:themeColor="accent1" w:themeTint="BF"/>
        <w:right w:val="single" w:sz="8" w:space="0" w:color="D6BD8F" w:themeColor="accent1" w:themeTint="BF"/>
        <w:insideH w:val="single" w:sz="8" w:space="0" w:color="D6BD8F" w:themeColor="accent1" w:themeTint="BF"/>
        <w:insideV w:val="single" w:sz="8" w:space="0" w:color="D6BD8F" w:themeColor="accent1" w:themeTint="BF"/>
      </w:tblBorders>
    </w:tblPr>
    <w:tcPr>
      <w:shd w:val="clear" w:color="auto" w:fill="F1E9DA" w:themeFill="accent1" w:themeFillTint="3F"/>
    </w:tcPr>
    <w:tblStylePr w:type="firstRow">
      <w:rPr>
        <w:b/>
        <w:bCs/>
      </w:rPr>
    </w:tblStylePr>
    <w:tblStylePr w:type="lastRow">
      <w:rPr>
        <w:b/>
        <w:bCs/>
      </w:rPr>
      <w:tblPr/>
      <w:tcPr>
        <w:tcBorders>
          <w:top w:val="single" w:sz="18" w:space="0" w:color="D6BD8F" w:themeColor="accent1" w:themeTint="BF"/>
        </w:tcBorders>
      </w:tcPr>
    </w:tblStylePr>
    <w:tblStylePr w:type="firstCol">
      <w:rPr>
        <w:b/>
        <w:bCs/>
      </w:rPr>
    </w:tblStylePr>
    <w:tblStylePr w:type="lastCol">
      <w:rPr>
        <w:b/>
        <w:bCs/>
      </w:rPr>
    </w:tblStylePr>
    <w:tblStylePr w:type="band1Vert">
      <w:tblPr/>
      <w:tcPr>
        <w:shd w:val="clear" w:color="auto" w:fill="E4D3B4" w:themeFill="accent1" w:themeFillTint="7F"/>
      </w:tcPr>
    </w:tblStylePr>
    <w:tblStylePr w:type="band1Horz">
      <w:tblPr/>
      <w:tcPr>
        <w:shd w:val="clear" w:color="auto" w:fill="E4D3B4"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AE0C8" w:themeColor="accent2" w:themeTint="BF"/>
        <w:left w:val="single" w:sz="8" w:space="0" w:color="EAE0C8" w:themeColor="accent2" w:themeTint="BF"/>
        <w:bottom w:val="single" w:sz="8" w:space="0" w:color="EAE0C8" w:themeColor="accent2" w:themeTint="BF"/>
        <w:right w:val="single" w:sz="8" w:space="0" w:color="EAE0C8" w:themeColor="accent2" w:themeTint="BF"/>
        <w:insideH w:val="single" w:sz="8" w:space="0" w:color="EAE0C8" w:themeColor="accent2" w:themeTint="BF"/>
        <w:insideV w:val="single" w:sz="8" w:space="0" w:color="EAE0C8" w:themeColor="accent2" w:themeTint="BF"/>
      </w:tblBorders>
    </w:tblPr>
    <w:tcPr>
      <w:shd w:val="clear" w:color="auto" w:fill="F8F4EC" w:themeFill="accent2" w:themeFillTint="3F"/>
    </w:tcPr>
    <w:tblStylePr w:type="firstRow">
      <w:rPr>
        <w:b/>
        <w:bCs/>
      </w:rPr>
    </w:tblStylePr>
    <w:tblStylePr w:type="lastRow">
      <w:rPr>
        <w:b/>
        <w:bCs/>
      </w:rPr>
      <w:tblPr/>
      <w:tcPr>
        <w:tcBorders>
          <w:top w:val="single" w:sz="18" w:space="0" w:color="EAE0C8" w:themeColor="accent2" w:themeTint="BF"/>
        </w:tcBorders>
      </w:tcPr>
    </w:tblStylePr>
    <w:tblStylePr w:type="firstCol">
      <w:rPr>
        <w:b/>
        <w:bCs/>
      </w:rPr>
    </w:tblStylePr>
    <w:tblStylePr w:type="lastCol">
      <w:rPr>
        <w:b/>
        <w:bCs/>
      </w:rPr>
    </w:tblStylePr>
    <w:tblStylePr w:type="band1Vert">
      <w:tblPr/>
      <w:tcPr>
        <w:shd w:val="clear" w:color="auto" w:fill="F1EADA" w:themeFill="accent2" w:themeFillTint="7F"/>
      </w:tcPr>
    </w:tblStylePr>
    <w:tblStylePr w:type="band1Horz">
      <w:tblPr/>
      <w:tcPr>
        <w:shd w:val="clear" w:color="auto" w:fill="F1EADA"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869F8A" w:themeColor="accent3" w:themeTint="BF"/>
        <w:left w:val="single" w:sz="8" w:space="0" w:color="869F8A" w:themeColor="accent3" w:themeTint="BF"/>
        <w:bottom w:val="single" w:sz="8" w:space="0" w:color="869F8A" w:themeColor="accent3" w:themeTint="BF"/>
        <w:right w:val="single" w:sz="8" w:space="0" w:color="869F8A" w:themeColor="accent3" w:themeTint="BF"/>
        <w:insideH w:val="single" w:sz="8" w:space="0" w:color="869F8A" w:themeColor="accent3" w:themeTint="BF"/>
        <w:insideV w:val="single" w:sz="8" w:space="0" w:color="869F8A" w:themeColor="accent3" w:themeTint="BF"/>
      </w:tblBorders>
    </w:tblPr>
    <w:tcPr>
      <w:shd w:val="clear" w:color="auto" w:fill="D7DFD8" w:themeFill="accent3" w:themeFillTint="3F"/>
    </w:tcPr>
    <w:tblStylePr w:type="firstRow">
      <w:rPr>
        <w:b/>
        <w:bCs/>
      </w:rPr>
    </w:tblStylePr>
    <w:tblStylePr w:type="lastRow">
      <w:rPr>
        <w:b/>
        <w:bCs/>
      </w:rPr>
      <w:tblPr/>
      <w:tcPr>
        <w:tcBorders>
          <w:top w:val="single" w:sz="18" w:space="0" w:color="869F8A" w:themeColor="accent3" w:themeTint="BF"/>
        </w:tcBorders>
      </w:tcPr>
    </w:tblStylePr>
    <w:tblStylePr w:type="firstCol">
      <w:rPr>
        <w:b/>
        <w:bCs/>
      </w:rPr>
    </w:tblStylePr>
    <w:tblStylePr w:type="lastCol">
      <w:rPr>
        <w:b/>
        <w:bCs/>
      </w:rPr>
    </w:tblStylePr>
    <w:tblStylePr w:type="band1Vert">
      <w:tblPr/>
      <w:tcPr>
        <w:shd w:val="clear" w:color="auto" w:fill="AEBFB1" w:themeFill="accent3" w:themeFillTint="7F"/>
      </w:tcPr>
    </w:tblStylePr>
    <w:tblStylePr w:type="band1Horz">
      <w:tblPr/>
      <w:tcPr>
        <w:shd w:val="clear" w:color="auto" w:fill="AEBFB1"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E4EBE6" w:themeColor="accent4" w:themeTint="BF"/>
        <w:left w:val="single" w:sz="8" w:space="0" w:color="E4EBE6" w:themeColor="accent4" w:themeTint="BF"/>
        <w:bottom w:val="single" w:sz="8" w:space="0" w:color="E4EBE6" w:themeColor="accent4" w:themeTint="BF"/>
        <w:right w:val="single" w:sz="8" w:space="0" w:color="E4EBE6" w:themeColor="accent4" w:themeTint="BF"/>
        <w:insideH w:val="single" w:sz="8" w:space="0" w:color="E4EBE6" w:themeColor="accent4" w:themeTint="BF"/>
        <w:insideV w:val="single" w:sz="8" w:space="0" w:color="E4EBE6" w:themeColor="accent4" w:themeTint="BF"/>
      </w:tblBorders>
    </w:tblPr>
    <w:tcPr>
      <w:shd w:val="clear" w:color="auto" w:fill="F6F8F6" w:themeFill="accent4" w:themeFillTint="3F"/>
    </w:tcPr>
    <w:tblStylePr w:type="firstRow">
      <w:rPr>
        <w:b/>
        <w:bCs/>
      </w:rPr>
    </w:tblStylePr>
    <w:tblStylePr w:type="lastRow">
      <w:rPr>
        <w:b/>
        <w:bCs/>
      </w:rPr>
      <w:tblPr/>
      <w:tcPr>
        <w:tcBorders>
          <w:top w:val="single" w:sz="18" w:space="0" w:color="E4EBE6" w:themeColor="accent4" w:themeTint="BF"/>
        </w:tcBorders>
      </w:tcPr>
    </w:tblStylePr>
    <w:tblStylePr w:type="firstCol">
      <w:rPr>
        <w:b/>
        <w:bCs/>
      </w:rPr>
    </w:tblStylePr>
    <w:tblStylePr w:type="lastCol">
      <w:rPr>
        <w:b/>
        <w:bCs/>
      </w:rPr>
    </w:tblStylePr>
    <w:tblStylePr w:type="band1Vert">
      <w:tblPr/>
      <w:tcPr>
        <w:shd w:val="clear" w:color="auto" w:fill="EDF2EE" w:themeFill="accent4" w:themeFillTint="7F"/>
      </w:tcPr>
    </w:tblStylePr>
    <w:tblStylePr w:type="band1Horz">
      <w:tblPr/>
      <w:tcPr>
        <w:shd w:val="clear" w:color="auto" w:fill="EDF2EE"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FBF8F5" w:themeColor="accent5" w:themeTint="BF"/>
        <w:left w:val="single" w:sz="8" w:space="0" w:color="FBF8F5" w:themeColor="accent5" w:themeTint="BF"/>
        <w:bottom w:val="single" w:sz="8" w:space="0" w:color="FBF8F5" w:themeColor="accent5" w:themeTint="BF"/>
        <w:right w:val="single" w:sz="8" w:space="0" w:color="FBF8F5" w:themeColor="accent5" w:themeTint="BF"/>
        <w:insideH w:val="single" w:sz="8" w:space="0" w:color="FBF8F5" w:themeColor="accent5" w:themeTint="BF"/>
        <w:insideV w:val="single" w:sz="8" w:space="0" w:color="FBF8F5" w:themeColor="accent5" w:themeTint="BF"/>
      </w:tblBorders>
    </w:tblPr>
    <w:tcPr>
      <w:shd w:val="clear" w:color="auto" w:fill="FDFCFB" w:themeFill="accent5" w:themeFillTint="3F"/>
    </w:tcPr>
    <w:tblStylePr w:type="firstRow">
      <w:rPr>
        <w:b/>
        <w:bCs/>
      </w:rPr>
    </w:tblStylePr>
    <w:tblStylePr w:type="lastRow">
      <w:rPr>
        <w:b/>
        <w:bCs/>
      </w:rPr>
      <w:tblPr/>
      <w:tcPr>
        <w:tcBorders>
          <w:top w:val="single" w:sz="18" w:space="0" w:color="FBF8F5" w:themeColor="accent5" w:themeTint="BF"/>
        </w:tcBorders>
      </w:tcPr>
    </w:tblStylePr>
    <w:tblStylePr w:type="firstCol">
      <w:rPr>
        <w:b/>
        <w:bCs/>
      </w:rPr>
    </w:tblStylePr>
    <w:tblStylePr w:type="lastCol">
      <w:rPr>
        <w:b/>
        <w:bCs/>
      </w:rPr>
    </w:tblStylePr>
    <w:tblStylePr w:type="band1Vert">
      <w:tblPr/>
      <w:tcPr>
        <w:shd w:val="clear" w:color="auto" w:fill="FCFAF8" w:themeFill="accent5" w:themeFillTint="7F"/>
      </w:tcPr>
    </w:tblStylePr>
    <w:tblStylePr w:type="band1Horz">
      <w:tblPr/>
      <w:tcPr>
        <w:shd w:val="clear" w:color="auto" w:fill="FCFAF8"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626262" w:themeColor="accent6" w:themeTint="BF"/>
        <w:left w:val="single" w:sz="8" w:space="0" w:color="626262" w:themeColor="accent6" w:themeTint="BF"/>
        <w:bottom w:val="single" w:sz="8" w:space="0" w:color="626262" w:themeColor="accent6" w:themeTint="BF"/>
        <w:right w:val="single" w:sz="8" w:space="0" w:color="626262" w:themeColor="accent6" w:themeTint="BF"/>
        <w:insideH w:val="single" w:sz="8" w:space="0" w:color="626262" w:themeColor="accent6" w:themeTint="BF"/>
        <w:insideV w:val="single" w:sz="8" w:space="0" w:color="626262" w:themeColor="accent6" w:themeTint="BF"/>
      </w:tblBorders>
    </w:tblPr>
    <w:tcPr>
      <w:shd w:val="clear" w:color="auto" w:fill="CBCBCB" w:themeFill="accent6" w:themeFillTint="3F"/>
    </w:tcPr>
    <w:tblStylePr w:type="firstRow">
      <w:rPr>
        <w:b/>
        <w:bCs/>
      </w:rPr>
    </w:tblStylePr>
    <w:tblStylePr w:type="lastRow">
      <w:rPr>
        <w:b/>
        <w:bCs/>
      </w:rPr>
      <w:tblPr/>
      <w:tcPr>
        <w:tcBorders>
          <w:top w:val="single" w:sz="18" w:space="0" w:color="626262" w:themeColor="accent6" w:themeTint="BF"/>
        </w:tcBorders>
      </w:tcPr>
    </w:tblStylePr>
    <w:tblStylePr w:type="firstCol">
      <w:rPr>
        <w:b/>
        <w:bCs/>
      </w:rPr>
    </w:tblStylePr>
    <w:tblStylePr w:type="lastCol">
      <w:rPr>
        <w:b/>
        <w:bCs/>
      </w:rPr>
    </w:tblStylePr>
    <w:tblStylePr w:type="band1Vert">
      <w:tblPr/>
      <w:tcPr>
        <w:shd w:val="clear" w:color="auto" w:fill="969696" w:themeFill="accent6" w:themeFillTint="7F"/>
      </w:tcPr>
    </w:tblStylePr>
    <w:tblStylePr w:type="band1Horz">
      <w:tblPr/>
      <w:tcPr>
        <w:shd w:val="clear" w:color="auto" w:fill="969696"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2E2E2E" w:themeColor="text1"/>
        <w:left w:val="single" w:sz="8" w:space="0" w:color="2E2E2E" w:themeColor="text1"/>
        <w:bottom w:val="single" w:sz="8" w:space="0" w:color="2E2E2E" w:themeColor="text1"/>
        <w:right w:val="single" w:sz="8" w:space="0" w:color="2E2E2E" w:themeColor="text1"/>
        <w:insideH w:val="single" w:sz="8" w:space="0" w:color="2E2E2E" w:themeColor="text1"/>
        <w:insideV w:val="single" w:sz="8" w:space="0" w:color="2E2E2E" w:themeColor="text1"/>
      </w:tblBorders>
    </w:tblPr>
    <w:tcPr>
      <w:shd w:val="clear" w:color="auto" w:fill="CBCBCB" w:themeFill="text1" w:themeFillTint="3F"/>
    </w:tcPr>
    <w:tblStylePr w:type="firstRow">
      <w:rPr>
        <w:b/>
        <w:bCs/>
        <w:color w:val="2E2E2E" w:themeColor="text1"/>
      </w:rPr>
      <w:tblPr/>
      <w:tcPr>
        <w:shd w:val="clear" w:color="auto" w:fill="EAEAEA" w:themeFill="text1"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D5D5D5" w:themeFill="text1" w:themeFillTint="33"/>
      </w:tcPr>
    </w:tblStylePr>
    <w:tblStylePr w:type="band1Vert">
      <w:tblPr/>
      <w:tcPr>
        <w:shd w:val="clear" w:color="auto" w:fill="969696" w:themeFill="text1" w:themeFillTint="7F"/>
      </w:tcPr>
    </w:tblStylePr>
    <w:tblStylePr w:type="band1Horz">
      <w:tblPr/>
      <w:tcPr>
        <w:tcBorders>
          <w:insideH w:val="single" w:sz="6" w:space="0" w:color="2E2E2E" w:themeColor="text1"/>
          <w:insideV w:val="single" w:sz="6" w:space="0" w:color="2E2E2E" w:themeColor="text1"/>
        </w:tcBorders>
        <w:shd w:val="clear" w:color="auto" w:fill="969696" w:themeFill="text1" w:themeFillTint="7F"/>
      </w:tcPr>
    </w:tblStylePr>
    <w:tblStylePr w:type="nwCell">
      <w:tblPr/>
      <w:tcPr>
        <w:shd w:val="clear" w:color="auto" w:fill="FAF7F2"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C9A86A" w:themeColor="accent1"/>
        <w:left w:val="single" w:sz="8" w:space="0" w:color="C9A86A" w:themeColor="accent1"/>
        <w:bottom w:val="single" w:sz="8" w:space="0" w:color="C9A86A" w:themeColor="accent1"/>
        <w:right w:val="single" w:sz="8" w:space="0" w:color="C9A86A" w:themeColor="accent1"/>
        <w:insideH w:val="single" w:sz="8" w:space="0" w:color="C9A86A" w:themeColor="accent1"/>
        <w:insideV w:val="single" w:sz="8" w:space="0" w:color="C9A86A" w:themeColor="accent1"/>
      </w:tblBorders>
    </w:tblPr>
    <w:tcPr>
      <w:shd w:val="clear" w:color="auto" w:fill="F1E9DA" w:themeFill="accent1" w:themeFillTint="3F"/>
    </w:tcPr>
    <w:tblStylePr w:type="firstRow">
      <w:rPr>
        <w:b/>
        <w:bCs/>
        <w:color w:val="2E2E2E" w:themeColor="text1"/>
      </w:rPr>
      <w:tblPr/>
      <w:tcPr>
        <w:shd w:val="clear" w:color="auto" w:fill="F9F6F0" w:themeFill="accent1"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F4EDE1" w:themeFill="accent1" w:themeFillTint="33"/>
      </w:tcPr>
    </w:tblStylePr>
    <w:tblStylePr w:type="band1Vert">
      <w:tblPr/>
      <w:tcPr>
        <w:shd w:val="clear" w:color="auto" w:fill="E4D3B4" w:themeFill="accent1" w:themeFillTint="7F"/>
      </w:tcPr>
    </w:tblStylePr>
    <w:tblStylePr w:type="band1Horz">
      <w:tblPr/>
      <w:tcPr>
        <w:tcBorders>
          <w:insideH w:val="single" w:sz="6" w:space="0" w:color="C9A86A" w:themeColor="accent1"/>
          <w:insideV w:val="single" w:sz="6" w:space="0" w:color="C9A86A" w:themeColor="accent1"/>
        </w:tcBorders>
        <w:shd w:val="clear" w:color="auto" w:fill="E4D3B4" w:themeFill="accent1" w:themeFillTint="7F"/>
      </w:tcPr>
    </w:tblStylePr>
    <w:tblStylePr w:type="nwCell">
      <w:tblPr/>
      <w:tcPr>
        <w:shd w:val="clear" w:color="auto" w:fill="FAF7F2"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E4D6B6" w:themeColor="accent2"/>
        <w:left w:val="single" w:sz="8" w:space="0" w:color="E4D6B6" w:themeColor="accent2"/>
        <w:bottom w:val="single" w:sz="8" w:space="0" w:color="E4D6B6" w:themeColor="accent2"/>
        <w:right w:val="single" w:sz="8" w:space="0" w:color="E4D6B6" w:themeColor="accent2"/>
        <w:insideH w:val="single" w:sz="8" w:space="0" w:color="E4D6B6" w:themeColor="accent2"/>
        <w:insideV w:val="single" w:sz="8" w:space="0" w:color="E4D6B6" w:themeColor="accent2"/>
      </w:tblBorders>
    </w:tblPr>
    <w:tcPr>
      <w:shd w:val="clear" w:color="auto" w:fill="F8F4EC" w:themeFill="accent2" w:themeFillTint="3F"/>
    </w:tcPr>
    <w:tblStylePr w:type="firstRow">
      <w:rPr>
        <w:b/>
        <w:bCs/>
        <w:color w:val="2E2E2E" w:themeColor="text1"/>
      </w:rPr>
      <w:tblPr/>
      <w:tcPr>
        <w:shd w:val="clear" w:color="auto" w:fill="FCFAF7" w:themeFill="accent2"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F9F6F0" w:themeFill="accent2" w:themeFillTint="33"/>
      </w:tcPr>
    </w:tblStylePr>
    <w:tblStylePr w:type="band1Vert">
      <w:tblPr/>
      <w:tcPr>
        <w:shd w:val="clear" w:color="auto" w:fill="F1EADA" w:themeFill="accent2" w:themeFillTint="7F"/>
      </w:tcPr>
    </w:tblStylePr>
    <w:tblStylePr w:type="band1Horz">
      <w:tblPr/>
      <w:tcPr>
        <w:tcBorders>
          <w:insideH w:val="single" w:sz="6" w:space="0" w:color="E4D6B6" w:themeColor="accent2"/>
          <w:insideV w:val="single" w:sz="6" w:space="0" w:color="E4D6B6" w:themeColor="accent2"/>
        </w:tcBorders>
        <w:shd w:val="clear" w:color="auto" w:fill="F1EADA" w:themeFill="accent2" w:themeFillTint="7F"/>
      </w:tcPr>
    </w:tblStylePr>
    <w:tblStylePr w:type="nwCell">
      <w:tblPr/>
      <w:tcPr>
        <w:shd w:val="clear" w:color="auto" w:fill="FAF7F2"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627C66" w:themeColor="accent3"/>
        <w:left w:val="single" w:sz="8" w:space="0" w:color="627C66" w:themeColor="accent3"/>
        <w:bottom w:val="single" w:sz="8" w:space="0" w:color="627C66" w:themeColor="accent3"/>
        <w:right w:val="single" w:sz="8" w:space="0" w:color="627C66" w:themeColor="accent3"/>
        <w:insideH w:val="single" w:sz="8" w:space="0" w:color="627C66" w:themeColor="accent3"/>
        <w:insideV w:val="single" w:sz="8" w:space="0" w:color="627C66" w:themeColor="accent3"/>
      </w:tblBorders>
    </w:tblPr>
    <w:tcPr>
      <w:shd w:val="clear" w:color="auto" w:fill="D7DFD8" w:themeFill="accent3" w:themeFillTint="3F"/>
    </w:tcPr>
    <w:tblStylePr w:type="firstRow">
      <w:rPr>
        <w:b/>
        <w:bCs/>
        <w:color w:val="2E2E2E" w:themeColor="text1"/>
      </w:rPr>
      <w:tblPr/>
      <w:tcPr>
        <w:shd w:val="clear" w:color="auto" w:fill="EFF2EF" w:themeFill="accent3"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DEE5DF" w:themeFill="accent3" w:themeFillTint="33"/>
      </w:tcPr>
    </w:tblStylePr>
    <w:tblStylePr w:type="band1Vert">
      <w:tblPr/>
      <w:tcPr>
        <w:shd w:val="clear" w:color="auto" w:fill="AEBFB1" w:themeFill="accent3" w:themeFillTint="7F"/>
      </w:tcPr>
    </w:tblStylePr>
    <w:tblStylePr w:type="band1Horz">
      <w:tblPr/>
      <w:tcPr>
        <w:tcBorders>
          <w:insideH w:val="single" w:sz="6" w:space="0" w:color="627C66" w:themeColor="accent3"/>
          <w:insideV w:val="single" w:sz="6" w:space="0" w:color="627C66" w:themeColor="accent3"/>
        </w:tcBorders>
        <w:shd w:val="clear" w:color="auto" w:fill="AEBFB1" w:themeFill="accent3" w:themeFillTint="7F"/>
      </w:tcPr>
    </w:tblStylePr>
    <w:tblStylePr w:type="nwCell">
      <w:tblPr/>
      <w:tcPr>
        <w:shd w:val="clear" w:color="auto" w:fill="FAF7F2"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DCE5DF" w:themeColor="accent4"/>
        <w:left w:val="single" w:sz="8" w:space="0" w:color="DCE5DF" w:themeColor="accent4"/>
        <w:bottom w:val="single" w:sz="8" w:space="0" w:color="DCE5DF" w:themeColor="accent4"/>
        <w:right w:val="single" w:sz="8" w:space="0" w:color="DCE5DF" w:themeColor="accent4"/>
        <w:insideH w:val="single" w:sz="8" w:space="0" w:color="DCE5DF" w:themeColor="accent4"/>
        <w:insideV w:val="single" w:sz="8" w:space="0" w:color="DCE5DF" w:themeColor="accent4"/>
      </w:tblBorders>
    </w:tblPr>
    <w:tcPr>
      <w:shd w:val="clear" w:color="auto" w:fill="F6F8F6" w:themeFill="accent4" w:themeFillTint="3F"/>
    </w:tcPr>
    <w:tblStylePr w:type="firstRow">
      <w:rPr>
        <w:b/>
        <w:bCs/>
        <w:color w:val="2E2E2E" w:themeColor="text1"/>
      </w:rPr>
      <w:tblPr/>
      <w:tcPr>
        <w:shd w:val="clear" w:color="auto" w:fill="FBFCFB" w:themeFill="accent4"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F7F9F8" w:themeFill="accent4" w:themeFillTint="33"/>
      </w:tcPr>
    </w:tblStylePr>
    <w:tblStylePr w:type="band1Vert">
      <w:tblPr/>
      <w:tcPr>
        <w:shd w:val="clear" w:color="auto" w:fill="EDF2EE" w:themeFill="accent4" w:themeFillTint="7F"/>
      </w:tcPr>
    </w:tblStylePr>
    <w:tblStylePr w:type="band1Horz">
      <w:tblPr/>
      <w:tcPr>
        <w:tcBorders>
          <w:insideH w:val="single" w:sz="6" w:space="0" w:color="DCE5DF" w:themeColor="accent4"/>
          <w:insideV w:val="single" w:sz="6" w:space="0" w:color="DCE5DF" w:themeColor="accent4"/>
        </w:tcBorders>
        <w:shd w:val="clear" w:color="auto" w:fill="EDF2EE" w:themeFill="accent4" w:themeFillTint="7F"/>
      </w:tcPr>
    </w:tblStylePr>
    <w:tblStylePr w:type="nwCell">
      <w:tblPr/>
      <w:tcPr>
        <w:shd w:val="clear" w:color="auto" w:fill="FAF7F2"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FAF7F2" w:themeColor="accent5"/>
        <w:left w:val="single" w:sz="8" w:space="0" w:color="FAF7F2" w:themeColor="accent5"/>
        <w:bottom w:val="single" w:sz="8" w:space="0" w:color="FAF7F2" w:themeColor="accent5"/>
        <w:right w:val="single" w:sz="8" w:space="0" w:color="FAF7F2" w:themeColor="accent5"/>
        <w:insideH w:val="single" w:sz="8" w:space="0" w:color="FAF7F2" w:themeColor="accent5"/>
        <w:insideV w:val="single" w:sz="8" w:space="0" w:color="FAF7F2" w:themeColor="accent5"/>
      </w:tblBorders>
    </w:tblPr>
    <w:tcPr>
      <w:shd w:val="clear" w:color="auto" w:fill="FDFCFB" w:themeFill="accent5" w:themeFillTint="3F"/>
    </w:tcPr>
    <w:tblStylePr w:type="firstRow">
      <w:rPr>
        <w:b/>
        <w:bCs/>
        <w:color w:val="2E2E2E" w:themeColor="text1"/>
      </w:rPr>
      <w:tblPr/>
      <w:tcPr>
        <w:shd w:val="clear" w:color="auto" w:fill="FEFEFD" w:themeFill="accent5"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FEFDFC" w:themeFill="accent5" w:themeFillTint="33"/>
      </w:tcPr>
    </w:tblStylePr>
    <w:tblStylePr w:type="band1Vert">
      <w:tblPr/>
      <w:tcPr>
        <w:shd w:val="clear" w:color="auto" w:fill="FCFAF8" w:themeFill="accent5" w:themeFillTint="7F"/>
      </w:tcPr>
    </w:tblStylePr>
    <w:tblStylePr w:type="band1Horz">
      <w:tblPr/>
      <w:tcPr>
        <w:tcBorders>
          <w:insideH w:val="single" w:sz="6" w:space="0" w:color="FAF7F2" w:themeColor="accent5"/>
          <w:insideV w:val="single" w:sz="6" w:space="0" w:color="FAF7F2" w:themeColor="accent5"/>
        </w:tcBorders>
        <w:shd w:val="clear" w:color="auto" w:fill="FCFAF8" w:themeFill="accent5" w:themeFillTint="7F"/>
      </w:tcPr>
    </w:tblStylePr>
    <w:tblStylePr w:type="nwCell">
      <w:tblPr/>
      <w:tcPr>
        <w:shd w:val="clear" w:color="auto" w:fill="FAF7F2"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2E2E2E" w:themeColor="text1"/>
    </w:rPr>
    <w:tblPr>
      <w:tblStyleRowBandSize w:val="1"/>
      <w:tblStyleColBandSize w:val="1"/>
      <w:tblBorders>
        <w:top w:val="single" w:sz="8" w:space="0" w:color="2E2E2E" w:themeColor="accent6"/>
        <w:left w:val="single" w:sz="8" w:space="0" w:color="2E2E2E" w:themeColor="accent6"/>
        <w:bottom w:val="single" w:sz="8" w:space="0" w:color="2E2E2E" w:themeColor="accent6"/>
        <w:right w:val="single" w:sz="8" w:space="0" w:color="2E2E2E" w:themeColor="accent6"/>
        <w:insideH w:val="single" w:sz="8" w:space="0" w:color="2E2E2E" w:themeColor="accent6"/>
        <w:insideV w:val="single" w:sz="8" w:space="0" w:color="2E2E2E" w:themeColor="accent6"/>
      </w:tblBorders>
    </w:tblPr>
    <w:tcPr>
      <w:shd w:val="clear" w:color="auto" w:fill="CBCBCB" w:themeFill="accent6" w:themeFillTint="3F"/>
    </w:tcPr>
    <w:tblStylePr w:type="firstRow">
      <w:rPr>
        <w:b/>
        <w:bCs/>
        <w:color w:val="2E2E2E" w:themeColor="text1"/>
      </w:rPr>
      <w:tblPr/>
      <w:tcPr>
        <w:shd w:val="clear" w:color="auto" w:fill="EAEAEA" w:themeFill="accent6" w:themeFillTint="19"/>
      </w:tcPr>
    </w:tblStylePr>
    <w:tblStylePr w:type="lastRow">
      <w:rPr>
        <w:b/>
        <w:bCs/>
        <w:color w:val="2E2E2E" w:themeColor="text1"/>
      </w:rPr>
      <w:tblPr/>
      <w:tcPr>
        <w:tcBorders>
          <w:top w:val="single" w:sz="12" w:space="0" w:color="2E2E2E" w:themeColor="text1"/>
          <w:left w:val="nil"/>
          <w:bottom w:val="nil"/>
          <w:right w:val="nil"/>
          <w:insideH w:val="nil"/>
          <w:insideV w:val="nil"/>
        </w:tcBorders>
        <w:shd w:val="clear" w:color="auto" w:fill="FAF7F2" w:themeFill="background1"/>
      </w:tcPr>
    </w:tblStylePr>
    <w:tblStylePr w:type="firstCol">
      <w:rPr>
        <w:b/>
        <w:bCs/>
        <w:color w:val="2E2E2E" w:themeColor="text1"/>
      </w:rPr>
      <w:tblPr/>
      <w:tcPr>
        <w:tcBorders>
          <w:top w:val="nil"/>
          <w:left w:val="nil"/>
          <w:bottom w:val="nil"/>
          <w:right w:val="nil"/>
          <w:insideH w:val="nil"/>
          <w:insideV w:val="nil"/>
        </w:tcBorders>
        <w:shd w:val="clear" w:color="auto" w:fill="FAF7F2" w:themeFill="background1"/>
      </w:tcPr>
    </w:tblStylePr>
    <w:tblStylePr w:type="lastCol">
      <w:rPr>
        <w:b w:val="0"/>
        <w:bCs w:val="0"/>
        <w:color w:val="2E2E2E" w:themeColor="text1"/>
      </w:rPr>
      <w:tblPr/>
      <w:tcPr>
        <w:tcBorders>
          <w:top w:val="nil"/>
          <w:left w:val="nil"/>
          <w:bottom w:val="nil"/>
          <w:right w:val="nil"/>
          <w:insideH w:val="nil"/>
          <w:insideV w:val="nil"/>
        </w:tcBorders>
        <w:shd w:val="clear" w:color="auto" w:fill="D5D5D5" w:themeFill="accent6" w:themeFillTint="33"/>
      </w:tcPr>
    </w:tblStylePr>
    <w:tblStylePr w:type="band1Vert">
      <w:tblPr/>
      <w:tcPr>
        <w:shd w:val="clear" w:color="auto" w:fill="969696" w:themeFill="accent6" w:themeFillTint="7F"/>
      </w:tcPr>
    </w:tblStylePr>
    <w:tblStylePr w:type="band1Horz">
      <w:tblPr/>
      <w:tcPr>
        <w:tcBorders>
          <w:insideH w:val="single" w:sz="6" w:space="0" w:color="2E2E2E" w:themeColor="accent6"/>
          <w:insideV w:val="single" w:sz="6" w:space="0" w:color="2E2E2E" w:themeColor="accent6"/>
        </w:tcBorders>
        <w:shd w:val="clear" w:color="auto" w:fill="969696" w:themeFill="accent6" w:themeFillTint="7F"/>
      </w:tcPr>
    </w:tblStylePr>
    <w:tblStylePr w:type="nwCell">
      <w:tblPr/>
      <w:tcPr>
        <w:shd w:val="clear" w:color="auto" w:fill="FAF7F2"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CBCBCB" w:themeFill="text1"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2E2E2E" w:themeFill="text1"/>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2E2E2E" w:themeFill="text1"/>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2E2E2E" w:themeFill="text1"/>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2E2E2E" w:themeFill="text1"/>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969696" w:themeFill="text1"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969696"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F1E9DA" w:themeFill="accent1"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C9A86A" w:themeFill="accent1"/>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C9A86A" w:themeFill="accent1"/>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C9A86A" w:themeFill="accent1"/>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C9A86A" w:themeFill="accent1"/>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E4D3B4" w:themeFill="accent1"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E4D3B4"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F8F4EC" w:themeFill="accent2"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E4D6B6" w:themeFill="accent2"/>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E4D6B6" w:themeFill="accent2"/>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E4D6B6" w:themeFill="accent2"/>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E4D6B6" w:themeFill="accent2"/>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F1EADA" w:themeFill="accent2"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F1EADA"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D7DFD8" w:themeFill="accent3"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627C66" w:themeFill="accent3"/>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627C66" w:themeFill="accent3"/>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627C66" w:themeFill="accent3"/>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627C66" w:themeFill="accent3"/>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AEBFB1" w:themeFill="accent3"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AEBFB1"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F6F8F6" w:themeFill="accent4"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DCE5DF" w:themeFill="accent4"/>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DCE5DF" w:themeFill="accent4"/>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DCE5DF" w:themeFill="accent4"/>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DCE5DF" w:themeFill="accent4"/>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EDF2EE" w:themeFill="accent4"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EDF2EE"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FDFCFB" w:themeFill="accent5"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FAF7F2" w:themeFill="accent5"/>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FAF7F2" w:themeFill="accent5"/>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FAF7F2" w:themeFill="accent5"/>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FAF7F2" w:themeFill="accent5"/>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FCFAF8" w:themeFill="accent5"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FCFAF8"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6" w:space="0" w:color="FAF7F2" w:themeColor="background1"/>
        <w:insideV w:val="single" w:sz="6" w:space="0" w:color="FAF7F2" w:themeColor="background1"/>
      </w:tblBorders>
    </w:tblPr>
    <w:tcPr>
      <w:shd w:val="clear" w:color="auto" w:fill="CBCBCB" w:themeFill="accent6" w:themeFillTint="3F"/>
    </w:tcPr>
    <w:tblStylePr w:type="firstRow">
      <w:rPr>
        <w:b/>
        <w:bCs/>
        <w:i w:val="0"/>
        <w:iCs w:val="0"/>
        <w:color w:val="FAF7F2" w:themeColor="background1"/>
      </w:rPr>
      <w:tblPr/>
      <w:tcPr>
        <w:tcBorders>
          <w:top w:val="single" w:sz="8" w:space="0" w:color="FAF7F2" w:themeColor="background1"/>
          <w:left w:val="single" w:sz="8" w:space="0" w:color="FAF7F2" w:themeColor="background1"/>
          <w:bottom w:val="single" w:sz="24" w:space="0" w:color="FAF7F2" w:themeColor="background1"/>
          <w:right w:val="single" w:sz="8" w:space="0" w:color="FAF7F2" w:themeColor="background1"/>
          <w:insideH w:val="nil"/>
          <w:insideV w:val="single" w:sz="8" w:space="0" w:color="FAF7F2" w:themeColor="background1"/>
        </w:tcBorders>
        <w:shd w:val="clear" w:color="auto" w:fill="2E2E2E" w:themeFill="accent6"/>
      </w:tcPr>
    </w:tblStylePr>
    <w:tblStylePr w:type="lastRow">
      <w:rPr>
        <w:b/>
        <w:bCs/>
        <w:i w:val="0"/>
        <w:iCs w:val="0"/>
        <w:color w:val="FAF7F2" w:themeColor="background1"/>
      </w:rPr>
      <w:tblPr/>
      <w:tcPr>
        <w:tcBorders>
          <w:top w:val="single" w:sz="24" w:space="0" w:color="FAF7F2" w:themeColor="background1"/>
          <w:left w:val="single" w:sz="8" w:space="0" w:color="FAF7F2" w:themeColor="background1"/>
          <w:bottom w:val="single" w:sz="8" w:space="0" w:color="FAF7F2" w:themeColor="background1"/>
          <w:right w:val="single" w:sz="8" w:space="0" w:color="FAF7F2" w:themeColor="background1"/>
          <w:insideH w:val="nil"/>
          <w:insideV w:val="single" w:sz="8" w:space="0" w:color="FAF7F2" w:themeColor="background1"/>
        </w:tcBorders>
        <w:shd w:val="clear" w:color="auto" w:fill="2E2E2E" w:themeFill="accent6"/>
      </w:tcPr>
    </w:tblStylePr>
    <w:tblStylePr w:type="firstCol">
      <w:rPr>
        <w:b/>
        <w:bCs/>
        <w:i w:val="0"/>
        <w:iCs w:val="0"/>
        <w:color w:val="FAF7F2" w:themeColor="background1"/>
      </w:rPr>
      <w:tblPr/>
      <w:tcPr>
        <w:tcBorders>
          <w:left w:val="single" w:sz="8" w:space="0" w:color="FAF7F2" w:themeColor="background1"/>
          <w:right w:val="single" w:sz="24" w:space="0" w:color="FAF7F2" w:themeColor="background1"/>
          <w:insideH w:val="nil"/>
          <w:insideV w:val="nil"/>
        </w:tcBorders>
        <w:shd w:val="clear" w:color="auto" w:fill="2E2E2E" w:themeFill="accent6"/>
      </w:tcPr>
    </w:tblStylePr>
    <w:tblStylePr w:type="lastCol">
      <w:rPr>
        <w:b/>
        <w:bCs/>
        <w:i w:val="0"/>
        <w:iCs w:val="0"/>
        <w:color w:val="FAF7F2" w:themeColor="background1"/>
      </w:rPr>
      <w:tblPr/>
      <w:tcPr>
        <w:tcBorders>
          <w:top w:val="nil"/>
          <w:left w:val="single" w:sz="24" w:space="0" w:color="FAF7F2" w:themeColor="background1"/>
          <w:bottom w:val="nil"/>
          <w:right w:val="nil"/>
          <w:insideH w:val="nil"/>
          <w:insideV w:val="nil"/>
        </w:tcBorders>
        <w:shd w:val="clear" w:color="auto" w:fill="2E2E2E" w:themeFill="accent6"/>
      </w:tcPr>
    </w:tblStylePr>
    <w:tblStylePr w:type="band1Vert">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nil"/>
          <w:insideV w:val="nil"/>
        </w:tcBorders>
        <w:shd w:val="clear" w:color="auto" w:fill="969696" w:themeFill="accent6" w:themeFillTint="7F"/>
      </w:tcPr>
    </w:tblStylePr>
    <w:tblStylePr w:type="band1Horz">
      <w:tblPr/>
      <w:tcPr>
        <w:tcBorders>
          <w:top w:val="single" w:sz="8" w:space="0" w:color="FAF7F2" w:themeColor="background1"/>
          <w:left w:val="single" w:sz="8" w:space="0" w:color="FAF7F2" w:themeColor="background1"/>
          <w:bottom w:val="single" w:sz="8" w:space="0" w:color="FAF7F2" w:themeColor="background1"/>
          <w:right w:val="single" w:sz="8" w:space="0" w:color="FAF7F2" w:themeColor="background1"/>
          <w:insideH w:val="single" w:sz="8" w:space="0" w:color="FAF7F2" w:themeColor="background1"/>
          <w:insideV w:val="single" w:sz="8" w:space="0" w:color="FAF7F2" w:themeColor="background1"/>
        </w:tcBorders>
        <w:shd w:val="clear" w:color="auto" w:fill="969696" w:themeFill="accent6" w:themeFillTint="7F"/>
      </w:tcPr>
    </w:tblStylePr>
  </w:style>
  <w:style w:type="table" w:styleId="DarkList">
    <w:name w:val="Dark List"/>
    <w:basedOn w:val="TableNormal"/>
    <w:uiPriority w:val="70"/>
    <w:rsid w:val="00CB0664"/>
    <w:pPr>
      <w:spacing w:after="0" w:line="240" w:lineRule="auto"/>
    </w:pPr>
    <w:rPr>
      <w:color w:val="FAF7F2" w:themeColor="background1"/>
    </w:rPr>
    <w:tblPr>
      <w:tblStyleRowBandSize w:val="1"/>
      <w:tblStyleColBandSize w:val="1"/>
    </w:tblPr>
    <w:tcPr>
      <w:shd w:val="clear" w:color="auto" w:fill="2E2E2E" w:themeFill="text1"/>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161616" w:themeFill="text1" w:themeFillShade="7F"/>
      </w:tcPr>
    </w:tblStylePr>
    <w:tblStylePr w:type="firstCol">
      <w:tblPr/>
      <w:tcPr>
        <w:tcBorders>
          <w:top w:val="nil"/>
          <w:left w:val="nil"/>
          <w:bottom w:val="nil"/>
          <w:right w:val="single" w:sz="18" w:space="0" w:color="FAF7F2" w:themeColor="background1"/>
          <w:insideH w:val="nil"/>
          <w:insideV w:val="nil"/>
        </w:tcBorders>
        <w:shd w:val="clear" w:color="auto" w:fill="222222" w:themeFill="text1" w:themeFillShade="BF"/>
      </w:tcPr>
    </w:tblStylePr>
    <w:tblStylePr w:type="lastCol">
      <w:tblPr/>
      <w:tcPr>
        <w:tcBorders>
          <w:top w:val="nil"/>
          <w:left w:val="single" w:sz="18" w:space="0" w:color="FAF7F2" w:themeColor="background1"/>
          <w:bottom w:val="nil"/>
          <w:right w:val="nil"/>
          <w:insideH w:val="nil"/>
          <w:insideV w:val="nil"/>
        </w:tcBorders>
        <w:shd w:val="clear" w:color="auto" w:fill="222222" w:themeFill="text1" w:themeFillShade="BF"/>
      </w:tcPr>
    </w:tblStylePr>
    <w:tblStylePr w:type="band1Vert">
      <w:tblPr/>
      <w:tcPr>
        <w:tcBorders>
          <w:top w:val="nil"/>
          <w:left w:val="nil"/>
          <w:bottom w:val="nil"/>
          <w:right w:val="nil"/>
          <w:insideH w:val="nil"/>
          <w:insideV w:val="nil"/>
        </w:tcBorders>
        <w:shd w:val="clear" w:color="auto" w:fill="222222" w:themeFill="text1" w:themeFillShade="BF"/>
      </w:tcPr>
    </w:tblStylePr>
    <w:tblStylePr w:type="band1Horz">
      <w:tblPr/>
      <w:tcPr>
        <w:tcBorders>
          <w:top w:val="nil"/>
          <w:left w:val="nil"/>
          <w:bottom w:val="nil"/>
          <w:right w:val="nil"/>
          <w:insideH w:val="nil"/>
          <w:insideV w:val="nil"/>
        </w:tcBorders>
        <w:shd w:val="clear" w:color="auto" w:fill="222222" w:themeFill="text1" w:themeFillShade="BF"/>
      </w:tcPr>
    </w:tblStylePr>
  </w:style>
  <w:style w:type="table" w:styleId="DarkList-Accent1">
    <w:name w:val="Dark List Accent 1"/>
    <w:basedOn w:val="TableNormal"/>
    <w:uiPriority w:val="70"/>
    <w:rsid w:val="00CB0664"/>
    <w:pPr>
      <w:spacing w:after="0" w:line="240" w:lineRule="auto"/>
    </w:pPr>
    <w:rPr>
      <w:color w:val="FAF7F2" w:themeColor="background1"/>
    </w:rPr>
    <w:tblPr>
      <w:tblStyleRowBandSize w:val="1"/>
      <w:tblStyleColBandSize w:val="1"/>
    </w:tblPr>
    <w:tcPr>
      <w:shd w:val="clear" w:color="auto" w:fill="C9A86A" w:themeFill="accent1"/>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705728" w:themeFill="accent1" w:themeFillShade="7F"/>
      </w:tcPr>
    </w:tblStylePr>
    <w:tblStylePr w:type="firstCol">
      <w:tblPr/>
      <w:tcPr>
        <w:tcBorders>
          <w:top w:val="nil"/>
          <w:left w:val="nil"/>
          <w:bottom w:val="nil"/>
          <w:right w:val="single" w:sz="18" w:space="0" w:color="FAF7F2" w:themeColor="background1"/>
          <w:insideH w:val="nil"/>
          <w:insideV w:val="nil"/>
        </w:tcBorders>
        <w:shd w:val="clear" w:color="auto" w:fill="A8833D" w:themeFill="accent1" w:themeFillShade="BF"/>
      </w:tcPr>
    </w:tblStylePr>
    <w:tblStylePr w:type="lastCol">
      <w:tblPr/>
      <w:tcPr>
        <w:tcBorders>
          <w:top w:val="nil"/>
          <w:left w:val="single" w:sz="18" w:space="0" w:color="FAF7F2" w:themeColor="background1"/>
          <w:bottom w:val="nil"/>
          <w:right w:val="nil"/>
          <w:insideH w:val="nil"/>
          <w:insideV w:val="nil"/>
        </w:tcBorders>
        <w:shd w:val="clear" w:color="auto" w:fill="A8833D" w:themeFill="accent1" w:themeFillShade="BF"/>
      </w:tcPr>
    </w:tblStylePr>
    <w:tblStylePr w:type="band1Vert">
      <w:tblPr/>
      <w:tcPr>
        <w:tcBorders>
          <w:top w:val="nil"/>
          <w:left w:val="nil"/>
          <w:bottom w:val="nil"/>
          <w:right w:val="nil"/>
          <w:insideH w:val="nil"/>
          <w:insideV w:val="nil"/>
        </w:tcBorders>
        <w:shd w:val="clear" w:color="auto" w:fill="A8833D" w:themeFill="accent1" w:themeFillShade="BF"/>
      </w:tcPr>
    </w:tblStylePr>
    <w:tblStylePr w:type="band1Horz">
      <w:tblPr/>
      <w:tcPr>
        <w:tcBorders>
          <w:top w:val="nil"/>
          <w:left w:val="nil"/>
          <w:bottom w:val="nil"/>
          <w:right w:val="nil"/>
          <w:insideH w:val="nil"/>
          <w:insideV w:val="nil"/>
        </w:tcBorders>
        <w:shd w:val="clear" w:color="auto" w:fill="A8833D" w:themeFill="accent1" w:themeFillShade="BF"/>
      </w:tcPr>
    </w:tblStylePr>
  </w:style>
  <w:style w:type="table" w:styleId="DarkList-Accent2">
    <w:name w:val="Dark List Accent 2"/>
    <w:basedOn w:val="TableNormal"/>
    <w:uiPriority w:val="70"/>
    <w:rsid w:val="00CB0664"/>
    <w:pPr>
      <w:spacing w:after="0" w:line="240" w:lineRule="auto"/>
    </w:pPr>
    <w:rPr>
      <w:color w:val="FAF7F2" w:themeColor="background1"/>
    </w:rPr>
    <w:tblPr>
      <w:tblStyleRowBandSize w:val="1"/>
      <w:tblStyleColBandSize w:val="1"/>
    </w:tblPr>
    <w:tcPr>
      <w:shd w:val="clear" w:color="auto" w:fill="E4D6B6" w:themeFill="accent2"/>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947837" w:themeFill="accent2" w:themeFillShade="7F"/>
      </w:tcPr>
    </w:tblStylePr>
    <w:tblStylePr w:type="firstCol">
      <w:tblPr/>
      <w:tcPr>
        <w:tcBorders>
          <w:top w:val="nil"/>
          <w:left w:val="nil"/>
          <w:bottom w:val="nil"/>
          <w:right w:val="single" w:sz="18" w:space="0" w:color="FAF7F2" w:themeColor="background1"/>
          <w:insideH w:val="nil"/>
          <w:insideV w:val="nil"/>
        </w:tcBorders>
        <w:shd w:val="clear" w:color="auto" w:fill="C8AB6A" w:themeFill="accent2" w:themeFillShade="BF"/>
      </w:tcPr>
    </w:tblStylePr>
    <w:tblStylePr w:type="lastCol">
      <w:tblPr/>
      <w:tcPr>
        <w:tcBorders>
          <w:top w:val="nil"/>
          <w:left w:val="single" w:sz="18" w:space="0" w:color="FAF7F2" w:themeColor="background1"/>
          <w:bottom w:val="nil"/>
          <w:right w:val="nil"/>
          <w:insideH w:val="nil"/>
          <w:insideV w:val="nil"/>
        </w:tcBorders>
        <w:shd w:val="clear" w:color="auto" w:fill="C8AB6A" w:themeFill="accent2" w:themeFillShade="BF"/>
      </w:tcPr>
    </w:tblStylePr>
    <w:tblStylePr w:type="band1Vert">
      <w:tblPr/>
      <w:tcPr>
        <w:tcBorders>
          <w:top w:val="nil"/>
          <w:left w:val="nil"/>
          <w:bottom w:val="nil"/>
          <w:right w:val="nil"/>
          <w:insideH w:val="nil"/>
          <w:insideV w:val="nil"/>
        </w:tcBorders>
        <w:shd w:val="clear" w:color="auto" w:fill="C8AB6A" w:themeFill="accent2" w:themeFillShade="BF"/>
      </w:tcPr>
    </w:tblStylePr>
    <w:tblStylePr w:type="band1Horz">
      <w:tblPr/>
      <w:tcPr>
        <w:tcBorders>
          <w:top w:val="nil"/>
          <w:left w:val="nil"/>
          <w:bottom w:val="nil"/>
          <w:right w:val="nil"/>
          <w:insideH w:val="nil"/>
          <w:insideV w:val="nil"/>
        </w:tcBorders>
        <w:shd w:val="clear" w:color="auto" w:fill="C8AB6A" w:themeFill="accent2" w:themeFillShade="BF"/>
      </w:tcPr>
    </w:tblStylePr>
  </w:style>
  <w:style w:type="table" w:styleId="DarkList-Accent3">
    <w:name w:val="Dark List Accent 3"/>
    <w:basedOn w:val="TableNormal"/>
    <w:uiPriority w:val="70"/>
    <w:rsid w:val="00CB0664"/>
    <w:pPr>
      <w:spacing w:after="0" w:line="240" w:lineRule="auto"/>
    </w:pPr>
    <w:rPr>
      <w:color w:val="FAF7F2" w:themeColor="background1"/>
    </w:rPr>
    <w:tblPr>
      <w:tblStyleRowBandSize w:val="1"/>
      <w:tblStyleColBandSize w:val="1"/>
    </w:tblPr>
    <w:tcPr>
      <w:shd w:val="clear" w:color="auto" w:fill="627C66" w:themeFill="accent3"/>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303D32" w:themeFill="accent3" w:themeFillShade="7F"/>
      </w:tcPr>
    </w:tblStylePr>
    <w:tblStylePr w:type="firstCol">
      <w:tblPr/>
      <w:tcPr>
        <w:tcBorders>
          <w:top w:val="nil"/>
          <w:left w:val="nil"/>
          <w:bottom w:val="nil"/>
          <w:right w:val="single" w:sz="18" w:space="0" w:color="FAF7F2" w:themeColor="background1"/>
          <w:insideH w:val="nil"/>
          <w:insideV w:val="nil"/>
        </w:tcBorders>
        <w:shd w:val="clear" w:color="auto" w:fill="495C4C" w:themeFill="accent3" w:themeFillShade="BF"/>
      </w:tcPr>
    </w:tblStylePr>
    <w:tblStylePr w:type="lastCol">
      <w:tblPr/>
      <w:tcPr>
        <w:tcBorders>
          <w:top w:val="nil"/>
          <w:left w:val="single" w:sz="18" w:space="0" w:color="FAF7F2" w:themeColor="background1"/>
          <w:bottom w:val="nil"/>
          <w:right w:val="nil"/>
          <w:insideH w:val="nil"/>
          <w:insideV w:val="nil"/>
        </w:tcBorders>
        <w:shd w:val="clear" w:color="auto" w:fill="495C4C" w:themeFill="accent3" w:themeFillShade="BF"/>
      </w:tcPr>
    </w:tblStylePr>
    <w:tblStylePr w:type="band1Vert">
      <w:tblPr/>
      <w:tcPr>
        <w:tcBorders>
          <w:top w:val="nil"/>
          <w:left w:val="nil"/>
          <w:bottom w:val="nil"/>
          <w:right w:val="nil"/>
          <w:insideH w:val="nil"/>
          <w:insideV w:val="nil"/>
        </w:tcBorders>
        <w:shd w:val="clear" w:color="auto" w:fill="495C4C" w:themeFill="accent3" w:themeFillShade="BF"/>
      </w:tcPr>
    </w:tblStylePr>
    <w:tblStylePr w:type="band1Horz">
      <w:tblPr/>
      <w:tcPr>
        <w:tcBorders>
          <w:top w:val="nil"/>
          <w:left w:val="nil"/>
          <w:bottom w:val="nil"/>
          <w:right w:val="nil"/>
          <w:insideH w:val="nil"/>
          <w:insideV w:val="nil"/>
        </w:tcBorders>
        <w:shd w:val="clear" w:color="auto" w:fill="495C4C" w:themeFill="accent3" w:themeFillShade="BF"/>
      </w:tcPr>
    </w:tblStylePr>
  </w:style>
  <w:style w:type="table" w:styleId="DarkList-Accent4">
    <w:name w:val="Dark List Accent 4"/>
    <w:basedOn w:val="TableNormal"/>
    <w:uiPriority w:val="70"/>
    <w:rsid w:val="00CB0664"/>
    <w:pPr>
      <w:spacing w:after="0" w:line="240" w:lineRule="auto"/>
    </w:pPr>
    <w:rPr>
      <w:color w:val="FAF7F2" w:themeColor="background1"/>
    </w:rPr>
    <w:tblPr>
      <w:tblStyleRowBandSize w:val="1"/>
      <w:tblStyleColBandSize w:val="1"/>
    </w:tblPr>
    <w:tcPr>
      <w:shd w:val="clear" w:color="auto" w:fill="DCE5DF" w:themeFill="accent4"/>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5F806A" w:themeFill="accent4" w:themeFillShade="7F"/>
      </w:tcPr>
    </w:tblStylePr>
    <w:tblStylePr w:type="firstCol">
      <w:tblPr/>
      <w:tcPr>
        <w:tcBorders>
          <w:top w:val="nil"/>
          <w:left w:val="nil"/>
          <w:bottom w:val="nil"/>
          <w:right w:val="single" w:sz="18" w:space="0" w:color="FAF7F2" w:themeColor="background1"/>
          <w:insideH w:val="nil"/>
          <w:insideV w:val="nil"/>
        </w:tcBorders>
        <w:shd w:val="clear" w:color="auto" w:fill="9BB4A3" w:themeFill="accent4" w:themeFillShade="BF"/>
      </w:tcPr>
    </w:tblStylePr>
    <w:tblStylePr w:type="lastCol">
      <w:tblPr/>
      <w:tcPr>
        <w:tcBorders>
          <w:top w:val="nil"/>
          <w:left w:val="single" w:sz="18" w:space="0" w:color="FAF7F2" w:themeColor="background1"/>
          <w:bottom w:val="nil"/>
          <w:right w:val="nil"/>
          <w:insideH w:val="nil"/>
          <w:insideV w:val="nil"/>
        </w:tcBorders>
        <w:shd w:val="clear" w:color="auto" w:fill="9BB4A3" w:themeFill="accent4" w:themeFillShade="BF"/>
      </w:tcPr>
    </w:tblStylePr>
    <w:tblStylePr w:type="band1Vert">
      <w:tblPr/>
      <w:tcPr>
        <w:tcBorders>
          <w:top w:val="nil"/>
          <w:left w:val="nil"/>
          <w:bottom w:val="nil"/>
          <w:right w:val="nil"/>
          <w:insideH w:val="nil"/>
          <w:insideV w:val="nil"/>
        </w:tcBorders>
        <w:shd w:val="clear" w:color="auto" w:fill="9BB4A3" w:themeFill="accent4" w:themeFillShade="BF"/>
      </w:tcPr>
    </w:tblStylePr>
    <w:tblStylePr w:type="band1Horz">
      <w:tblPr/>
      <w:tcPr>
        <w:tcBorders>
          <w:top w:val="nil"/>
          <w:left w:val="nil"/>
          <w:bottom w:val="nil"/>
          <w:right w:val="nil"/>
          <w:insideH w:val="nil"/>
          <w:insideV w:val="nil"/>
        </w:tcBorders>
        <w:shd w:val="clear" w:color="auto" w:fill="9BB4A3" w:themeFill="accent4" w:themeFillShade="BF"/>
      </w:tcPr>
    </w:tblStylePr>
  </w:style>
  <w:style w:type="table" w:styleId="DarkList-Accent5">
    <w:name w:val="Dark List Accent 5"/>
    <w:basedOn w:val="TableNormal"/>
    <w:uiPriority w:val="70"/>
    <w:rsid w:val="00CB0664"/>
    <w:pPr>
      <w:spacing w:after="0" w:line="240" w:lineRule="auto"/>
    </w:pPr>
    <w:rPr>
      <w:color w:val="FAF7F2" w:themeColor="background1"/>
    </w:rPr>
    <w:tblPr>
      <w:tblStyleRowBandSize w:val="1"/>
      <w:tblStyleColBandSize w:val="1"/>
    </w:tblPr>
    <w:tcPr>
      <w:shd w:val="clear" w:color="auto" w:fill="FAF7F2" w:themeFill="accent5"/>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B08744" w:themeFill="accent5" w:themeFillShade="7F"/>
      </w:tcPr>
    </w:tblStylePr>
    <w:tblStylePr w:type="firstCol">
      <w:tblPr/>
      <w:tcPr>
        <w:tcBorders>
          <w:top w:val="nil"/>
          <w:left w:val="nil"/>
          <w:bottom w:val="nil"/>
          <w:right w:val="single" w:sz="18" w:space="0" w:color="FAF7F2" w:themeColor="background1"/>
          <w:insideH w:val="nil"/>
          <w:insideV w:val="nil"/>
        </w:tcBorders>
        <w:shd w:val="clear" w:color="auto" w:fill="D7BF98" w:themeFill="accent5" w:themeFillShade="BF"/>
      </w:tcPr>
    </w:tblStylePr>
    <w:tblStylePr w:type="lastCol">
      <w:tblPr/>
      <w:tcPr>
        <w:tcBorders>
          <w:top w:val="nil"/>
          <w:left w:val="single" w:sz="18" w:space="0" w:color="FAF7F2" w:themeColor="background1"/>
          <w:bottom w:val="nil"/>
          <w:right w:val="nil"/>
          <w:insideH w:val="nil"/>
          <w:insideV w:val="nil"/>
        </w:tcBorders>
        <w:shd w:val="clear" w:color="auto" w:fill="D7BF98" w:themeFill="accent5" w:themeFillShade="BF"/>
      </w:tcPr>
    </w:tblStylePr>
    <w:tblStylePr w:type="band1Vert">
      <w:tblPr/>
      <w:tcPr>
        <w:tcBorders>
          <w:top w:val="nil"/>
          <w:left w:val="nil"/>
          <w:bottom w:val="nil"/>
          <w:right w:val="nil"/>
          <w:insideH w:val="nil"/>
          <w:insideV w:val="nil"/>
        </w:tcBorders>
        <w:shd w:val="clear" w:color="auto" w:fill="D7BF98" w:themeFill="accent5" w:themeFillShade="BF"/>
      </w:tcPr>
    </w:tblStylePr>
    <w:tblStylePr w:type="band1Horz">
      <w:tblPr/>
      <w:tcPr>
        <w:tcBorders>
          <w:top w:val="nil"/>
          <w:left w:val="nil"/>
          <w:bottom w:val="nil"/>
          <w:right w:val="nil"/>
          <w:insideH w:val="nil"/>
          <w:insideV w:val="nil"/>
        </w:tcBorders>
        <w:shd w:val="clear" w:color="auto" w:fill="D7BF98" w:themeFill="accent5" w:themeFillShade="BF"/>
      </w:tcPr>
    </w:tblStylePr>
  </w:style>
  <w:style w:type="table" w:styleId="DarkList-Accent6">
    <w:name w:val="Dark List Accent 6"/>
    <w:basedOn w:val="TableNormal"/>
    <w:uiPriority w:val="70"/>
    <w:rsid w:val="00CB0664"/>
    <w:pPr>
      <w:spacing w:after="0" w:line="240" w:lineRule="auto"/>
    </w:pPr>
    <w:rPr>
      <w:color w:val="FAF7F2" w:themeColor="background1"/>
    </w:rPr>
    <w:tblPr>
      <w:tblStyleRowBandSize w:val="1"/>
      <w:tblStyleColBandSize w:val="1"/>
    </w:tblPr>
    <w:tcPr>
      <w:shd w:val="clear" w:color="auto" w:fill="2E2E2E" w:themeFill="accent6"/>
    </w:tcPr>
    <w:tblStylePr w:type="firstRow">
      <w:rPr>
        <w:b/>
        <w:bCs/>
      </w:rPr>
      <w:tblPr/>
      <w:tcPr>
        <w:tcBorders>
          <w:top w:val="nil"/>
          <w:left w:val="nil"/>
          <w:bottom w:val="single" w:sz="18" w:space="0" w:color="FAF7F2" w:themeColor="background1"/>
          <w:right w:val="nil"/>
          <w:insideH w:val="nil"/>
          <w:insideV w:val="nil"/>
        </w:tcBorders>
        <w:shd w:val="clear" w:color="auto" w:fill="2E2E2E" w:themeFill="text1"/>
      </w:tcPr>
    </w:tblStylePr>
    <w:tblStylePr w:type="lastRow">
      <w:tblPr/>
      <w:tcPr>
        <w:tcBorders>
          <w:top w:val="single" w:sz="18" w:space="0" w:color="FAF7F2" w:themeColor="background1"/>
          <w:left w:val="nil"/>
          <w:bottom w:val="nil"/>
          <w:right w:val="nil"/>
          <w:insideH w:val="nil"/>
          <w:insideV w:val="nil"/>
        </w:tcBorders>
        <w:shd w:val="clear" w:color="auto" w:fill="161616" w:themeFill="accent6" w:themeFillShade="7F"/>
      </w:tcPr>
    </w:tblStylePr>
    <w:tblStylePr w:type="firstCol">
      <w:tblPr/>
      <w:tcPr>
        <w:tcBorders>
          <w:top w:val="nil"/>
          <w:left w:val="nil"/>
          <w:bottom w:val="nil"/>
          <w:right w:val="single" w:sz="18" w:space="0" w:color="FAF7F2" w:themeColor="background1"/>
          <w:insideH w:val="nil"/>
          <w:insideV w:val="nil"/>
        </w:tcBorders>
        <w:shd w:val="clear" w:color="auto" w:fill="222222" w:themeFill="accent6" w:themeFillShade="BF"/>
      </w:tcPr>
    </w:tblStylePr>
    <w:tblStylePr w:type="lastCol">
      <w:tblPr/>
      <w:tcPr>
        <w:tcBorders>
          <w:top w:val="nil"/>
          <w:left w:val="single" w:sz="18" w:space="0" w:color="FAF7F2" w:themeColor="background1"/>
          <w:bottom w:val="nil"/>
          <w:right w:val="nil"/>
          <w:insideH w:val="nil"/>
          <w:insideV w:val="nil"/>
        </w:tcBorders>
        <w:shd w:val="clear" w:color="auto" w:fill="222222" w:themeFill="accent6" w:themeFillShade="BF"/>
      </w:tcPr>
    </w:tblStylePr>
    <w:tblStylePr w:type="band1Vert">
      <w:tblPr/>
      <w:tcPr>
        <w:tcBorders>
          <w:top w:val="nil"/>
          <w:left w:val="nil"/>
          <w:bottom w:val="nil"/>
          <w:right w:val="nil"/>
          <w:insideH w:val="nil"/>
          <w:insideV w:val="nil"/>
        </w:tcBorders>
        <w:shd w:val="clear" w:color="auto" w:fill="222222" w:themeFill="accent6" w:themeFillShade="BF"/>
      </w:tcPr>
    </w:tblStylePr>
    <w:tblStylePr w:type="band1Horz">
      <w:tblPr/>
      <w:tcPr>
        <w:tcBorders>
          <w:top w:val="nil"/>
          <w:left w:val="nil"/>
          <w:bottom w:val="nil"/>
          <w:right w:val="nil"/>
          <w:insideH w:val="nil"/>
          <w:insideV w:val="nil"/>
        </w:tcBorders>
        <w:shd w:val="clear" w:color="auto" w:fill="222222" w:themeFill="accent6" w:themeFillShade="BF"/>
      </w:tcPr>
    </w:tblStylePr>
  </w:style>
  <w:style w:type="table" w:styleId="ColourfulShading">
    <w:name w:val="Colorful Shading"/>
    <w:basedOn w:val="TableNormal"/>
    <w:uiPriority w:val="71"/>
    <w:rsid w:val="00CB0664"/>
    <w:pPr>
      <w:spacing w:after="0" w:line="240" w:lineRule="auto"/>
    </w:pPr>
    <w:rPr>
      <w:color w:val="2E2E2E" w:themeColor="text1"/>
    </w:rPr>
    <w:tblPr>
      <w:tblStyleRowBandSize w:val="1"/>
      <w:tblStyleColBandSize w:val="1"/>
      <w:tblBorders>
        <w:top w:val="single" w:sz="24" w:space="0" w:color="E4D6B6" w:themeColor="accent2"/>
        <w:left w:val="single" w:sz="4" w:space="0" w:color="2E2E2E" w:themeColor="text1"/>
        <w:bottom w:val="single" w:sz="4" w:space="0" w:color="2E2E2E" w:themeColor="text1"/>
        <w:right w:val="single" w:sz="4" w:space="0" w:color="2E2E2E" w:themeColor="text1"/>
        <w:insideH w:val="single" w:sz="4" w:space="0" w:color="FAF7F2" w:themeColor="background1"/>
        <w:insideV w:val="single" w:sz="4" w:space="0" w:color="FAF7F2" w:themeColor="background1"/>
      </w:tblBorders>
    </w:tblPr>
    <w:tcPr>
      <w:shd w:val="clear" w:color="auto" w:fill="EAEAEA" w:themeFill="text1" w:themeFillTint="19"/>
    </w:tcPr>
    <w:tblStylePr w:type="firstRow">
      <w:rPr>
        <w:b/>
        <w:bCs/>
      </w:rPr>
      <w:tblPr/>
      <w:tcPr>
        <w:tcBorders>
          <w:top w:val="nil"/>
          <w:left w:val="nil"/>
          <w:bottom w:val="single" w:sz="24" w:space="0" w:color="E4D6B6" w:themeColor="accent2"/>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1B1B1B" w:themeFill="text1" w:themeFillShade="99"/>
      </w:tcPr>
    </w:tblStylePr>
    <w:tblStylePr w:type="firstCol">
      <w:rPr>
        <w:color w:val="FAF7F2" w:themeColor="background1"/>
      </w:rPr>
      <w:tblPr/>
      <w:tcPr>
        <w:tcBorders>
          <w:top w:val="nil"/>
          <w:left w:val="nil"/>
          <w:bottom w:val="nil"/>
          <w:right w:val="nil"/>
          <w:insideH w:val="single" w:sz="4" w:space="0" w:color="1B1B1B" w:themeColor="text1" w:themeShade="99"/>
          <w:insideV w:val="nil"/>
        </w:tcBorders>
        <w:shd w:val="clear" w:color="auto" w:fill="1B1B1B" w:themeFill="text1" w:themeFillShade="99"/>
      </w:tcPr>
    </w:tblStylePr>
    <w:tblStylePr w:type="lastCol">
      <w:rPr>
        <w:color w:val="FAF7F2" w:themeColor="background1"/>
      </w:rPr>
      <w:tblPr/>
      <w:tcPr>
        <w:tcBorders>
          <w:top w:val="nil"/>
          <w:left w:val="nil"/>
          <w:bottom w:val="nil"/>
          <w:right w:val="nil"/>
          <w:insideH w:val="nil"/>
          <w:insideV w:val="nil"/>
        </w:tcBorders>
        <w:shd w:val="clear" w:color="auto" w:fill="222222" w:themeFill="text1" w:themeFillShade="BF"/>
      </w:tcPr>
    </w:tblStylePr>
    <w:tblStylePr w:type="band1Vert">
      <w:tblPr/>
      <w:tcPr>
        <w:shd w:val="clear" w:color="auto" w:fill="ABABAB" w:themeFill="text1" w:themeFillTint="66"/>
      </w:tcPr>
    </w:tblStylePr>
    <w:tblStylePr w:type="band1Horz">
      <w:tblPr/>
      <w:tcPr>
        <w:shd w:val="clear" w:color="auto" w:fill="969696" w:themeFill="text1" w:themeFillTint="7F"/>
      </w:tcPr>
    </w:tblStylePr>
    <w:tblStylePr w:type="neCell">
      <w:rPr>
        <w:color w:val="2E2E2E" w:themeColor="text1"/>
      </w:rPr>
    </w:tblStylePr>
    <w:tblStylePr w:type="nwCell">
      <w:rPr>
        <w:color w:val="2E2E2E" w:themeColor="text1"/>
      </w:rPr>
    </w:tblStylePr>
  </w:style>
  <w:style w:type="table" w:styleId="ColourfulShadingAccent1">
    <w:name w:val="Colorful Shading Accent 1"/>
    <w:basedOn w:val="TableNormal"/>
    <w:uiPriority w:val="71"/>
    <w:rsid w:val="00CB0664"/>
    <w:pPr>
      <w:spacing w:after="0" w:line="240" w:lineRule="auto"/>
    </w:pPr>
    <w:rPr>
      <w:color w:val="2E2E2E" w:themeColor="text1"/>
    </w:rPr>
    <w:tblPr>
      <w:tblStyleRowBandSize w:val="1"/>
      <w:tblStyleColBandSize w:val="1"/>
      <w:tblBorders>
        <w:top w:val="single" w:sz="24" w:space="0" w:color="E4D6B6" w:themeColor="accent2"/>
        <w:left w:val="single" w:sz="4" w:space="0" w:color="C9A86A" w:themeColor="accent1"/>
        <w:bottom w:val="single" w:sz="4" w:space="0" w:color="C9A86A" w:themeColor="accent1"/>
        <w:right w:val="single" w:sz="4" w:space="0" w:color="C9A86A" w:themeColor="accent1"/>
        <w:insideH w:val="single" w:sz="4" w:space="0" w:color="FAF7F2" w:themeColor="background1"/>
        <w:insideV w:val="single" w:sz="4" w:space="0" w:color="FAF7F2" w:themeColor="background1"/>
      </w:tblBorders>
    </w:tblPr>
    <w:tcPr>
      <w:shd w:val="clear" w:color="auto" w:fill="F9F6F0" w:themeFill="accent1" w:themeFillTint="19"/>
    </w:tcPr>
    <w:tblStylePr w:type="firstRow">
      <w:rPr>
        <w:b/>
        <w:bCs/>
      </w:rPr>
      <w:tblPr/>
      <w:tcPr>
        <w:tcBorders>
          <w:top w:val="nil"/>
          <w:left w:val="nil"/>
          <w:bottom w:val="single" w:sz="24" w:space="0" w:color="E4D6B6" w:themeColor="accent2"/>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876831" w:themeFill="accent1" w:themeFillShade="99"/>
      </w:tcPr>
    </w:tblStylePr>
    <w:tblStylePr w:type="firstCol">
      <w:rPr>
        <w:color w:val="FAF7F2" w:themeColor="background1"/>
      </w:rPr>
      <w:tblPr/>
      <w:tcPr>
        <w:tcBorders>
          <w:top w:val="nil"/>
          <w:left w:val="nil"/>
          <w:bottom w:val="nil"/>
          <w:right w:val="nil"/>
          <w:insideH w:val="single" w:sz="4" w:space="0" w:color="876831" w:themeColor="accent1" w:themeShade="99"/>
          <w:insideV w:val="nil"/>
        </w:tcBorders>
        <w:shd w:val="clear" w:color="auto" w:fill="876831" w:themeFill="accent1" w:themeFillShade="99"/>
      </w:tcPr>
    </w:tblStylePr>
    <w:tblStylePr w:type="lastCol">
      <w:rPr>
        <w:color w:val="FAF7F2" w:themeColor="background1"/>
      </w:rPr>
      <w:tblPr/>
      <w:tcPr>
        <w:tcBorders>
          <w:top w:val="nil"/>
          <w:left w:val="nil"/>
          <w:bottom w:val="nil"/>
          <w:right w:val="nil"/>
          <w:insideH w:val="nil"/>
          <w:insideV w:val="nil"/>
        </w:tcBorders>
        <w:shd w:val="clear" w:color="auto" w:fill="876831" w:themeFill="accent1" w:themeFillShade="99"/>
      </w:tcPr>
    </w:tblStylePr>
    <w:tblStylePr w:type="band1Vert">
      <w:tblPr/>
      <w:tcPr>
        <w:shd w:val="clear" w:color="auto" w:fill="E9DCC3" w:themeFill="accent1" w:themeFillTint="66"/>
      </w:tcPr>
    </w:tblStylePr>
    <w:tblStylePr w:type="band1Horz">
      <w:tblPr/>
      <w:tcPr>
        <w:shd w:val="clear" w:color="auto" w:fill="E4D3B4" w:themeFill="accent1" w:themeFillTint="7F"/>
      </w:tcPr>
    </w:tblStylePr>
    <w:tblStylePr w:type="neCell">
      <w:rPr>
        <w:color w:val="2E2E2E" w:themeColor="text1"/>
      </w:rPr>
    </w:tblStylePr>
    <w:tblStylePr w:type="nwCell">
      <w:rPr>
        <w:color w:val="2E2E2E" w:themeColor="text1"/>
      </w:rPr>
    </w:tblStylePr>
  </w:style>
  <w:style w:type="table" w:styleId="ColourfulShadingAccent2">
    <w:name w:val="Colorful Shading Accent 2"/>
    <w:basedOn w:val="TableNormal"/>
    <w:uiPriority w:val="71"/>
    <w:rsid w:val="00CB0664"/>
    <w:pPr>
      <w:spacing w:after="0" w:line="240" w:lineRule="auto"/>
    </w:pPr>
    <w:rPr>
      <w:color w:val="2E2E2E" w:themeColor="text1"/>
    </w:rPr>
    <w:tblPr>
      <w:tblStyleRowBandSize w:val="1"/>
      <w:tblStyleColBandSize w:val="1"/>
      <w:tblBorders>
        <w:top w:val="single" w:sz="24" w:space="0" w:color="E4D6B6" w:themeColor="accent2"/>
        <w:left w:val="single" w:sz="4" w:space="0" w:color="E4D6B6" w:themeColor="accent2"/>
        <w:bottom w:val="single" w:sz="4" w:space="0" w:color="E4D6B6" w:themeColor="accent2"/>
        <w:right w:val="single" w:sz="4" w:space="0" w:color="E4D6B6" w:themeColor="accent2"/>
        <w:insideH w:val="single" w:sz="4" w:space="0" w:color="FAF7F2" w:themeColor="background1"/>
        <w:insideV w:val="single" w:sz="4" w:space="0" w:color="FAF7F2" w:themeColor="background1"/>
      </w:tblBorders>
    </w:tblPr>
    <w:tcPr>
      <w:shd w:val="clear" w:color="auto" w:fill="FCFAF7" w:themeFill="accent2" w:themeFillTint="19"/>
    </w:tcPr>
    <w:tblStylePr w:type="firstRow">
      <w:rPr>
        <w:b/>
        <w:bCs/>
      </w:rPr>
      <w:tblPr/>
      <w:tcPr>
        <w:tcBorders>
          <w:top w:val="nil"/>
          <w:left w:val="nil"/>
          <w:bottom w:val="single" w:sz="24" w:space="0" w:color="E4D6B6" w:themeColor="accent2"/>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B39042" w:themeFill="accent2" w:themeFillShade="99"/>
      </w:tcPr>
    </w:tblStylePr>
    <w:tblStylePr w:type="firstCol">
      <w:rPr>
        <w:color w:val="FAF7F2" w:themeColor="background1"/>
      </w:rPr>
      <w:tblPr/>
      <w:tcPr>
        <w:tcBorders>
          <w:top w:val="nil"/>
          <w:left w:val="nil"/>
          <w:bottom w:val="nil"/>
          <w:right w:val="nil"/>
          <w:insideH w:val="single" w:sz="4" w:space="0" w:color="B39042" w:themeColor="accent2" w:themeShade="99"/>
          <w:insideV w:val="nil"/>
        </w:tcBorders>
        <w:shd w:val="clear" w:color="auto" w:fill="B39042" w:themeFill="accent2" w:themeFillShade="99"/>
      </w:tcPr>
    </w:tblStylePr>
    <w:tblStylePr w:type="lastCol">
      <w:rPr>
        <w:color w:val="FAF7F2" w:themeColor="background1"/>
      </w:rPr>
      <w:tblPr/>
      <w:tcPr>
        <w:tcBorders>
          <w:top w:val="nil"/>
          <w:left w:val="nil"/>
          <w:bottom w:val="nil"/>
          <w:right w:val="nil"/>
          <w:insideH w:val="nil"/>
          <w:insideV w:val="nil"/>
        </w:tcBorders>
        <w:shd w:val="clear" w:color="auto" w:fill="B39042" w:themeFill="accent2" w:themeFillShade="99"/>
      </w:tcPr>
    </w:tblStylePr>
    <w:tblStylePr w:type="band1Vert">
      <w:tblPr/>
      <w:tcPr>
        <w:shd w:val="clear" w:color="auto" w:fill="F4EEE1" w:themeFill="accent2" w:themeFillTint="66"/>
      </w:tcPr>
    </w:tblStylePr>
    <w:tblStylePr w:type="band1Horz">
      <w:tblPr/>
      <w:tcPr>
        <w:shd w:val="clear" w:color="auto" w:fill="F1EADA" w:themeFill="accent2" w:themeFillTint="7F"/>
      </w:tcPr>
    </w:tblStylePr>
    <w:tblStylePr w:type="neCell">
      <w:rPr>
        <w:color w:val="2E2E2E" w:themeColor="text1"/>
      </w:rPr>
    </w:tblStylePr>
    <w:tblStylePr w:type="nwCell">
      <w:rPr>
        <w:color w:val="2E2E2E" w:themeColor="text1"/>
      </w:rPr>
    </w:tblStylePr>
  </w:style>
  <w:style w:type="table" w:styleId="ColourfulShadingAccent3">
    <w:name w:val="Colorful Shading Accent 3"/>
    <w:basedOn w:val="TableNormal"/>
    <w:uiPriority w:val="71"/>
    <w:rsid w:val="00CB0664"/>
    <w:pPr>
      <w:spacing w:after="0" w:line="240" w:lineRule="auto"/>
    </w:pPr>
    <w:rPr>
      <w:color w:val="2E2E2E" w:themeColor="text1"/>
    </w:rPr>
    <w:tblPr>
      <w:tblStyleRowBandSize w:val="1"/>
      <w:tblStyleColBandSize w:val="1"/>
      <w:tblBorders>
        <w:top w:val="single" w:sz="24" w:space="0" w:color="DCE5DF" w:themeColor="accent4"/>
        <w:left w:val="single" w:sz="4" w:space="0" w:color="627C66" w:themeColor="accent3"/>
        <w:bottom w:val="single" w:sz="4" w:space="0" w:color="627C66" w:themeColor="accent3"/>
        <w:right w:val="single" w:sz="4" w:space="0" w:color="627C66" w:themeColor="accent3"/>
        <w:insideH w:val="single" w:sz="4" w:space="0" w:color="FAF7F2" w:themeColor="background1"/>
        <w:insideV w:val="single" w:sz="4" w:space="0" w:color="FAF7F2" w:themeColor="background1"/>
      </w:tblBorders>
    </w:tblPr>
    <w:tcPr>
      <w:shd w:val="clear" w:color="auto" w:fill="EFF2EF" w:themeFill="accent3" w:themeFillTint="19"/>
    </w:tcPr>
    <w:tblStylePr w:type="firstRow">
      <w:rPr>
        <w:b/>
        <w:bCs/>
      </w:rPr>
      <w:tblPr/>
      <w:tcPr>
        <w:tcBorders>
          <w:top w:val="nil"/>
          <w:left w:val="nil"/>
          <w:bottom w:val="single" w:sz="24" w:space="0" w:color="DCE5DF" w:themeColor="accent4"/>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3A4A3D" w:themeFill="accent3" w:themeFillShade="99"/>
      </w:tcPr>
    </w:tblStylePr>
    <w:tblStylePr w:type="firstCol">
      <w:rPr>
        <w:color w:val="FAF7F2" w:themeColor="background1"/>
      </w:rPr>
      <w:tblPr/>
      <w:tcPr>
        <w:tcBorders>
          <w:top w:val="nil"/>
          <w:left w:val="nil"/>
          <w:bottom w:val="nil"/>
          <w:right w:val="nil"/>
          <w:insideH w:val="single" w:sz="4" w:space="0" w:color="3A4A3D" w:themeColor="accent3" w:themeShade="99"/>
          <w:insideV w:val="nil"/>
        </w:tcBorders>
        <w:shd w:val="clear" w:color="auto" w:fill="3A4A3D" w:themeFill="accent3" w:themeFillShade="99"/>
      </w:tcPr>
    </w:tblStylePr>
    <w:tblStylePr w:type="lastCol">
      <w:rPr>
        <w:color w:val="FAF7F2" w:themeColor="background1"/>
      </w:rPr>
      <w:tblPr/>
      <w:tcPr>
        <w:tcBorders>
          <w:top w:val="nil"/>
          <w:left w:val="nil"/>
          <w:bottom w:val="nil"/>
          <w:right w:val="nil"/>
          <w:insideH w:val="nil"/>
          <w:insideV w:val="nil"/>
        </w:tcBorders>
        <w:shd w:val="clear" w:color="auto" w:fill="3A4A3D" w:themeFill="accent3" w:themeFillShade="99"/>
      </w:tcPr>
    </w:tblStylePr>
    <w:tblStylePr w:type="band1Vert">
      <w:tblPr/>
      <w:tcPr>
        <w:shd w:val="clear" w:color="auto" w:fill="BECCC0" w:themeFill="accent3" w:themeFillTint="66"/>
      </w:tcPr>
    </w:tblStylePr>
    <w:tblStylePr w:type="band1Horz">
      <w:tblPr/>
      <w:tcPr>
        <w:shd w:val="clear" w:color="auto" w:fill="AEBFB1" w:themeFill="accent3" w:themeFillTint="7F"/>
      </w:tcPr>
    </w:tblStylePr>
  </w:style>
  <w:style w:type="table" w:styleId="ColourfulShadingAccent4">
    <w:name w:val="Colorful Shading Accent 4"/>
    <w:basedOn w:val="TableNormal"/>
    <w:uiPriority w:val="71"/>
    <w:rsid w:val="00CB0664"/>
    <w:pPr>
      <w:spacing w:after="0" w:line="240" w:lineRule="auto"/>
    </w:pPr>
    <w:rPr>
      <w:color w:val="2E2E2E" w:themeColor="text1"/>
    </w:rPr>
    <w:tblPr>
      <w:tblStyleRowBandSize w:val="1"/>
      <w:tblStyleColBandSize w:val="1"/>
      <w:tblBorders>
        <w:top w:val="single" w:sz="24" w:space="0" w:color="627C66" w:themeColor="accent3"/>
        <w:left w:val="single" w:sz="4" w:space="0" w:color="DCE5DF" w:themeColor="accent4"/>
        <w:bottom w:val="single" w:sz="4" w:space="0" w:color="DCE5DF" w:themeColor="accent4"/>
        <w:right w:val="single" w:sz="4" w:space="0" w:color="DCE5DF" w:themeColor="accent4"/>
        <w:insideH w:val="single" w:sz="4" w:space="0" w:color="FAF7F2" w:themeColor="background1"/>
        <w:insideV w:val="single" w:sz="4" w:space="0" w:color="FAF7F2" w:themeColor="background1"/>
      </w:tblBorders>
    </w:tblPr>
    <w:tcPr>
      <w:shd w:val="clear" w:color="auto" w:fill="FBFCFB" w:themeFill="accent4" w:themeFillTint="19"/>
    </w:tcPr>
    <w:tblStylePr w:type="firstRow">
      <w:rPr>
        <w:b/>
        <w:bCs/>
      </w:rPr>
      <w:tblPr/>
      <w:tcPr>
        <w:tcBorders>
          <w:top w:val="nil"/>
          <w:left w:val="nil"/>
          <w:bottom w:val="single" w:sz="24" w:space="0" w:color="627C66" w:themeColor="accent3"/>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749880" w:themeFill="accent4" w:themeFillShade="99"/>
      </w:tcPr>
    </w:tblStylePr>
    <w:tblStylePr w:type="firstCol">
      <w:rPr>
        <w:color w:val="FAF7F2" w:themeColor="background1"/>
      </w:rPr>
      <w:tblPr/>
      <w:tcPr>
        <w:tcBorders>
          <w:top w:val="nil"/>
          <w:left w:val="nil"/>
          <w:bottom w:val="nil"/>
          <w:right w:val="nil"/>
          <w:insideH w:val="single" w:sz="4" w:space="0" w:color="749880" w:themeColor="accent4" w:themeShade="99"/>
          <w:insideV w:val="nil"/>
        </w:tcBorders>
        <w:shd w:val="clear" w:color="auto" w:fill="749880" w:themeFill="accent4" w:themeFillShade="99"/>
      </w:tcPr>
    </w:tblStylePr>
    <w:tblStylePr w:type="lastCol">
      <w:rPr>
        <w:color w:val="FAF7F2" w:themeColor="background1"/>
      </w:rPr>
      <w:tblPr/>
      <w:tcPr>
        <w:tcBorders>
          <w:top w:val="nil"/>
          <w:left w:val="nil"/>
          <w:bottom w:val="nil"/>
          <w:right w:val="nil"/>
          <w:insideH w:val="nil"/>
          <w:insideV w:val="nil"/>
        </w:tcBorders>
        <w:shd w:val="clear" w:color="auto" w:fill="749880" w:themeFill="accent4" w:themeFillShade="99"/>
      </w:tcPr>
    </w:tblStylePr>
    <w:tblStylePr w:type="band1Vert">
      <w:tblPr/>
      <w:tcPr>
        <w:shd w:val="clear" w:color="auto" w:fill="F0F4F2" w:themeFill="accent4" w:themeFillTint="66"/>
      </w:tcPr>
    </w:tblStylePr>
    <w:tblStylePr w:type="band1Horz">
      <w:tblPr/>
      <w:tcPr>
        <w:shd w:val="clear" w:color="auto" w:fill="EDF2EE" w:themeFill="accent4" w:themeFillTint="7F"/>
      </w:tcPr>
    </w:tblStylePr>
    <w:tblStylePr w:type="neCell">
      <w:rPr>
        <w:color w:val="2E2E2E" w:themeColor="text1"/>
      </w:rPr>
    </w:tblStylePr>
    <w:tblStylePr w:type="nwCell">
      <w:rPr>
        <w:color w:val="2E2E2E" w:themeColor="text1"/>
      </w:rPr>
    </w:tblStylePr>
  </w:style>
  <w:style w:type="table" w:styleId="ColourfulShadingAccent5">
    <w:name w:val="Colorful Shading Accent 5"/>
    <w:basedOn w:val="TableNormal"/>
    <w:uiPriority w:val="71"/>
    <w:rsid w:val="00CB0664"/>
    <w:pPr>
      <w:spacing w:after="0" w:line="240" w:lineRule="auto"/>
    </w:pPr>
    <w:rPr>
      <w:color w:val="2E2E2E" w:themeColor="text1"/>
    </w:rPr>
    <w:tblPr>
      <w:tblStyleRowBandSize w:val="1"/>
      <w:tblStyleColBandSize w:val="1"/>
      <w:tblBorders>
        <w:top w:val="single" w:sz="24" w:space="0" w:color="2E2E2E" w:themeColor="accent6"/>
        <w:left w:val="single" w:sz="4" w:space="0" w:color="FAF7F2" w:themeColor="accent5"/>
        <w:bottom w:val="single" w:sz="4" w:space="0" w:color="FAF7F2" w:themeColor="accent5"/>
        <w:right w:val="single" w:sz="4" w:space="0" w:color="FAF7F2" w:themeColor="accent5"/>
        <w:insideH w:val="single" w:sz="4" w:space="0" w:color="FAF7F2" w:themeColor="background1"/>
        <w:insideV w:val="single" w:sz="4" w:space="0" w:color="FAF7F2" w:themeColor="background1"/>
      </w:tblBorders>
    </w:tblPr>
    <w:tcPr>
      <w:shd w:val="clear" w:color="auto" w:fill="FEFEFD" w:themeFill="accent5" w:themeFillTint="19"/>
    </w:tcPr>
    <w:tblStylePr w:type="firstRow">
      <w:rPr>
        <w:b/>
        <w:bCs/>
      </w:rPr>
      <w:tblPr/>
      <w:tcPr>
        <w:tcBorders>
          <w:top w:val="nil"/>
          <w:left w:val="nil"/>
          <w:bottom w:val="single" w:sz="24" w:space="0" w:color="2E2E2E" w:themeColor="accent6"/>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C39F63" w:themeFill="accent5" w:themeFillShade="99"/>
      </w:tcPr>
    </w:tblStylePr>
    <w:tblStylePr w:type="firstCol">
      <w:rPr>
        <w:color w:val="FAF7F2" w:themeColor="background1"/>
      </w:rPr>
      <w:tblPr/>
      <w:tcPr>
        <w:tcBorders>
          <w:top w:val="nil"/>
          <w:left w:val="nil"/>
          <w:bottom w:val="nil"/>
          <w:right w:val="nil"/>
          <w:insideH w:val="single" w:sz="4" w:space="0" w:color="C39F63" w:themeColor="accent5" w:themeShade="99"/>
          <w:insideV w:val="nil"/>
        </w:tcBorders>
        <w:shd w:val="clear" w:color="auto" w:fill="C39F63" w:themeFill="accent5" w:themeFillShade="99"/>
      </w:tcPr>
    </w:tblStylePr>
    <w:tblStylePr w:type="lastCol">
      <w:rPr>
        <w:color w:val="FAF7F2" w:themeColor="background1"/>
      </w:rPr>
      <w:tblPr/>
      <w:tcPr>
        <w:tcBorders>
          <w:top w:val="nil"/>
          <w:left w:val="nil"/>
          <w:bottom w:val="nil"/>
          <w:right w:val="nil"/>
          <w:insideH w:val="nil"/>
          <w:insideV w:val="nil"/>
        </w:tcBorders>
        <w:shd w:val="clear" w:color="auto" w:fill="C39F63" w:themeFill="accent5" w:themeFillShade="99"/>
      </w:tcPr>
    </w:tblStylePr>
    <w:tblStylePr w:type="band1Vert">
      <w:tblPr/>
      <w:tcPr>
        <w:shd w:val="clear" w:color="auto" w:fill="FDFBF9" w:themeFill="accent5" w:themeFillTint="66"/>
      </w:tcPr>
    </w:tblStylePr>
    <w:tblStylePr w:type="band1Horz">
      <w:tblPr/>
      <w:tcPr>
        <w:shd w:val="clear" w:color="auto" w:fill="FCFAF8" w:themeFill="accent5" w:themeFillTint="7F"/>
      </w:tcPr>
    </w:tblStylePr>
    <w:tblStylePr w:type="neCell">
      <w:rPr>
        <w:color w:val="2E2E2E" w:themeColor="text1"/>
      </w:rPr>
    </w:tblStylePr>
    <w:tblStylePr w:type="nwCell">
      <w:rPr>
        <w:color w:val="2E2E2E" w:themeColor="text1"/>
      </w:rPr>
    </w:tblStylePr>
  </w:style>
  <w:style w:type="table" w:styleId="ColourfulShadingAccent6">
    <w:name w:val="Colorful Shading Accent 6"/>
    <w:basedOn w:val="TableNormal"/>
    <w:uiPriority w:val="71"/>
    <w:rsid w:val="00CB0664"/>
    <w:pPr>
      <w:spacing w:after="0" w:line="240" w:lineRule="auto"/>
    </w:pPr>
    <w:rPr>
      <w:color w:val="2E2E2E" w:themeColor="text1"/>
    </w:rPr>
    <w:tblPr>
      <w:tblStyleRowBandSize w:val="1"/>
      <w:tblStyleColBandSize w:val="1"/>
      <w:tblBorders>
        <w:top w:val="single" w:sz="24" w:space="0" w:color="FAF7F2" w:themeColor="accent5"/>
        <w:left w:val="single" w:sz="4" w:space="0" w:color="2E2E2E" w:themeColor="accent6"/>
        <w:bottom w:val="single" w:sz="4" w:space="0" w:color="2E2E2E" w:themeColor="accent6"/>
        <w:right w:val="single" w:sz="4" w:space="0" w:color="2E2E2E" w:themeColor="accent6"/>
        <w:insideH w:val="single" w:sz="4" w:space="0" w:color="FAF7F2" w:themeColor="background1"/>
        <w:insideV w:val="single" w:sz="4" w:space="0" w:color="FAF7F2" w:themeColor="background1"/>
      </w:tblBorders>
    </w:tblPr>
    <w:tcPr>
      <w:shd w:val="clear" w:color="auto" w:fill="EAEAEA" w:themeFill="accent6" w:themeFillTint="19"/>
    </w:tcPr>
    <w:tblStylePr w:type="firstRow">
      <w:rPr>
        <w:b/>
        <w:bCs/>
      </w:rPr>
      <w:tblPr/>
      <w:tcPr>
        <w:tcBorders>
          <w:top w:val="nil"/>
          <w:left w:val="nil"/>
          <w:bottom w:val="single" w:sz="24" w:space="0" w:color="FAF7F2" w:themeColor="accent5"/>
          <w:right w:val="nil"/>
          <w:insideH w:val="nil"/>
          <w:insideV w:val="nil"/>
        </w:tcBorders>
        <w:shd w:val="clear" w:color="auto" w:fill="FAF7F2" w:themeFill="background1"/>
      </w:tcPr>
    </w:tblStylePr>
    <w:tblStylePr w:type="lastRow">
      <w:rPr>
        <w:b/>
        <w:bCs/>
        <w:color w:val="FAF7F2" w:themeColor="background1"/>
      </w:rPr>
      <w:tblPr/>
      <w:tcPr>
        <w:tcBorders>
          <w:top w:val="single" w:sz="6" w:space="0" w:color="FAF7F2" w:themeColor="background1"/>
        </w:tcBorders>
        <w:shd w:val="clear" w:color="auto" w:fill="1B1B1B" w:themeFill="accent6" w:themeFillShade="99"/>
      </w:tcPr>
    </w:tblStylePr>
    <w:tblStylePr w:type="firstCol">
      <w:rPr>
        <w:color w:val="FAF7F2" w:themeColor="background1"/>
      </w:rPr>
      <w:tblPr/>
      <w:tcPr>
        <w:tcBorders>
          <w:top w:val="nil"/>
          <w:left w:val="nil"/>
          <w:bottom w:val="nil"/>
          <w:right w:val="nil"/>
          <w:insideH w:val="single" w:sz="4" w:space="0" w:color="1B1B1B" w:themeColor="accent6" w:themeShade="99"/>
          <w:insideV w:val="nil"/>
        </w:tcBorders>
        <w:shd w:val="clear" w:color="auto" w:fill="1B1B1B" w:themeFill="accent6" w:themeFillShade="99"/>
      </w:tcPr>
    </w:tblStylePr>
    <w:tblStylePr w:type="lastCol">
      <w:rPr>
        <w:color w:val="FAF7F2" w:themeColor="background1"/>
      </w:rPr>
      <w:tblPr/>
      <w:tcPr>
        <w:tcBorders>
          <w:top w:val="nil"/>
          <w:left w:val="nil"/>
          <w:bottom w:val="nil"/>
          <w:right w:val="nil"/>
          <w:insideH w:val="nil"/>
          <w:insideV w:val="nil"/>
        </w:tcBorders>
        <w:shd w:val="clear" w:color="auto" w:fill="1B1B1B" w:themeFill="accent6" w:themeFillShade="99"/>
      </w:tcPr>
    </w:tblStylePr>
    <w:tblStylePr w:type="band1Vert">
      <w:tblPr/>
      <w:tcPr>
        <w:shd w:val="clear" w:color="auto" w:fill="ABABAB" w:themeFill="accent6" w:themeFillTint="66"/>
      </w:tcPr>
    </w:tblStylePr>
    <w:tblStylePr w:type="band1Horz">
      <w:tblPr/>
      <w:tcPr>
        <w:shd w:val="clear" w:color="auto" w:fill="969696" w:themeFill="accent6" w:themeFillTint="7F"/>
      </w:tcPr>
    </w:tblStylePr>
    <w:tblStylePr w:type="neCell">
      <w:rPr>
        <w:color w:val="2E2E2E" w:themeColor="text1"/>
      </w:rPr>
    </w:tblStylePr>
    <w:tblStylePr w:type="nwCell">
      <w:rPr>
        <w:color w:val="2E2E2E" w:themeColor="text1"/>
      </w:rPr>
    </w:tblStylePr>
  </w:style>
  <w:style w:type="table" w:styleId="ColourfulList">
    <w:name w:val="Colorful List"/>
    <w:basedOn w:val="TableNormal"/>
    <w:uiPriority w:val="72"/>
    <w:rsid w:val="00CB0664"/>
    <w:pPr>
      <w:spacing w:after="0" w:line="240" w:lineRule="auto"/>
    </w:pPr>
    <w:rPr>
      <w:color w:val="2E2E2E" w:themeColor="text1"/>
    </w:rPr>
    <w:tblPr>
      <w:tblStyleRowBandSize w:val="1"/>
      <w:tblStyleColBandSize w:val="1"/>
    </w:tblPr>
    <w:tcPr>
      <w:shd w:val="clear" w:color="auto" w:fill="EAEAEA" w:themeFill="text1" w:themeFillTint="19"/>
    </w:tcPr>
    <w:tblStylePr w:type="firstRow">
      <w:rPr>
        <w:b/>
        <w:bCs/>
        <w:color w:val="FAF7F2" w:themeColor="background1"/>
      </w:rPr>
      <w:tblPr/>
      <w:tcPr>
        <w:tcBorders>
          <w:bottom w:val="single" w:sz="12" w:space="0" w:color="FAF7F2" w:themeColor="background1"/>
        </w:tcBorders>
        <w:shd w:val="clear" w:color="auto" w:fill="CDB47A" w:themeFill="accent2" w:themeFillShade="CC"/>
      </w:tcPr>
    </w:tblStylePr>
    <w:tblStylePr w:type="lastRow">
      <w:rPr>
        <w:b/>
        <w:bCs/>
        <w:color w:val="CDB47A" w:themeColor="accent2"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BCB" w:themeFill="text1" w:themeFillTint="3F"/>
      </w:tcPr>
    </w:tblStylePr>
    <w:tblStylePr w:type="band1Horz">
      <w:tblPr/>
      <w:tcPr>
        <w:shd w:val="clear" w:color="auto" w:fill="D5D5D5" w:themeFill="text1" w:themeFillTint="33"/>
      </w:tcPr>
    </w:tblStylePr>
  </w:style>
  <w:style w:type="table" w:styleId="ColourfulListAccent1">
    <w:name w:val="Colorful List Accent 1"/>
    <w:basedOn w:val="TableNormal"/>
    <w:uiPriority w:val="72"/>
    <w:rsid w:val="00CB0664"/>
    <w:pPr>
      <w:spacing w:after="0" w:line="240" w:lineRule="auto"/>
    </w:pPr>
    <w:rPr>
      <w:color w:val="2E2E2E" w:themeColor="text1"/>
    </w:rPr>
    <w:tblPr>
      <w:tblStyleRowBandSize w:val="1"/>
      <w:tblStyleColBandSize w:val="1"/>
    </w:tblPr>
    <w:tcPr>
      <w:shd w:val="clear" w:color="auto" w:fill="F9F6F0" w:themeFill="accent1" w:themeFillTint="19"/>
    </w:tcPr>
    <w:tblStylePr w:type="firstRow">
      <w:rPr>
        <w:b/>
        <w:bCs/>
        <w:color w:val="FAF7F2" w:themeColor="background1"/>
      </w:rPr>
      <w:tblPr/>
      <w:tcPr>
        <w:tcBorders>
          <w:bottom w:val="single" w:sz="12" w:space="0" w:color="FAF7F2" w:themeColor="background1"/>
        </w:tcBorders>
        <w:shd w:val="clear" w:color="auto" w:fill="CDB47A" w:themeFill="accent2" w:themeFillShade="CC"/>
      </w:tcPr>
    </w:tblStylePr>
    <w:tblStylePr w:type="lastRow">
      <w:rPr>
        <w:b/>
        <w:bCs/>
        <w:color w:val="CDB47A" w:themeColor="accent2"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E9DA" w:themeFill="accent1" w:themeFillTint="3F"/>
      </w:tcPr>
    </w:tblStylePr>
    <w:tblStylePr w:type="band1Horz">
      <w:tblPr/>
      <w:tcPr>
        <w:shd w:val="clear" w:color="auto" w:fill="F4EDE1" w:themeFill="accent1" w:themeFillTint="33"/>
      </w:tcPr>
    </w:tblStylePr>
  </w:style>
  <w:style w:type="table" w:styleId="ColourfulListAccent2">
    <w:name w:val="Colorful List Accent 2"/>
    <w:basedOn w:val="TableNormal"/>
    <w:uiPriority w:val="72"/>
    <w:rsid w:val="00CB0664"/>
    <w:pPr>
      <w:spacing w:after="0" w:line="240" w:lineRule="auto"/>
    </w:pPr>
    <w:rPr>
      <w:color w:val="2E2E2E" w:themeColor="text1"/>
    </w:rPr>
    <w:tblPr>
      <w:tblStyleRowBandSize w:val="1"/>
      <w:tblStyleColBandSize w:val="1"/>
    </w:tblPr>
    <w:tcPr>
      <w:shd w:val="clear" w:color="auto" w:fill="FCFAF7" w:themeFill="accent2" w:themeFillTint="19"/>
    </w:tcPr>
    <w:tblStylePr w:type="firstRow">
      <w:rPr>
        <w:b/>
        <w:bCs/>
        <w:color w:val="FAF7F2" w:themeColor="background1"/>
      </w:rPr>
      <w:tblPr/>
      <w:tcPr>
        <w:tcBorders>
          <w:bottom w:val="single" w:sz="12" w:space="0" w:color="FAF7F2" w:themeColor="background1"/>
        </w:tcBorders>
        <w:shd w:val="clear" w:color="auto" w:fill="CDB47A" w:themeFill="accent2" w:themeFillShade="CC"/>
      </w:tcPr>
    </w:tblStylePr>
    <w:tblStylePr w:type="lastRow">
      <w:rPr>
        <w:b/>
        <w:bCs/>
        <w:color w:val="CDB47A" w:themeColor="accent2"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F4EC" w:themeFill="accent2" w:themeFillTint="3F"/>
      </w:tcPr>
    </w:tblStylePr>
    <w:tblStylePr w:type="band1Horz">
      <w:tblPr/>
      <w:tcPr>
        <w:shd w:val="clear" w:color="auto" w:fill="F9F6F0" w:themeFill="accent2" w:themeFillTint="33"/>
      </w:tcPr>
    </w:tblStylePr>
  </w:style>
  <w:style w:type="table" w:styleId="ColourfulListAccent3">
    <w:name w:val="Colorful List Accent 3"/>
    <w:basedOn w:val="TableNormal"/>
    <w:uiPriority w:val="72"/>
    <w:rsid w:val="00CB0664"/>
    <w:pPr>
      <w:spacing w:after="0" w:line="240" w:lineRule="auto"/>
    </w:pPr>
    <w:rPr>
      <w:color w:val="2E2E2E" w:themeColor="text1"/>
    </w:rPr>
    <w:tblPr>
      <w:tblStyleRowBandSize w:val="1"/>
      <w:tblStyleColBandSize w:val="1"/>
    </w:tblPr>
    <w:tcPr>
      <w:shd w:val="clear" w:color="auto" w:fill="EFF2EF" w:themeFill="accent3" w:themeFillTint="19"/>
    </w:tcPr>
    <w:tblStylePr w:type="firstRow">
      <w:rPr>
        <w:b/>
        <w:bCs/>
        <w:color w:val="FAF7F2" w:themeColor="background1"/>
      </w:rPr>
      <w:tblPr/>
      <w:tcPr>
        <w:tcBorders>
          <w:bottom w:val="single" w:sz="12" w:space="0" w:color="FAF7F2" w:themeColor="background1"/>
        </w:tcBorders>
        <w:shd w:val="clear" w:color="auto" w:fill="A8BEAF" w:themeFill="accent4" w:themeFillShade="CC"/>
      </w:tcPr>
    </w:tblStylePr>
    <w:tblStylePr w:type="lastRow">
      <w:rPr>
        <w:b/>
        <w:bCs/>
        <w:color w:val="A8BEAF" w:themeColor="accent4"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FD8" w:themeFill="accent3" w:themeFillTint="3F"/>
      </w:tcPr>
    </w:tblStylePr>
    <w:tblStylePr w:type="band1Horz">
      <w:tblPr/>
      <w:tcPr>
        <w:shd w:val="clear" w:color="auto" w:fill="DEE5DF" w:themeFill="accent3" w:themeFillTint="33"/>
      </w:tcPr>
    </w:tblStylePr>
  </w:style>
  <w:style w:type="table" w:styleId="ColourfulListAccent4">
    <w:name w:val="Colorful List Accent 4"/>
    <w:basedOn w:val="TableNormal"/>
    <w:uiPriority w:val="72"/>
    <w:rsid w:val="00CB0664"/>
    <w:pPr>
      <w:spacing w:after="0" w:line="240" w:lineRule="auto"/>
    </w:pPr>
    <w:rPr>
      <w:color w:val="2E2E2E" w:themeColor="text1"/>
    </w:rPr>
    <w:tblPr>
      <w:tblStyleRowBandSize w:val="1"/>
      <w:tblStyleColBandSize w:val="1"/>
    </w:tblPr>
    <w:tcPr>
      <w:shd w:val="clear" w:color="auto" w:fill="FBFCFB" w:themeFill="accent4" w:themeFillTint="19"/>
    </w:tcPr>
    <w:tblStylePr w:type="firstRow">
      <w:rPr>
        <w:b/>
        <w:bCs/>
        <w:color w:val="FAF7F2" w:themeColor="background1"/>
      </w:rPr>
      <w:tblPr/>
      <w:tcPr>
        <w:tcBorders>
          <w:bottom w:val="single" w:sz="12" w:space="0" w:color="FAF7F2" w:themeColor="background1"/>
        </w:tcBorders>
        <w:shd w:val="clear" w:color="auto" w:fill="4E6351" w:themeFill="accent3" w:themeFillShade="CC"/>
      </w:tcPr>
    </w:tblStylePr>
    <w:tblStylePr w:type="lastRow">
      <w:rPr>
        <w:b/>
        <w:bCs/>
        <w:color w:val="4E6351" w:themeColor="accent3"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8F6" w:themeFill="accent4" w:themeFillTint="3F"/>
      </w:tcPr>
    </w:tblStylePr>
    <w:tblStylePr w:type="band1Horz">
      <w:tblPr/>
      <w:tcPr>
        <w:shd w:val="clear" w:color="auto" w:fill="F7F9F8" w:themeFill="accent4" w:themeFillTint="33"/>
      </w:tcPr>
    </w:tblStylePr>
  </w:style>
  <w:style w:type="table" w:styleId="ColourfulListAccent5">
    <w:name w:val="Colorful List Accent 5"/>
    <w:basedOn w:val="TableNormal"/>
    <w:uiPriority w:val="72"/>
    <w:rsid w:val="00CB0664"/>
    <w:pPr>
      <w:spacing w:after="0" w:line="240" w:lineRule="auto"/>
    </w:pPr>
    <w:rPr>
      <w:color w:val="2E2E2E" w:themeColor="text1"/>
    </w:rPr>
    <w:tblPr>
      <w:tblStyleRowBandSize w:val="1"/>
      <w:tblStyleColBandSize w:val="1"/>
    </w:tblPr>
    <w:tcPr>
      <w:shd w:val="clear" w:color="auto" w:fill="FEFEFD" w:themeFill="accent5" w:themeFillTint="19"/>
    </w:tcPr>
    <w:tblStylePr w:type="firstRow">
      <w:rPr>
        <w:b/>
        <w:bCs/>
        <w:color w:val="FAF7F2" w:themeColor="background1"/>
      </w:rPr>
      <w:tblPr/>
      <w:tcPr>
        <w:tcBorders>
          <w:bottom w:val="single" w:sz="12" w:space="0" w:color="FAF7F2" w:themeColor="background1"/>
        </w:tcBorders>
        <w:shd w:val="clear" w:color="auto" w:fill="242424" w:themeFill="accent6" w:themeFillShade="CC"/>
      </w:tcPr>
    </w:tblStylePr>
    <w:tblStylePr w:type="lastRow">
      <w:rPr>
        <w:b/>
        <w:bCs/>
        <w:color w:val="242424" w:themeColor="accent6"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CFB" w:themeFill="accent5" w:themeFillTint="3F"/>
      </w:tcPr>
    </w:tblStylePr>
    <w:tblStylePr w:type="band1Horz">
      <w:tblPr/>
      <w:tcPr>
        <w:shd w:val="clear" w:color="auto" w:fill="FEFDFC" w:themeFill="accent5" w:themeFillTint="33"/>
      </w:tcPr>
    </w:tblStylePr>
  </w:style>
  <w:style w:type="table" w:styleId="ColourfulListAccent6">
    <w:name w:val="Colorful List Accent 6"/>
    <w:basedOn w:val="TableNormal"/>
    <w:uiPriority w:val="72"/>
    <w:rsid w:val="00CB0664"/>
    <w:pPr>
      <w:spacing w:after="0" w:line="240" w:lineRule="auto"/>
    </w:pPr>
    <w:rPr>
      <w:color w:val="2E2E2E" w:themeColor="text1"/>
    </w:rPr>
    <w:tblPr>
      <w:tblStyleRowBandSize w:val="1"/>
      <w:tblStyleColBandSize w:val="1"/>
    </w:tblPr>
    <w:tcPr>
      <w:shd w:val="clear" w:color="auto" w:fill="EAEAEA" w:themeFill="accent6" w:themeFillTint="19"/>
    </w:tcPr>
    <w:tblStylePr w:type="firstRow">
      <w:rPr>
        <w:b/>
        <w:bCs/>
        <w:color w:val="FAF7F2" w:themeColor="background1"/>
      </w:rPr>
      <w:tblPr/>
      <w:tcPr>
        <w:tcBorders>
          <w:bottom w:val="single" w:sz="12" w:space="0" w:color="FAF7F2" w:themeColor="background1"/>
        </w:tcBorders>
        <w:shd w:val="clear" w:color="auto" w:fill="DECBAA" w:themeFill="accent5" w:themeFillShade="CC"/>
      </w:tcPr>
    </w:tblStylePr>
    <w:tblStylePr w:type="lastRow">
      <w:rPr>
        <w:b/>
        <w:bCs/>
        <w:color w:val="DECBAA" w:themeColor="accent5" w:themeShade="CC"/>
      </w:rPr>
      <w:tblPr/>
      <w:tcPr>
        <w:tcBorders>
          <w:top w:val="single" w:sz="12" w:space="0" w:color="2E2E2E" w:themeColor="text1"/>
        </w:tcBorders>
        <w:shd w:val="clear" w:color="auto" w:fill="FAF7F2"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BCB" w:themeFill="accent6" w:themeFillTint="3F"/>
      </w:tcPr>
    </w:tblStylePr>
    <w:tblStylePr w:type="band1Horz">
      <w:tblPr/>
      <w:tcPr>
        <w:shd w:val="clear" w:color="auto" w:fill="D5D5D5" w:themeFill="accent6" w:themeFillTint="33"/>
      </w:tcPr>
    </w:tblStylePr>
  </w:style>
  <w:style w:type="table" w:styleId="ColourfulGrid">
    <w:name w:val="Colorful Grid"/>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D5D5D5" w:themeFill="text1" w:themeFillTint="33"/>
    </w:tcPr>
    <w:tblStylePr w:type="firstRow">
      <w:rPr>
        <w:b/>
        <w:bCs/>
      </w:rPr>
      <w:tblPr/>
      <w:tcPr>
        <w:shd w:val="clear" w:color="auto" w:fill="ABABAB" w:themeFill="text1" w:themeFillTint="66"/>
      </w:tcPr>
    </w:tblStylePr>
    <w:tblStylePr w:type="lastRow">
      <w:rPr>
        <w:b/>
        <w:bCs/>
        <w:color w:val="2E2E2E" w:themeColor="text1"/>
      </w:rPr>
      <w:tblPr/>
      <w:tcPr>
        <w:shd w:val="clear" w:color="auto" w:fill="ABABAB" w:themeFill="text1" w:themeFillTint="66"/>
      </w:tcPr>
    </w:tblStylePr>
    <w:tblStylePr w:type="firstCol">
      <w:rPr>
        <w:color w:val="FAF7F2" w:themeColor="background1"/>
      </w:rPr>
      <w:tblPr/>
      <w:tcPr>
        <w:shd w:val="clear" w:color="auto" w:fill="222222" w:themeFill="text1" w:themeFillShade="BF"/>
      </w:tcPr>
    </w:tblStylePr>
    <w:tblStylePr w:type="lastCol">
      <w:rPr>
        <w:color w:val="FAF7F2" w:themeColor="background1"/>
      </w:rPr>
      <w:tblPr/>
      <w:tcPr>
        <w:shd w:val="clear" w:color="auto" w:fill="222222" w:themeFill="text1" w:themeFillShade="BF"/>
      </w:tcPr>
    </w:tblStylePr>
    <w:tblStylePr w:type="band1Vert">
      <w:tblPr/>
      <w:tcPr>
        <w:shd w:val="clear" w:color="auto" w:fill="969696" w:themeFill="text1" w:themeFillTint="7F"/>
      </w:tcPr>
    </w:tblStylePr>
    <w:tblStylePr w:type="band1Horz">
      <w:tblPr/>
      <w:tcPr>
        <w:shd w:val="clear" w:color="auto" w:fill="969696" w:themeFill="text1" w:themeFillTint="7F"/>
      </w:tcPr>
    </w:tblStylePr>
  </w:style>
  <w:style w:type="table" w:styleId="ColourfulGridAccent1">
    <w:name w:val="Colorful Grid Accent 1"/>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F4EDE1" w:themeFill="accent1" w:themeFillTint="33"/>
    </w:tcPr>
    <w:tblStylePr w:type="firstRow">
      <w:rPr>
        <w:b/>
        <w:bCs/>
      </w:rPr>
      <w:tblPr/>
      <w:tcPr>
        <w:shd w:val="clear" w:color="auto" w:fill="E9DCC3" w:themeFill="accent1" w:themeFillTint="66"/>
      </w:tcPr>
    </w:tblStylePr>
    <w:tblStylePr w:type="lastRow">
      <w:rPr>
        <w:b/>
        <w:bCs/>
        <w:color w:val="2E2E2E" w:themeColor="text1"/>
      </w:rPr>
      <w:tblPr/>
      <w:tcPr>
        <w:shd w:val="clear" w:color="auto" w:fill="E9DCC3" w:themeFill="accent1" w:themeFillTint="66"/>
      </w:tcPr>
    </w:tblStylePr>
    <w:tblStylePr w:type="firstCol">
      <w:rPr>
        <w:color w:val="FAF7F2" w:themeColor="background1"/>
      </w:rPr>
      <w:tblPr/>
      <w:tcPr>
        <w:shd w:val="clear" w:color="auto" w:fill="A8833D" w:themeFill="accent1" w:themeFillShade="BF"/>
      </w:tcPr>
    </w:tblStylePr>
    <w:tblStylePr w:type="lastCol">
      <w:rPr>
        <w:color w:val="FAF7F2" w:themeColor="background1"/>
      </w:rPr>
      <w:tblPr/>
      <w:tcPr>
        <w:shd w:val="clear" w:color="auto" w:fill="A8833D" w:themeFill="accent1" w:themeFillShade="BF"/>
      </w:tcPr>
    </w:tblStylePr>
    <w:tblStylePr w:type="band1Vert">
      <w:tblPr/>
      <w:tcPr>
        <w:shd w:val="clear" w:color="auto" w:fill="E4D3B4" w:themeFill="accent1" w:themeFillTint="7F"/>
      </w:tcPr>
    </w:tblStylePr>
    <w:tblStylePr w:type="band1Horz">
      <w:tblPr/>
      <w:tcPr>
        <w:shd w:val="clear" w:color="auto" w:fill="E4D3B4" w:themeFill="accent1" w:themeFillTint="7F"/>
      </w:tcPr>
    </w:tblStylePr>
  </w:style>
  <w:style w:type="table" w:styleId="ColourfulGridAccent2">
    <w:name w:val="Colorful Grid Accent 2"/>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F9F6F0" w:themeFill="accent2" w:themeFillTint="33"/>
    </w:tcPr>
    <w:tblStylePr w:type="firstRow">
      <w:rPr>
        <w:b/>
        <w:bCs/>
      </w:rPr>
      <w:tblPr/>
      <w:tcPr>
        <w:shd w:val="clear" w:color="auto" w:fill="F4EEE1" w:themeFill="accent2" w:themeFillTint="66"/>
      </w:tcPr>
    </w:tblStylePr>
    <w:tblStylePr w:type="lastRow">
      <w:rPr>
        <w:b/>
        <w:bCs/>
        <w:color w:val="2E2E2E" w:themeColor="text1"/>
      </w:rPr>
      <w:tblPr/>
      <w:tcPr>
        <w:shd w:val="clear" w:color="auto" w:fill="F4EEE1" w:themeFill="accent2" w:themeFillTint="66"/>
      </w:tcPr>
    </w:tblStylePr>
    <w:tblStylePr w:type="firstCol">
      <w:rPr>
        <w:color w:val="FAF7F2" w:themeColor="background1"/>
      </w:rPr>
      <w:tblPr/>
      <w:tcPr>
        <w:shd w:val="clear" w:color="auto" w:fill="C8AB6A" w:themeFill="accent2" w:themeFillShade="BF"/>
      </w:tcPr>
    </w:tblStylePr>
    <w:tblStylePr w:type="lastCol">
      <w:rPr>
        <w:color w:val="FAF7F2" w:themeColor="background1"/>
      </w:rPr>
      <w:tblPr/>
      <w:tcPr>
        <w:shd w:val="clear" w:color="auto" w:fill="C8AB6A" w:themeFill="accent2" w:themeFillShade="BF"/>
      </w:tcPr>
    </w:tblStylePr>
    <w:tblStylePr w:type="band1Vert">
      <w:tblPr/>
      <w:tcPr>
        <w:shd w:val="clear" w:color="auto" w:fill="F1EADA" w:themeFill="accent2" w:themeFillTint="7F"/>
      </w:tcPr>
    </w:tblStylePr>
    <w:tblStylePr w:type="band1Horz">
      <w:tblPr/>
      <w:tcPr>
        <w:shd w:val="clear" w:color="auto" w:fill="F1EADA" w:themeFill="accent2" w:themeFillTint="7F"/>
      </w:tcPr>
    </w:tblStylePr>
  </w:style>
  <w:style w:type="table" w:styleId="ColourfulGridAccent3">
    <w:name w:val="Colorful Grid Accent 3"/>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DEE5DF" w:themeFill="accent3" w:themeFillTint="33"/>
    </w:tcPr>
    <w:tblStylePr w:type="firstRow">
      <w:rPr>
        <w:b/>
        <w:bCs/>
      </w:rPr>
      <w:tblPr/>
      <w:tcPr>
        <w:shd w:val="clear" w:color="auto" w:fill="BECCC0" w:themeFill="accent3" w:themeFillTint="66"/>
      </w:tcPr>
    </w:tblStylePr>
    <w:tblStylePr w:type="lastRow">
      <w:rPr>
        <w:b/>
        <w:bCs/>
        <w:color w:val="2E2E2E" w:themeColor="text1"/>
      </w:rPr>
      <w:tblPr/>
      <w:tcPr>
        <w:shd w:val="clear" w:color="auto" w:fill="BECCC0" w:themeFill="accent3" w:themeFillTint="66"/>
      </w:tcPr>
    </w:tblStylePr>
    <w:tblStylePr w:type="firstCol">
      <w:rPr>
        <w:color w:val="FAF7F2" w:themeColor="background1"/>
      </w:rPr>
      <w:tblPr/>
      <w:tcPr>
        <w:shd w:val="clear" w:color="auto" w:fill="495C4C" w:themeFill="accent3" w:themeFillShade="BF"/>
      </w:tcPr>
    </w:tblStylePr>
    <w:tblStylePr w:type="lastCol">
      <w:rPr>
        <w:color w:val="FAF7F2" w:themeColor="background1"/>
      </w:rPr>
      <w:tblPr/>
      <w:tcPr>
        <w:shd w:val="clear" w:color="auto" w:fill="495C4C" w:themeFill="accent3" w:themeFillShade="BF"/>
      </w:tcPr>
    </w:tblStylePr>
    <w:tblStylePr w:type="band1Vert">
      <w:tblPr/>
      <w:tcPr>
        <w:shd w:val="clear" w:color="auto" w:fill="AEBFB1" w:themeFill="accent3" w:themeFillTint="7F"/>
      </w:tcPr>
    </w:tblStylePr>
    <w:tblStylePr w:type="band1Horz">
      <w:tblPr/>
      <w:tcPr>
        <w:shd w:val="clear" w:color="auto" w:fill="AEBFB1" w:themeFill="accent3" w:themeFillTint="7F"/>
      </w:tcPr>
    </w:tblStylePr>
  </w:style>
  <w:style w:type="table" w:styleId="ColourfulGridAccent4">
    <w:name w:val="Colorful Grid Accent 4"/>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F7F9F8" w:themeFill="accent4" w:themeFillTint="33"/>
    </w:tcPr>
    <w:tblStylePr w:type="firstRow">
      <w:rPr>
        <w:b/>
        <w:bCs/>
      </w:rPr>
      <w:tblPr/>
      <w:tcPr>
        <w:shd w:val="clear" w:color="auto" w:fill="F0F4F2" w:themeFill="accent4" w:themeFillTint="66"/>
      </w:tcPr>
    </w:tblStylePr>
    <w:tblStylePr w:type="lastRow">
      <w:rPr>
        <w:b/>
        <w:bCs/>
        <w:color w:val="2E2E2E" w:themeColor="text1"/>
      </w:rPr>
      <w:tblPr/>
      <w:tcPr>
        <w:shd w:val="clear" w:color="auto" w:fill="F0F4F2" w:themeFill="accent4" w:themeFillTint="66"/>
      </w:tcPr>
    </w:tblStylePr>
    <w:tblStylePr w:type="firstCol">
      <w:rPr>
        <w:color w:val="FAF7F2" w:themeColor="background1"/>
      </w:rPr>
      <w:tblPr/>
      <w:tcPr>
        <w:shd w:val="clear" w:color="auto" w:fill="9BB4A3" w:themeFill="accent4" w:themeFillShade="BF"/>
      </w:tcPr>
    </w:tblStylePr>
    <w:tblStylePr w:type="lastCol">
      <w:rPr>
        <w:color w:val="FAF7F2" w:themeColor="background1"/>
      </w:rPr>
      <w:tblPr/>
      <w:tcPr>
        <w:shd w:val="clear" w:color="auto" w:fill="9BB4A3" w:themeFill="accent4" w:themeFillShade="BF"/>
      </w:tcPr>
    </w:tblStylePr>
    <w:tblStylePr w:type="band1Vert">
      <w:tblPr/>
      <w:tcPr>
        <w:shd w:val="clear" w:color="auto" w:fill="EDF2EE" w:themeFill="accent4" w:themeFillTint="7F"/>
      </w:tcPr>
    </w:tblStylePr>
    <w:tblStylePr w:type="band1Horz">
      <w:tblPr/>
      <w:tcPr>
        <w:shd w:val="clear" w:color="auto" w:fill="EDF2EE" w:themeFill="accent4" w:themeFillTint="7F"/>
      </w:tcPr>
    </w:tblStylePr>
  </w:style>
  <w:style w:type="table" w:styleId="ColourfulGridAccent5">
    <w:name w:val="Colorful Grid Accent 5"/>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FEFDFC" w:themeFill="accent5" w:themeFillTint="33"/>
    </w:tcPr>
    <w:tblStylePr w:type="firstRow">
      <w:rPr>
        <w:b/>
        <w:bCs/>
      </w:rPr>
      <w:tblPr/>
      <w:tcPr>
        <w:shd w:val="clear" w:color="auto" w:fill="FDFBF9" w:themeFill="accent5" w:themeFillTint="66"/>
      </w:tcPr>
    </w:tblStylePr>
    <w:tblStylePr w:type="lastRow">
      <w:rPr>
        <w:b/>
        <w:bCs/>
        <w:color w:val="2E2E2E" w:themeColor="text1"/>
      </w:rPr>
      <w:tblPr/>
      <w:tcPr>
        <w:shd w:val="clear" w:color="auto" w:fill="FDFBF9" w:themeFill="accent5" w:themeFillTint="66"/>
      </w:tcPr>
    </w:tblStylePr>
    <w:tblStylePr w:type="firstCol">
      <w:rPr>
        <w:color w:val="FAF7F2" w:themeColor="background1"/>
      </w:rPr>
      <w:tblPr/>
      <w:tcPr>
        <w:shd w:val="clear" w:color="auto" w:fill="D7BF98" w:themeFill="accent5" w:themeFillShade="BF"/>
      </w:tcPr>
    </w:tblStylePr>
    <w:tblStylePr w:type="lastCol">
      <w:rPr>
        <w:color w:val="FAF7F2" w:themeColor="background1"/>
      </w:rPr>
      <w:tblPr/>
      <w:tcPr>
        <w:shd w:val="clear" w:color="auto" w:fill="D7BF98" w:themeFill="accent5" w:themeFillShade="BF"/>
      </w:tcPr>
    </w:tblStylePr>
    <w:tblStylePr w:type="band1Vert">
      <w:tblPr/>
      <w:tcPr>
        <w:shd w:val="clear" w:color="auto" w:fill="FCFAF8" w:themeFill="accent5" w:themeFillTint="7F"/>
      </w:tcPr>
    </w:tblStylePr>
    <w:tblStylePr w:type="band1Horz">
      <w:tblPr/>
      <w:tcPr>
        <w:shd w:val="clear" w:color="auto" w:fill="FCFAF8" w:themeFill="accent5" w:themeFillTint="7F"/>
      </w:tcPr>
    </w:tblStylePr>
  </w:style>
  <w:style w:type="table" w:styleId="ColourfulGridAccent6">
    <w:name w:val="Colorful Grid Accent 6"/>
    <w:basedOn w:val="TableNormal"/>
    <w:uiPriority w:val="73"/>
    <w:rsid w:val="00CB0664"/>
    <w:pPr>
      <w:spacing w:after="0" w:line="240" w:lineRule="auto"/>
    </w:pPr>
    <w:rPr>
      <w:color w:val="2E2E2E" w:themeColor="text1"/>
    </w:rPr>
    <w:tblPr>
      <w:tblStyleRowBandSize w:val="1"/>
      <w:tblStyleColBandSize w:val="1"/>
      <w:tblBorders>
        <w:insideH w:val="single" w:sz="4" w:space="0" w:color="FAF7F2" w:themeColor="background1"/>
      </w:tblBorders>
    </w:tblPr>
    <w:tcPr>
      <w:shd w:val="clear" w:color="auto" w:fill="D5D5D5" w:themeFill="accent6" w:themeFillTint="33"/>
    </w:tcPr>
    <w:tblStylePr w:type="firstRow">
      <w:rPr>
        <w:b/>
        <w:bCs/>
      </w:rPr>
      <w:tblPr/>
      <w:tcPr>
        <w:shd w:val="clear" w:color="auto" w:fill="ABABAB" w:themeFill="accent6" w:themeFillTint="66"/>
      </w:tcPr>
    </w:tblStylePr>
    <w:tblStylePr w:type="lastRow">
      <w:rPr>
        <w:b/>
        <w:bCs/>
        <w:color w:val="2E2E2E" w:themeColor="text1"/>
      </w:rPr>
      <w:tblPr/>
      <w:tcPr>
        <w:shd w:val="clear" w:color="auto" w:fill="ABABAB" w:themeFill="accent6" w:themeFillTint="66"/>
      </w:tcPr>
    </w:tblStylePr>
    <w:tblStylePr w:type="firstCol">
      <w:rPr>
        <w:color w:val="FAF7F2" w:themeColor="background1"/>
      </w:rPr>
      <w:tblPr/>
      <w:tcPr>
        <w:shd w:val="clear" w:color="auto" w:fill="222222" w:themeFill="accent6" w:themeFillShade="BF"/>
      </w:tcPr>
    </w:tblStylePr>
    <w:tblStylePr w:type="lastCol">
      <w:rPr>
        <w:color w:val="FAF7F2" w:themeColor="background1"/>
      </w:rPr>
      <w:tblPr/>
      <w:tcPr>
        <w:shd w:val="clear" w:color="auto" w:fill="222222" w:themeFill="accent6" w:themeFillShade="BF"/>
      </w:tcPr>
    </w:tblStylePr>
    <w:tblStylePr w:type="band1Vert">
      <w:tblPr/>
      <w:tcPr>
        <w:shd w:val="clear" w:color="auto" w:fill="969696" w:themeFill="accent6" w:themeFillTint="7F"/>
      </w:tcPr>
    </w:tblStylePr>
    <w:tblStylePr w:type="band1Horz">
      <w:tblPr/>
      <w:tcPr>
        <w:shd w:val="clear" w:color="auto" w:fill="969696" w:themeFill="accent6" w:themeFillTint="7F"/>
      </w:tcPr>
    </w:tblStylePr>
  </w:style>
  <w:style w:type="character" w:styleId="Hyperlink">
    <w:name w:val="Hyperlink"/>
    <w:basedOn w:val="DefaultParagraphFont"/>
    <w:uiPriority w:val="99"/>
    <w:unhideWhenUsed/>
    <w:rsid w:val="00CA3DCD"/>
    <w:rPr>
      <w:color w:val="89A497" w:themeColor="hyperlink"/>
      <w:u w:val="single"/>
    </w:rPr>
  </w:style>
  <w:style w:type="character" w:styleId="UnresolvedMention">
    <w:name w:val="Unresolved Mention"/>
    <w:basedOn w:val="DefaultParagraphFont"/>
    <w:uiPriority w:val="99"/>
    <w:semiHidden/>
    <w:unhideWhenUsed/>
    <w:rsid w:val="00CA3DCD"/>
    <w:rPr>
      <w:color w:val="605E5C"/>
      <w:shd w:val="clear" w:color="auto" w:fill="E1DFDD"/>
    </w:rPr>
  </w:style>
  <w:style w:type="character" w:customStyle="1" w:styleId="NoSpacingChar">
    <w:name w:val="No Spacing Char"/>
    <w:basedOn w:val="DefaultParagraphFont"/>
    <w:link w:val="NoSpacing"/>
    <w:uiPriority w:val="1"/>
    <w:rsid w:val="004C552D"/>
  </w:style>
  <w:style w:type="paragraph" w:styleId="TOC2">
    <w:name w:val="toc 2"/>
    <w:basedOn w:val="Normal"/>
    <w:next w:val="Normal"/>
    <w:autoRedefine/>
    <w:uiPriority w:val="39"/>
    <w:unhideWhenUsed/>
    <w:rsid w:val="00821ED9"/>
    <w:pPr>
      <w:spacing w:after="100" w:line="259" w:lineRule="auto"/>
      <w:ind w:left="220"/>
    </w:pPr>
    <w:rPr>
      <w:rFonts w:asciiTheme="minorHAnsi" w:hAnsiTheme="minorHAnsi" w:cs="Times New Roman"/>
      <w:sz w:val="22"/>
      <w:lang w:val="en-GB" w:eastAsia="en-GB"/>
    </w:rPr>
  </w:style>
  <w:style w:type="paragraph" w:styleId="TOC1">
    <w:name w:val="toc 1"/>
    <w:basedOn w:val="Normal"/>
    <w:next w:val="Normal"/>
    <w:autoRedefine/>
    <w:uiPriority w:val="39"/>
    <w:unhideWhenUsed/>
    <w:rsid w:val="00821ED9"/>
    <w:pPr>
      <w:spacing w:after="100" w:line="259" w:lineRule="auto"/>
    </w:pPr>
    <w:rPr>
      <w:rFonts w:asciiTheme="minorHAnsi" w:hAnsiTheme="minorHAnsi" w:cs="Times New Roman"/>
      <w:sz w:val="22"/>
      <w:lang w:val="en-GB" w:eastAsia="en-GB"/>
    </w:rPr>
  </w:style>
  <w:style w:type="paragraph" w:styleId="TOC3">
    <w:name w:val="toc 3"/>
    <w:basedOn w:val="Normal"/>
    <w:next w:val="Normal"/>
    <w:autoRedefine/>
    <w:uiPriority w:val="39"/>
    <w:unhideWhenUsed/>
    <w:rsid w:val="00821ED9"/>
    <w:pPr>
      <w:spacing w:after="100" w:line="259" w:lineRule="auto"/>
      <w:ind w:left="440"/>
    </w:pPr>
    <w:rPr>
      <w:rFonts w:asciiTheme="minorHAnsi" w:hAnsiTheme="minorHAnsi" w:cs="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kali.org/docs/" TargetMode="External"/><Relationship Id="rId50" Type="http://schemas.openxmlformats.org/officeDocument/2006/relationships/hyperlink" Target="https://docs.tenable.com/nessus" TargetMode="External"/><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enisa.europa.eu" TargetMode="External"/><Relationship Id="rId53" Type="http://schemas.openxmlformats.org/officeDocument/2006/relationships/hyperlink" Target="https://learn.microsoft.com/en-us/security-updates"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nmap.org/book/"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nvd.nist.gov/vuln-metrics/cvss"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doi.org/10.6028/NIST.CSWP.04162018"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learn.microsoft.com/en-us/windows-server/security/group-managed-service-accoun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adsecurity.org"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www.cisecurity.org/controls" TargetMode="External"/></Relationships>
</file>

<file path=word/theme/theme1.xml><?xml version="1.0" encoding="utf-8"?>
<a:theme xmlns:a="http://schemas.openxmlformats.org/drawingml/2006/main" name="Office Theme">
  <a:themeElements>
    <a:clrScheme name="Custom 1">
      <a:dk1>
        <a:srgbClr val="2E2E2E"/>
      </a:dk1>
      <a:lt1>
        <a:srgbClr val="FAF7F2"/>
      </a:lt1>
      <a:dk2>
        <a:srgbClr val="627C66"/>
      </a:dk2>
      <a:lt2>
        <a:srgbClr val="DCE5DF"/>
      </a:lt2>
      <a:accent1>
        <a:srgbClr val="C9A86A"/>
      </a:accent1>
      <a:accent2>
        <a:srgbClr val="E4D6B6"/>
      </a:accent2>
      <a:accent3>
        <a:srgbClr val="627C66"/>
      </a:accent3>
      <a:accent4>
        <a:srgbClr val="DCE5DF"/>
      </a:accent4>
      <a:accent5>
        <a:srgbClr val="FAF7F2"/>
      </a:accent5>
      <a:accent6>
        <a:srgbClr val="2E2E2E"/>
      </a:accent6>
      <a:hlink>
        <a:srgbClr val="89A497"/>
      </a:hlink>
      <a:folHlink>
        <a:srgbClr val="AFC3B9"/>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4150</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Ethically Hacking and Securing an Enterprise Network</dc:title>
  <dc:subject>ACCB6000 Advanced Cybersecurity – Portfolio 2 Report</dc:subject>
  <dc:creator>Alina Marcu</dc:creator>
  <cp:keywords/>
  <dc:description>generated by python-docx</dc:description>
  <cp:lastModifiedBy>Ionela Alina Marcu (2321713)</cp:lastModifiedBy>
  <cp:revision>1</cp:revision>
  <dcterms:created xsi:type="dcterms:W3CDTF">2013-12-23T23:15:00Z</dcterms:created>
  <dcterms:modified xsi:type="dcterms:W3CDTF">2026-04-17T08:49:00Z</dcterms:modified>
  <cp:category/>
</cp:coreProperties>
</file>