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Regular" w:hAnsi="Times New Roman Regular" w:cs="Times New Roman Regular"/>
          <w:sz w:val="24"/>
        </w:rPr>
      </w:pPr>
      <w:r>
        <w:rPr>
          <w:rFonts w:ascii="宋体" w:hAnsi="宋体" w:eastAsia="宋体" w:cs="宋体"/>
          <w:kern w:val="0"/>
          <w:sz w:val="24"/>
          <w:lang w:bidi="ar"/>
        </w:rPr>
        <w:drawing>
          <wp:inline distT="0" distB="0" distL="114300" distR="114300">
            <wp:extent cx="5250180" cy="2061210"/>
            <wp:effectExtent l="0" t="0" r="7620" b="2159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7"/>
                    <a:stretch>
                      <a:fillRect/>
                    </a:stretch>
                  </pic:blipFill>
                  <pic:spPr>
                    <a:xfrm>
                      <a:off x="0" y="0"/>
                      <a:ext cx="5250180" cy="2061210"/>
                    </a:xfrm>
                    <a:prstGeom prst="rect">
                      <a:avLst/>
                    </a:prstGeom>
                    <a:noFill/>
                    <a:ln w="9525">
                      <a:noFill/>
                    </a:ln>
                  </pic:spPr>
                </pic:pic>
              </a:graphicData>
            </a:graphic>
          </wp:inline>
        </w:drawing>
      </w:r>
    </w:p>
    <w:p>
      <w:pPr>
        <w:rPr>
          <w:rFonts w:hint="eastAsia" w:ascii="Times New Roman Regular" w:hAnsi="Times New Roman Regular" w:cs="Times New Roman Regular"/>
          <w:sz w:val="24"/>
        </w:rPr>
      </w:pPr>
    </w:p>
    <w:p>
      <w:pPr>
        <w:rPr>
          <w:rFonts w:hint="eastAsia" w:ascii="Times New Roman Regular" w:hAnsi="Times New Roman Regular" w:cs="Times New Roman Regular"/>
          <w:sz w:val="24"/>
        </w:rPr>
      </w:pPr>
    </w:p>
    <w:p>
      <w:pPr>
        <w:rPr>
          <w:rFonts w:hint="eastAsia" w:ascii="Times New Roman Regular" w:hAnsi="Times New Roman Regular" w:cs="Times New Roman Regular"/>
          <w:sz w:val="24"/>
        </w:rPr>
      </w:pPr>
    </w:p>
    <w:p>
      <w:pPr>
        <w:rPr>
          <w:rFonts w:hint="eastAsia" w:ascii="Times New Roman Regular" w:hAnsi="Times New Roman Regular" w:cs="Times New Roman Regular"/>
          <w:sz w:val="24"/>
        </w:rPr>
      </w:pPr>
    </w:p>
    <w:p>
      <w:pPr>
        <w:pStyle w:val="21"/>
        <w:widowControl/>
        <w:ind w:firstLine="720"/>
        <w:rPr>
          <w:rFonts w:ascii="Times New Roman Bold" w:hAnsi="Times New Roman Bold" w:cs="Times New Roman Bold"/>
          <w:b/>
          <w:bCs/>
          <w:sz w:val="36"/>
          <w:szCs w:val="36"/>
        </w:rPr>
      </w:pPr>
      <w:r>
        <w:rPr>
          <w:rFonts w:ascii="Times New Roman Bold" w:hAnsi="Times New Roman Bold" w:cs="Times New Roman Bold"/>
          <w:b/>
          <w:bCs/>
          <w:sz w:val="36"/>
          <w:szCs w:val="36"/>
        </w:rPr>
        <w:t>Group Work - Critical Thinking Learning Plan</w:t>
      </w:r>
    </w:p>
    <w:p>
      <w:pPr>
        <w:jc w:val="center"/>
        <w:rPr>
          <w:rFonts w:hint="eastAsia" w:ascii="Times New Roman Bold" w:hAnsi="Times New Roman Bold" w:cs="Times New Roman Bold"/>
          <w:b/>
          <w:bCs/>
          <w:sz w:val="32"/>
          <w:szCs w:val="32"/>
        </w:rPr>
      </w:pPr>
    </w:p>
    <w:p>
      <w:pPr>
        <w:jc w:val="center"/>
        <w:rPr>
          <w:rFonts w:hint="eastAsia" w:ascii="Times New Roman Bold" w:hAnsi="Times New Roman Bold" w:cs="Times New Roman Bold"/>
          <w:b/>
          <w:bCs/>
          <w:sz w:val="32"/>
          <w:szCs w:val="32"/>
        </w:rPr>
      </w:pPr>
    </w:p>
    <w:p>
      <w:pPr>
        <w:jc w:val="center"/>
        <w:rPr>
          <w:rFonts w:hint="eastAsia" w:ascii="Times New Roman Bold" w:hAnsi="Times New Roman Bold" w:cs="Times New Roman Bold"/>
          <w:b/>
          <w:bCs/>
          <w:sz w:val="32"/>
          <w:szCs w:val="32"/>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6"/>
        <w:gridCol w:w="2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66" w:type="dxa"/>
          </w:tcPr>
          <w:p>
            <w:pPr>
              <w:jc w:val="center"/>
              <w:rPr>
                <w:rFonts w:ascii="Times New Roman" w:hAnsi="Times New Roman" w:cs="Times New Roman"/>
                <w:sz w:val="24"/>
                <w:lang w:eastAsia="zh-Hans"/>
              </w:rPr>
            </w:pPr>
            <w:r>
              <w:rPr>
                <w:rFonts w:hint="eastAsia" w:ascii="Times New Roman" w:hAnsi="Times New Roman" w:cs="Times New Roman"/>
                <w:sz w:val="24"/>
                <w:lang w:eastAsia="zh-Hans"/>
              </w:rPr>
              <w:t>Name</w:t>
            </w:r>
          </w:p>
        </w:tc>
        <w:tc>
          <w:tcPr>
            <w:tcW w:w="2461" w:type="dxa"/>
          </w:tcPr>
          <w:p>
            <w:pPr>
              <w:jc w:val="center"/>
              <w:rPr>
                <w:rFonts w:ascii="Times New Roman" w:hAnsi="Times New Roman" w:cs="Times New Roman"/>
                <w:sz w:val="24"/>
              </w:rPr>
            </w:pPr>
            <w:r>
              <w:rPr>
                <w:rFonts w:hint="eastAsia" w:ascii="Times New Roman" w:hAnsi="Times New Roman" w:cs="Times New Roman"/>
                <w:sz w:val="24"/>
              </w:rPr>
              <w:t>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66" w:type="dxa"/>
          </w:tcPr>
          <w:p>
            <w:pPr>
              <w:jc w:val="left"/>
              <w:rPr>
                <w:rFonts w:ascii="Times New Roman" w:hAnsi="Times New Roman" w:cs="Times New Roman"/>
                <w:sz w:val="24"/>
              </w:rPr>
            </w:pPr>
            <w:r>
              <w:rPr>
                <w:rFonts w:ascii="Times New Roman" w:hAnsi="Times New Roman" w:cs="Times New Roman"/>
                <w:sz w:val="24"/>
              </w:rPr>
              <w:t>Tian Ye</w:t>
            </w:r>
          </w:p>
        </w:tc>
        <w:tc>
          <w:tcPr>
            <w:tcW w:w="2461" w:type="dxa"/>
          </w:tcPr>
          <w:p>
            <w:pPr>
              <w:jc w:val="center"/>
              <w:rPr>
                <w:rFonts w:ascii="Times New Roman" w:hAnsi="Times New Roman" w:cs="Times New Roman"/>
                <w:sz w:val="24"/>
              </w:rPr>
            </w:pPr>
            <w:r>
              <w:rPr>
                <w:rFonts w:ascii="Times New Roman" w:hAnsi="Times New Roman" w:cs="Times New Roman"/>
                <w:sz w:val="24"/>
              </w:rPr>
              <w:t>2102905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66" w:type="dxa"/>
          </w:tcPr>
          <w:p>
            <w:pPr>
              <w:jc w:val="left"/>
              <w:rPr>
                <w:rFonts w:ascii="Times New Roman" w:hAnsi="Times New Roman" w:cs="Times New Roman"/>
                <w:sz w:val="24"/>
              </w:rPr>
            </w:pPr>
            <w:r>
              <w:rPr>
                <w:rFonts w:ascii="Times New Roman" w:hAnsi="Times New Roman" w:cs="Times New Roman"/>
                <w:sz w:val="24"/>
              </w:rPr>
              <w:t xml:space="preserve">Ziqi Xu </w:t>
            </w:r>
          </w:p>
        </w:tc>
        <w:tc>
          <w:tcPr>
            <w:tcW w:w="2461" w:type="dxa"/>
          </w:tcPr>
          <w:p>
            <w:pPr>
              <w:jc w:val="center"/>
              <w:rPr>
                <w:rFonts w:ascii="Times New Roman" w:hAnsi="Times New Roman" w:cs="Times New Roman"/>
                <w:sz w:val="24"/>
              </w:rPr>
            </w:pPr>
            <w:r>
              <w:rPr>
                <w:rFonts w:ascii="Times New Roman" w:hAnsi="Times New Roman" w:cs="Times New Roman"/>
                <w:sz w:val="24"/>
              </w:rPr>
              <w:t>2008864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66" w:type="dxa"/>
          </w:tcPr>
          <w:p>
            <w:pPr>
              <w:jc w:val="left"/>
              <w:rPr>
                <w:rFonts w:ascii="Times New Roman" w:hAnsi="Times New Roman" w:cs="Times New Roman"/>
                <w:sz w:val="24"/>
              </w:rPr>
            </w:pPr>
            <w:r>
              <w:rPr>
                <w:rFonts w:ascii="Times New Roman" w:hAnsi="Times New Roman" w:cs="Times New Roman"/>
                <w:sz w:val="24"/>
              </w:rPr>
              <w:t xml:space="preserve">Xinchen Guo </w:t>
            </w:r>
          </w:p>
        </w:tc>
        <w:tc>
          <w:tcPr>
            <w:tcW w:w="2461" w:type="dxa"/>
          </w:tcPr>
          <w:p>
            <w:pPr>
              <w:jc w:val="center"/>
              <w:rPr>
                <w:rFonts w:ascii="Times New Roman" w:hAnsi="Times New Roman" w:cs="Times New Roman"/>
                <w:sz w:val="24"/>
              </w:rPr>
            </w:pPr>
            <w:r>
              <w:rPr>
                <w:rFonts w:ascii="Times New Roman" w:hAnsi="Times New Roman" w:cs="Times New Roman"/>
                <w:sz w:val="24"/>
              </w:rPr>
              <w:t>2103116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66" w:type="dxa"/>
          </w:tcPr>
          <w:p>
            <w:pPr>
              <w:jc w:val="left"/>
              <w:rPr>
                <w:rFonts w:ascii="Times New Roman" w:hAnsi="Times New Roman" w:cs="Times New Roman"/>
                <w:sz w:val="24"/>
              </w:rPr>
            </w:pPr>
            <w:r>
              <w:rPr>
                <w:rFonts w:ascii="Times New Roman" w:hAnsi="Times New Roman" w:cs="Times New Roman"/>
                <w:sz w:val="24"/>
              </w:rPr>
              <w:t xml:space="preserve">Miaoshan Li </w:t>
            </w:r>
          </w:p>
        </w:tc>
        <w:tc>
          <w:tcPr>
            <w:tcW w:w="2461" w:type="dxa"/>
          </w:tcPr>
          <w:p>
            <w:pPr>
              <w:jc w:val="center"/>
              <w:rPr>
                <w:rFonts w:ascii="Times New Roman" w:hAnsi="Times New Roman" w:cs="Times New Roman"/>
                <w:sz w:val="24"/>
              </w:rPr>
            </w:pPr>
            <w:r>
              <w:rPr>
                <w:rFonts w:ascii="Times New Roman" w:hAnsi="Times New Roman" w:cs="Times New Roman"/>
                <w:sz w:val="24"/>
              </w:rPr>
              <w:t>2100726</w:t>
            </w:r>
          </w:p>
        </w:tc>
      </w:tr>
    </w:tbl>
    <w:p>
      <w:pPr>
        <w:pStyle w:val="20"/>
        <w:ind w:firstLine="1681" w:firstLineChars="700"/>
        <w:rPr>
          <w:rFonts w:hint="eastAsia" w:ascii="Times New Roman Regular" w:hAnsi="Times New Roman Regular" w:cs="Times New Roman Regular"/>
          <w:b/>
          <w:bCs/>
          <w:sz w:val="24"/>
          <w:szCs w:val="24"/>
          <w:lang w:eastAsia="zh-Hans"/>
        </w:rPr>
      </w:pPr>
    </w:p>
    <w:p>
      <w:pPr>
        <w:pStyle w:val="20"/>
        <w:ind w:firstLine="1681" w:firstLineChars="700"/>
        <w:rPr>
          <w:rFonts w:hint="eastAsia" w:ascii="Times New Roman Regular" w:hAnsi="Times New Roman Regular" w:cs="Times New Roman Regular"/>
          <w:b/>
          <w:bCs/>
          <w:sz w:val="24"/>
          <w:szCs w:val="24"/>
          <w:lang w:eastAsia="zh-Hans"/>
        </w:rPr>
      </w:pPr>
    </w:p>
    <w:p>
      <w:pPr>
        <w:pStyle w:val="20"/>
        <w:ind w:firstLine="1681" w:firstLineChars="700"/>
        <w:rPr>
          <w:rFonts w:hint="eastAsia" w:ascii="Times New Roman Regular" w:hAnsi="Times New Roman Regular" w:cs="Times New Roman Regular"/>
          <w:b/>
          <w:bCs/>
          <w:sz w:val="24"/>
          <w:szCs w:val="24"/>
          <w:lang w:eastAsia="zh-Hans"/>
        </w:rPr>
      </w:pPr>
    </w:p>
    <w:p>
      <w:pPr>
        <w:pStyle w:val="20"/>
        <w:ind w:firstLine="1681" w:firstLineChars="700"/>
        <w:rPr>
          <w:rFonts w:hint="eastAsia" w:ascii="Times New Roman Regular" w:hAnsi="Times New Roman Regular" w:cs="Times New Roman Regular"/>
          <w:b/>
          <w:bCs/>
          <w:sz w:val="24"/>
          <w:szCs w:val="24"/>
          <w:lang w:eastAsia="zh-Hans"/>
        </w:rPr>
      </w:pPr>
    </w:p>
    <w:p>
      <w:pPr>
        <w:pStyle w:val="20"/>
        <w:ind w:firstLine="0" w:firstLineChars="0"/>
        <w:rPr>
          <w:rFonts w:hint="eastAsia" w:ascii="Times New Roman Regular" w:hAnsi="Times New Roman Regular" w:cs="Times New Roman Regular"/>
          <w:b/>
          <w:bCs/>
          <w:sz w:val="24"/>
          <w:szCs w:val="24"/>
          <w:lang w:eastAsia="zh-Hans"/>
        </w:rPr>
      </w:pPr>
    </w:p>
    <w:p>
      <w:pPr>
        <w:jc w:val="center"/>
        <w:rPr>
          <w:rFonts w:hint="eastAsia" w:ascii="Times New Roman Regular" w:hAnsi="Times New Roman Regular" w:cs="Times New Roman Regular"/>
          <w:sz w:val="24"/>
        </w:rPr>
      </w:pPr>
    </w:p>
    <w:p>
      <w:pPr>
        <w:rPr>
          <w:rFonts w:hint="eastAsia" w:ascii="Times New Roman Regular" w:hAnsi="Times New Roman Regular" w:cs="Times New Roman Regular"/>
          <w:sz w:val="32"/>
          <w:szCs w:val="32"/>
        </w:rPr>
      </w:pPr>
    </w:p>
    <w:p>
      <w:pPr>
        <w:rPr>
          <w:rFonts w:hint="eastAsia" w:ascii="Times New Roman Regular" w:hAnsi="Times New Roman Regular" w:cs="Times New Roman Regular"/>
          <w:sz w:val="32"/>
          <w:szCs w:val="32"/>
        </w:rPr>
      </w:pPr>
    </w:p>
    <w:p>
      <w:pPr>
        <w:spacing w:line="360" w:lineRule="auto"/>
        <w:jc w:val="center"/>
        <w:rPr>
          <w:rFonts w:hint="eastAsia" w:ascii="Times New Roman Regular" w:hAnsi="Times New Roman Regular" w:cs="Times New Roman Regular"/>
          <w:sz w:val="24"/>
        </w:rPr>
      </w:pPr>
      <w:r>
        <w:rPr>
          <w:rFonts w:hint="eastAsia" w:ascii="Times New Roman Regular" w:hAnsi="Times New Roman Regular" w:cs="Times New Roman Regular"/>
          <w:sz w:val="24"/>
        </w:rPr>
        <w:t xml:space="preserve">A </w:t>
      </w:r>
      <w:r>
        <w:rPr>
          <w:rFonts w:ascii="Times New Roman Regular" w:hAnsi="Times New Roman Regular" w:cs="Times New Roman Regular"/>
          <w:sz w:val="24"/>
        </w:rPr>
        <w:t xml:space="preserve">report </w:t>
      </w:r>
      <w:r>
        <w:rPr>
          <w:rFonts w:hint="eastAsia" w:ascii="Times New Roman Regular" w:hAnsi="Times New Roman Regular" w:cs="Times New Roman Regular"/>
          <w:sz w:val="24"/>
        </w:rPr>
        <w:t xml:space="preserve">submitted in </w:t>
      </w:r>
      <w:r>
        <w:rPr>
          <w:rFonts w:ascii="Times New Roman Regular" w:hAnsi="Times New Roman Regular" w:cs="Times New Roman Regular"/>
          <w:sz w:val="24"/>
        </w:rPr>
        <w:t>fulfillment</w:t>
      </w:r>
      <w:r>
        <w:rPr>
          <w:rFonts w:hint="eastAsia" w:ascii="Times New Roman Regular" w:hAnsi="Times New Roman Regular" w:cs="Times New Roman Regular"/>
          <w:sz w:val="24"/>
        </w:rPr>
        <w:t xml:space="preserve"> of the requirements for Course</w:t>
      </w:r>
    </w:p>
    <w:p>
      <w:pPr>
        <w:spacing w:line="360" w:lineRule="auto"/>
        <w:jc w:val="center"/>
        <w:rPr>
          <w:rFonts w:hint="eastAsia" w:ascii="Times New Roman Regular" w:hAnsi="Times New Roman Regular" w:cs="Times New Roman Regular"/>
          <w:sz w:val="24"/>
        </w:rPr>
      </w:pPr>
      <w:r>
        <w:rPr>
          <w:rFonts w:hint="eastAsia" w:ascii="Times New Roman Regular" w:hAnsi="Times New Roman Regular" w:cs="Times New Roman Regular"/>
          <w:sz w:val="24"/>
        </w:rPr>
        <w:t>BMBM</w:t>
      </w:r>
      <w:r>
        <w:rPr>
          <w:rFonts w:ascii="Times New Roman Regular" w:hAnsi="Times New Roman Regular" w:cs="Times New Roman Regular"/>
          <w:sz w:val="24"/>
        </w:rPr>
        <w:t>6012</w:t>
      </w:r>
      <w:r>
        <w:rPr>
          <w:rFonts w:hint="eastAsia" w:ascii="Times New Roman Regular" w:hAnsi="Times New Roman Regular" w:cs="Times New Roman Regular"/>
          <w:sz w:val="24"/>
        </w:rPr>
        <w:t xml:space="preserve">, </w:t>
      </w:r>
      <w:r>
        <w:rPr>
          <w:rFonts w:ascii="Times New Roman Regular" w:hAnsi="Times New Roman Regular" w:cs="Times New Roman Regular"/>
          <w:sz w:val="24"/>
        </w:rPr>
        <w:t>Leading and Developing People</w:t>
      </w:r>
      <w:r>
        <w:rPr>
          <w:rFonts w:hint="eastAsia" w:ascii="Times New Roman Regular" w:hAnsi="Times New Roman Regular" w:cs="Times New Roman Regular"/>
          <w:sz w:val="24"/>
        </w:rPr>
        <w:t>,</w:t>
      </w:r>
    </w:p>
    <w:p>
      <w:pPr>
        <w:spacing w:line="360" w:lineRule="auto"/>
        <w:jc w:val="center"/>
        <w:rPr>
          <w:rFonts w:hint="eastAsia" w:ascii="Times New Roman Regular" w:hAnsi="Times New Roman Regular" w:cs="Times New Roman Regular"/>
          <w:sz w:val="24"/>
        </w:rPr>
      </w:pPr>
      <w:r>
        <w:rPr>
          <w:rFonts w:hint="eastAsia" w:ascii="Times New Roman Regular" w:hAnsi="Times New Roman Regular" w:cs="Times New Roman Regular"/>
          <w:sz w:val="24"/>
        </w:rPr>
        <w:t>University of Wales Trinity Saint David.</w:t>
      </w:r>
    </w:p>
    <w:p>
      <w:pPr>
        <w:pStyle w:val="2"/>
        <w:rPr>
          <w:rFonts w:ascii="Times New Roman" w:hAnsi="Times New Roman" w:cs="Times New Roman"/>
        </w:rPr>
        <w:sectPr>
          <w:pgSz w:w="11906" w:h="16838"/>
          <w:pgMar w:top="1440" w:right="1800" w:bottom="1440" w:left="1800" w:header="851" w:footer="992" w:gutter="0"/>
          <w:pgNumType w:fmt="upperRoman" w:start="1"/>
          <w:cols w:space="425" w:num="1"/>
          <w:docGrid w:type="lines" w:linePitch="312" w:charSpace="0"/>
        </w:sectPr>
      </w:pPr>
    </w:p>
    <w:p>
      <w:pPr>
        <w:pStyle w:val="2"/>
        <w:rPr>
          <w:rFonts w:ascii="Times New Roman" w:hAnsi="Times New Roman" w:cs="Times New Roman"/>
        </w:rPr>
      </w:pPr>
      <w:bookmarkStart w:id="0" w:name="_Toc1188633977"/>
      <w:bookmarkStart w:id="1" w:name="_Toc1590207365"/>
      <w:r>
        <w:rPr>
          <w:rFonts w:ascii="Times New Roman" w:hAnsi="Times New Roman" w:cs="Times New Roman"/>
        </w:rPr>
        <w:t>Executive Summary</w:t>
      </w:r>
      <w:bookmarkEnd w:id="0"/>
      <w:bookmarkEnd w:id="1"/>
    </w:p>
    <w:p>
      <w:pPr>
        <w:spacing w:line="360" w:lineRule="auto"/>
      </w:pPr>
      <w:r>
        <w:rPr>
          <w:rFonts w:ascii="Times New Roman" w:hAnsi="Times New Roman" w:cs="Times New Roman"/>
          <w:sz w:val="24"/>
        </w:rPr>
        <w:t>The current understanding of leadership is largely confined to the context of bureaucratic structures. Such leadership is appropriate and effective in a stable environment. But with the globalisation of the economy, these stable environmental factors are rapidly disappearing, making critical thinking skills essential for leadership. The purpose of this report is to develop critical thinking leadership skills through learning experiences and training. It will be discussed in a learning schedule section, a learning methodology and a learning theory section. Critical thinking will take a holistic view of problems and propose sound solutions, while also promoting innovation and performance among employees. As a result of research, it was found that the inductive learning approach to learning provides an understanding of the extent to which students have mastered their learning. Role-playing helps students to take greater control of their learning process, which will promote understanding of ambiguous concepts and complex issues and enhance students' sense of self-reflection. Interactive learning methods enhance the learning process while allowing teachers to better assess students' mastery of specific material. The learning process of group learning theory is collaborative, emphasising the contribution of individual group members, who in collaboration can communicate and eventually build consensus on a particular topic. The application of these methods and theories to the learning programme presented in this paper will be effective in fostering critical thinking learning in the learners, mainly in terms of curriculum development, lesson interaction and summarisation.</w:t>
      </w:r>
    </w:p>
    <w:p/>
    <w:p/>
    <w:p/>
    <w:p/>
    <w:p/>
    <w:p>
      <w:pPr>
        <w:jc w:val="center"/>
        <w:rPr>
          <w:rFonts w:ascii="Times New Roman" w:hAnsi="Times New Roman" w:cs="Times New Roman"/>
          <w:b/>
          <w:bCs/>
          <w:sz w:val="28"/>
          <w:szCs w:val="28"/>
        </w:rPr>
        <w:sectPr>
          <w:footerReference r:id="rId3" w:type="default"/>
          <w:pgSz w:w="11906" w:h="16838"/>
          <w:pgMar w:top="1440" w:right="1800" w:bottom="1440" w:left="1800" w:header="851" w:footer="992" w:gutter="0"/>
          <w:pgNumType w:fmt="upperRoman" w:start="1"/>
          <w:cols w:space="425" w:num="1"/>
          <w:docGrid w:type="lines" w:linePitch="312" w:charSpace="0"/>
        </w:sectPr>
      </w:pPr>
    </w:p>
    <w:p>
      <w:pPr>
        <w:jc w:val="center"/>
        <w:rPr>
          <w:rFonts w:ascii="Times New Roman" w:hAnsi="Times New Roman" w:cs="Times New Roman"/>
          <w:b/>
          <w:bCs/>
          <w:sz w:val="28"/>
          <w:szCs w:val="28"/>
        </w:rPr>
      </w:pPr>
      <w:r>
        <w:rPr>
          <w:rFonts w:ascii="Times New Roman" w:hAnsi="Times New Roman" w:cs="Times New Roman"/>
          <w:b/>
          <w:bCs/>
          <w:sz w:val="28"/>
          <w:szCs w:val="28"/>
        </w:rPr>
        <w:t>Table of Content</w:t>
      </w:r>
    </w:p>
    <w:sdt>
      <w:sdtPr>
        <w:rPr>
          <w:rFonts w:ascii="宋体" w:hAnsi="宋体" w:eastAsia="宋体"/>
        </w:rPr>
        <w:id w:val="914423354"/>
        <w15:color w:val="DBDBDB"/>
        <w:docPartObj>
          <w:docPartGallery w:val="Table of Contents"/>
          <w:docPartUnique/>
        </w:docPartObj>
      </w:sdtPr>
      <w:sdtEndPr>
        <w:rPr>
          <w:rFonts w:ascii="宋体" w:hAnsi="宋体" w:eastAsia="宋体"/>
        </w:rPr>
      </w:sdtEndPr>
      <w:sdtContent>
        <w:p>
          <w:pPr>
            <w:jc w:val="center"/>
          </w:pPr>
        </w:p>
        <w:p>
          <w:pPr>
            <w:pStyle w:val="22"/>
            <w:tabs>
              <w:tab w:val="right" w:leader="dot" w:pos="8306"/>
            </w:tabs>
            <w:spacing w:line="360" w:lineRule="auto"/>
            <w:rPr>
              <w:rFonts w:hint="eastAsia" w:ascii="Times New Roman Regular" w:hAnsi="Times New Roman Regular" w:cs="Times New Roman Regular"/>
              <w:sz w:val="24"/>
              <w:szCs w:val="24"/>
            </w:rPr>
          </w:pPr>
          <w:r>
            <w:fldChar w:fldCharType="begin"/>
          </w:r>
          <w:r>
            <w:instrText xml:space="preserve">TOC \o "1-3" \h \u </w:instrText>
          </w:r>
          <w:r>
            <w:fldChar w:fldCharType="separate"/>
          </w:r>
          <w:r>
            <w:fldChar w:fldCharType="begin"/>
          </w:r>
          <w:r>
            <w:instrText xml:space="preserve"> HYPERLINK \l "_Toc1188633977" </w:instrText>
          </w:r>
          <w:r>
            <w:fldChar w:fldCharType="separate"/>
          </w:r>
          <w:r>
            <w:rPr>
              <w:rFonts w:ascii="Times New Roman Regular" w:hAnsi="Times New Roman Regular" w:cs="Times New Roman Regular"/>
              <w:sz w:val="24"/>
              <w:szCs w:val="24"/>
            </w:rPr>
            <w:t>Executive Summary</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_Toc1188633977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I</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2"/>
            <w:tabs>
              <w:tab w:val="right" w:leader="dot" w:pos="8306"/>
            </w:tabs>
            <w:spacing w:line="360" w:lineRule="auto"/>
            <w:rPr>
              <w:rFonts w:hint="eastAsia" w:ascii="Times New Roman Regular" w:hAnsi="Times New Roman Regular" w:cs="Times New Roman Regular"/>
              <w:sz w:val="24"/>
              <w:szCs w:val="24"/>
            </w:rPr>
          </w:pPr>
          <w:r>
            <w:fldChar w:fldCharType="begin"/>
          </w:r>
          <w:r>
            <w:instrText xml:space="preserve"> HYPERLINK \l "_Toc1478367045" </w:instrText>
          </w:r>
          <w:r>
            <w:fldChar w:fldCharType="separate"/>
          </w:r>
          <w:r>
            <w:rPr>
              <w:rFonts w:ascii="Times New Roman Regular" w:hAnsi="Times New Roman Regular" w:cs="Times New Roman Regular"/>
              <w:sz w:val="24"/>
              <w:szCs w:val="24"/>
            </w:rPr>
            <w:t>1.0 Introduction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_Toc1478367045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1</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2"/>
            <w:tabs>
              <w:tab w:val="right" w:leader="dot" w:pos="8306"/>
            </w:tabs>
            <w:spacing w:line="360" w:lineRule="auto"/>
            <w:rPr>
              <w:rFonts w:hint="eastAsia" w:ascii="Times New Roman Regular" w:hAnsi="Times New Roman Regular" w:cs="Times New Roman Regular"/>
              <w:sz w:val="24"/>
              <w:szCs w:val="24"/>
            </w:rPr>
          </w:pPr>
          <w:r>
            <w:fldChar w:fldCharType="begin"/>
          </w:r>
          <w:r>
            <w:instrText xml:space="preserve"> HYPERLINK \l "_Toc529129525" </w:instrText>
          </w:r>
          <w:r>
            <w:fldChar w:fldCharType="separate"/>
          </w:r>
          <w:r>
            <w:rPr>
              <w:rFonts w:ascii="Times New Roman Regular" w:hAnsi="Times New Roman Regular" w:cs="Times New Roman Regular"/>
              <w:sz w:val="24"/>
              <w:szCs w:val="24"/>
            </w:rPr>
            <w:t xml:space="preserve">2.0 </w:t>
          </w:r>
          <w:r>
            <w:rPr>
              <w:rFonts w:ascii="Times New Roman Regular" w:hAnsi="Times New Roman Regular" w:cs="Times New Roman Regular"/>
              <w:sz w:val="24"/>
              <w:szCs w:val="24"/>
              <w:lang w:eastAsia="zh-Hans"/>
            </w:rPr>
            <w:t>Critical Thinking</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_Toc529129525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1</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2"/>
            <w:tabs>
              <w:tab w:val="right" w:leader="dot" w:pos="8306"/>
            </w:tabs>
            <w:spacing w:line="360" w:lineRule="auto"/>
            <w:rPr>
              <w:rFonts w:hint="eastAsia" w:ascii="Times New Roman Regular" w:hAnsi="Times New Roman Regular" w:cs="Times New Roman Regular"/>
              <w:sz w:val="24"/>
              <w:szCs w:val="24"/>
            </w:rPr>
          </w:pPr>
          <w:r>
            <w:fldChar w:fldCharType="begin"/>
          </w:r>
          <w:r>
            <w:instrText xml:space="preserve"> HYPERLINK \l "_Toc350144448" </w:instrText>
          </w:r>
          <w:r>
            <w:fldChar w:fldCharType="separate"/>
          </w:r>
          <w:r>
            <w:rPr>
              <w:rFonts w:ascii="Times New Roman Regular" w:hAnsi="Times New Roman Regular" w:cs="Times New Roman Regular"/>
              <w:sz w:val="24"/>
              <w:szCs w:val="24"/>
            </w:rPr>
            <w:t>3.0 Team and task division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_Toc350144448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3</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2"/>
            <w:tabs>
              <w:tab w:val="right" w:leader="dot" w:pos="8306"/>
            </w:tabs>
            <w:spacing w:line="360" w:lineRule="auto"/>
            <w:rPr>
              <w:rFonts w:hint="eastAsia" w:ascii="Times New Roman Regular" w:hAnsi="Times New Roman Regular" w:cs="Times New Roman Regular"/>
              <w:sz w:val="24"/>
              <w:szCs w:val="24"/>
            </w:rPr>
          </w:pPr>
          <w:r>
            <w:fldChar w:fldCharType="begin"/>
          </w:r>
          <w:r>
            <w:instrText xml:space="preserve"> HYPERLINK \l "_Toc772544756" </w:instrText>
          </w:r>
          <w:r>
            <w:fldChar w:fldCharType="separate"/>
          </w:r>
          <w:r>
            <w:rPr>
              <w:rFonts w:ascii="Times New Roman Regular" w:hAnsi="Times New Roman Regular" w:cs="Times New Roman Regular"/>
              <w:sz w:val="24"/>
              <w:szCs w:val="24"/>
            </w:rPr>
            <w:t>4.0 Learning Plan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_Toc772544756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4</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2"/>
            <w:tabs>
              <w:tab w:val="right" w:leader="dot" w:pos="8306"/>
            </w:tabs>
            <w:spacing w:line="360" w:lineRule="auto"/>
            <w:rPr>
              <w:rFonts w:hint="eastAsia" w:ascii="Times New Roman Regular" w:hAnsi="Times New Roman Regular" w:cs="Times New Roman Regular"/>
              <w:sz w:val="24"/>
              <w:szCs w:val="24"/>
            </w:rPr>
          </w:pPr>
          <w:r>
            <w:fldChar w:fldCharType="begin"/>
          </w:r>
          <w:r>
            <w:instrText xml:space="preserve"> HYPERLINK \l "_Toc473584330" </w:instrText>
          </w:r>
          <w:r>
            <w:fldChar w:fldCharType="separate"/>
          </w:r>
          <w:r>
            <w:rPr>
              <w:rFonts w:ascii="Times New Roman Regular" w:hAnsi="Times New Roman Regular" w:cs="Times New Roman Regular"/>
              <w:sz w:val="24"/>
              <w:szCs w:val="24"/>
            </w:rPr>
            <w:t>5.0 Inductive Approach</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_Toc473584330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9</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4"/>
            <w:tabs>
              <w:tab w:val="right" w:leader="dot" w:pos="8306"/>
            </w:tabs>
            <w:spacing w:line="360" w:lineRule="auto"/>
            <w:ind w:left="420"/>
            <w:rPr>
              <w:rFonts w:hint="eastAsia" w:ascii="Times New Roman Regular" w:hAnsi="Times New Roman Regular" w:cs="Times New Roman Regular"/>
              <w:sz w:val="24"/>
              <w:szCs w:val="24"/>
            </w:rPr>
          </w:pPr>
          <w:r>
            <w:fldChar w:fldCharType="begin"/>
          </w:r>
          <w:r>
            <w:instrText xml:space="preserve"> HYPERLINK \l "_Toc957438528" </w:instrText>
          </w:r>
          <w:r>
            <w:fldChar w:fldCharType="separate"/>
          </w:r>
          <w:r>
            <w:rPr>
              <w:rFonts w:ascii="Times New Roman Regular" w:hAnsi="Times New Roman Regular" w:cs="Times New Roman Regular"/>
              <w:bCs/>
              <w:sz w:val="24"/>
              <w:szCs w:val="24"/>
            </w:rPr>
            <w:t>5.1 Role Play</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_Toc957438528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10</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4"/>
            <w:tabs>
              <w:tab w:val="right" w:leader="dot" w:pos="8306"/>
            </w:tabs>
            <w:spacing w:line="360" w:lineRule="auto"/>
            <w:ind w:left="420"/>
            <w:rPr>
              <w:rFonts w:hint="eastAsia" w:ascii="Times New Roman Regular" w:hAnsi="Times New Roman Regular" w:cs="Times New Roman Regular"/>
              <w:sz w:val="24"/>
              <w:szCs w:val="24"/>
            </w:rPr>
          </w:pPr>
          <w:r>
            <w:fldChar w:fldCharType="begin"/>
          </w:r>
          <w:r>
            <w:instrText xml:space="preserve"> HYPERLINK \l "_Toc574373125" </w:instrText>
          </w:r>
          <w:r>
            <w:fldChar w:fldCharType="separate"/>
          </w:r>
          <w:r>
            <w:rPr>
              <w:rFonts w:ascii="Times New Roman Regular" w:hAnsi="Times New Roman Regular" w:cs="Times New Roman Regular"/>
              <w:bCs/>
              <w:sz w:val="24"/>
              <w:szCs w:val="24"/>
            </w:rPr>
            <w:t xml:space="preserve">5.2 </w:t>
          </w:r>
          <w:r>
            <w:rPr>
              <w:rFonts w:hint="eastAsia" w:ascii="Times New Roman Regular" w:hAnsi="Times New Roman Regular" w:cs="Times New Roman Regular"/>
              <w:bCs/>
              <w:sz w:val="24"/>
              <w:szCs w:val="24"/>
              <w:lang w:eastAsia="zh-Hans"/>
            </w:rPr>
            <w:t>Negatives</w:t>
          </w:r>
          <w:r>
            <w:rPr>
              <w:rFonts w:ascii="Times New Roman Regular" w:hAnsi="Times New Roman Regular" w:cs="Times New Roman Regular"/>
              <w:bCs/>
              <w:sz w:val="24"/>
              <w:szCs w:val="24"/>
            </w:rPr>
            <w:t xml:space="preserve"> of learning method</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_Toc574373125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11</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4"/>
            <w:tabs>
              <w:tab w:val="right" w:leader="dot" w:pos="8306"/>
            </w:tabs>
            <w:spacing w:line="360" w:lineRule="auto"/>
            <w:ind w:left="420"/>
            <w:rPr>
              <w:rFonts w:hint="eastAsia" w:ascii="Times New Roman Regular" w:hAnsi="Times New Roman Regular" w:cs="Times New Roman Regular"/>
              <w:sz w:val="24"/>
              <w:szCs w:val="24"/>
            </w:rPr>
          </w:pPr>
          <w:r>
            <w:fldChar w:fldCharType="begin"/>
          </w:r>
          <w:r>
            <w:instrText xml:space="preserve"> HYPERLINK \l "_Toc550118610" </w:instrText>
          </w:r>
          <w:r>
            <w:fldChar w:fldCharType="separate"/>
          </w:r>
          <w:r>
            <w:rPr>
              <w:rFonts w:ascii="Times New Roman Regular" w:hAnsi="Times New Roman Regular" w:cs="Times New Roman Regular"/>
              <w:bCs/>
              <w:sz w:val="24"/>
              <w:szCs w:val="24"/>
            </w:rPr>
            <w:t>5.3 Reasons for choosing methods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_Toc550118610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11</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2"/>
            <w:tabs>
              <w:tab w:val="right" w:leader="dot" w:pos="8306"/>
            </w:tabs>
            <w:spacing w:line="360" w:lineRule="auto"/>
            <w:rPr>
              <w:rFonts w:hint="eastAsia" w:ascii="Times New Roman Regular" w:hAnsi="Times New Roman Regular" w:cs="Times New Roman Regular"/>
              <w:sz w:val="24"/>
              <w:szCs w:val="24"/>
            </w:rPr>
          </w:pPr>
          <w:r>
            <w:fldChar w:fldCharType="begin"/>
          </w:r>
          <w:r>
            <w:instrText xml:space="preserve"> HYPERLINK \l "_Toc926377935" </w:instrText>
          </w:r>
          <w:r>
            <w:fldChar w:fldCharType="separate"/>
          </w:r>
          <w:r>
            <w:rPr>
              <w:rFonts w:ascii="Times New Roman Regular" w:hAnsi="Times New Roman Regular" w:cs="Times New Roman Regular"/>
              <w:sz w:val="24"/>
              <w:szCs w:val="24"/>
            </w:rPr>
            <w:t>6.0 Group Learning Theory</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_Toc926377935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13</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4"/>
            <w:tabs>
              <w:tab w:val="right" w:leader="dot" w:pos="8306"/>
            </w:tabs>
            <w:spacing w:line="360" w:lineRule="auto"/>
            <w:ind w:left="420"/>
            <w:rPr>
              <w:rFonts w:hint="eastAsia" w:ascii="Times New Roman Regular" w:hAnsi="Times New Roman Regular" w:cs="Times New Roman Regular"/>
              <w:sz w:val="24"/>
              <w:szCs w:val="24"/>
            </w:rPr>
          </w:pPr>
          <w:r>
            <w:fldChar w:fldCharType="begin"/>
          </w:r>
          <w:r>
            <w:instrText xml:space="preserve"> HYPERLINK \l "_Toc377512795" </w:instrText>
          </w:r>
          <w:r>
            <w:fldChar w:fldCharType="separate"/>
          </w:r>
          <w:r>
            <w:rPr>
              <w:rFonts w:ascii="Times New Roman Regular" w:hAnsi="Times New Roman Regular" w:cs="Times New Roman Regular"/>
              <w:bCs/>
              <w:sz w:val="24"/>
              <w:szCs w:val="24"/>
            </w:rPr>
            <w:t>6.1 Benefits of group learning for adult learners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_Toc377512795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15</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4"/>
            <w:tabs>
              <w:tab w:val="right" w:leader="dot" w:pos="8306"/>
            </w:tabs>
            <w:spacing w:line="360" w:lineRule="auto"/>
            <w:ind w:left="420"/>
            <w:rPr>
              <w:rFonts w:hint="eastAsia" w:ascii="Times New Roman Regular" w:hAnsi="Times New Roman Regular" w:cs="Times New Roman Regular"/>
              <w:sz w:val="24"/>
              <w:szCs w:val="24"/>
            </w:rPr>
          </w:pPr>
          <w:r>
            <w:fldChar w:fldCharType="begin"/>
          </w:r>
          <w:r>
            <w:instrText xml:space="preserve"> HYPERLINK \l "_Toc1190852327" </w:instrText>
          </w:r>
          <w:r>
            <w:fldChar w:fldCharType="separate"/>
          </w:r>
          <w:r>
            <w:rPr>
              <w:rFonts w:ascii="Times New Roman Regular" w:hAnsi="Times New Roman Regular" w:cs="Times New Roman Regular"/>
              <w:bCs/>
              <w:sz w:val="24"/>
              <w:szCs w:val="24"/>
            </w:rPr>
            <w:t>6.2 Negatives of group learning</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_Toc1190852327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16</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2"/>
            <w:tabs>
              <w:tab w:val="right" w:leader="dot" w:pos="8306"/>
            </w:tabs>
            <w:spacing w:line="360" w:lineRule="auto"/>
            <w:rPr>
              <w:rFonts w:hint="eastAsia" w:ascii="Times New Roman Regular" w:hAnsi="Times New Roman Regular" w:cs="Times New Roman Regular"/>
              <w:sz w:val="24"/>
              <w:szCs w:val="24"/>
            </w:rPr>
          </w:pPr>
          <w:r>
            <w:fldChar w:fldCharType="begin"/>
          </w:r>
          <w:r>
            <w:instrText xml:space="preserve"> HYPERLINK \l "_Toc107469849" </w:instrText>
          </w:r>
          <w:r>
            <w:fldChar w:fldCharType="separate"/>
          </w:r>
          <w:r>
            <w:rPr>
              <w:rFonts w:ascii="Times New Roman Regular" w:hAnsi="Times New Roman Regular" w:cs="Times New Roman Regular"/>
              <w:sz w:val="24"/>
              <w:szCs w:val="24"/>
            </w:rPr>
            <w:t>7.0 Conclusion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_Toc107469849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18</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pPr>
            <w:pStyle w:val="22"/>
            <w:tabs>
              <w:tab w:val="right" w:leader="dot" w:pos="8306"/>
            </w:tabs>
            <w:spacing w:line="360" w:lineRule="auto"/>
          </w:pPr>
          <w:r>
            <w:fldChar w:fldCharType="begin"/>
          </w:r>
          <w:r>
            <w:instrText xml:space="preserve"> HYPERLINK \l "_Toc212005016" </w:instrText>
          </w:r>
          <w:r>
            <w:fldChar w:fldCharType="separate"/>
          </w:r>
          <w:r>
            <w:rPr>
              <w:rFonts w:ascii="Times New Roman Regular" w:hAnsi="Times New Roman Regular" w:cs="Times New Roman Regular"/>
              <w:sz w:val="24"/>
              <w:szCs w:val="24"/>
              <w:lang w:eastAsia="zh-Hans"/>
            </w:rPr>
            <w:t>Reference</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_Toc212005016 \h </w:instrText>
          </w:r>
          <w:r>
            <w:rPr>
              <w:rFonts w:ascii="Times New Roman Regular" w:hAnsi="Times New Roman Regular" w:cs="Times New Roman Regular"/>
              <w:sz w:val="24"/>
              <w:szCs w:val="24"/>
            </w:rPr>
            <w:fldChar w:fldCharType="separate"/>
          </w:r>
          <w:r>
            <w:rPr>
              <w:rFonts w:hint="eastAsia" w:ascii="Times New Roman Regular" w:hAnsi="Times New Roman Regular" w:cs="Times New Roman Regular"/>
              <w:sz w:val="24"/>
              <w:szCs w:val="24"/>
            </w:rPr>
            <w:t>19</w:t>
          </w:r>
          <w:r>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fldChar w:fldCharType="end"/>
          </w:r>
        </w:p>
        <w:p>
          <w:r>
            <w:fldChar w:fldCharType="end"/>
          </w:r>
        </w:p>
      </w:sdtContent>
    </w:sdt>
    <w:p>
      <w:pPr>
        <w:pStyle w:val="2"/>
        <w:rPr>
          <w:rFonts w:ascii="Times New Roman" w:hAnsi="Times New Roman" w:cs="Times New Roman"/>
          <w:szCs w:val="30"/>
        </w:rPr>
        <w:sectPr>
          <w:footerReference r:id="rId4" w:type="default"/>
          <w:pgSz w:w="11906" w:h="16838"/>
          <w:pgMar w:top="1440" w:right="1800" w:bottom="1440" w:left="1800" w:header="851" w:footer="992" w:gutter="0"/>
          <w:pgNumType w:fmt="upperRoman" w:start="1"/>
          <w:cols w:space="425" w:num="1"/>
          <w:docGrid w:type="lines" w:linePitch="312" w:charSpace="0"/>
        </w:sectPr>
      </w:pPr>
      <w:bookmarkStart w:id="2" w:name="_Toc101445020"/>
    </w:p>
    <w:p>
      <w:pPr>
        <w:pStyle w:val="2"/>
        <w:rPr>
          <w:rFonts w:ascii="Times New Roman" w:hAnsi="Times New Roman" w:cs="Times New Roman"/>
          <w:szCs w:val="30"/>
        </w:rPr>
      </w:pPr>
      <w:bookmarkStart w:id="3" w:name="_Toc1181196640"/>
      <w:bookmarkStart w:id="4" w:name="_Toc1478367045"/>
      <w:r>
        <w:rPr>
          <w:rFonts w:ascii="Times New Roman" w:hAnsi="Times New Roman" w:cs="Times New Roman"/>
          <w:szCs w:val="30"/>
        </w:rPr>
        <w:t>1.0 Introduction</w:t>
      </w:r>
      <w:bookmarkEnd w:id="2"/>
      <w:bookmarkEnd w:id="3"/>
      <w:bookmarkEnd w:id="4"/>
    </w:p>
    <w:p>
      <w:pPr>
        <w:spacing w:line="360" w:lineRule="auto"/>
        <w:rPr>
          <w:rFonts w:ascii="Times New Roman" w:hAnsi="Times New Roman" w:cs="Times New Roman"/>
          <w:szCs w:val="30"/>
        </w:rPr>
      </w:pPr>
      <w:r>
        <w:rPr>
          <w:rFonts w:hint="eastAsia" w:ascii="Times New Roman" w:hAnsi="Times New Roman" w:cs="Times New Roman"/>
          <w:sz w:val="24"/>
          <w:lang w:eastAsia="zh-Hans"/>
        </w:rPr>
        <w:t>As the discipline of leadership has been studied in depth, it has become apparent that leadership skills are particularly important in leadership and management. Critical thinking, as one of the leadership skills, is the ability to look at an issue from multiple perspectives. It also enhances leadership skills to a certain extent, stimulates self-efficacy in employees and leads to improved performance and innovation.</w:t>
      </w:r>
      <w:r>
        <w:rPr>
          <w:rFonts w:ascii="Times New Roman" w:hAnsi="Times New Roman" w:cs="Times New Roman"/>
          <w:sz w:val="24"/>
          <w:lang w:eastAsia="zh-Hans"/>
        </w:rPr>
        <w:t xml:space="preserve"> </w:t>
      </w:r>
      <w:r>
        <w:rPr>
          <w:rFonts w:ascii="Times New Roman" w:hAnsi="Times New Roman" w:cs="Times New Roman"/>
          <w:sz w:val="24"/>
          <w:lang w:val="en-GB"/>
        </w:rPr>
        <w:t>The purpose of this report is to develop critical thinking leadership skills through learning experiences and training.</w:t>
      </w:r>
      <w:r>
        <w:rPr>
          <w:rFonts w:hint="eastAsia" w:ascii="Times New Roman" w:hAnsi="Times New Roman" w:cs="Times New Roman"/>
          <w:sz w:val="24"/>
          <w:lang w:eastAsia="zh-Hans"/>
        </w:rPr>
        <w:t>This paper is divided into four parts: the first part will theoretically explain the importance of critical thinking</w:t>
      </w:r>
      <w:r>
        <w:rPr>
          <w:rFonts w:ascii="Times New Roman" w:hAnsi="Times New Roman" w:cs="Times New Roman"/>
          <w:sz w:val="24"/>
          <w:lang w:eastAsia="zh-Hans"/>
        </w:rPr>
        <w:t>, which includes how the skill enhances leadership, how the skill improves employee performance and innovation</w:t>
      </w:r>
      <w:r>
        <w:rPr>
          <w:rFonts w:hint="eastAsia" w:ascii="Times New Roman" w:hAnsi="Times New Roman" w:cs="Times New Roman"/>
          <w:sz w:val="24"/>
          <w:lang w:eastAsia="zh-Hans"/>
        </w:rPr>
        <w:t>. The second section will provide a robust critical thinking learning schedule, including time allocation, activities and resources used. The third section will analyse the arguments for the effectiveness and advantages and disadvantages of the methods used in the learning schedule. The fourth part will analyse the validity and advantages and disadvantages of the team learning theory used in the learning programme for adult learning.</w:t>
      </w:r>
    </w:p>
    <w:p>
      <w:pPr>
        <w:pStyle w:val="2"/>
        <w:rPr>
          <w:rFonts w:hint="eastAsia" w:ascii="Times New Roman Regular" w:hAnsi="Times New Roman Regular" w:cs="Times New Roman Regular"/>
          <w:bCs w:val="0"/>
          <w:szCs w:val="30"/>
          <w:lang w:eastAsia="zh-Hans"/>
        </w:rPr>
      </w:pPr>
      <w:bookmarkStart w:id="5" w:name="_Toc1033095612"/>
      <w:bookmarkStart w:id="6" w:name="_Toc529129525"/>
      <w:r>
        <w:rPr>
          <w:rFonts w:ascii="Times New Roman Regular" w:hAnsi="Times New Roman Regular" w:cs="Times New Roman Regular"/>
          <w:bCs w:val="0"/>
          <w:szCs w:val="30"/>
        </w:rPr>
        <w:t xml:space="preserve">2.0 </w:t>
      </w:r>
      <w:r>
        <w:rPr>
          <w:rFonts w:ascii="Times New Roman Regular" w:hAnsi="Times New Roman Regular" w:cs="Times New Roman Regular"/>
          <w:bCs w:val="0"/>
          <w:szCs w:val="30"/>
          <w:lang w:eastAsia="zh-Hans"/>
        </w:rPr>
        <w:t>Critical Thinking</w:t>
      </w:r>
      <w:bookmarkEnd w:id="5"/>
      <w:bookmarkEnd w:id="6"/>
    </w:p>
    <w:p>
      <w:pPr>
        <w:spacing w:line="360" w:lineRule="auto"/>
        <w:rPr>
          <w:rFonts w:ascii="Times New Roman" w:hAnsi="Times New Roman" w:cs="Times New Roman"/>
          <w:sz w:val="24"/>
          <w:lang w:val="en-GB"/>
        </w:rPr>
      </w:pPr>
      <w:r>
        <w:rPr>
          <w:rFonts w:ascii="Times New Roman" w:hAnsi="Times New Roman" w:cs="Times New Roman"/>
          <w:sz w:val="24"/>
          <w:lang w:val="en-GB"/>
        </w:rPr>
        <w:t xml:space="preserve">Much of what people now know about leadership has been gleaned through hierarchical and bureaucratic structures. An ideology that promotes a hierarchy of power and authority, as well as a centralised decision-making body, is embedded in this type of organisational structure (Gemmill and Oakley, 1992). Such leadership is appropriate and effective for the relatively stable environment that spawned the hierarchical-bureaucratic organisational design. For many organisations, however, these conditions either no longer exist or are rapidly fading (Novelli and Taylor, 1993). </w:t>
      </w:r>
    </w:p>
    <w:p>
      <w:pPr>
        <w:spacing w:line="360" w:lineRule="auto"/>
        <w:rPr>
          <w:rFonts w:ascii="Times New Roman" w:hAnsi="Times New Roman" w:cs="Times New Roman"/>
          <w:sz w:val="24"/>
          <w:lang w:val="en-GB"/>
        </w:rPr>
      </w:pPr>
    </w:p>
    <w:p>
      <w:pPr>
        <w:spacing w:line="360" w:lineRule="auto"/>
        <w:rPr>
          <w:rFonts w:ascii="Times New Roman" w:hAnsi="Times New Roman" w:cs="Times New Roman"/>
          <w:sz w:val="24"/>
          <w:lang w:val="en-GB"/>
        </w:rPr>
      </w:pPr>
      <w:r>
        <w:rPr>
          <w:rFonts w:ascii="Times New Roman" w:hAnsi="Times New Roman" w:cs="Times New Roman"/>
          <w:sz w:val="24"/>
          <w:lang w:val="en-GB"/>
        </w:rPr>
        <w:t xml:space="preserve">Critical thinking is increasingly important as a new normal has emerged in the global economic landscape of competition (ŽivkoviĿ, 2016). Critical thinking skills are an essential quality for all effective leaders (Das, 1994). Globalisation necessitates a worldwide mind or global thinking, which implies that leaders must be able to embrace competing opinions, perspectives, beliefs, and factual information, then reconcile these differences in order to improve leadership effectiveness. And critical thinking satisfies that requirement. Reasoned reflective thinking that focuses on determining what to believe or do is known as critical thinking (Cottrell, 2017). When leaders look at a complex problem from only one perspective, there is a risk of accepting a one-sided or even wrong solution. A single point of view might lead to an insufficient and incomplete analysis of the issue. Critical thinking generates a variety of viewpoints on a subject, enhancing the chances of proper comprehension. The use of multiple perspectives enriches the understanding of context and provides a broader definition of the problem (Hunter, 1986). Robert Cogen (1998) considered that its value lies in: (1) helping us to reach true conclusions; (2) increasing our knowledge; (3) helping us to make better decisions; (4) helping us to persuade others; (5) explaining the truth to others; and (6) contributing to a happy life. Critical thinking contributes to innovation at work in the following ways: first, critical thinking helps to identify problems; Second, critical thinking aids in the development of numerous answers; third, critical thinking aids in the implementation of modifications and adjustments as needed (Eggers, Lovelace and Kraft, 2017). </w:t>
      </w:r>
    </w:p>
    <w:p>
      <w:pPr>
        <w:spacing w:line="360" w:lineRule="auto"/>
        <w:rPr>
          <w:rFonts w:ascii="Times New Roman" w:hAnsi="Times New Roman" w:cs="Times New Roman"/>
          <w:sz w:val="24"/>
          <w:lang w:val="en-GB"/>
        </w:rPr>
      </w:pPr>
    </w:p>
    <w:p>
      <w:pPr>
        <w:spacing w:line="360" w:lineRule="auto"/>
        <w:rPr>
          <w:rFonts w:ascii="Times New Roman" w:hAnsi="Times New Roman" w:cs="Times New Roman"/>
          <w:sz w:val="24"/>
          <w:lang w:eastAsia="zh-Hans"/>
        </w:rPr>
      </w:pPr>
      <w:r>
        <w:rPr>
          <w:rFonts w:ascii="Times New Roman" w:hAnsi="Times New Roman" w:cs="Times New Roman"/>
          <w:sz w:val="24"/>
          <w:lang w:val="en-GB"/>
        </w:rPr>
        <w:t xml:space="preserve">Leadership is the power to convince followers, who often recognise leaders based on their trust in their superior thinking skills (Daft, 2014). Individuals with critical thinking not only trust their own reasoning judgments but also trust others, thus enhancing the individual's sense of self-efficacy. They have a spirit of truth-seeking, which is mainly manifested in their psychological energy in the process of daring to question, deny and transcend themselves, others and traditional theories, and to persevere and innovate in the face of difficulties. Creative self-efficacy is also closely related to creative behaviour. Tierney &amp; Farmer study found that Innovation self-efficacy has a significant positive impact on individual innovative behaviour, and innovation self-efficacy is better than work efficiency in predicting individual innovative behaviour. Innovation self-efficacy is closely related to individual innovation activities, and individuals influence innovative thinking and challenging spirit, which ultimately affects employees' innovative behaviour and innovation performance (Luthans and Peterson, 2002). </w:t>
      </w:r>
      <w:r>
        <w:rPr>
          <w:rFonts w:hint="eastAsia" w:ascii="Times New Roman" w:hAnsi="Times New Roman" w:cs="Times New Roman"/>
          <w:sz w:val="24"/>
          <w:lang w:eastAsia="zh-Hans"/>
        </w:rPr>
        <w:t>In conclusion, therefore, critical thinking is one of the key skills for managers. It can provide multi-perspective solutions to problems for leaders. It will also increase productivity and innovation by stimulating creative self-efficacy in employees.</w:t>
      </w:r>
    </w:p>
    <w:p>
      <w:pPr>
        <w:pStyle w:val="2"/>
        <w:rPr>
          <w:rFonts w:hint="eastAsia" w:ascii="Times New Roman Regular" w:hAnsi="Times New Roman Regular" w:cs="Times New Roman Regular"/>
          <w:bCs w:val="0"/>
          <w:szCs w:val="30"/>
          <w:lang w:eastAsia="zh-Hans"/>
        </w:rPr>
      </w:pPr>
      <w:bookmarkStart w:id="7" w:name="_Toc350144448"/>
      <w:bookmarkStart w:id="8" w:name="_Toc832664889"/>
      <w:r>
        <w:rPr>
          <w:rFonts w:ascii="Times New Roman Regular" w:hAnsi="Times New Roman Regular" w:cs="Times New Roman Regular"/>
          <w:bCs w:val="0"/>
          <w:szCs w:val="30"/>
        </w:rPr>
        <w:t>3.0 Team and task division</w:t>
      </w:r>
      <w:bookmarkEnd w:id="7"/>
      <w:bookmarkEnd w:id="8"/>
    </w:p>
    <w:p>
      <w:pPr>
        <w:spacing w:line="360" w:lineRule="auto"/>
        <w:rPr>
          <w:rFonts w:ascii="Times New Roman" w:hAnsi="Times New Roman" w:cs="Times New Roman"/>
          <w:sz w:val="24"/>
        </w:rPr>
      </w:pPr>
      <w:r>
        <w:rPr>
          <w:rFonts w:ascii="Times New Roman" w:hAnsi="Times New Roman" w:cs="Times New Roman"/>
          <w:sz w:val="24"/>
          <w:lang w:val="en-GB"/>
        </w:rPr>
        <w:t>Due to the limitations of Corvid-19, this team has used virtual teams to complete this report. Virtual teams are become a more widespread practise in many other sorts of organisations, not simply in the "high tech" industry (Nydegger and Nydegger, 2010). According to Duarte and Snyder’s idea (2006), Distance, time, and organisational limitations do not limit virtual teams. They employ e-collaboration and other technology to cut travel and facility expenses, speed up decision-making, and increase communication. However, there are some challenges in implementing virtual teams. The lack of facial expression connection and emotional communication is the fundamental concern (Robert, Rob and Lise, 2005). The team assignments for this report</w:t>
      </w:r>
      <w:r>
        <w:rPr>
          <w:rFonts w:ascii="Times New Roman" w:hAnsi="Times New Roman" w:cs="Times New Roman"/>
          <w:sz w:val="24"/>
        </w:rPr>
        <w:t xml:space="preserve"> </w:t>
      </w:r>
      <w:r>
        <w:rPr>
          <w:rFonts w:hint="eastAsia" w:ascii="Times New Roman" w:hAnsi="Times New Roman" w:cs="Times New Roman"/>
          <w:sz w:val="24"/>
          <w:lang w:eastAsia="zh-Hans"/>
        </w:rPr>
        <w:t>which</w:t>
      </w:r>
      <w:r>
        <w:rPr>
          <w:rFonts w:ascii="Times New Roman" w:hAnsi="Times New Roman" w:cs="Times New Roman"/>
          <w:sz w:val="24"/>
          <w:lang w:eastAsia="zh-Hans"/>
        </w:rPr>
        <w:t xml:space="preserve"> </w:t>
      </w:r>
      <w:r>
        <w:rPr>
          <w:rFonts w:hint="eastAsia" w:ascii="Times New Roman" w:hAnsi="Times New Roman" w:cs="Times New Roman"/>
          <w:sz w:val="24"/>
          <w:lang w:eastAsia="zh-Hans"/>
        </w:rPr>
        <w:t>can</w:t>
      </w:r>
      <w:r>
        <w:rPr>
          <w:rFonts w:ascii="Times New Roman" w:hAnsi="Times New Roman" w:cs="Times New Roman"/>
          <w:sz w:val="24"/>
          <w:lang w:eastAsia="zh-Hans"/>
        </w:rPr>
        <w:t xml:space="preserve"> </w:t>
      </w:r>
      <w:r>
        <w:rPr>
          <w:rFonts w:hint="eastAsia" w:ascii="Times New Roman" w:hAnsi="Times New Roman" w:cs="Times New Roman"/>
          <w:sz w:val="24"/>
          <w:lang w:eastAsia="zh-Hans"/>
        </w:rPr>
        <w:t>be</w:t>
      </w:r>
      <w:r>
        <w:rPr>
          <w:rFonts w:ascii="Times New Roman" w:hAnsi="Times New Roman" w:cs="Times New Roman"/>
          <w:sz w:val="24"/>
          <w:lang w:eastAsia="zh-Hans"/>
        </w:rPr>
        <w:t xml:space="preserve"> </w:t>
      </w:r>
      <w:r>
        <w:rPr>
          <w:rFonts w:hint="eastAsia" w:ascii="Times New Roman" w:hAnsi="Times New Roman" w:cs="Times New Roman"/>
          <w:sz w:val="24"/>
          <w:lang w:eastAsia="zh-Hans"/>
        </w:rPr>
        <w:t>seen</w:t>
      </w:r>
      <w:r>
        <w:rPr>
          <w:rFonts w:ascii="Times New Roman" w:hAnsi="Times New Roman" w:cs="Times New Roman"/>
          <w:sz w:val="24"/>
          <w:lang w:eastAsia="zh-Hans"/>
        </w:rPr>
        <w:t xml:space="preserve"> </w:t>
      </w:r>
      <w:r>
        <w:rPr>
          <w:rFonts w:hint="eastAsia" w:ascii="Times New Roman" w:hAnsi="Times New Roman" w:cs="Times New Roman"/>
          <w:sz w:val="24"/>
          <w:lang w:eastAsia="zh-Hans"/>
        </w:rPr>
        <w:t>from</w:t>
      </w:r>
      <w:r>
        <w:rPr>
          <w:rFonts w:ascii="Times New Roman" w:hAnsi="Times New Roman" w:cs="Times New Roman"/>
          <w:sz w:val="24"/>
          <w:lang w:eastAsia="zh-Hans"/>
        </w:rPr>
        <w:t xml:space="preserve"> </w:t>
      </w:r>
      <w:r>
        <w:rPr>
          <w:rFonts w:hint="eastAsia" w:ascii="Times New Roman" w:hAnsi="Times New Roman" w:cs="Times New Roman"/>
          <w:sz w:val="24"/>
          <w:lang w:eastAsia="zh-Hans"/>
        </w:rPr>
        <w:t>table</w:t>
      </w:r>
      <w:r>
        <w:rPr>
          <w:rFonts w:ascii="Times New Roman" w:hAnsi="Times New Roman" w:cs="Times New Roman"/>
          <w:sz w:val="24"/>
          <w:lang w:eastAsia="zh-Hans"/>
        </w:rPr>
        <w:t xml:space="preserve"> 1</w:t>
      </w:r>
      <w:r>
        <w:rPr>
          <w:rFonts w:ascii="Times New Roman" w:hAnsi="Times New Roman" w:cs="Times New Roman"/>
          <w:sz w:val="24"/>
          <w:lang w:val="en-GB"/>
        </w:rPr>
        <w:t xml:space="preserve"> are based on individual strengths as shown in the table above. Team members are allocated to </w:t>
      </w:r>
      <w:r>
        <w:rPr>
          <w:rFonts w:hint="eastAsia" w:ascii="Times New Roman" w:hAnsi="Times New Roman" w:cs="Times New Roman"/>
          <w:sz w:val="24"/>
          <w:lang w:val="en-GB"/>
        </w:rPr>
        <w:t>task</w:t>
      </w:r>
      <w:r>
        <w:rPr>
          <w:rFonts w:ascii="Times New Roman" w:hAnsi="Times New Roman" w:cs="Times New Roman"/>
          <w:sz w:val="24"/>
          <w:lang w:val="en-GB"/>
        </w:rPr>
        <w:t xml:space="preserve">s that best fit their abilities and expertise, allowing the team to maximise its human capital and, as a result, increase the possibility of maximising the team's production. The synergy that occurs when members coordinate their work based on their individual talents is one of the key organisational logics of teams. This synergy can lead to results that are greater than the sum of each person's efforts </w:t>
      </w:r>
      <w:r>
        <w:rPr>
          <w:rFonts w:ascii="Times New Roman" w:hAnsi="Times New Roman" w:eastAsia="DengXian" w:cs="Times New Roman"/>
          <w:kern w:val="0"/>
          <w:sz w:val="24"/>
        </w:rPr>
        <w:t xml:space="preserve">(Rego </w:t>
      </w:r>
      <w:r>
        <w:rPr>
          <w:rFonts w:ascii="Times New Roman" w:hAnsi="Times New Roman" w:eastAsia="DengXian" w:cs="Times New Roman"/>
          <w:i/>
          <w:iCs/>
          <w:kern w:val="0"/>
          <w:sz w:val="24"/>
        </w:rPr>
        <w:t>et al.</w:t>
      </w:r>
      <w:r>
        <w:rPr>
          <w:rFonts w:ascii="Times New Roman" w:hAnsi="Times New Roman" w:eastAsia="DengXian" w:cs="Times New Roman"/>
          <w:kern w:val="0"/>
          <w:sz w:val="24"/>
        </w:rPr>
        <w:t>, 2019)</w:t>
      </w:r>
      <w:r>
        <w:rPr>
          <w:rFonts w:ascii="Times New Roman" w:hAnsi="Times New Roman" w:cs="Times New Roman"/>
          <w:sz w:val="24"/>
        </w:rPr>
        <w:t>.</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lang w:val="en-GB"/>
        </w:rPr>
      </w:pPr>
    </w:p>
    <w:p>
      <w:pPr>
        <w:jc w:val="center"/>
        <w:rPr>
          <w:rFonts w:ascii="Times New Roman" w:hAnsi="Times New Roman" w:cs="Times New Roman"/>
          <w:szCs w:val="21"/>
        </w:rPr>
      </w:pPr>
      <w:r>
        <w:rPr>
          <w:rFonts w:ascii="Times New Roman" w:hAnsi="Times New Roman" w:cs="Times New Roman"/>
          <w:szCs w:val="21"/>
        </w:rPr>
        <w:t xml:space="preserve">Table 1. Group </w:t>
      </w:r>
      <w:r>
        <w:rPr>
          <w:rFonts w:hint="eastAsia" w:ascii="Times New Roman" w:hAnsi="Times New Roman" w:cs="Times New Roman"/>
          <w:szCs w:val="21"/>
        </w:rPr>
        <w:t>M</w:t>
      </w:r>
      <w:r>
        <w:rPr>
          <w:rFonts w:ascii="Times New Roman" w:hAnsi="Times New Roman" w:cs="Times New Roman"/>
          <w:szCs w:val="21"/>
        </w:rPr>
        <w:t xml:space="preserve">embers' </w:t>
      </w:r>
      <w:r>
        <w:rPr>
          <w:rFonts w:hint="eastAsia" w:ascii="Times New Roman" w:hAnsi="Times New Roman" w:cs="Times New Roman"/>
          <w:szCs w:val="21"/>
        </w:rPr>
        <w:t>T</w:t>
      </w:r>
      <w:r>
        <w:rPr>
          <w:rFonts w:ascii="Times New Roman" w:hAnsi="Times New Roman" w:cs="Times New Roman"/>
          <w:szCs w:val="21"/>
        </w:rPr>
        <w:t xml:space="preserve">ask </w:t>
      </w:r>
      <w:r>
        <w:rPr>
          <w:rFonts w:hint="eastAsia" w:ascii="Times New Roman" w:hAnsi="Times New Roman" w:cs="Times New Roman"/>
          <w:szCs w:val="21"/>
        </w:rPr>
        <w:t>D</w:t>
      </w:r>
      <w:r>
        <w:rPr>
          <w:rFonts w:ascii="Times New Roman" w:hAnsi="Times New Roman" w:cs="Times New Roman"/>
          <w:szCs w:val="21"/>
        </w:rPr>
        <w:t xml:space="preserve">ivision </w:t>
      </w:r>
      <w:r>
        <w:rPr>
          <w:rFonts w:hint="eastAsia" w:ascii="Times New Roman" w:hAnsi="Times New Roman" w:cs="Times New Roman"/>
          <w:szCs w:val="21"/>
        </w:rPr>
        <w:t>T</w:t>
      </w:r>
      <w:r>
        <w:rPr>
          <w:rFonts w:ascii="Times New Roman" w:hAnsi="Times New Roman" w:cs="Times New Roman"/>
          <w:szCs w:val="21"/>
        </w:rPr>
        <w:t>able</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9"/>
        <w:gridCol w:w="2866"/>
        <w:gridCol w:w="2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69" w:type="dxa"/>
          </w:tcPr>
          <w:p>
            <w:pPr>
              <w:jc w:val="center"/>
              <w:rPr>
                <w:rFonts w:ascii="Times New Roman" w:hAnsi="Times New Roman" w:cs="Times New Roman"/>
                <w:sz w:val="24"/>
              </w:rPr>
            </w:pPr>
            <w:r>
              <w:rPr>
                <w:rFonts w:ascii="Times New Roman" w:hAnsi="Times New Roman" w:cs="Times New Roman"/>
                <w:sz w:val="24"/>
              </w:rPr>
              <w:t>Part</w:t>
            </w:r>
          </w:p>
        </w:tc>
        <w:tc>
          <w:tcPr>
            <w:tcW w:w="2866" w:type="dxa"/>
          </w:tcPr>
          <w:p>
            <w:pPr>
              <w:jc w:val="center"/>
              <w:rPr>
                <w:rFonts w:ascii="Times New Roman" w:hAnsi="Times New Roman" w:cs="Times New Roman"/>
                <w:sz w:val="24"/>
              </w:rPr>
            </w:pPr>
            <w:r>
              <w:rPr>
                <w:rFonts w:ascii="Times New Roman" w:hAnsi="Times New Roman" w:cs="Times New Roman"/>
                <w:sz w:val="24"/>
              </w:rPr>
              <w:t>Group member</w:t>
            </w:r>
          </w:p>
        </w:tc>
        <w:tc>
          <w:tcPr>
            <w:tcW w:w="2461" w:type="dxa"/>
          </w:tcPr>
          <w:p>
            <w:pPr>
              <w:jc w:val="center"/>
              <w:rPr>
                <w:rFonts w:ascii="Times New Roman" w:hAnsi="Times New Roman" w:cs="Times New Roman"/>
                <w:sz w:val="24"/>
              </w:rPr>
            </w:pPr>
            <w:r>
              <w:rPr>
                <w:rFonts w:hint="eastAsia" w:ascii="Times New Roman" w:hAnsi="Times New Roman" w:cs="Times New Roman"/>
                <w:sz w:val="24"/>
              </w:rPr>
              <w:t>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69" w:type="dxa"/>
          </w:tcPr>
          <w:p>
            <w:pPr>
              <w:jc w:val="left"/>
              <w:rPr>
                <w:rFonts w:ascii="Times New Roman" w:hAnsi="Times New Roman" w:cs="Times New Roman"/>
                <w:sz w:val="24"/>
              </w:rPr>
            </w:pPr>
            <w:r>
              <w:rPr>
                <w:rFonts w:ascii="Times New Roman" w:hAnsi="Times New Roman" w:cs="Times New Roman"/>
                <w:sz w:val="24"/>
              </w:rPr>
              <w:t>Executive Summary</w:t>
            </w:r>
          </w:p>
        </w:tc>
        <w:tc>
          <w:tcPr>
            <w:tcW w:w="2866" w:type="dxa"/>
          </w:tcPr>
          <w:p>
            <w:pPr>
              <w:jc w:val="left"/>
              <w:rPr>
                <w:rFonts w:ascii="Times New Roman" w:hAnsi="Times New Roman" w:cs="Times New Roman"/>
                <w:sz w:val="24"/>
              </w:rPr>
            </w:pPr>
            <w:r>
              <w:rPr>
                <w:rFonts w:ascii="Times New Roman" w:hAnsi="Times New Roman" w:cs="Times New Roman"/>
                <w:sz w:val="24"/>
              </w:rPr>
              <w:t>Tian Ye</w:t>
            </w:r>
          </w:p>
        </w:tc>
        <w:tc>
          <w:tcPr>
            <w:tcW w:w="2461" w:type="dxa"/>
          </w:tcPr>
          <w:p>
            <w:pPr>
              <w:jc w:val="center"/>
              <w:rPr>
                <w:rFonts w:ascii="Times New Roman" w:hAnsi="Times New Roman" w:cs="Times New Roman"/>
                <w:sz w:val="24"/>
              </w:rPr>
            </w:pPr>
            <w:bookmarkStart w:id="9" w:name="OLE_LINK6"/>
            <w:r>
              <w:rPr>
                <w:rFonts w:ascii="Times New Roman" w:hAnsi="Times New Roman" w:cs="Times New Roman"/>
                <w:sz w:val="24"/>
              </w:rPr>
              <w:t>2102905</w:t>
            </w:r>
            <w:bookmarkEnd w:id="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69" w:type="dxa"/>
          </w:tcPr>
          <w:p>
            <w:pPr>
              <w:jc w:val="left"/>
              <w:rPr>
                <w:rFonts w:ascii="Times New Roman" w:hAnsi="Times New Roman" w:cs="Times New Roman"/>
                <w:sz w:val="24"/>
              </w:rPr>
            </w:pPr>
            <w:r>
              <w:rPr>
                <w:rFonts w:ascii="Times New Roman" w:hAnsi="Times New Roman" w:cs="Times New Roman"/>
                <w:sz w:val="24"/>
              </w:rPr>
              <w:t>1.0 Introduction</w:t>
            </w:r>
          </w:p>
        </w:tc>
        <w:tc>
          <w:tcPr>
            <w:tcW w:w="2866" w:type="dxa"/>
          </w:tcPr>
          <w:p>
            <w:pPr>
              <w:jc w:val="left"/>
              <w:rPr>
                <w:rFonts w:ascii="Times New Roman" w:hAnsi="Times New Roman" w:cs="Times New Roman"/>
                <w:sz w:val="24"/>
              </w:rPr>
            </w:pPr>
            <w:r>
              <w:rPr>
                <w:rFonts w:ascii="Times New Roman" w:hAnsi="Times New Roman" w:cs="Times New Roman"/>
                <w:sz w:val="24"/>
              </w:rPr>
              <w:t>Tian Ye</w:t>
            </w:r>
          </w:p>
        </w:tc>
        <w:tc>
          <w:tcPr>
            <w:tcW w:w="2461" w:type="dxa"/>
          </w:tcPr>
          <w:p>
            <w:pPr>
              <w:jc w:val="center"/>
              <w:rPr>
                <w:rFonts w:ascii="Times New Roman" w:hAnsi="Times New Roman" w:cs="Times New Roman"/>
                <w:sz w:val="24"/>
              </w:rPr>
            </w:pPr>
            <w:r>
              <w:rPr>
                <w:rFonts w:ascii="Times New Roman" w:hAnsi="Times New Roman" w:cs="Times New Roman"/>
                <w:sz w:val="24"/>
              </w:rPr>
              <w:t>2102905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69" w:type="dxa"/>
          </w:tcPr>
          <w:p>
            <w:pPr>
              <w:jc w:val="left"/>
              <w:rPr>
                <w:rFonts w:ascii="Times New Roman" w:hAnsi="Times New Roman" w:cs="Times New Roman"/>
                <w:sz w:val="24"/>
                <w:lang w:eastAsia="zh-Hans"/>
              </w:rPr>
            </w:pPr>
            <w:r>
              <w:rPr>
                <w:rFonts w:ascii="Times New Roman" w:hAnsi="Times New Roman" w:cs="Times New Roman"/>
                <w:sz w:val="24"/>
              </w:rPr>
              <w:t xml:space="preserve">2.0 </w:t>
            </w:r>
            <w:r>
              <w:rPr>
                <w:rFonts w:hint="eastAsia" w:ascii="Times New Roman" w:hAnsi="Times New Roman" w:cs="Times New Roman"/>
                <w:sz w:val="24"/>
                <w:lang w:eastAsia="zh-Hans"/>
              </w:rPr>
              <w:t>Critical</w:t>
            </w:r>
            <w:r>
              <w:rPr>
                <w:rFonts w:ascii="Times New Roman" w:hAnsi="Times New Roman" w:cs="Times New Roman"/>
                <w:sz w:val="24"/>
                <w:lang w:eastAsia="zh-Hans"/>
              </w:rPr>
              <w:t xml:space="preserve"> </w:t>
            </w:r>
            <w:r>
              <w:rPr>
                <w:rFonts w:hint="eastAsia" w:ascii="Times New Roman" w:hAnsi="Times New Roman" w:cs="Times New Roman"/>
                <w:sz w:val="24"/>
                <w:lang w:eastAsia="zh-Hans"/>
              </w:rPr>
              <w:t>thinking</w:t>
            </w:r>
          </w:p>
        </w:tc>
        <w:tc>
          <w:tcPr>
            <w:tcW w:w="2866" w:type="dxa"/>
          </w:tcPr>
          <w:p>
            <w:pPr>
              <w:jc w:val="left"/>
              <w:rPr>
                <w:rFonts w:ascii="Times New Roman" w:hAnsi="Times New Roman" w:cs="Times New Roman"/>
                <w:sz w:val="24"/>
              </w:rPr>
            </w:pPr>
            <w:r>
              <w:rPr>
                <w:rFonts w:ascii="Times New Roman" w:hAnsi="Times New Roman" w:cs="Times New Roman"/>
                <w:sz w:val="24"/>
              </w:rPr>
              <w:t>Tian Ye</w:t>
            </w:r>
          </w:p>
        </w:tc>
        <w:tc>
          <w:tcPr>
            <w:tcW w:w="2461" w:type="dxa"/>
          </w:tcPr>
          <w:p>
            <w:pPr>
              <w:jc w:val="center"/>
              <w:rPr>
                <w:rFonts w:ascii="Times New Roman" w:hAnsi="Times New Roman" w:cs="Times New Roman"/>
                <w:sz w:val="24"/>
              </w:rPr>
            </w:pPr>
            <w:r>
              <w:rPr>
                <w:rFonts w:ascii="Times New Roman" w:hAnsi="Times New Roman" w:cs="Times New Roman"/>
                <w:sz w:val="24"/>
              </w:rPr>
              <w:t>2102905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69" w:type="dxa"/>
          </w:tcPr>
          <w:p>
            <w:pPr>
              <w:jc w:val="left"/>
              <w:rPr>
                <w:rFonts w:ascii="Times New Roman" w:hAnsi="Times New Roman" w:cs="Times New Roman"/>
                <w:sz w:val="24"/>
              </w:rPr>
            </w:pPr>
            <w:r>
              <w:rPr>
                <w:rFonts w:ascii="Times New Roman" w:hAnsi="Times New Roman" w:cs="Times New Roman"/>
                <w:sz w:val="24"/>
              </w:rPr>
              <w:t>3.0 Team and task division</w:t>
            </w:r>
          </w:p>
        </w:tc>
        <w:tc>
          <w:tcPr>
            <w:tcW w:w="2866" w:type="dxa"/>
          </w:tcPr>
          <w:p>
            <w:pPr>
              <w:jc w:val="left"/>
              <w:rPr>
                <w:rFonts w:ascii="Times New Roman" w:hAnsi="Times New Roman" w:cs="Times New Roman"/>
                <w:sz w:val="24"/>
              </w:rPr>
            </w:pPr>
            <w:r>
              <w:rPr>
                <w:rFonts w:ascii="Times New Roman" w:hAnsi="Times New Roman" w:cs="Times New Roman"/>
                <w:sz w:val="24"/>
              </w:rPr>
              <w:t>Tian Ye</w:t>
            </w:r>
          </w:p>
        </w:tc>
        <w:tc>
          <w:tcPr>
            <w:tcW w:w="2461" w:type="dxa"/>
          </w:tcPr>
          <w:p>
            <w:pPr>
              <w:jc w:val="center"/>
              <w:rPr>
                <w:rFonts w:ascii="Times New Roman" w:hAnsi="Times New Roman" w:cs="Times New Roman"/>
                <w:sz w:val="24"/>
              </w:rPr>
            </w:pPr>
            <w:r>
              <w:rPr>
                <w:rFonts w:ascii="Times New Roman" w:hAnsi="Times New Roman" w:cs="Times New Roman"/>
                <w:sz w:val="24"/>
              </w:rPr>
              <w:t>2102905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69" w:type="dxa"/>
          </w:tcPr>
          <w:p>
            <w:pPr>
              <w:jc w:val="left"/>
              <w:rPr>
                <w:rFonts w:ascii="Times New Roman" w:hAnsi="Times New Roman" w:cs="Times New Roman"/>
                <w:sz w:val="24"/>
              </w:rPr>
            </w:pPr>
            <w:r>
              <w:rPr>
                <w:rFonts w:ascii="Times New Roman" w:hAnsi="Times New Roman" w:cs="Times New Roman"/>
                <w:sz w:val="24"/>
              </w:rPr>
              <w:t>4.0 Learning Plan</w:t>
            </w:r>
          </w:p>
        </w:tc>
        <w:tc>
          <w:tcPr>
            <w:tcW w:w="2866" w:type="dxa"/>
          </w:tcPr>
          <w:p>
            <w:pPr>
              <w:jc w:val="left"/>
              <w:rPr>
                <w:rFonts w:ascii="Times New Roman" w:hAnsi="Times New Roman" w:cs="Times New Roman"/>
                <w:sz w:val="24"/>
              </w:rPr>
            </w:pPr>
            <w:r>
              <w:rPr>
                <w:rFonts w:ascii="Times New Roman" w:hAnsi="Times New Roman" w:cs="Times New Roman"/>
                <w:sz w:val="24"/>
              </w:rPr>
              <w:t>Xu Ziqi</w:t>
            </w:r>
          </w:p>
        </w:tc>
        <w:tc>
          <w:tcPr>
            <w:tcW w:w="2461" w:type="dxa"/>
          </w:tcPr>
          <w:p>
            <w:pPr>
              <w:jc w:val="center"/>
              <w:rPr>
                <w:rFonts w:ascii="Times New Roman" w:hAnsi="Times New Roman" w:cs="Times New Roman"/>
                <w:sz w:val="24"/>
              </w:rPr>
            </w:pPr>
            <w:r>
              <w:rPr>
                <w:rFonts w:ascii="Times New Roman" w:hAnsi="Times New Roman" w:cs="Times New Roman"/>
                <w:sz w:val="24"/>
              </w:rPr>
              <w:t>2008864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69" w:type="dxa"/>
          </w:tcPr>
          <w:p>
            <w:pPr>
              <w:jc w:val="left"/>
              <w:rPr>
                <w:rFonts w:ascii="Times New Roman" w:hAnsi="Times New Roman" w:cs="Times New Roman"/>
                <w:sz w:val="24"/>
              </w:rPr>
            </w:pPr>
            <w:r>
              <w:rPr>
                <w:rFonts w:ascii="Times New Roman" w:hAnsi="Times New Roman" w:cs="Times New Roman"/>
                <w:sz w:val="24"/>
              </w:rPr>
              <w:t xml:space="preserve">5.0 </w:t>
            </w:r>
            <w:r>
              <w:rPr>
                <w:rFonts w:ascii="Times New Roman" w:hAnsi="Times New Roman" w:cs="Times New Roman"/>
                <w:sz w:val="24"/>
                <w:lang w:eastAsia="zh-Hans"/>
              </w:rPr>
              <w:t>Inductive Approach</w:t>
            </w:r>
          </w:p>
        </w:tc>
        <w:tc>
          <w:tcPr>
            <w:tcW w:w="2866" w:type="dxa"/>
          </w:tcPr>
          <w:p>
            <w:pPr>
              <w:jc w:val="left"/>
              <w:rPr>
                <w:rFonts w:ascii="Times New Roman" w:hAnsi="Times New Roman" w:cs="Times New Roman"/>
                <w:sz w:val="24"/>
              </w:rPr>
            </w:pPr>
            <w:r>
              <w:rPr>
                <w:rFonts w:ascii="Times New Roman" w:hAnsi="Times New Roman" w:cs="Times New Roman"/>
                <w:sz w:val="24"/>
              </w:rPr>
              <w:t>Guo Xinchen</w:t>
            </w:r>
          </w:p>
        </w:tc>
        <w:tc>
          <w:tcPr>
            <w:tcW w:w="2461" w:type="dxa"/>
          </w:tcPr>
          <w:p>
            <w:pPr>
              <w:jc w:val="center"/>
              <w:rPr>
                <w:rFonts w:ascii="Times New Roman" w:hAnsi="Times New Roman" w:cs="Times New Roman"/>
                <w:sz w:val="24"/>
              </w:rPr>
            </w:pPr>
            <w:r>
              <w:rPr>
                <w:rFonts w:ascii="Times New Roman" w:hAnsi="Times New Roman" w:cs="Times New Roman"/>
                <w:sz w:val="24"/>
              </w:rPr>
              <w:t>2103116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69" w:type="dxa"/>
          </w:tcPr>
          <w:p>
            <w:pPr>
              <w:jc w:val="left"/>
              <w:rPr>
                <w:rFonts w:ascii="Times New Roman" w:hAnsi="Times New Roman" w:cs="Times New Roman"/>
                <w:sz w:val="24"/>
              </w:rPr>
            </w:pPr>
            <w:r>
              <w:rPr>
                <w:rFonts w:ascii="Times New Roman" w:hAnsi="Times New Roman" w:cs="Times New Roman"/>
                <w:sz w:val="24"/>
              </w:rPr>
              <w:t>6.0 Group Learning Theory</w:t>
            </w:r>
          </w:p>
        </w:tc>
        <w:tc>
          <w:tcPr>
            <w:tcW w:w="2866" w:type="dxa"/>
          </w:tcPr>
          <w:p>
            <w:pPr>
              <w:jc w:val="left"/>
              <w:rPr>
                <w:rFonts w:ascii="Times New Roman" w:hAnsi="Times New Roman" w:cs="Times New Roman"/>
                <w:sz w:val="24"/>
              </w:rPr>
            </w:pPr>
            <w:r>
              <w:rPr>
                <w:rFonts w:ascii="Times New Roman" w:hAnsi="Times New Roman" w:cs="Times New Roman"/>
                <w:sz w:val="24"/>
              </w:rPr>
              <w:t>Li Miaoshan</w:t>
            </w:r>
          </w:p>
        </w:tc>
        <w:tc>
          <w:tcPr>
            <w:tcW w:w="2461" w:type="dxa"/>
          </w:tcPr>
          <w:p>
            <w:pPr>
              <w:jc w:val="center"/>
              <w:rPr>
                <w:rFonts w:ascii="Times New Roman" w:hAnsi="Times New Roman" w:cs="Times New Roman"/>
                <w:sz w:val="24"/>
              </w:rPr>
            </w:pPr>
            <w:r>
              <w:rPr>
                <w:rFonts w:ascii="Times New Roman" w:hAnsi="Times New Roman" w:cs="Times New Roman"/>
                <w:sz w:val="24"/>
              </w:rPr>
              <w:t>2100726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69" w:type="dxa"/>
          </w:tcPr>
          <w:p>
            <w:pPr>
              <w:jc w:val="left"/>
              <w:rPr>
                <w:rFonts w:ascii="Times New Roman" w:hAnsi="Times New Roman" w:cs="Times New Roman"/>
                <w:sz w:val="24"/>
              </w:rPr>
            </w:pPr>
            <w:bookmarkStart w:id="10" w:name="_Toc772544756"/>
            <w:bookmarkStart w:id="11" w:name="_Toc1595345571"/>
            <w:bookmarkStart w:id="12" w:name="_Toc101445022"/>
            <w:r>
              <w:rPr>
                <w:rFonts w:ascii="Times New Roman" w:hAnsi="Times New Roman" w:cs="Times New Roman"/>
                <w:sz w:val="24"/>
              </w:rPr>
              <w:t>7.0 Conclusion</w:t>
            </w:r>
          </w:p>
        </w:tc>
        <w:tc>
          <w:tcPr>
            <w:tcW w:w="2866" w:type="dxa"/>
          </w:tcPr>
          <w:p>
            <w:pPr>
              <w:jc w:val="left"/>
              <w:rPr>
                <w:rFonts w:ascii="Times New Roman" w:hAnsi="Times New Roman" w:cs="Times New Roman"/>
                <w:sz w:val="24"/>
              </w:rPr>
            </w:pPr>
            <w:r>
              <w:rPr>
                <w:rFonts w:ascii="Times New Roman" w:hAnsi="Times New Roman" w:cs="Times New Roman"/>
                <w:sz w:val="24"/>
              </w:rPr>
              <w:t>Tian Ye</w:t>
            </w:r>
          </w:p>
        </w:tc>
        <w:tc>
          <w:tcPr>
            <w:tcW w:w="2461" w:type="dxa"/>
          </w:tcPr>
          <w:p>
            <w:pPr>
              <w:jc w:val="center"/>
              <w:rPr>
                <w:rFonts w:ascii="Times New Roman" w:hAnsi="Times New Roman" w:cs="Times New Roman"/>
                <w:sz w:val="24"/>
              </w:rPr>
            </w:pPr>
            <w:r>
              <w:rPr>
                <w:rFonts w:ascii="Times New Roman" w:hAnsi="Times New Roman" w:cs="Times New Roman"/>
                <w:sz w:val="24"/>
              </w:rPr>
              <w:t>2102905</w:t>
            </w:r>
          </w:p>
        </w:tc>
      </w:tr>
    </w:tbl>
    <w:p>
      <w:pPr>
        <w:pStyle w:val="2"/>
        <w:rPr>
          <w:rFonts w:hint="eastAsia" w:ascii="Times New Roman Regular" w:hAnsi="Times New Roman Regular" w:cs="Times New Roman Regular"/>
          <w:bCs w:val="0"/>
          <w:szCs w:val="30"/>
        </w:rPr>
      </w:pPr>
      <w:r>
        <w:rPr>
          <w:rFonts w:ascii="Times New Roman Regular" w:hAnsi="Times New Roman Regular" w:cs="Times New Roman Regular"/>
          <w:bCs w:val="0"/>
          <w:szCs w:val="30"/>
        </w:rPr>
        <w:t>4.0 Learning Plan</w:t>
      </w:r>
      <w:bookmarkEnd w:id="10"/>
      <w:bookmarkEnd w:id="11"/>
      <w:bookmarkEnd w:id="12"/>
    </w:p>
    <w:tbl>
      <w:tblPr>
        <w:tblStyle w:val="10"/>
        <w:tblW w:w="8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4"/>
        <w:gridCol w:w="1735"/>
        <w:gridCol w:w="2132"/>
        <w:gridCol w:w="26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2" w:hRule="atLeast"/>
        </w:trPr>
        <w:tc>
          <w:tcPr>
            <w:tcW w:w="3689" w:type="dxa"/>
            <w:gridSpan w:val="2"/>
          </w:tcPr>
          <w:p>
            <w:pPr>
              <w:rPr>
                <w:rFonts w:hint="eastAsia" w:ascii="Times New Roman Regular" w:hAnsi="Times New Roman Regular" w:cs="Times New Roman Regular"/>
                <w:b/>
                <w:sz w:val="24"/>
              </w:rPr>
            </w:pPr>
            <w:r>
              <w:rPr>
                <w:rFonts w:ascii="Times New Roman Regular" w:hAnsi="Times New Roman Regular" w:cs="Times New Roman Regular"/>
                <w:b/>
                <w:sz w:val="24"/>
              </w:rPr>
              <w:t>TOPIC:  Build critical thinking</w:t>
            </w:r>
          </w:p>
        </w:tc>
        <w:tc>
          <w:tcPr>
            <w:tcW w:w="4779" w:type="dxa"/>
            <w:gridSpan w:val="2"/>
          </w:tcPr>
          <w:p>
            <w:pPr>
              <w:rPr>
                <w:rFonts w:hint="eastAsia" w:ascii="Times New Roman Regular" w:hAnsi="Times New Roman Regular" w:cs="Times New Roman Regular"/>
                <w:b/>
                <w:sz w:val="24"/>
              </w:rPr>
            </w:pPr>
            <w:r>
              <w:rPr>
                <w:rFonts w:ascii="Times New Roman Regular" w:hAnsi="Times New Roman Regular" w:cs="Times New Roman Regular"/>
                <w:b/>
                <w:sz w:val="24"/>
              </w:rPr>
              <w:t>Intended learners: Leaders at all levels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2" w:hRule="atLeast"/>
        </w:trPr>
        <w:tc>
          <w:tcPr>
            <w:tcW w:w="1954" w:type="dxa"/>
            <w:tcBorders>
              <w:bottom w:val="nil"/>
            </w:tcBorders>
          </w:tcPr>
          <w:p>
            <w:pPr>
              <w:rPr>
                <w:rFonts w:hint="eastAsia" w:ascii="Times New Roman Regular" w:hAnsi="Times New Roman Regular" w:cs="Times New Roman Regular"/>
                <w:b/>
                <w:sz w:val="24"/>
              </w:rPr>
            </w:pPr>
            <w:r>
              <w:rPr>
                <w:rFonts w:ascii="Times New Roman Regular" w:hAnsi="Times New Roman Regular" w:cs="Times New Roman Regular"/>
                <w:b/>
                <w:sz w:val="24"/>
              </w:rPr>
              <w:t>DATE: TBC</w:t>
            </w:r>
          </w:p>
        </w:tc>
        <w:tc>
          <w:tcPr>
            <w:tcW w:w="3867" w:type="dxa"/>
            <w:gridSpan w:val="2"/>
            <w:tcBorders>
              <w:bottom w:val="nil"/>
            </w:tcBorders>
          </w:tcPr>
          <w:p>
            <w:pPr>
              <w:rPr>
                <w:rFonts w:hint="eastAsia" w:ascii="Times New Roman Regular" w:hAnsi="Times New Roman Regular" w:eastAsia="宋体" w:cs="Times New Roman Regular"/>
                <w:b/>
                <w:sz w:val="24"/>
              </w:rPr>
            </w:pPr>
            <w:r>
              <w:rPr>
                <w:rFonts w:ascii="Times New Roman Regular" w:hAnsi="Times New Roman Regular" w:cs="Times New Roman Regular"/>
                <w:b/>
                <w:sz w:val="24"/>
              </w:rPr>
              <w:t xml:space="preserve">LENGTH OF SESSION: </w:t>
            </w:r>
            <w:r>
              <w:rPr>
                <w:rFonts w:ascii="Times New Roman Regular" w:hAnsi="Times New Roman Regular" w:eastAsia="宋体" w:cs="Times New Roman Regular"/>
                <w:b/>
                <w:sz w:val="24"/>
              </w:rPr>
              <w:t>3 hours</w:t>
            </w:r>
          </w:p>
        </w:tc>
        <w:tc>
          <w:tcPr>
            <w:tcW w:w="2647" w:type="dxa"/>
            <w:tcBorders>
              <w:bottom w:val="nil"/>
            </w:tcBorders>
          </w:tcPr>
          <w:p>
            <w:pPr>
              <w:rPr>
                <w:rFonts w:hint="eastAsia" w:ascii="Times New Roman Regular" w:hAnsi="Times New Roman Regular" w:cs="Times New Roman Regular"/>
                <w:b/>
                <w:sz w:val="24"/>
              </w:rPr>
            </w:pPr>
            <w:r>
              <w:rPr>
                <w:rFonts w:ascii="Times New Roman Regular" w:hAnsi="Times New Roman Regular" w:cs="Times New Roman Regular"/>
                <w:b/>
                <w:sz w:val="24"/>
              </w:rPr>
              <w:t xml:space="preserve">NO IN CLASS:20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911" w:hRule="atLeast"/>
        </w:trPr>
        <w:tc>
          <w:tcPr>
            <w:tcW w:w="8468" w:type="dxa"/>
            <w:gridSpan w:val="4"/>
            <w:tcBorders>
              <w:top w:val="single" w:color="auto" w:sz="2" w:space="0"/>
              <w:bottom w:val="single" w:color="auto" w:sz="4" w:space="0"/>
            </w:tcBorders>
          </w:tcPr>
          <w:p>
            <w:pPr>
              <w:rPr>
                <w:rFonts w:hint="eastAsia" w:ascii="Times New Roman Regular" w:hAnsi="Times New Roman Regular" w:cs="Times New Roman Regular"/>
                <w:b/>
                <w:sz w:val="24"/>
              </w:rPr>
            </w:pPr>
            <w:r>
              <w:rPr>
                <w:rFonts w:ascii="Times New Roman Regular" w:hAnsi="Times New Roman Regular" w:cs="Times New Roman Regular"/>
                <w:b/>
                <w:sz w:val="24"/>
              </w:rPr>
              <w:t>AIM OF LESSON</w:t>
            </w:r>
          </w:p>
          <w:p>
            <w:pPr>
              <w:rPr>
                <w:rFonts w:hint="eastAsia" w:ascii="Times New Roman Regular" w:hAnsi="Times New Roman Regular" w:cs="Times New Roman Regular"/>
                <w:b/>
                <w:sz w:val="24"/>
              </w:rPr>
            </w:pPr>
          </w:p>
          <w:p>
            <w:pPr>
              <w:rPr>
                <w:rFonts w:hint="eastAsia" w:ascii="Times New Roman Regular" w:hAnsi="Times New Roman Regular" w:cs="Times New Roman Regular"/>
                <w:bCs/>
                <w:sz w:val="24"/>
              </w:rPr>
            </w:pPr>
            <w:r>
              <w:rPr>
                <w:rFonts w:ascii="Times New Roman Regular" w:hAnsi="Times New Roman Regular" w:cs="Times New Roman Regular"/>
                <w:bCs/>
                <w:sz w:val="24"/>
              </w:rPr>
              <w:t>The purpose of this training is to help leaders who are aware of critical thinking to think more deeply about critical thinking. The training will help trainees more clearly understand that critical thinking is roughly divided into two important areas: logical fallacy and cognitive bias. The training will further strengthen the trainees' awareness of critical thinking through the segmentation of fields and then help them develop critical thinking.</w:t>
            </w:r>
          </w:p>
          <w:p>
            <w:pPr>
              <w:rPr>
                <w:rFonts w:hint="eastAsia" w:ascii="Times New Roman Regular" w:hAnsi="Times New Roman Regular" w:cs="Times New Roman Regular"/>
                <w:bCs/>
                <w:sz w:val="24"/>
              </w:rPr>
            </w:pPr>
          </w:p>
          <w:p>
            <w:pPr>
              <w:rPr>
                <w:rFonts w:hint="eastAsia" w:ascii="Times New Roman Regular" w:hAnsi="Times New Roman Regular" w:cs="Times New Roman Regular"/>
                <w:b/>
                <w:sz w:val="24"/>
              </w:rPr>
            </w:pPr>
          </w:p>
          <w:p>
            <w:pPr>
              <w:rPr>
                <w:rFonts w:hint="eastAsia" w:ascii="Times New Roman Regular" w:hAnsi="Times New Roman Regular" w:cs="Times New Roman Regula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371" w:hRule="atLeast"/>
        </w:trPr>
        <w:tc>
          <w:tcPr>
            <w:tcW w:w="8468" w:type="dxa"/>
            <w:gridSpan w:val="4"/>
          </w:tcPr>
          <w:p>
            <w:pPr>
              <w:rPr>
                <w:rFonts w:hint="eastAsia" w:ascii="Times New Roman Regular" w:hAnsi="Times New Roman Regular" w:cs="Times New Roman Regular"/>
                <w:b/>
                <w:sz w:val="24"/>
              </w:rPr>
            </w:pPr>
            <w:bookmarkStart w:id="13" w:name="OLE_LINK5"/>
            <w:r>
              <w:rPr>
                <w:rFonts w:ascii="Times New Roman Regular" w:hAnsi="Times New Roman Regular" w:cs="Times New Roman Regular"/>
                <w:b/>
                <w:sz w:val="24"/>
              </w:rPr>
              <w:t>LEARNING OBJECTIVES</w:t>
            </w:r>
            <w:bookmarkEnd w:id="13"/>
          </w:p>
          <w:p>
            <w:pPr>
              <w:rPr>
                <w:rFonts w:hint="eastAsia" w:ascii="Times New Roman Regular" w:hAnsi="Times New Roman Regular" w:cs="Times New Roman Regular"/>
                <w:b/>
                <w:sz w:val="24"/>
              </w:rPr>
            </w:pPr>
          </w:p>
          <w:p>
            <w:pPr>
              <w:spacing w:line="276" w:lineRule="auto"/>
              <w:rPr>
                <w:rFonts w:hint="eastAsia" w:ascii="Times New Roman Regular" w:hAnsi="Times New Roman Regular" w:cs="Times New Roman Regular"/>
                <w:sz w:val="24"/>
              </w:rPr>
            </w:pPr>
            <w:r>
              <w:rPr>
                <w:rFonts w:ascii="Times New Roman Regular" w:hAnsi="Times New Roman Regular" w:cs="Times New Roman Regular"/>
                <w:sz w:val="24"/>
              </w:rPr>
              <w:t>At the end of this session learners should be able to:</w:t>
            </w:r>
          </w:p>
          <w:p>
            <w:pPr>
              <w:numPr>
                <w:ilvl w:val="0"/>
                <w:numId w:val="1"/>
              </w:numPr>
              <w:rPr>
                <w:rFonts w:hint="eastAsia" w:ascii="Times New Roman Regular" w:hAnsi="Times New Roman Regular" w:eastAsia="宋体" w:cs="Times New Roman Regular"/>
                <w:b/>
                <w:sz w:val="24"/>
              </w:rPr>
            </w:pPr>
            <w:r>
              <w:rPr>
                <w:rFonts w:ascii="Times New Roman Regular" w:hAnsi="Times New Roman Regular" w:eastAsia="宋体" w:cs="Times New Roman Regular"/>
                <w:b/>
                <w:sz w:val="24"/>
              </w:rPr>
              <w:t>Be clear about the two important areas of critical thinking.</w:t>
            </w:r>
          </w:p>
          <w:p>
            <w:pPr>
              <w:rPr>
                <w:rFonts w:hint="eastAsia" w:ascii="Times New Roman Regular" w:hAnsi="Times New Roman Regular" w:eastAsia="宋体" w:cs="Times New Roman Regular"/>
                <w:b/>
                <w:sz w:val="24"/>
              </w:rPr>
            </w:pPr>
            <w:r>
              <w:rPr>
                <w:rFonts w:ascii="Times New Roman Regular" w:hAnsi="Times New Roman Regular" w:eastAsia="宋体" w:cs="Times New Roman Regular"/>
                <w:b/>
                <w:sz w:val="24"/>
              </w:rPr>
              <w:t>2.Be able to think critically in any situation</w:t>
            </w:r>
          </w:p>
          <w:p>
            <w:pPr>
              <w:rPr>
                <w:rFonts w:hint="eastAsia" w:ascii="Times New Roman Regular" w:hAnsi="Times New Roman Regular" w:eastAsia="宋体" w:cs="Times New Roman Regular"/>
                <w:b/>
                <w:sz w:val="24"/>
              </w:rPr>
            </w:pPr>
            <w:r>
              <w:rPr>
                <w:rFonts w:ascii="Times New Roman Regular" w:hAnsi="Times New Roman Regular" w:eastAsia="宋体" w:cs="Times New Roman Regular"/>
                <w:b/>
                <w:sz w:val="24"/>
              </w:rPr>
              <w:t>3.Make relatively correct decisions and decisions through critical thinking</w:t>
            </w:r>
          </w:p>
          <w:p>
            <w:pPr>
              <w:rPr>
                <w:rFonts w:hint="eastAsia" w:ascii="Times New Roman Regular" w:hAnsi="Times New Roman Regular" w:cs="Times New Roman Regular"/>
                <w:b/>
                <w:sz w:val="24"/>
              </w:rPr>
            </w:pPr>
            <w:r>
              <w:rPr>
                <w:rFonts w:ascii="Times New Roman Regular" w:hAnsi="Times New Roman Regular" w:eastAsia="宋体" w:cs="Times New Roman Regular"/>
                <w:b/>
                <w:sz w:val="24"/>
              </w:rPr>
              <w:t>4.</w:t>
            </w:r>
            <w:r>
              <w:rPr>
                <w:rFonts w:ascii="Times New Roman Regular" w:hAnsi="Times New Roman Regular" w:cs="Times New Roman Regular"/>
                <w:b/>
                <w:sz w:val="24"/>
              </w:rPr>
              <w:t>Be able to discuss and communicate critically with people in a situation</w:t>
            </w:r>
          </w:p>
          <w:p>
            <w:pPr>
              <w:rPr>
                <w:rFonts w:hint="eastAsia" w:ascii="Times New Roman Regular" w:hAnsi="Times New Roman Regular" w:cs="Times New Roman Regula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33" w:hRule="atLeast"/>
        </w:trPr>
        <w:tc>
          <w:tcPr>
            <w:tcW w:w="8468" w:type="dxa"/>
            <w:gridSpan w:val="4"/>
          </w:tcPr>
          <w:p>
            <w:pPr>
              <w:rPr>
                <w:rFonts w:hint="eastAsia" w:ascii="Times New Roman Regular" w:hAnsi="Times New Roman Regular" w:cs="Times New Roman Regular"/>
                <w:b/>
                <w:sz w:val="24"/>
              </w:rPr>
            </w:pPr>
            <w:r>
              <w:rPr>
                <w:rFonts w:ascii="Times New Roman Regular" w:hAnsi="Times New Roman Regular" w:cs="Times New Roman Regular"/>
                <w:b/>
                <w:sz w:val="24"/>
              </w:rPr>
              <w:t>ROOM LAYOUT:</w:t>
            </w:r>
          </w:p>
          <w:p>
            <w:pPr>
              <w:rPr>
                <w:rFonts w:hint="eastAsia" w:ascii="Times New Roman Regular" w:hAnsi="Times New Roman Regular" w:eastAsia="宋体" w:cs="Times New Roman Regular"/>
                <w:sz w:val="24"/>
              </w:rPr>
            </w:pPr>
            <w:r>
              <w:rPr>
                <w:rFonts w:ascii="Times New Roman Regular" w:hAnsi="Times New Roman Regular" w:cs="Times New Roman Regular"/>
                <w:sz w:val="24"/>
              </w:rPr>
              <w:t>The conference will be held in Cabaret style. As shown in the figure. The Cabaret style seating arrangement is similar to banquet seating but centered around a round table with each chair positioned two-thirds of the way around. This leaves each table with an open space that normally leads to the stage. The stage can be used for teaching whiteboards or projection</w:t>
            </w:r>
            <w:r>
              <w:rPr>
                <w:rFonts w:ascii="Times New Roman Regular" w:hAnsi="Times New Roman Regular" w:eastAsia="宋体" w:cs="Times New Roman Regular"/>
                <w:sz w:val="24"/>
              </w:rPr>
              <w:t>(</w:t>
            </w:r>
            <w:r>
              <w:rPr>
                <w:rFonts w:ascii="Times New Roman Regular" w:hAnsi="Times New Roman Regular" w:cs="Times New Roman Regular"/>
                <w:sz w:val="24"/>
              </w:rPr>
              <w:t>Cabaret-style improv musical</w:t>
            </w:r>
            <w:r>
              <w:rPr>
                <w:rFonts w:ascii="Times New Roman Regular" w:hAnsi="Times New Roman Regular" w:eastAsia="宋体" w:cs="Times New Roman Regular"/>
                <w:sz w:val="24"/>
              </w:rPr>
              <w:t>,</w:t>
            </w:r>
            <w:r>
              <w:rPr>
                <w:rFonts w:ascii="Times New Roman Regular" w:hAnsi="Times New Roman Regular" w:cs="Times New Roman Regular"/>
                <w:sz w:val="24"/>
              </w:rPr>
              <w:t>2004)</w:t>
            </w:r>
            <w:r>
              <w:rPr>
                <w:rFonts w:ascii="Times New Roman Regular" w:hAnsi="Times New Roman Regular" w:eastAsia="宋体" w:cs="Times New Roman Regular"/>
                <w:sz w:val="24"/>
              </w:rPr>
              <w:t>.</w:t>
            </w:r>
            <w:r>
              <w:rPr>
                <w:rFonts w:ascii="Times New Roman Regular" w:hAnsi="Times New Roman Regular" w:cs="Times New Roman Regular"/>
                <w:sz w:val="24"/>
              </w:rPr>
              <w:t>This will maximize the attention of the students. At the same time, this meeting style will not cause too much distance between students and the college like the U-shaped, which is convenient for students to discuss after listening to the paper. At the same time, similar spacing will also give students a sense of relaxation. This will help them practice critical thinking because everyone's thinking is different</w:t>
            </w:r>
            <w:r>
              <w:rPr>
                <w:rFonts w:ascii="Times New Roman Regular" w:hAnsi="Times New Roman Regular" w:eastAsia="宋体" w:cs="Times New Roman Regular"/>
                <w:sz w:val="24"/>
              </w:rPr>
              <w:t>(</w:t>
            </w:r>
            <w:r>
              <w:rPr>
                <w:rFonts w:ascii="Times New Roman Regular" w:hAnsi="Times New Roman Regular" w:cs="Times New Roman Regular"/>
                <w:sz w:val="24"/>
              </w:rPr>
              <w:t>Block, 2006)</w:t>
            </w:r>
            <w:r>
              <w:rPr>
                <w:rFonts w:ascii="Times New Roman Regular" w:hAnsi="Times New Roman Regular" w:eastAsia="宋体" w:cs="Times New Roman Regular"/>
                <w:sz w:val="24"/>
              </w:rPr>
              <w:t>.</w:t>
            </w:r>
          </w:p>
          <w:p>
            <w:pPr>
              <w:rPr>
                <w:rFonts w:hint="eastAsia" w:ascii="Times New Roman Regular" w:hAnsi="Times New Roman Regular" w:eastAsia="宋体" w:cs="Times New Roman Regular"/>
                <w:b/>
                <w:sz w:val="24"/>
              </w:rPr>
            </w:pPr>
            <w:r>
              <w:rPr>
                <w:rFonts w:ascii="Times New Roman Regular" w:hAnsi="Times New Roman Regular" w:eastAsia="宋体" w:cs="Times New Roman Regular"/>
                <w:b/>
                <w:sz w:val="24"/>
              </w:rPr>
              <w:drawing>
                <wp:inline distT="0" distB="0" distL="114300" distR="114300">
                  <wp:extent cx="1021080" cy="1040765"/>
                  <wp:effectExtent l="0" t="0" r="20320" b="635"/>
                  <wp:docPr id="1" name="图片 1" descr="IMG_2476(20220420-20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476(20220420-202121)"/>
                          <pic:cNvPicPr>
                            <a:picLocks noChangeAspect="1"/>
                          </pic:cNvPicPr>
                        </pic:nvPicPr>
                        <pic:blipFill>
                          <a:blip r:embed="rId8"/>
                          <a:stretch>
                            <a:fillRect/>
                          </a:stretch>
                        </pic:blipFill>
                        <pic:spPr>
                          <a:xfrm>
                            <a:off x="0" y="0"/>
                            <a:ext cx="1021080" cy="104076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15" w:hRule="atLeast"/>
        </w:trPr>
        <w:tc>
          <w:tcPr>
            <w:tcW w:w="8468" w:type="dxa"/>
            <w:gridSpan w:val="4"/>
          </w:tcPr>
          <w:p>
            <w:pPr>
              <w:rPr>
                <w:rFonts w:hint="eastAsia" w:ascii="Times New Roman Regular" w:hAnsi="Times New Roman Regular" w:cs="Times New Roman Regular"/>
                <w:b/>
                <w:sz w:val="24"/>
              </w:rPr>
            </w:pPr>
            <w:r>
              <w:rPr>
                <w:rFonts w:ascii="Times New Roman Regular" w:hAnsi="Times New Roman Regular" w:cs="Times New Roman Regular"/>
                <w:b/>
                <w:sz w:val="24"/>
              </w:rPr>
              <w:t>PREVIOUS KNOWLEDGE:</w:t>
            </w:r>
          </w:p>
          <w:p>
            <w:pPr>
              <w:rPr>
                <w:rFonts w:hint="eastAsia" w:ascii="Times New Roman Regular" w:hAnsi="Times New Roman Regular" w:eastAsia="宋体" w:cs="Times New Roman Regular"/>
                <w:b/>
                <w:sz w:val="24"/>
              </w:rPr>
            </w:pPr>
            <w:r>
              <w:rPr>
                <w:rFonts w:ascii="Times New Roman Regular" w:hAnsi="Times New Roman Regular" w:eastAsia="宋体" w:cs="Times New Roman Regular"/>
                <w:bCs/>
                <w:sz w:val="24"/>
              </w:rPr>
              <w:t>Understand that there is no absolute good or absolute bad in any situation. Critical thinking is an assertion of thinking (</w:t>
            </w:r>
            <w:r>
              <w:rPr>
                <w:rFonts w:ascii="Times New Roman Regular" w:hAnsi="Times New Roman Regular" w:cs="Times New Roman Regular"/>
                <w:sz w:val="24"/>
              </w:rPr>
              <w:t>Siegel, 2017)</w:t>
            </w:r>
            <w:r>
              <w:rPr>
                <w:rFonts w:ascii="Times New Roman Regular" w:hAnsi="Times New Roman Regular" w:eastAsia="宋体" w:cs="Times New Roman Regula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56" w:hRule="atLeast"/>
        </w:trPr>
        <w:tc>
          <w:tcPr>
            <w:tcW w:w="8468" w:type="dxa"/>
            <w:gridSpan w:val="4"/>
            <w:tcBorders>
              <w:bottom w:val="single" w:color="auto" w:sz="4" w:space="0"/>
            </w:tcBorders>
          </w:tcPr>
          <w:p>
            <w:pPr>
              <w:rPr>
                <w:rFonts w:hint="eastAsia" w:ascii="Times New Roman Regular" w:hAnsi="Times New Roman Regular" w:cs="Times New Roman Regular"/>
                <w:b/>
                <w:sz w:val="24"/>
              </w:rPr>
            </w:pPr>
            <w:r>
              <w:rPr>
                <w:rFonts w:ascii="Times New Roman Regular" w:hAnsi="Times New Roman Regular" w:cs="Times New Roman Regular"/>
                <w:b/>
                <w:sz w:val="24"/>
              </w:rPr>
              <w:t>HEALTH &amp; SAFETY:</w:t>
            </w:r>
          </w:p>
          <w:p>
            <w:pPr>
              <w:rPr>
                <w:rFonts w:hint="eastAsia" w:ascii="Times New Roman Regular" w:hAnsi="Times New Roman Regular" w:eastAsia="宋体" w:cs="Times New Roman Regular"/>
                <w:b/>
                <w:sz w:val="24"/>
              </w:rPr>
            </w:pPr>
            <w:r>
              <w:rPr>
                <w:rFonts w:ascii="Times New Roman Regular" w:hAnsi="Times New Roman Regular" w:eastAsia="宋体" w:cs="Times New Roman Regular"/>
                <w:bCs/>
                <w:sz w:val="24"/>
              </w:rPr>
              <w:t>There is no threat or inconvenience for all leaders who come to study to execute any of the steps and learning processes in the study plan</w:t>
            </w:r>
            <w:r>
              <w:rPr>
                <w:rFonts w:ascii="Times New Roman Regular" w:hAnsi="Times New Roman Regular" w:eastAsia="宋体" w:cs="Times New Roman Regular"/>
                <w:b/>
                <w:sz w:val="24"/>
              </w:rPr>
              <w:t>.</w:t>
            </w:r>
          </w:p>
        </w:tc>
      </w:tr>
    </w:tbl>
    <w:p/>
    <w:p/>
    <w:p/>
    <w:p/>
    <w:p/>
    <w:p/>
    <w:p/>
    <w:p/>
    <w:p/>
    <w:p/>
    <w:p/>
    <w:p/>
    <w:p/>
    <w:p/>
    <w:p/>
    <w:p/>
    <w:p/>
    <w:p/>
    <w:p>
      <w:pPr>
        <w:rPr>
          <w:rFonts w:hint="eastAsia" w:ascii="Times New Roman Regular" w:hAnsi="Times New Roman Regular" w:cs="Times New Roman Regular"/>
          <w:b/>
          <w:bCs/>
          <w:sz w:val="28"/>
          <w:szCs w:val="28"/>
        </w:rPr>
      </w:pPr>
      <w:bookmarkStart w:id="14" w:name="_Toc1639679002"/>
      <w:r>
        <w:rPr>
          <w:rFonts w:ascii="Times New Roman Regular" w:hAnsi="Times New Roman Regular" w:cs="Times New Roman Regular"/>
          <w:b/>
          <w:bCs/>
          <w:sz w:val="28"/>
          <w:szCs w:val="28"/>
        </w:rPr>
        <w:t>SESSION OVERVIEW:</w:t>
      </w:r>
      <w:bookmarkEnd w:id="14"/>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7"/>
        <w:gridCol w:w="1406"/>
        <w:gridCol w:w="4302"/>
        <w:gridCol w:w="15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8" w:hRule="atLeast"/>
        </w:trPr>
        <w:tc>
          <w:tcPr>
            <w:tcW w:w="1419" w:type="dxa"/>
            <w:shd w:val="clear" w:color="auto" w:fill="D6DCE5" w:themeFill="text2" w:themeFillTint="32"/>
          </w:tcPr>
          <w:p>
            <w:pPr>
              <w:rPr>
                <w:rFonts w:hint="eastAsia" w:ascii="Times New Roman Regular" w:hAnsi="Times New Roman Regular" w:cs="Times New Roman Regular"/>
                <w:sz w:val="24"/>
              </w:rPr>
            </w:pPr>
            <w:r>
              <w:rPr>
                <w:rFonts w:ascii="Times New Roman Regular" w:hAnsi="Times New Roman Regular" w:cs="Times New Roman Regular"/>
                <w:b/>
                <w:bCs/>
                <w:sz w:val="24"/>
              </w:rPr>
              <w:t>Timing</w:t>
            </w:r>
          </w:p>
        </w:tc>
        <w:tc>
          <w:tcPr>
            <w:tcW w:w="1430" w:type="dxa"/>
            <w:shd w:val="clear" w:color="auto" w:fill="D6DCE5" w:themeFill="text2" w:themeFillTint="32"/>
          </w:tcPr>
          <w:p>
            <w:pPr>
              <w:rPr>
                <w:rFonts w:hint="eastAsia" w:ascii="Times New Roman Regular" w:hAnsi="Times New Roman Regular" w:cs="Times New Roman Regular"/>
                <w:sz w:val="24"/>
              </w:rPr>
            </w:pPr>
            <w:r>
              <w:rPr>
                <w:rFonts w:ascii="Times New Roman Regular" w:hAnsi="Times New Roman Regular" w:cs="Times New Roman Regular"/>
                <w:b/>
                <w:bCs/>
                <w:sz w:val="24"/>
              </w:rPr>
              <w:t>Topic</w:t>
            </w:r>
          </w:p>
        </w:tc>
        <w:tc>
          <w:tcPr>
            <w:tcW w:w="5327" w:type="dxa"/>
            <w:shd w:val="clear" w:color="auto" w:fill="D6DCE5" w:themeFill="text2" w:themeFillTint="32"/>
          </w:tcPr>
          <w:p>
            <w:pPr>
              <w:ind w:firstLine="1441" w:firstLineChars="600"/>
              <w:rPr>
                <w:rFonts w:hint="eastAsia" w:ascii="Times New Roman Regular" w:hAnsi="Times New Roman Regular" w:cs="Times New Roman Regular"/>
                <w:sz w:val="24"/>
              </w:rPr>
            </w:pPr>
            <w:r>
              <w:rPr>
                <w:rFonts w:ascii="Times New Roman Regular" w:hAnsi="Times New Roman Regular" w:cs="Times New Roman Regular"/>
                <w:b/>
                <w:bCs/>
                <w:sz w:val="24"/>
              </w:rPr>
              <w:t>Content &amp; Activity</w:t>
            </w:r>
          </w:p>
        </w:tc>
        <w:tc>
          <w:tcPr>
            <w:tcW w:w="1647" w:type="dxa"/>
            <w:shd w:val="clear" w:color="auto" w:fill="D6DCE5" w:themeFill="text2" w:themeFillTint="32"/>
          </w:tcPr>
          <w:p>
            <w:pPr>
              <w:rPr>
                <w:rFonts w:hint="eastAsia" w:ascii="Times New Roman Regular" w:hAnsi="Times New Roman Regular" w:cs="Times New Roman Regular"/>
                <w:sz w:val="24"/>
              </w:rPr>
            </w:pPr>
            <w:r>
              <w:rPr>
                <w:rFonts w:ascii="Times New Roman Regular" w:hAnsi="Times New Roman Regular" w:cs="Times New Roman Regular"/>
                <w:b/>
                <w:bCs/>
                <w:sz w:val="24"/>
              </w:rPr>
              <w:t>Resources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24" w:hRule="atLeast"/>
        </w:trPr>
        <w:tc>
          <w:tcPr>
            <w:tcW w:w="1419" w:type="dxa"/>
          </w:tcPr>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20 minutes</w:t>
            </w:r>
          </w:p>
        </w:tc>
        <w:tc>
          <w:tcPr>
            <w:tcW w:w="1430"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Icebreaker and an introduction to how to be aware of critical thinking</w:t>
            </w:r>
          </w:p>
        </w:tc>
        <w:tc>
          <w:tcPr>
            <w:tcW w:w="5327" w:type="dxa"/>
          </w:tcPr>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Introduction and the trolley problem by Philippa Foot in 1967. Critical thinking about the options available in the situation leads to critical thinking and its importance.</w:t>
            </w:r>
          </w:p>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drawing>
                <wp:inline distT="0" distB="0" distL="114300" distR="114300">
                  <wp:extent cx="2142490" cy="1329055"/>
                  <wp:effectExtent l="0" t="0" r="16510" b="17145"/>
                  <wp:docPr id="2" name="图片 2" descr="190DA0149C3E16785D8CA1872434D5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90DA0149C3E16785D8CA1872434D5A0"/>
                          <pic:cNvPicPr>
                            <a:picLocks noChangeAspect="1"/>
                          </pic:cNvPicPr>
                        </pic:nvPicPr>
                        <pic:blipFill>
                          <a:blip r:embed="rId9"/>
                          <a:stretch>
                            <a:fillRect/>
                          </a:stretch>
                        </pic:blipFill>
                        <pic:spPr>
                          <a:xfrm>
                            <a:off x="0" y="0"/>
                            <a:ext cx="2142490" cy="1329055"/>
                          </a:xfrm>
                          <a:prstGeom prst="rect">
                            <a:avLst/>
                          </a:prstGeom>
                        </pic:spPr>
                      </pic:pic>
                    </a:graphicData>
                  </a:graphic>
                </wp:inline>
              </w:drawing>
            </w:r>
          </w:p>
        </w:tc>
        <w:tc>
          <w:tcPr>
            <w:tcW w:w="1647"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Overhead projector, Smart Board.</w:t>
            </w:r>
          </w:p>
          <w:p>
            <w:pPr>
              <w:rPr>
                <w:rFonts w:hint="eastAsia" w:ascii="Times New Roman Regular" w:hAnsi="Times New Roman Regular" w:cs="Times New Roman Regular"/>
                <w:sz w:val="24"/>
              </w:rPr>
            </w:pPr>
          </w:p>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trolley problem by Philippa Foot log-in</w:t>
            </w:r>
          </w:p>
          <w:p>
            <w:pPr>
              <w:rPr>
                <w:rFonts w:hint="eastAsia" w:ascii="Times New Roman Regular" w:hAnsi="Times New Roman Regular" w:eastAsia="宋体" w:cs="Times New Roman Regular"/>
                <w:sz w:val="24"/>
              </w:rPr>
            </w:pPr>
          </w:p>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Participants use smartphones or other electronic devices to participate in anonymous discussions on the topic and give reflections on various decisions.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67" w:hRule="atLeast"/>
        </w:trPr>
        <w:tc>
          <w:tcPr>
            <w:tcW w:w="1419" w:type="dxa"/>
          </w:tcPr>
          <w:p>
            <w:pPr>
              <w:rPr>
                <w:rFonts w:hint="eastAsia" w:ascii="Times New Roman Regular" w:hAnsi="Times New Roman Regular" w:cs="Times New Roman Regular"/>
                <w:sz w:val="24"/>
              </w:rPr>
            </w:pPr>
            <w:bookmarkStart w:id="15" w:name="OLE_LINK2"/>
            <w:r>
              <w:rPr>
                <w:rFonts w:ascii="Times New Roman Regular" w:hAnsi="Times New Roman Regular" w:eastAsia="宋体" w:cs="Times New Roman Regular"/>
                <w:sz w:val="24"/>
              </w:rPr>
              <w:t>20 minutes</w:t>
            </w:r>
            <w:bookmarkEnd w:id="15"/>
          </w:p>
        </w:tc>
        <w:tc>
          <w:tcPr>
            <w:tcW w:w="1430" w:type="dxa"/>
          </w:tcPr>
          <w:p>
            <w:pPr>
              <w:rPr>
                <w:rFonts w:hint="eastAsia" w:ascii="Times New Roman Regular" w:hAnsi="Times New Roman Regular" w:cs="Times New Roman Regular"/>
                <w:sz w:val="24"/>
              </w:rPr>
            </w:pPr>
            <w:r>
              <w:rPr>
                <w:rFonts w:ascii="Times New Roman Regular" w:hAnsi="Times New Roman Regular" w:cs="Times New Roman Regular"/>
                <w:bCs/>
                <w:sz w:val="24"/>
              </w:rPr>
              <w:t>Welcome and introducing the topic.</w:t>
            </w:r>
          </w:p>
        </w:tc>
        <w:tc>
          <w:tcPr>
            <w:tcW w:w="5327" w:type="dxa"/>
          </w:tcPr>
          <w:p>
            <w:pPr>
              <w:rPr>
                <w:rFonts w:hint="eastAsia" w:ascii="Times New Roman Regular" w:hAnsi="Times New Roman Regular" w:eastAsia="宋体" w:cs="Times New Roman Regular"/>
                <w:sz w:val="24"/>
              </w:rPr>
            </w:pPr>
            <w:r>
              <w:rPr>
                <w:rFonts w:ascii="Times New Roman Regular" w:hAnsi="Times New Roman Regular" w:cs="Times New Roman Regular"/>
                <w:b/>
                <w:bCs/>
                <w:sz w:val="24"/>
              </w:rPr>
              <w:t>Lecture</w:t>
            </w:r>
            <w:r>
              <w:rPr>
                <w:rFonts w:ascii="Times New Roman Regular" w:hAnsi="Times New Roman Regular" w:eastAsia="宋体" w:cs="Times New Roman Regular"/>
                <w:b/>
                <w:bCs/>
                <w:sz w:val="24"/>
              </w:rPr>
              <w:t>-</w:t>
            </w:r>
            <w:r>
              <w:rPr>
                <w:rFonts w:ascii="Times New Roman Regular" w:hAnsi="Times New Roman Regular" w:eastAsia="宋体" w:cs="Times New Roman Regular"/>
                <w:sz w:val="24"/>
              </w:rPr>
              <w:t>Two important areas of critical thinking are introduced. They are logical fallacy and cognitive bias (</w:t>
            </w:r>
            <w:r>
              <w:rPr>
                <w:rFonts w:ascii="Times New Roman Regular" w:hAnsi="Times New Roman Regular" w:cs="Times New Roman Regular"/>
                <w:sz w:val="24"/>
              </w:rPr>
              <w:t>Supplemental Material for Cognitive Biases, Heuristics, and Logical Fallacies in Clinical Practice: A Brief Field Guide for Practicing Clinicians and Supervisors</w:t>
            </w:r>
            <w:r>
              <w:rPr>
                <w:rFonts w:ascii="Times New Roman Regular" w:hAnsi="Times New Roman Regular" w:eastAsia="宋体" w:cs="Times New Roman Regular"/>
                <w:sz w:val="24"/>
              </w:rPr>
              <w:t>,</w:t>
            </w:r>
            <w:r>
              <w:rPr>
                <w:rFonts w:ascii="Times New Roman Regular" w:hAnsi="Times New Roman Regular" w:cs="Times New Roman Regular"/>
                <w:sz w:val="24"/>
              </w:rPr>
              <w:t>2020)</w:t>
            </w:r>
            <w:r>
              <w:rPr>
                <w:rFonts w:ascii="Times New Roman Regular" w:hAnsi="Times New Roman Regular" w:eastAsia="宋体" w:cs="Times New Roman Regular"/>
                <w:sz w:val="24"/>
              </w:rPr>
              <w:t>.</w:t>
            </w:r>
          </w:p>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The importance of critical thinking extends from the basic judgment required for a new business introduction (</w:t>
            </w:r>
            <w:r>
              <w:rPr>
                <w:rFonts w:ascii="Times New Roman Regular" w:hAnsi="Times New Roman Regular" w:cs="Times New Roman Regular"/>
                <w:sz w:val="24"/>
              </w:rPr>
              <w:t>Eggers, ,Lovelace and Kraft, 2017)</w:t>
            </w:r>
            <w:r>
              <w:rPr>
                <w:rFonts w:ascii="Times New Roman Regular" w:hAnsi="Times New Roman Regular" w:eastAsia="宋体" w:cs="Times New Roman Regular"/>
                <w:sz w:val="24"/>
              </w:rPr>
              <w:t>.</w:t>
            </w:r>
          </w:p>
          <w:p>
            <w:pPr>
              <w:rPr>
                <w:rFonts w:hint="eastAsia" w:ascii="Times New Roman Regular" w:hAnsi="Times New Roman Regular" w:eastAsia="宋体" w:cs="Times New Roman Regular"/>
                <w:sz w:val="24"/>
              </w:rPr>
            </w:pPr>
          </w:p>
        </w:tc>
        <w:tc>
          <w:tcPr>
            <w:tcW w:w="1647"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Overhead projector, Smart Board.</w:t>
            </w:r>
          </w:p>
          <w:p>
            <w:pPr>
              <w:rPr>
                <w:rFonts w:hint="eastAsia" w:ascii="Times New Roman Regular" w:hAnsi="Times New Roman Regular" w:cs="Times New Roman Regular"/>
                <w:sz w:val="24"/>
              </w:rPr>
            </w:pPr>
          </w:p>
          <w:p>
            <w:pPr>
              <w:rPr>
                <w:rFonts w:hint="eastAsia" w:ascii="Times New Roman Regular" w:hAnsi="Times New Roman Regular" w:cs="Times New Roman Regular"/>
                <w:sz w:val="24"/>
              </w:rPr>
            </w:pPr>
            <w:r>
              <w:rPr>
                <w:rFonts w:ascii="Times New Roman Regular" w:hAnsi="Times New Roman Regular" w:cs="Times New Roman Regular"/>
                <w:sz w:val="24"/>
              </w:rPr>
              <w:t>PowerPoint, slides 1,2,3</w:t>
            </w:r>
          </w:p>
          <w:p>
            <w:pPr>
              <w:rPr>
                <w:rFonts w:hint="eastAsia" w:ascii="Times New Roman Regular" w:hAnsi="Times New Roman Regular" w:cs="Times New Roman Regula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14" w:hRule="atLeast"/>
        </w:trPr>
        <w:tc>
          <w:tcPr>
            <w:tcW w:w="1419" w:type="dxa"/>
          </w:tcPr>
          <w:p>
            <w:pPr>
              <w:rPr>
                <w:rFonts w:hint="eastAsia" w:ascii="Times New Roman Regular" w:hAnsi="Times New Roman Regular" w:cs="Times New Roman Regular"/>
                <w:sz w:val="24"/>
              </w:rPr>
            </w:pPr>
            <w:r>
              <w:rPr>
                <w:rFonts w:ascii="Times New Roman Regular" w:hAnsi="Times New Roman Regular" w:eastAsia="宋体" w:cs="Times New Roman Regular"/>
                <w:sz w:val="24"/>
              </w:rPr>
              <w:t>5 minutes</w:t>
            </w:r>
          </w:p>
        </w:tc>
        <w:tc>
          <w:tcPr>
            <w:tcW w:w="1430"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Students share the moment when they became aware of critical thinking and briefly explain why they think critical thinking is important.</w:t>
            </w:r>
          </w:p>
        </w:tc>
        <w:tc>
          <w:tcPr>
            <w:tcW w:w="5327" w:type="dxa"/>
          </w:tcPr>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Students speak for themselves. The teacher listens.</w:t>
            </w:r>
          </w:p>
          <w:p>
            <w:pPr>
              <w:rPr>
                <w:rFonts w:hint="eastAsia" w:ascii="Times New Roman Regular" w:hAnsi="Times New Roman Regular" w:eastAsia="宋体" w:cs="Times New Roman Regular"/>
                <w:b/>
                <w:bCs/>
                <w:sz w:val="24"/>
              </w:rPr>
            </w:pPr>
          </w:p>
        </w:tc>
        <w:tc>
          <w:tcPr>
            <w:tcW w:w="1647"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Overhead projector, Smart Board.</w:t>
            </w:r>
          </w:p>
          <w:p>
            <w:pPr>
              <w:rPr>
                <w:rFonts w:hint="eastAsia" w:ascii="Times New Roman Regular" w:hAnsi="Times New Roman Regular" w:cs="Times New Roman Regula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58" w:hRule="atLeast"/>
        </w:trPr>
        <w:tc>
          <w:tcPr>
            <w:tcW w:w="1419" w:type="dxa"/>
          </w:tcPr>
          <w:p>
            <w:pPr>
              <w:rPr>
                <w:rFonts w:hint="eastAsia" w:ascii="Times New Roman Regular" w:hAnsi="Times New Roman Regular" w:cs="Times New Roman Regular"/>
                <w:sz w:val="24"/>
              </w:rPr>
            </w:pPr>
            <w:r>
              <w:rPr>
                <w:rFonts w:ascii="Times New Roman Regular" w:hAnsi="Times New Roman Regular" w:eastAsia="宋体" w:cs="Times New Roman Regular"/>
                <w:sz w:val="24"/>
              </w:rPr>
              <w:t>30 minutes</w:t>
            </w:r>
          </w:p>
        </w:tc>
        <w:tc>
          <w:tcPr>
            <w:tcW w:w="1430"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Exchange ideas and develop and introduce critical thinking</w:t>
            </w:r>
          </w:p>
        </w:tc>
        <w:tc>
          <w:tcPr>
            <w:tcW w:w="5327" w:type="dxa"/>
          </w:tcPr>
          <w:p>
            <w:pPr>
              <w:rPr>
                <w:rFonts w:hint="eastAsia" w:ascii="Times New Roman Regular" w:hAnsi="Times New Roman Regular" w:eastAsia="宋体" w:cs="Times New Roman Regular"/>
                <w:b/>
                <w:bCs/>
                <w:sz w:val="24"/>
              </w:rPr>
            </w:pPr>
            <w:r>
              <w:rPr>
                <w:rFonts w:ascii="Times New Roman Regular" w:hAnsi="Times New Roman Regular" w:cs="Times New Roman Regular"/>
                <w:b/>
                <w:bCs/>
                <w:sz w:val="24"/>
              </w:rPr>
              <w:t>Group discussion</w:t>
            </w:r>
            <w:r>
              <w:rPr>
                <w:rFonts w:ascii="Times New Roman Regular" w:hAnsi="Times New Roman Regular" w:eastAsia="宋体" w:cs="Times New Roman Regular"/>
                <w:b/>
                <w:bCs/>
                <w:sz w:val="24"/>
              </w:rPr>
              <w:t>- Role play 1</w:t>
            </w:r>
          </w:p>
          <w:p>
            <w:pPr>
              <w:rPr>
                <w:rFonts w:hint="eastAsia" w:ascii="Times New Roman Regular" w:hAnsi="Times New Roman Regular" w:cs="Times New Roman Regular"/>
                <w:sz w:val="24"/>
              </w:rPr>
            </w:pPr>
            <w:r>
              <w:rPr>
                <w:rFonts w:ascii="Times New Roman Regular" w:hAnsi="Times New Roman Regular" w:cs="Times New Roman Regular"/>
                <w:sz w:val="24"/>
              </w:rPr>
              <w:t>Each group of four people acts out random scenes. Four people play different roles in the company by drawing lots and think about the best they can judge from their situation. The group members would write their own ideas and then swap roles by themselves. At this point, students still need to think about the same situation in terms of their own identity.</w:t>
            </w:r>
          </w:p>
        </w:tc>
        <w:tc>
          <w:tcPr>
            <w:tcW w:w="1647"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Each person is assigned a piece of paper and each person is assigned a pen</w:t>
            </w:r>
          </w:p>
          <w:p>
            <w:pPr>
              <w:rPr>
                <w:rFonts w:hint="eastAsia" w:ascii="Times New Roman Regular" w:hAnsi="Times New Roman Regular" w:cs="Times New Roman Regular"/>
                <w:sz w:val="24"/>
              </w:rPr>
            </w:pPr>
            <w:r>
              <w:rPr>
                <w:rFonts w:ascii="Times New Roman Regular" w:hAnsi="Times New Roman Regular" w:cs="Times New Roman Regular"/>
                <w:sz w:val="24"/>
              </w:rPr>
              <w:t>Overhead projector, Smart Board.</w:t>
            </w:r>
          </w:p>
          <w:p>
            <w:pPr>
              <w:rPr>
                <w:rFonts w:hint="eastAsia" w:ascii="Times New Roman Regular" w:hAnsi="Times New Roman Regular" w:cs="Times New Roman Regula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42" w:hRule="atLeast"/>
        </w:trPr>
        <w:tc>
          <w:tcPr>
            <w:tcW w:w="1419" w:type="dxa"/>
          </w:tcPr>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30 minutes</w:t>
            </w:r>
          </w:p>
        </w:tc>
        <w:tc>
          <w:tcPr>
            <w:tcW w:w="1430"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Exchange ideas and develop and introduce critical thinking</w:t>
            </w:r>
          </w:p>
        </w:tc>
        <w:tc>
          <w:tcPr>
            <w:tcW w:w="5327" w:type="dxa"/>
          </w:tcPr>
          <w:p>
            <w:pPr>
              <w:rPr>
                <w:rFonts w:hint="eastAsia" w:ascii="Times New Roman Regular" w:hAnsi="Times New Roman Regular" w:eastAsia="宋体" w:cs="Times New Roman Regular"/>
                <w:b/>
                <w:bCs/>
                <w:sz w:val="24"/>
              </w:rPr>
            </w:pPr>
            <w:r>
              <w:rPr>
                <w:rFonts w:ascii="Times New Roman Regular" w:hAnsi="Times New Roman Regular" w:cs="Times New Roman Regular"/>
                <w:b/>
                <w:bCs/>
                <w:sz w:val="24"/>
              </w:rPr>
              <w:t>Group discussion</w:t>
            </w:r>
            <w:r>
              <w:rPr>
                <w:rFonts w:ascii="Times New Roman Regular" w:hAnsi="Times New Roman Regular" w:eastAsia="宋体" w:cs="Times New Roman Regular"/>
                <w:b/>
                <w:bCs/>
                <w:sz w:val="24"/>
              </w:rPr>
              <w:t>- Role play 2</w:t>
            </w:r>
          </w:p>
          <w:p>
            <w:pPr>
              <w:rPr>
                <w:rFonts w:hint="eastAsia" w:ascii="Times New Roman Regular" w:hAnsi="Times New Roman Regular" w:eastAsia="宋体" w:cs="Times New Roman Regular"/>
                <w:b/>
                <w:bCs/>
                <w:sz w:val="24"/>
              </w:rPr>
            </w:pPr>
            <w:r>
              <w:rPr>
                <w:rFonts w:ascii="Times New Roman Regular" w:hAnsi="Times New Roman Regular" w:cs="Times New Roman Regular"/>
                <w:sz w:val="24"/>
              </w:rPr>
              <w:t>It's the same scenario as in Role Play 1. I just need the crew to switch identities. The team members cannot assume their previous identities and must exchange their identities with their own team members and then think and communicate according to the situation.</w:t>
            </w:r>
          </w:p>
        </w:tc>
        <w:tc>
          <w:tcPr>
            <w:tcW w:w="1647"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Each person is assigned a piece of paper and each person is assigned a pen</w:t>
            </w:r>
          </w:p>
          <w:p>
            <w:pPr>
              <w:rPr>
                <w:rFonts w:hint="eastAsia" w:ascii="Times New Roman Regular" w:hAnsi="Times New Roman Regular" w:cs="Times New Roman Regular"/>
                <w:sz w:val="24"/>
              </w:rPr>
            </w:pPr>
            <w:r>
              <w:rPr>
                <w:rFonts w:ascii="Times New Roman Regular" w:hAnsi="Times New Roman Regular" w:cs="Times New Roman Regular"/>
                <w:sz w:val="24"/>
              </w:rPr>
              <w:t>Overhead projector, Smart Board.</w:t>
            </w:r>
          </w:p>
          <w:p>
            <w:pPr>
              <w:rPr>
                <w:rFonts w:hint="eastAsia" w:ascii="Times New Roman Regular" w:hAnsi="Times New Roman Regular" w:cs="Times New Roman Regula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08" w:hRule="atLeast"/>
        </w:trPr>
        <w:tc>
          <w:tcPr>
            <w:tcW w:w="1419" w:type="dxa"/>
          </w:tcPr>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15minutes</w:t>
            </w:r>
          </w:p>
        </w:tc>
        <w:tc>
          <w:tcPr>
            <w:tcW w:w="1430"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Deep thinking about the application of critical thinking to scenarios</w:t>
            </w:r>
          </w:p>
        </w:tc>
        <w:tc>
          <w:tcPr>
            <w:tcW w:w="5327" w:type="dxa"/>
          </w:tcPr>
          <w:p>
            <w:pPr>
              <w:rPr>
                <w:rFonts w:hint="eastAsia" w:ascii="Times New Roman Regular" w:hAnsi="Times New Roman Regular" w:cs="Times New Roman Regular"/>
                <w:bCs/>
                <w:sz w:val="24"/>
              </w:rPr>
            </w:pPr>
            <w:r>
              <w:rPr>
                <w:rFonts w:ascii="Times New Roman Regular" w:hAnsi="Times New Roman Regular" w:cs="Times New Roman Regular"/>
                <w:b/>
                <w:bCs/>
                <w:sz w:val="24"/>
              </w:rPr>
              <w:t>Open question session</w:t>
            </w:r>
            <w:r>
              <w:rPr>
                <w:rFonts w:ascii="Times New Roman Regular" w:hAnsi="Times New Roman Regular" w:cs="Times New Roman Regular"/>
                <w:bCs/>
                <w:sz w:val="24"/>
              </w:rPr>
              <w:t xml:space="preserve"> –Ask the whole group what they learned from the conclusions and processes they came up with from playing different roles in the same scenario. Think critically through the different problems posed by the unified scenarios faced by disparate professional positions.</w:t>
            </w:r>
          </w:p>
          <w:p>
            <w:pPr>
              <w:rPr>
                <w:rFonts w:hint="eastAsia" w:ascii="Times New Roman Regular" w:hAnsi="Times New Roman Regular" w:cs="Times New Roman Regular"/>
                <w:bCs/>
                <w:sz w:val="24"/>
              </w:rPr>
            </w:pPr>
          </w:p>
          <w:p>
            <w:pPr>
              <w:rPr>
                <w:rFonts w:hint="eastAsia" w:ascii="Times New Roman Regular" w:hAnsi="Times New Roman Regular" w:cs="Times New Roman Regular"/>
                <w:bCs/>
                <w:sz w:val="24"/>
              </w:rPr>
            </w:pPr>
            <w:r>
              <w:rPr>
                <w:rFonts w:ascii="Times New Roman Regular" w:hAnsi="Times New Roman Regular" w:cs="Times New Roman Regular"/>
                <w:bCs/>
                <w:sz w:val="24"/>
              </w:rPr>
              <w:t>Show relevant materials on slides after discussion：</w:t>
            </w:r>
          </w:p>
          <w:p>
            <w:pPr>
              <w:rPr>
                <w:rFonts w:hint="eastAsia" w:ascii="Times New Roman Regular" w:hAnsi="Times New Roman Regular" w:eastAsia="宋体" w:cs="Times New Roman Regular"/>
                <w:sz w:val="24"/>
              </w:rPr>
            </w:pPr>
          </w:p>
          <w:p>
            <w:pPr>
              <w:rPr>
                <w:rFonts w:hint="eastAsia" w:ascii="Times New Roman Regular" w:hAnsi="Times New Roman Regular" w:eastAsia="宋体" w:cs="Times New Roman Regular"/>
                <w:sz w:val="24"/>
              </w:rPr>
            </w:pPr>
            <w:r>
              <w:rPr>
                <w:rFonts w:ascii="Times New Roman Regular" w:hAnsi="Times New Roman Regular" w:cs="Times New Roman Regular"/>
                <w:sz w:val="24"/>
              </w:rPr>
              <w:t>Cognitive bias is when a person makes a wrong choice but thinks it's the right one. It also has the same scenario based on different identities, where one decision might be convenient and good for another person but the other person is trapped by that decision</w:t>
            </w:r>
            <w:r>
              <w:rPr>
                <w:rFonts w:ascii="Times New Roman Regular" w:hAnsi="Times New Roman Regular" w:eastAsia="宋体" w:cs="Times New Roman Regular"/>
                <w:sz w:val="24"/>
              </w:rPr>
              <w:t>(</w:t>
            </w:r>
            <w:r>
              <w:rPr>
                <w:rFonts w:ascii="Times New Roman Regular" w:hAnsi="Times New Roman Regular" w:cs="Times New Roman Regular"/>
                <w:sz w:val="24"/>
              </w:rPr>
              <w:t>Kadosh, 2020)</w:t>
            </w:r>
            <w:r>
              <w:rPr>
                <w:rFonts w:ascii="Times New Roman Regular" w:hAnsi="Times New Roman Regular" w:eastAsia="宋体" w:cs="Times New Roman Regular"/>
                <w:sz w:val="24"/>
              </w:rPr>
              <w:t>.</w:t>
            </w:r>
          </w:p>
          <w:p>
            <w:pPr>
              <w:rPr>
                <w:rFonts w:hint="eastAsia" w:ascii="Times New Roman Regular" w:hAnsi="Times New Roman Regular" w:eastAsia="宋体" w:cs="Times New Roman Regular"/>
                <w:sz w:val="24"/>
              </w:rPr>
            </w:pPr>
            <w:r>
              <w:rPr>
                <w:rFonts w:ascii="Times New Roman Regular" w:hAnsi="Times New Roman Regular" w:cs="Times New Roman Regular"/>
                <w:sz w:val="24"/>
              </w:rPr>
              <w:t>A fallacy is a misleading argument that may sound true, may even be based on truth, but is actually false. People in situations are often misled by these arguments that might be the right decisions to make bad decisions that affect the larger picture even though they seem to be the right decisions when they are actually wrong</w:t>
            </w:r>
            <w:r>
              <w:rPr>
                <w:rFonts w:ascii="Times New Roman Regular" w:hAnsi="Times New Roman Regular" w:eastAsia="宋体" w:cs="Times New Roman Regular"/>
                <w:sz w:val="24"/>
              </w:rPr>
              <w:t xml:space="preserve"> (</w:t>
            </w:r>
            <w:r>
              <w:rPr>
                <w:rFonts w:ascii="Times New Roman Regular" w:hAnsi="Times New Roman Regular" w:cs="Times New Roman Regular"/>
                <w:sz w:val="24"/>
              </w:rPr>
              <w:t>Laird, 2017)</w:t>
            </w:r>
            <w:r>
              <w:rPr>
                <w:rFonts w:ascii="Times New Roman Regular" w:hAnsi="Times New Roman Regular" w:eastAsia="宋体" w:cs="Times New Roman Regular"/>
                <w:sz w:val="24"/>
              </w:rPr>
              <w:t>.</w:t>
            </w:r>
            <w:r>
              <w:rPr>
                <w:rFonts w:ascii="Times New Roman Regular" w:hAnsi="Times New Roman Regular" w:cs="Times New Roman Regular"/>
                <w:sz w:val="24"/>
              </w:rPr>
              <w:t xml:space="preserve"> </w:t>
            </w:r>
          </w:p>
        </w:tc>
        <w:tc>
          <w:tcPr>
            <w:tcW w:w="1647"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 xml:space="preserve">Overhead projector, Smart Board and </w:t>
            </w:r>
          </w:p>
          <w:p>
            <w:pPr>
              <w:rPr>
                <w:rFonts w:hint="eastAsia" w:ascii="Times New Roman Regular" w:hAnsi="Times New Roman Regular" w:cs="Times New Roman Regular"/>
                <w:sz w:val="24"/>
              </w:rPr>
            </w:pPr>
            <w:r>
              <w:rPr>
                <w:rFonts w:ascii="Times New Roman Regular" w:hAnsi="Times New Roman Regular" w:cs="Times New Roman Regular"/>
                <w:sz w:val="24"/>
              </w:rPr>
              <w:t>PowerPoint, slides 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80" w:hRule="atLeast"/>
        </w:trPr>
        <w:tc>
          <w:tcPr>
            <w:tcW w:w="1419" w:type="dxa"/>
          </w:tcPr>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15minutes</w:t>
            </w:r>
          </w:p>
        </w:tc>
        <w:tc>
          <w:tcPr>
            <w:tcW w:w="1430"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Further comb the impact of critical thinking on business</w:t>
            </w:r>
          </w:p>
        </w:tc>
        <w:tc>
          <w:tcPr>
            <w:tcW w:w="5327" w:type="dxa"/>
          </w:tcPr>
          <w:p>
            <w:pPr>
              <w:rPr>
                <w:rFonts w:hint="eastAsia" w:ascii="Times New Roman Regular" w:hAnsi="Times New Roman Regular" w:eastAsia="宋体" w:cs="Times New Roman Regular"/>
                <w:sz w:val="24"/>
              </w:rPr>
            </w:pPr>
            <w:r>
              <w:rPr>
                <w:rFonts w:ascii="Times New Roman Regular" w:hAnsi="Times New Roman Regular" w:cs="Times New Roman Regular"/>
                <w:b/>
                <w:bCs/>
                <w:sz w:val="24"/>
              </w:rPr>
              <w:t>Lecture</w:t>
            </w:r>
            <w:r>
              <w:rPr>
                <w:rFonts w:ascii="Times New Roman Regular" w:hAnsi="Times New Roman Regular" w:eastAsia="宋体" w:cs="Times New Roman Regular"/>
                <w:b/>
                <w:bCs/>
                <w:sz w:val="24"/>
              </w:rPr>
              <w:t>-</w:t>
            </w:r>
            <w:r>
              <w:rPr>
                <w:rFonts w:ascii="Times New Roman Regular" w:hAnsi="Times New Roman Regular" w:cs="Times New Roman Regular"/>
                <w:sz w:val="24"/>
              </w:rPr>
              <w:t>Critical thinking does not mean that students should always question or make perfect decisions. It means that they should keep thinking no matter what the situation is, make decisions that are in line with the situation and maximize the relative benefits, and have the courage to find opportunities in the face of difficulties</w:t>
            </w:r>
            <w:r>
              <w:rPr>
                <w:rFonts w:ascii="Times New Roman Regular" w:hAnsi="Times New Roman Regular" w:eastAsia="宋体" w:cs="Times New Roman Regular"/>
                <w:sz w:val="24"/>
              </w:rPr>
              <w:t>(</w:t>
            </w:r>
            <w:r>
              <w:rPr>
                <w:rFonts w:ascii="Times New Roman Regular" w:hAnsi="Times New Roman Regular" w:cs="Times New Roman Regular"/>
                <w:sz w:val="24"/>
              </w:rPr>
              <w:t>Albanese</w:t>
            </w:r>
            <w:r>
              <w:rPr>
                <w:rFonts w:ascii="Times New Roman Regular" w:hAnsi="Times New Roman Regular" w:eastAsia="宋体" w:cs="Times New Roman Regular"/>
                <w:sz w:val="24"/>
              </w:rPr>
              <w:t xml:space="preserve"> </w:t>
            </w:r>
            <w:r>
              <w:rPr>
                <w:rFonts w:ascii="Times New Roman Regular" w:hAnsi="Times New Roman Regular" w:cs="Times New Roman Regular"/>
                <w:sz w:val="24"/>
              </w:rPr>
              <w:t>and Paturas, 2018)</w:t>
            </w:r>
            <w:r>
              <w:rPr>
                <w:rFonts w:ascii="Times New Roman Regular" w:hAnsi="Times New Roman Regular" w:eastAsia="宋体" w:cs="Times New Roman Regular"/>
                <w:sz w:val="24"/>
              </w:rPr>
              <w:t>.</w:t>
            </w:r>
          </w:p>
        </w:tc>
        <w:tc>
          <w:tcPr>
            <w:tcW w:w="1647"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 xml:space="preserve">Overhead projector, Smart Board and </w:t>
            </w:r>
          </w:p>
          <w:p>
            <w:pPr>
              <w:rPr>
                <w:rFonts w:hint="eastAsia" w:ascii="Times New Roman Regular" w:hAnsi="Times New Roman Regular" w:eastAsia="宋体" w:cs="Times New Roman Regular"/>
                <w:sz w:val="24"/>
              </w:rPr>
            </w:pPr>
            <w:r>
              <w:rPr>
                <w:rFonts w:ascii="Times New Roman Regular" w:hAnsi="Times New Roman Regular" w:cs="Times New Roman Regular"/>
                <w:sz w:val="24"/>
              </w:rPr>
              <w:t xml:space="preserve">PowerPoint, slides </w:t>
            </w:r>
            <w:r>
              <w:rPr>
                <w:rFonts w:ascii="Times New Roman Regular" w:hAnsi="Times New Roman Regular" w:eastAsia="宋体" w:cs="Times New Roman Regular"/>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8" w:hRule="atLeast"/>
        </w:trPr>
        <w:tc>
          <w:tcPr>
            <w:tcW w:w="1419" w:type="dxa"/>
          </w:tcPr>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10minutes</w:t>
            </w:r>
          </w:p>
        </w:tc>
        <w:tc>
          <w:tcPr>
            <w:tcW w:w="1430" w:type="dxa"/>
          </w:tcPr>
          <w:p>
            <w:pPr>
              <w:rPr>
                <w:rFonts w:hint="eastAsia" w:ascii="Times New Roman Regular" w:hAnsi="Times New Roman Regular" w:eastAsia="宋体" w:cs="Times New Roman Regular"/>
                <w:sz w:val="24"/>
              </w:rPr>
            </w:pPr>
            <w:r>
              <w:rPr>
                <w:rFonts w:ascii="Times New Roman Regular" w:hAnsi="Times New Roman Regular" w:cs="Times New Roman Regular"/>
                <w:bCs/>
                <w:sz w:val="24"/>
              </w:rPr>
              <w:t>Sharing ideas</w:t>
            </w:r>
          </w:p>
        </w:tc>
        <w:tc>
          <w:tcPr>
            <w:tcW w:w="5327"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Learners can take notes according to the situation</w:t>
            </w:r>
          </w:p>
        </w:tc>
        <w:tc>
          <w:tcPr>
            <w:tcW w:w="1647" w:type="dxa"/>
          </w:tcPr>
          <w:p>
            <w:pPr>
              <w:rPr>
                <w:rFonts w:hint="eastAsia" w:ascii="Times New Roman Regular" w:hAnsi="Times New Roman Regular" w:cs="Times New Roman Regula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86" w:hRule="atLeast"/>
        </w:trPr>
        <w:tc>
          <w:tcPr>
            <w:tcW w:w="1419" w:type="dxa"/>
          </w:tcPr>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 xml:space="preserve">20minutes  </w:t>
            </w:r>
          </w:p>
        </w:tc>
        <w:tc>
          <w:tcPr>
            <w:tcW w:w="1430" w:type="dxa"/>
          </w:tcPr>
          <w:p>
            <w:pPr>
              <w:rPr>
                <w:rFonts w:hint="eastAsia" w:ascii="Times New Roman Regular" w:hAnsi="Times New Roman Regular" w:cs="Times New Roman Regular"/>
                <w:sz w:val="24"/>
              </w:rPr>
            </w:pPr>
            <w:r>
              <w:rPr>
                <w:rFonts w:ascii="Times New Roman Regular" w:hAnsi="Times New Roman Regular" w:cs="Times New Roman Regular"/>
                <w:bCs/>
                <w:sz w:val="24"/>
              </w:rPr>
              <w:t>Recap learning</w:t>
            </w:r>
          </w:p>
        </w:tc>
        <w:tc>
          <w:tcPr>
            <w:tcW w:w="5327"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According to the knowledge points learned today, students' application of critical theory is comprehensively analyzed. Finally, appropriate suggestions are put forward as guidance for each student's critical thinking.</w:t>
            </w:r>
          </w:p>
        </w:tc>
        <w:tc>
          <w:tcPr>
            <w:tcW w:w="1647"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 xml:space="preserve">Overhead projector, Smart Board and </w:t>
            </w:r>
          </w:p>
          <w:p>
            <w:pPr>
              <w:rPr>
                <w:rFonts w:hint="eastAsia" w:ascii="Times New Roman Regular" w:hAnsi="Times New Roman Regular" w:cs="Times New Roman Regular"/>
                <w:sz w:val="24"/>
              </w:rPr>
            </w:pPr>
            <w:r>
              <w:rPr>
                <w:rFonts w:ascii="Times New Roman Regular" w:hAnsi="Times New Roman Regular" w:cs="Times New Roman Regular"/>
                <w:sz w:val="24"/>
              </w:rPr>
              <w:t>PowerPoint, slide 7.</w:t>
            </w:r>
          </w:p>
          <w:p>
            <w:pPr>
              <w:rPr>
                <w:rFonts w:hint="eastAsia" w:ascii="Times New Roman Regular" w:hAnsi="Times New Roman Regular" w:cs="Times New Roman Regular"/>
                <w:sz w:val="24"/>
              </w:rPr>
            </w:pPr>
            <w:r>
              <w:rPr>
                <w:rFonts w:ascii="Times New Roman Regular" w:hAnsi="Times New Roman Regular" w:cs="Times New Roman Regular"/>
                <w:sz w:val="24"/>
              </w:rPr>
              <w:t>Learners can take notes according to the situation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51" w:hRule="atLeast"/>
        </w:trPr>
        <w:tc>
          <w:tcPr>
            <w:tcW w:w="1419" w:type="dxa"/>
          </w:tcPr>
          <w:p>
            <w:pPr>
              <w:rPr>
                <w:rFonts w:hint="eastAsia" w:ascii="Times New Roman Regular" w:hAnsi="Times New Roman Regular" w:cs="Times New Roman Regular"/>
                <w:sz w:val="24"/>
              </w:rPr>
            </w:pPr>
            <w:r>
              <w:rPr>
                <w:rFonts w:ascii="Times New Roman Regular" w:hAnsi="Times New Roman Regular" w:eastAsia="宋体" w:cs="Times New Roman Regular"/>
                <w:sz w:val="24"/>
              </w:rPr>
              <w:t>15minutes</w:t>
            </w:r>
          </w:p>
        </w:tc>
        <w:tc>
          <w:tcPr>
            <w:tcW w:w="1430" w:type="dxa"/>
          </w:tcPr>
          <w:p>
            <w:pPr>
              <w:rPr>
                <w:rFonts w:hint="eastAsia" w:ascii="Times New Roman Regular" w:hAnsi="Times New Roman Regular" w:cs="Times New Roman Regular"/>
                <w:sz w:val="24"/>
              </w:rPr>
            </w:pPr>
            <w:r>
              <w:rPr>
                <w:rFonts w:ascii="Times New Roman Regular" w:hAnsi="Times New Roman Regular" w:cs="Times New Roman Regular"/>
                <w:bCs/>
                <w:sz w:val="24"/>
              </w:rPr>
              <w:t>Conclude session</w:t>
            </w:r>
          </w:p>
        </w:tc>
        <w:tc>
          <w:tcPr>
            <w:tcW w:w="5327" w:type="dxa"/>
          </w:tcPr>
          <w:p>
            <w:pPr>
              <w:rPr>
                <w:rFonts w:hint="eastAsia" w:ascii="Times New Roman Regular" w:hAnsi="Times New Roman Regular" w:cs="Times New Roman Regular"/>
                <w:sz w:val="24"/>
              </w:rPr>
            </w:pPr>
            <w:r>
              <w:rPr>
                <w:rFonts w:ascii="Times New Roman Regular" w:hAnsi="Times New Roman Regular" w:cs="Times New Roman Regular"/>
                <w:sz w:val="24"/>
              </w:rPr>
              <w:t>Give the trainee the last minute and ask if they have any other questions. End by answering questions raised by trainees. Thank you for participating in this training course.</w:t>
            </w:r>
          </w:p>
          <w:p>
            <w:pPr>
              <w:rPr>
                <w:rFonts w:hint="eastAsia" w:ascii="Times New Roman Regular" w:hAnsi="Times New Roman Regular" w:eastAsia="宋体" w:cs="Times New Roman Regular"/>
                <w:sz w:val="24"/>
              </w:rPr>
            </w:pPr>
            <w:r>
              <w:rPr>
                <w:rFonts w:ascii="Times New Roman Regular" w:hAnsi="Times New Roman Regular" w:cs="Times New Roman Regular"/>
                <w:b/>
                <w:sz w:val="24"/>
              </w:rPr>
              <w:t>Evaluation</w:t>
            </w:r>
            <w:r>
              <w:rPr>
                <w:rFonts w:ascii="Times New Roman Regular" w:hAnsi="Times New Roman Regular" w:eastAsia="宋体" w:cs="Times New Roman Regular"/>
                <w:b/>
                <w:sz w:val="24"/>
              </w:rPr>
              <w:t>-</w:t>
            </w:r>
            <w:r>
              <w:rPr>
                <w:rFonts w:ascii="Times New Roman Regular" w:hAnsi="Times New Roman Regular" w:eastAsia="宋体" w:cs="Times New Roman Regular"/>
                <w:bCs/>
                <w:sz w:val="24"/>
              </w:rPr>
              <w:t>Briefly summarize all the main points of today's lecture.</w:t>
            </w:r>
          </w:p>
        </w:tc>
        <w:tc>
          <w:tcPr>
            <w:tcW w:w="1647" w:type="dxa"/>
          </w:tcPr>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 xml:space="preserve">Questionare  </w:t>
            </w:r>
          </w:p>
          <w:p>
            <w:pPr>
              <w:rPr>
                <w:rFonts w:hint="eastAsia" w:ascii="Times New Roman Regular" w:hAnsi="Times New Roman Regular" w:eastAsia="宋体" w:cs="Times New Roman Regular"/>
                <w:sz w:val="24"/>
              </w:rPr>
            </w:pPr>
          </w:p>
          <w:p>
            <w:pPr>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Feedback sheet</w:t>
            </w:r>
          </w:p>
        </w:tc>
      </w:tr>
    </w:tbl>
    <w:p>
      <w:pPr>
        <w:pStyle w:val="2"/>
        <w:rPr>
          <w:rFonts w:hint="eastAsia" w:ascii="Times New Roman Regular" w:hAnsi="Times New Roman Regular" w:cs="Times New Roman Regular"/>
          <w:bCs w:val="0"/>
        </w:rPr>
      </w:pPr>
      <w:bookmarkStart w:id="16" w:name="_Toc473584330"/>
      <w:bookmarkStart w:id="17" w:name="_Toc1574828310"/>
      <w:r>
        <w:rPr>
          <w:rFonts w:ascii="Times New Roman Regular" w:hAnsi="Times New Roman Regular" w:cs="Times New Roman Regular"/>
          <w:bCs w:val="0"/>
        </w:rPr>
        <w:t>5.0 Inductive Approach</w:t>
      </w:r>
      <w:bookmarkEnd w:id="16"/>
      <w:bookmarkEnd w:id="17"/>
    </w:p>
    <w:p>
      <w:pPr>
        <w:spacing w:line="480" w:lineRule="auto"/>
        <w:rPr>
          <w:rFonts w:hint="eastAsia" w:ascii="Arial Regular" w:hAnsi="Arial Regular" w:cs="Arial Regular"/>
          <w:sz w:val="24"/>
        </w:rPr>
      </w:pPr>
      <w:r>
        <w:rPr>
          <w:rFonts w:ascii="Times New Roman Regular" w:hAnsi="Times New Roman Regular" w:cs="Times New Roman Regular"/>
          <w:sz w:val="24"/>
        </w:rPr>
        <w:t xml:space="preserve">Use Inductive Approach and role-playing to provide a learning experience. Inductive learning relies on the student's ability to notice patterns that appear in the examples provided by the teacher. This approach challenges students to formulate their own beliefs or concepts by examining all the evidence presented and identifying patterns to arrive at solutions. Not constrained by prior knowledge and experience, nor by the passage of time. Induction starts with observational and empirical data, which students examine and generalise before applying the findings to real-world issues (Prince &amp; Felder, 2006). This method does not imply that the teacher never gives a lecture. </w:t>
      </w:r>
      <w:r>
        <w:rPr>
          <w:rFonts w:hint="eastAsia" w:ascii="Times New Roman Regular" w:hAnsi="Times New Roman Regular" w:cs="Times New Roman Regular"/>
          <w:sz w:val="24"/>
        </w:rPr>
        <w:t>Instead， t</w:t>
      </w:r>
      <w:r>
        <w:rPr>
          <w:rFonts w:ascii="Times New Roman Regular" w:hAnsi="Times New Roman Regular" w:cs="Times New Roman Regular"/>
          <w:sz w:val="24"/>
        </w:rPr>
        <w:t>eachers assess students' knowledge and knowledge beliefs, assist students in questioning and clarifying such beliefs, and then try to encourage the construction of new knowledge. (Bransford, Brown, &amp; Cocking, 1999). Inductive learning culminates with pupils explaining the patterns and consequent laws in their own words. This will decide whether or not the learner truly comprehends the idea. An example of this is the use of specific words or phrases in different sentences. Each new sentence uses the same word or phrase, and the goal is for students to eventually "master" usage patterns and be able to identify the grammar rules used in each example.</w:t>
      </w:r>
    </w:p>
    <w:p>
      <w:pPr>
        <w:pStyle w:val="3"/>
        <w:spacing w:before="312" w:beforeLines="100" w:after="312" w:afterLines="100"/>
        <w:rPr>
          <w:rFonts w:ascii="Times New Roman Regular" w:hAnsi="Times New Roman Regular" w:cs="Times New Roman Regular"/>
          <w:bCs/>
          <w:sz w:val="28"/>
          <w:szCs w:val="28"/>
        </w:rPr>
      </w:pPr>
      <w:bookmarkStart w:id="18" w:name="_Toc957438528"/>
      <w:bookmarkStart w:id="19" w:name="_Toc403456895"/>
      <w:r>
        <w:rPr>
          <w:rFonts w:ascii="Times New Roman Regular" w:hAnsi="Times New Roman Regular" w:cs="Times New Roman Regular"/>
          <w:bCs/>
          <w:sz w:val="28"/>
          <w:szCs w:val="28"/>
        </w:rPr>
        <w:t>5.1 Role Play</w:t>
      </w:r>
      <w:bookmarkEnd w:id="18"/>
      <w:bookmarkEnd w:id="19"/>
    </w:p>
    <w:p>
      <w:pPr>
        <w:spacing w:line="480" w:lineRule="auto"/>
        <w:rPr>
          <w:rFonts w:hint="eastAsia" w:ascii="Arial Regular" w:hAnsi="Arial Regular" w:cs="Arial Regular"/>
          <w:sz w:val="24"/>
        </w:rPr>
      </w:pPr>
      <w:r>
        <w:rPr>
          <w:rFonts w:ascii="Times New Roman Regular" w:hAnsi="Times New Roman Regular" w:cs="Times New Roman Regular"/>
          <w:sz w:val="24"/>
        </w:rPr>
        <w:t>When students actively participate in their learning process by acting out roles and selecting how to proceed in a situation, they are engaging in critical thinking. Furthermore, giving the learner accountability for their own learning provides them more control over their own learning process. To learn course material or to comprehend "complicated or unclear concepts" (Sogunro, 2004: 367). It will look at how role-playing encourages active learning, active player-to-player and player-to-instructor interactions, and boosts student motivation and engagement. These factors contribute significantly to the efficacy of role-playing in the classroom. Role-playing pedagogy has been found to be beneficial in obtaining learning objectives in three primary areas: emotional, cognitive, and behavioural (Maier, 2002; Rao &amp; Stupans, 2012). Students learn empathy and empathy by taking on the character of another individual. Students may be more self-aware and reflective as a result of this (Westrup &amp; Planander, 2013; Sogunro, 2004).</w:t>
      </w:r>
    </w:p>
    <w:p>
      <w:pPr>
        <w:pStyle w:val="3"/>
        <w:spacing w:before="312" w:beforeLines="100" w:after="312" w:afterLines="100"/>
        <w:rPr>
          <w:rFonts w:ascii="Times New Roman Regular" w:hAnsi="Times New Roman Regular" w:cs="Times New Roman Regular"/>
          <w:bCs/>
          <w:sz w:val="28"/>
          <w:szCs w:val="28"/>
        </w:rPr>
      </w:pPr>
      <w:bookmarkStart w:id="20" w:name="_Toc574373125"/>
      <w:bookmarkStart w:id="21" w:name="_Toc1294160686"/>
      <w:r>
        <w:rPr>
          <w:rFonts w:ascii="Times New Roman Regular" w:hAnsi="Times New Roman Regular" w:cs="Times New Roman Regular"/>
          <w:bCs/>
          <w:sz w:val="28"/>
          <w:szCs w:val="28"/>
        </w:rPr>
        <w:t xml:space="preserve">5.2 </w:t>
      </w:r>
      <w:r>
        <w:rPr>
          <w:rFonts w:hint="eastAsia" w:ascii="Times New Roman Regular" w:hAnsi="Times New Roman Regular" w:cs="Times New Roman Regular"/>
          <w:bCs/>
          <w:sz w:val="28"/>
          <w:szCs w:val="28"/>
          <w:lang w:val="en-US" w:eastAsia="zh-Hans"/>
        </w:rPr>
        <w:t>N</w:t>
      </w:r>
      <w:r>
        <w:rPr>
          <w:rFonts w:hint="eastAsia" w:ascii="Times New Roman Regular" w:hAnsi="Times New Roman Regular" w:cs="Times New Roman Regular"/>
          <w:bCs/>
          <w:sz w:val="28"/>
          <w:szCs w:val="28"/>
        </w:rPr>
        <w:t>egatives</w:t>
      </w:r>
      <w:r>
        <w:rPr>
          <w:rFonts w:ascii="Times New Roman Regular" w:hAnsi="Times New Roman Regular" w:cs="Times New Roman Regular"/>
          <w:bCs/>
          <w:sz w:val="28"/>
          <w:szCs w:val="28"/>
        </w:rPr>
        <w:t xml:space="preserve"> of learning method</w:t>
      </w:r>
      <w:bookmarkEnd w:id="20"/>
      <w:bookmarkEnd w:id="21"/>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Inductive Approach creates inequality because not all learners report that learning is successful. This can create an imbalance in the classroom. The second is that the subject is very complex, and if the information is too complex, it is best to explain it in advance. If inductive teaching methods are used in the wrong places, learners may become frustrated by the lack of progress.</w:t>
      </w:r>
    </w:p>
    <w:p>
      <w:pPr>
        <w:spacing w:line="480" w:lineRule="auto"/>
        <w:rPr>
          <w:rFonts w:hint="eastAsia" w:ascii="Times New Roman Regular" w:hAnsi="Times New Roman Regular" w:cs="Times New Roman Regular"/>
          <w:sz w:val="24"/>
        </w:rPr>
      </w:pPr>
    </w:p>
    <w:p>
      <w:pPr>
        <w:spacing w:line="480" w:lineRule="auto"/>
        <w:rPr>
          <w:rFonts w:hint="eastAsia" w:ascii="Arial Regular" w:hAnsi="Arial Regular" w:cs="Arial Regular"/>
          <w:sz w:val="24"/>
        </w:rPr>
      </w:pPr>
      <w:r>
        <w:rPr>
          <w:rFonts w:ascii="Times New Roman Regular" w:hAnsi="Times New Roman Regular" w:cs="Times New Roman Regular"/>
          <w:sz w:val="24"/>
        </w:rPr>
        <w:t xml:space="preserve">The </w:t>
      </w:r>
      <w:r>
        <w:rPr>
          <w:rFonts w:hint="eastAsia" w:ascii="Times New Roman Regular" w:hAnsi="Times New Roman Regular" w:cs="Times New Roman Regular"/>
          <w:sz w:val="24"/>
        </w:rPr>
        <w:t>negative</w:t>
      </w:r>
      <w:r>
        <w:rPr>
          <w:rFonts w:ascii="Times New Roman Regular" w:hAnsi="Times New Roman Regular" w:cs="Times New Roman Regular"/>
          <w:sz w:val="24"/>
        </w:rPr>
        <w:t xml:space="preserve"> of role-playing is that some learners will be comfortable in their roles, but these people are not very good at getting into the emotions needed to actually replicate the situation. Individual students may find the experience entertaining or find it difficult to appear to be furious, such as while conversing with a coworker they admire. Others find the drama of role-playing excessive, and learning possibilities are overlooked, turning sessions into just entertainment (Fuller, 2018).</w:t>
      </w:r>
    </w:p>
    <w:p>
      <w:pPr>
        <w:pStyle w:val="3"/>
        <w:spacing w:before="312" w:beforeLines="100" w:after="312" w:afterLines="100"/>
        <w:rPr>
          <w:rFonts w:ascii="Times New Roman Regular" w:hAnsi="Times New Roman Regular" w:cs="Times New Roman Regular"/>
          <w:bCs/>
          <w:sz w:val="28"/>
          <w:szCs w:val="28"/>
        </w:rPr>
      </w:pPr>
      <w:bookmarkStart w:id="22" w:name="_Toc550118610"/>
      <w:bookmarkStart w:id="23" w:name="_Toc1244272786"/>
      <w:r>
        <w:rPr>
          <w:rFonts w:ascii="Times New Roman Regular" w:hAnsi="Times New Roman Regular" w:cs="Times New Roman Regular"/>
          <w:bCs/>
          <w:sz w:val="28"/>
          <w:szCs w:val="28"/>
        </w:rPr>
        <w:t>5.3 Reasons for choosing methods</w:t>
      </w:r>
      <w:bookmarkEnd w:id="22"/>
      <w:bookmarkEnd w:id="23"/>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Students can actively engage in the learning process through interactive teaching approaches, absorbing the maximum amount of information and knowledge from the teacher. Teachers use different ways to engage students in interaction, role-playing and inductive methods are also included in the interactive education method. Teachers who utilize interactive teaching methods are better able to assess students' mastery of subject-specific materials, while interactive teaching enhances the learning process. The downside is that the interactive effort employed by the educator involves the risk that the learner will not engage, use higher order thinking or learn enough content that the instructor will feel out of control. As students put their theoretically learned skills into practice during role-playing,</w:t>
      </w:r>
      <w:r>
        <w:t xml:space="preserve"> </w:t>
      </w:r>
      <w:r>
        <w:rPr>
          <w:rFonts w:hint="eastAsia" w:ascii="Times New Roman Regular" w:hAnsi="Times New Roman Regular" w:cs="Times New Roman Regular"/>
          <w:sz w:val="24"/>
        </w:rPr>
        <w:t>t</w:t>
      </w:r>
      <w:r>
        <w:rPr>
          <w:rFonts w:ascii="Times New Roman Regular" w:hAnsi="Times New Roman Regular" w:cs="Times New Roman Regular"/>
          <w:sz w:val="24"/>
        </w:rPr>
        <w:t>his builds a stronger cognitive link between the content and the pupils, making it simpler for them to learn (McEwen et al., 2014; Johnson &amp; Johnson, 1997).</w:t>
      </w:r>
      <w:r>
        <w:t xml:space="preserve"> </w:t>
      </w:r>
      <w:r>
        <w:rPr>
          <w:rFonts w:ascii="Times New Roman Regular" w:hAnsi="Times New Roman Regular" w:cs="Times New Roman Regular"/>
          <w:sz w:val="24"/>
        </w:rPr>
        <w:t>Role-playing as a training technique can assist students in changing their behaviour and applying best practises in real-world situations (Beard, et. al., 1995). Inductive learning helps students understand the connections between important pieces of information and, based on their own Conditions make their own statements. It is also a method of exploration. It is easy to make detours, but it is beneficial to guide students to think innovatively. In this way, the strategy allows students to see that induction is not only a teaching tool but also a way of thinking (Smart, K. L., 2012).</w:t>
      </w:r>
    </w:p>
    <w:p>
      <w:pPr>
        <w:spacing w:line="480" w:lineRule="auto"/>
        <w:rPr>
          <w:rFonts w:hint="eastAsia" w:ascii="Times New Roman Regular" w:hAnsi="Times New Roman Regular" w:cs="Times New Roman Regular"/>
          <w:sz w:val="24"/>
        </w:rPr>
      </w:pPr>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Adult Learners' Self-Directed Learning (SDL) gives insight into how adults learn and assists instructors in being more effective in their profession and attentive to the requirements of the students they serve. Be proactive in designing, executing, and evaluating your own learning experiences without the assistance of others (Knowles, 1975). This just corresponds to the inductive method of giving the initiative of learning to the students, and the students find out the conclusions and laws in independent thinking again and again. Active learning and independent thinking are the common characteristics of innovative talents. Inductive teaching enables adult learners to base innovation on a solid knowledge base. Adult learners' transformative learning (TL) is frequently defined as learning that alters how they think about themselves and the world, resulting in a shift in consciousness. English learners, for example, frequently claim that as they develop confidence in speaking in a new language, their perspectives of American society and of themselves alter (King, 2000). This corresponds to the learning approach of role-playing; the open-ended nature of role-playing allows each session and scene to be customised to the demands of diverse groups of learners in order to stand in for the role itself.</w:t>
      </w:r>
    </w:p>
    <w:p>
      <w:pPr>
        <w:spacing w:line="480" w:lineRule="auto"/>
        <w:rPr>
          <w:rFonts w:hint="eastAsia" w:ascii="Times New Roman Regular" w:hAnsi="Times New Roman Regular" w:cs="Times New Roman Regular"/>
          <w:sz w:val="24"/>
        </w:rPr>
      </w:pPr>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 xml:space="preserve">To create a successful role-playing course, it's important to identify the problems you want learners to solve. Assessing in problem solving is the best approach because it allows the learner to know their problem and the topic of the situation that best fits the problem. </w:t>
      </w:r>
      <w:r>
        <w:rPr>
          <w:rFonts w:hint="eastAsia" w:ascii="Times New Roman Regular" w:hAnsi="Times New Roman Regular" w:cs="Times New Roman Regular"/>
          <w:sz w:val="24"/>
        </w:rPr>
        <w:t>Identifying these elements will offer a good framework for generating discussions, and keeping subjects and questions related will make it easy to construct appropriate characters</w:t>
      </w:r>
      <w:r>
        <w:rPr>
          <w:rFonts w:ascii="Times New Roman Regular" w:hAnsi="Times New Roman Regular" w:cs="Times New Roman Regular"/>
          <w:sz w:val="24"/>
        </w:rPr>
        <w:t xml:space="preserve"> (Bawa, A., 2020). And assessment induction can allow learners to locate their true ideas and room for subsequent improvement, a process that helps them better engage with information even if they are wrong. It helps them understand the underlying logic in a more memorable way.</w:t>
      </w:r>
    </w:p>
    <w:p>
      <w:pPr>
        <w:pStyle w:val="2"/>
        <w:rPr>
          <w:rFonts w:hint="eastAsia" w:ascii="Times New Roman Regular" w:hAnsi="Times New Roman Regular" w:cs="Times New Roman Regular"/>
          <w:bCs w:val="0"/>
          <w:szCs w:val="30"/>
        </w:rPr>
      </w:pPr>
      <w:bookmarkStart w:id="24" w:name="_Toc296959816"/>
      <w:bookmarkStart w:id="25" w:name="_Toc926377935"/>
      <w:r>
        <w:rPr>
          <w:rFonts w:ascii="Times New Roman Regular" w:hAnsi="Times New Roman Regular" w:cs="Times New Roman Regular"/>
          <w:bCs w:val="0"/>
          <w:szCs w:val="30"/>
        </w:rPr>
        <w:t>6.0 Group Learning Theory</w:t>
      </w:r>
      <w:bookmarkEnd w:id="24"/>
      <w:bookmarkEnd w:id="25"/>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Group learning refers to learners constructing their own knowledge, learning is an inherently social phenomenon often working in groups provides learners with the opportunity and means to express ideas and insights while in the process learners discover gaps and misunderstandings in previous assumptions and subsequently communicate with other learners to create products or reach consensus (De Hei et al. , 2017).</w:t>
      </w:r>
    </w:p>
    <w:p>
      <w:pPr>
        <w:spacing w:line="480" w:lineRule="auto"/>
        <w:rPr>
          <w:rFonts w:hint="eastAsia" w:ascii="Times New Roman Regular" w:hAnsi="Times New Roman Regular" w:cs="Times New Roman Regular"/>
          <w:sz w:val="24"/>
        </w:rPr>
      </w:pPr>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Group learning allows team members to discover other deeper meanings in the content they are learning and can also improve thinking and communication skills.Group learning is most effective when it involves team members in content or problems that are thought-provoking, complex and require multiple thinking to explain (Wilson, Goodman and Cronin, 2007)</w:t>
      </w:r>
    </w:p>
    <w:p>
      <w:pPr>
        <w:spacing w:line="480" w:lineRule="auto"/>
        <w:rPr>
          <w:rFonts w:hint="eastAsia" w:ascii="Times New Roman Regular" w:hAnsi="Times New Roman Regular" w:cs="Times New Roman Regular"/>
          <w:sz w:val="24"/>
        </w:rPr>
      </w:pPr>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The phrases collaborative learning and cooperative learning are frequently used interchangeably in the context of group learning, although they are also different. Collaborative learning emphasises each group member's participation and is more focused on power sharing, which leads to conversation and consensus building on problems with no obvious right or wrong solutions. The team members are still in charge of group administration and processing (Tschuschke and Flatten, 2019). Cooperative learning, on the other hand, is often considered to be a part of collaborative learning, which involves the help of people other than the group members，</w:t>
      </w:r>
      <w:r>
        <w:rPr>
          <w:rFonts w:ascii="Times New Roman Regular" w:hAnsi="Times New Roman Regular" w:cs="Times New Roman Regular"/>
          <w:sz w:val="24"/>
          <w:lang w:eastAsia="zh-Hans"/>
        </w:rPr>
        <w:t>for example</w:t>
      </w:r>
      <w:r>
        <w:rPr>
          <w:rFonts w:ascii="Times New Roman Regular" w:hAnsi="Times New Roman Regular" w:cs="Times New Roman Regular"/>
          <w:sz w:val="24"/>
        </w:rPr>
        <w:t xml:space="preserve"> the leader, the teacher, and many more. The job and the group structure for executing it are designed by the leader, who also assigns duties to team members. The team members then engage under the leader's guidelines for active interdependence, assistance, and interaction, as well as individual competency, collaborative skills, and group processing (Johnson, Johnson and Smith, 1998). Both informal and formal groups can benefit from collaborative and cooperative learning, but both require leaders to carefully plan how to develop, monitor, and assess assignments.</w:t>
      </w:r>
    </w:p>
    <w:p>
      <w:pPr>
        <w:pStyle w:val="3"/>
        <w:spacing w:before="312" w:beforeLines="100" w:after="312" w:afterLines="100"/>
        <w:rPr>
          <w:rFonts w:ascii="Times New Roman Regular" w:hAnsi="Times New Roman Regular" w:cs="Times New Roman Regular"/>
          <w:bCs/>
          <w:sz w:val="28"/>
          <w:szCs w:val="28"/>
        </w:rPr>
      </w:pPr>
      <w:bookmarkStart w:id="26" w:name="_Toc251631884"/>
      <w:bookmarkStart w:id="27" w:name="_Toc377512795"/>
      <w:r>
        <w:rPr>
          <w:rFonts w:ascii="Times New Roman Regular" w:hAnsi="Times New Roman Regular" w:cs="Times New Roman Regular"/>
          <w:bCs/>
          <w:sz w:val="28"/>
          <w:szCs w:val="28"/>
        </w:rPr>
        <w:t>6.1 Benefits of group learning for adult learners</w:t>
      </w:r>
      <w:bookmarkEnd w:id="26"/>
      <w:bookmarkEnd w:id="27"/>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Adult learning theory describes how adults acquire new knowledge and abilities. There are major variances in degrees of prior knowledge between adult learners and youngsters, in addition to differences in motivation and excitement (Cox, 2015).</w:t>
      </w:r>
    </w:p>
    <w:p>
      <w:pPr>
        <w:spacing w:line="480" w:lineRule="auto"/>
        <w:rPr>
          <w:rFonts w:hint="eastAsia" w:ascii="Times New Roman Regular" w:hAnsi="Times New Roman Regular" w:cs="Times New Roman Regular"/>
          <w:sz w:val="24"/>
        </w:rPr>
      </w:pPr>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Maturity and experience are unique characteristics of the learning styles that adults possess, and the unique qualities that appeal to adult learners allow learning designers and educators to create more effective and motivating instruction (Allen, Rosch and Riggio, 2021).</w:t>
      </w:r>
    </w:p>
    <w:p>
      <w:pPr>
        <w:spacing w:line="480" w:lineRule="auto"/>
        <w:rPr>
          <w:rFonts w:hint="eastAsia" w:ascii="Times New Roman Regular" w:hAnsi="Times New Roman Regular" w:cs="Times New Roman Regular"/>
          <w:sz w:val="24"/>
        </w:rPr>
      </w:pPr>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Adult learners have a strong desire to be in charge of their own lives and decisions, thus it is critical for them to be in charge of their own education. Adult learners' self-assessment and peer relationships with lecturers can thus be aided by group learning. Adult learners frequently want information that is directly applicable to their professional demands, and they frequently choose practical knowledge to improve their abilities, simplify their job, and boost their confidence (Zubialde, Mold and Eubank, 2009). Group learning allows team members to take on different roles to simulate real-life work problems, allowing each person to experience them in a different role.</w:t>
      </w:r>
    </w:p>
    <w:p>
      <w:pPr>
        <w:spacing w:line="480" w:lineRule="auto"/>
        <w:rPr>
          <w:rFonts w:hint="eastAsia" w:ascii="Times New Roman Regular" w:hAnsi="Times New Roman Regular" w:cs="Times New Roman Regular"/>
          <w:sz w:val="24"/>
        </w:rPr>
      </w:pPr>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The positive aspects of group learning are that it helps adult learners to better solve problems that are more complex than their own, to share different perspectives and advice in a group, to pool knowledge and skills, to hold group members directly accountable and responsible for problems and to receive social support and encouragement to take risks, to develop new ways of resolving differences, to build a shared identities, and develop their own voices and perspectives on their peers. Adult learners are prone to relating new concepts to previous experiences and validating new concepts based on old knowledge. This is why forming a class with adults with similar degrees of life experience is critical in order to foster conversation and sharing, resulting in a learning team of individuals who can engage intimately (Carnegie Mellon University, 2019).</w:t>
      </w:r>
    </w:p>
    <w:p>
      <w:pPr>
        <w:pStyle w:val="3"/>
        <w:spacing w:before="312" w:beforeLines="100" w:after="312" w:afterLines="100"/>
        <w:rPr>
          <w:rFonts w:ascii="Times New Roman Regular" w:hAnsi="Times New Roman Regular" w:cs="Times New Roman Regular"/>
          <w:bCs/>
          <w:sz w:val="28"/>
          <w:szCs w:val="28"/>
        </w:rPr>
      </w:pPr>
      <w:bookmarkStart w:id="28" w:name="_Toc1190852327"/>
      <w:bookmarkStart w:id="29" w:name="_Toc781773445"/>
      <w:r>
        <w:rPr>
          <w:rFonts w:ascii="Times New Roman Regular" w:hAnsi="Times New Roman Regular" w:cs="Times New Roman Regular"/>
          <w:bCs/>
          <w:sz w:val="28"/>
          <w:szCs w:val="28"/>
        </w:rPr>
        <w:t>6.2 Negatives of group learning</w:t>
      </w:r>
      <w:bookmarkEnd w:id="28"/>
      <w:bookmarkEnd w:id="29"/>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One of the most difficult parts of group learning's negative characteristics is the dependency on positive group dynamics to function at peak efficiency. Individual disagreement can damage or obstruct a group's capacity to collaborate, which can be a big issue if members are unable to appropriately develop conflict resolution skills. Even if there is no conflict, various personalities can lead to poor collaborative learning in group learning because students with dominating personalities may take on leadership responsibilities, whether or not they are best qualified to supervise the activity at hand. Secondly there is uneven workload and assessment, collaborative learning can lead to an uneven distribution of workload, at its best collaborative learning encourages students to support and motivate each other and all participants experience the same increase in knowledge, but in some cases the more able members simply complete the majority of the project for the sake of ease and speed rather than helping the less able members along. In contrast, the less capable person will purposefully rely on the more capable member to do the task, avoiding any effort on their own. In both circumstances, the outcome is not just an unequal workload, but also an uneven learning experience, with some group members failing to increase their learning abilities. The same is true for member assessment, where group members are not usually assessed individually which can result in all group members receiving the same grade, which is not fair (InnerDrive, 2019).</w:t>
      </w:r>
    </w:p>
    <w:p>
      <w:pPr>
        <w:spacing w:line="480" w:lineRule="auto"/>
        <w:rPr>
          <w:rFonts w:hint="eastAsia" w:ascii="Times New Roman Regular" w:hAnsi="Times New Roman Regular" w:cs="Times New Roman Regular"/>
          <w:sz w:val="24"/>
        </w:rPr>
      </w:pPr>
    </w:p>
    <w:p>
      <w:pPr>
        <w:spacing w:line="480" w:lineRule="auto"/>
        <w:rPr>
          <w:rFonts w:hint="eastAsia" w:ascii="Times New Roman Regular" w:hAnsi="Times New Roman Regular" w:cs="Times New Roman Regular"/>
          <w:sz w:val="24"/>
        </w:rPr>
      </w:pPr>
      <w:r>
        <w:rPr>
          <w:rFonts w:ascii="Times New Roman Regular" w:hAnsi="Times New Roman Regular" w:cs="Times New Roman Regular"/>
          <w:sz w:val="24"/>
        </w:rPr>
        <w:t xml:space="preserve">Group leaning as a problem solving tool is not applicable if it is only interspersed in a training session and cannot be discussed for a long period of time, which can result in time running out before the group can reach a conclusion on a problem. Group learning requires sufficient time for each member to express their views and ideas to discuss the problem. Collaborative learning does not apply to all learning tasks; simple knowledge and skills tasks do not require group learning, and the use of group learning cannot be achieved without the appropriate physical conditions; the conditions and size of the team can limit the use of collaborative learning (Argote and Levine, 2017). </w:t>
      </w:r>
    </w:p>
    <w:p>
      <w:pPr>
        <w:pStyle w:val="2"/>
        <w:rPr>
          <w:rFonts w:hint="eastAsia" w:ascii="Times New Roman Regular" w:hAnsi="Times New Roman Regular" w:cs="Times New Roman Regular"/>
          <w:bCs w:val="0"/>
          <w:szCs w:val="30"/>
        </w:rPr>
      </w:pPr>
      <w:bookmarkStart w:id="30" w:name="_Toc961337769"/>
      <w:bookmarkStart w:id="31" w:name="_Toc107469849"/>
      <w:r>
        <w:rPr>
          <w:rFonts w:ascii="Times New Roman Regular" w:hAnsi="Times New Roman Regular" w:cs="Times New Roman Regular"/>
          <w:bCs w:val="0"/>
          <w:szCs w:val="30"/>
        </w:rPr>
        <w:t>7.0 Conclusion</w:t>
      </w:r>
      <w:bookmarkEnd w:id="30"/>
      <w:bookmarkEnd w:id="31"/>
    </w:p>
    <w:p>
      <w:pPr>
        <w:spacing w:line="360" w:lineRule="auto"/>
        <w:rPr>
          <w:rFonts w:ascii="Times New Roman" w:hAnsi="Times New Roman" w:cs="Times New Roman"/>
          <w:sz w:val="24"/>
        </w:rPr>
      </w:pPr>
      <w:r>
        <w:rPr>
          <w:rFonts w:ascii="Times New Roman" w:hAnsi="Times New Roman" w:cs="Times New Roman"/>
          <w:sz w:val="24"/>
        </w:rPr>
        <w:t>With the globalisation of the economy, the ability to think critically has become an essential skill for leaders. It will take a holistic view of problems and propose sound solutions, while also promoting innovation and performance among employees. This paper contains a complete learning schedule with objectives, goals, time allocation, activity content and resources used. It has been found that the inductive learning approach to learning provides an understanding of the extent to which students have mastered their learning. Role-playing helps students to take greater control of their learning process, which promotes understanding of ambiguous concepts and complex issues, and enhances students' sense of self-reflection. Interactive learning methods enhance the learning process while allowing teachers to better assess students' mastery of specific material. The learning process of group learning theory is collaborative, emphasising the contribution of individual group members, who in collaboration can communicate and eventually build consensus on specific topics.</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jc w:val="right"/>
        <w:rPr>
          <w:rFonts w:ascii="Times New Roman" w:hAnsi="Times New Roman" w:cs="Times New Roman"/>
          <w:sz w:val="24"/>
          <w:lang w:eastAsia="zh-Hans"/>
        </w:rPr>
      </w:pPr>
      <w:r>
        <w:rPr>
          <w:rFonts w:hint="eastAsia" w:ascii="Times New Roman" w:hAnsi="Times New Roman" w:cs="Times New Roman"/>
          <w:sz w:val="24"/>
          <w:lang w:eastAsia="zh-Hans"/>
        </w:rPr>
        <w:t>Word</w:t>
      </w:r>
      <w:r>
        <w:rPr>
          <w:rFonts w:ascii="Times New Roman" w:hAnsi="Times New Roman" w:cs="Times New Roman"/>
          <w:sz w:val="24"/>
          <w:lang w:eastAsia="zh-Hans"/>
        </w:rPr>
        <w:t xml:space="preserve"> </w:t>
      </w:r>
      <w:r>
        <w:rPr>
          <w:rFonts w:hint="eastAsia" w:ascii="Times New Roman" w:hAnsi="Times New Roman" w:cs="Times New Roman"/>
          <w:sz w:val="24"/>
          <w:lang w:eastAsia="zh-Hans"/>
        </w:rPr>
        <w:t>Count</w:t>
      </w:r>
      <w:r>
        <w:rPr>
          <w:rFonts w:ascii="Times New Roman" w:hAnsi="Times New Roman" w:cs="Times New Roman"/>
          <w:sz w:val="24"/>
          <w:lang w:eastAsia="zh-Hans"/>
        </w:rPr>
        <w:t>: 4214</w:t>
      </w:r>
    </w:p>
    <w:p>
      <w:pPr>
        <w:widowControl/>
        <w:jc w:val="left"/>
        <w:rPr>
          <w:rFonts w:ascii="Times New Roman" w:hAnsi="Times New Roman" w:cs="Times New Roman"/>
          <w:sz w:val="24"/>
          <w:lang w:eastAsia="zh-Hans"/>
        </w:rPr>
      </w:pPr>
      <w:r>
        <w:rPr>
          <w:rFonts w:ascii="Times New Roman" w:hAnsi="Times New Roman" w:cs="Times New Roman"/>
          <w:sz w:val="24"/>
          <w:lang w:eastAsia="zh-Hans"/>
        </w:rPr>
        <w:br w:type="page"/>
      </w:r>
    </w:p>
    <w:p>
      <w:pPr>
        <w:pStyle w:val="2"/>
        <w:rPr>
          <w:rFonts w:hint="eastAsia" w:ascii="Times New Roman Regular" w:hAnsi="Times New Roman Regular" w:cs="Times New Roman Regular"/>
          <w:bCs w:val="0"/>
          <w:szCs w:val="30"/>
          <w:lang w:eastAsia="zh-Hans"/>
        </w:rPr>
      </w:pPr>
      <w:bookmarkStart w:id="32" w:name="_Toc212005016"/>
      <w:r>
        <w:rPr>
          <w:rFonts w:ascii="Times New Roman Regular" w:hAnsi="Times New Roman Regular" w:cs="Times New Roman Regular"/>
          <w:bCs w:val="0"/>
          <w:szCs w:val="30"/>
          <w:lang w:eastAsia="zh-Hans"/>
        </w:rPr>
        <w:t>Reference</w:t>
      </w:r>
      <w:bookmarkEnd w:id="32"/>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Albanese, J. and Paturas, J. (2018) ‘The importance of critical thinking skills in disaster management’, Journal of business continuity &amp; emergency planning, 11(4), pp. 326–334.</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Allen, S.J., Rosch, D.M. and Riggio, R.E. (2021) ‘Advancing Leadership Education and Development: Integrating Adult Learning Theory’, </w:t>
      </w:r>
      <w:r>
        <w:rPr>
          <w:rFonts w:ascii="Times New Roman Regular" w:hAnsi="Times New Roman Regular" w:cs="Times New Roman Regular"/>
          <w:i/>
          <w:iCs/>
          <w:sz w:val="24"/>
        </w:rPr>
        <w:t xml:space="preserve">Journal of management education, </w:t>
      </w:r>
      <w:r>
        <w:rPr>
          <w:rFonts w:ascii="Times New Roman Regular" w:hAnsi="Times New Roman Regular" w:cs="Times New Roman Regular"/>
          <w:sz w:val="24"/>
        </w:rPr>
        <w:t>46(2), pp. 252–283. </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Argote, L. and Levine, J.M. (2017) </w:t>
      </w:r>
      <w:r>
        <w:rPr>
          <w:rFonts w:ascii="Times New Roman Regular" w:hAnsi="Times New Roman Regular" w:cs="Times New Roman Regular"/>
          <w:i/>
          <w:iCs/>
          <w:sz w:val="24"/>
        </w:rPr>
        <w:t xml:space="preserve">The Oxford handbook of group and organizational learning. </w:t>
      </w:r>
      <w:r>
        <w:rPr>
          <w:rFonts w:ascii="Times New Roman Regular" w:hAnsi="Times New Roman Regular" w:cs="Times New Roman Regular"/>
          <w:sz w:val="24"/>
        </w:rPr>
        <w:t>New York: Oxford University Press.</w:t>
      </w:r>
    </w:p>
    <w:p>
      <w:pPr>
        <w:pStyle w:val="16"/>
        <w:widowControl/>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eastAsia="宋体" w:cs="Times New Roman Regular"/>
          <w:kern w:val="0"/>
          <w:sz w:val="24"/>
          <w:lang w:bidi="ar"/>
        </w:rPr>
        <w:t xml:space="preserve">Bawa, A. (2020) ‘Role-Play’, </w:t>
      </w:r>
      <w:r>
        <w:rPr>
          <w:rFonts w:ascii="Times New Roman Regular" w:hAnsi="Times New Roman Regular" w:eastAsia="宋体" w:cs="Times New Roman Regular"/>
          <w:i/>
          <w:kern w:val="0"/>
          <w:sz w:val="24"/>
          <w:lang w:bidi="ar"/>
        </w:rPr>
        <w:t>The Students’ Guide to Learning Design and Research.</w:t>
      </w:r>
      <w:r>
        <w:rPr>
          <w:rFonts w:ascii="Times New Roman Regular" w:hAnsi="Times New Roman Regular" w:eastAsia="宋体" w:cs="Times New Roman Regular"/>
          <w:kern w:val="0"/>
          <w:sz w:val="24"/>
          <w:lang w:bidi="ar"/>
        </w:rPr>
        <w:t xml:space="preserve"> [</w:t>
      </w:r>
      <w:r>
        <w:rPr>
          <w:rFonts w:ascii="Times New Roman Regular" w:hAnsi="Times New Roman Regular" w:eastAsia="宋体" w:cs="Times New Roman Regular"/>
          <w:kern w:val="0"/>
          <w:sz w:val="24"/>
          <w:lang w:eastAsia="zh-Hans" w:bidi="ar"/>
        </w:rPr>
        <w:t>online</w:t>
      </w:r>
      <w:r>
        <w:rPr>
          <w:rFonts w:ascii="Times New Roman Regular" w:hAnsi="Times New Roman Regular" w:eastAsia="宋体" w:cs="Times New Roman Regular"/>
          <w:kern w:val="0"/>
          <w:sz w:val="24"/>
          <w:lang w:bidi="ar"/>
        </w:rPr>
        <w:t xml:space="preserve">] Available at: </w:t>
      </w:r>
      <w:r>
        <w:fldChar w:fldCharType="begin"/>
      </w:r>
      <w:r>
        <w:instrText xml:space="preserve"> HYPERLINK "https://edtechbooks.org/studentguide/roleplay" </w:instrText>
      </w:r>
      <w:r>
        <w:fldChar w:fldCharType="separate"/>
      </w:r>
      <w:r>
        <w:rPr>
          <w:rStyle w:val="14"/>
          <w:rFonts w:ascii="Times New Roman Regular" w:hAnsi="Times New Roman Regular" w:eastAsia="宋体" w:cs="Times New Roman Regular"/>
          <w:sz w:val="24"/>
        </w:rPr>
        <w:t>https://edtechbooks.org/studentguide/roleplay</w:t>
      </w:r>
      <w:r>
        <w:rPr>
          <w:rStyle w:val="14"/>
          <w:rFonts w:ascii="Times New Roman Regular" w:hAnsi="Times New Roman Regular" w:eastAsia="宋体" w:cs="Times New Roman Regular"/>
          <w:sz w:val="24"/>
        </w:rPr>
        <w:fldChar w:fldCharType="end"/>
      </w:r>
      <w:r>
        <w:rPr>
          <w:rFonts w:ascii="Times New Roman Regular" w:hAnsi="Times New Roman Regular" w:eastAsia="宋体" w:cs="Times New Roman Regular"/>
          <w:kern w:val="0"/>
          <w:sz w:val="24"/>
          <w:lang w:bidi="ar"/>
        </w:rPr>
        <w:t xml:space="preserve"> (Accessed: 19 April 2022).</w:t>
      </w:r>
    </w:p>
    <w:p>
      <w:pPr>
        <w:pStyle w:val="16"/>
        <w:widowControl/>
        <w:numPr>
          <w:ilvl w:val="0"/>
          <w:numId w:val="2"/>
        </w:numPr>
        <w:spacing w:before="156" w:beforeLines="50" w:after="156" w:afterLines="50"/>
        <w:ind w:firstLineChars="0"/>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Beard, R.L., Salas, E., &amp; Prince, C. (1995). Enhancing transfer of training: Using role-play to foster teamwork in the cockpit. The International Journal of Aviation Psychology, 5(2), 131-143.</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Block, V. (2006) ‘New York, New York’, Crain’s New York business, 22(26), p. 6–.</w:t>
      </w:r>
    </w:p>
    <w:p>
      <w:pPr>
        <w:pStyle w:val="16"/>
        <w:widowControl/>
        <w:numPr>
          <w:ilvl w:val="0"/>
          <w:numId w:val="2"/>
        </w:numPr>
        <w:spacing w:before="156" w:beforeLines="50" w:after="156" w:afterLines="50"/>
        <w:ind w:firstLineChars="0"/>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Bransford, J. D., Brown, A. L., &amp; Cocking, R. (Eds.). (1999). How people learn: Brain, mind, experience, and school. Washington, DC: National Academies Press</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Braybrooke, D. (2014) Meeting Needs. Course Book. Princeton, NJ: Princeton University Press,. doi:10.1515/9781400858521.</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Cabaret-style improv musical (2004) Back stage, 45(15), p. 14–.</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Carnegie Mellon University (2019). </w:t>
      </w:r>
      <w:r>
        <w:rPr>
          <w:rFonts w:ascii="Times New Roman Regular" w:hAnsi="Times New Roman Regular" w:cs="Times New Roman Regular"/>
          <w:i/>
          <w:iCs/>
          <w:sz w:val="24"/>
        </w:rPr>
        <w:t>What are the benefits of group work?</w:t>
      </w:r>
      <w:r>
        <w:rPr>
          <w:rFonts w:ascii="Times New Roman Regular" w:hAnsi="Times New Roman Regular" w:cs="Times New Roman Regular"/>
          <w:sz w:val="24"/>
        </w:rPr>
        <w:t xml:space="preserve">[online] Available at: </w:t>
      </w:r>
      <w:r>
        <w:fldChar w:fldCharType="begin"/>
      </w:r>
      <w:r>
        <w:instrText xml:space="preserve"> HYPERLINK "https://www.cmu.edu/teaching/designteach/design/instructionalstrategies/groupprojects/benefits.html." </w:instrText>
      </w:r>
      <w:r>
        <w:fldChar w:fldCharType="separate"/>
      </w:r>
      <w:r>
        <w:rPr>
          <w:rStyle w:val="14"/>
          <w:rFonts w:ascii="Times New Roman Regular" w:hAnsi="Times New Roman Regular" w:cs="Times New Roman Regular"/>
          <w:sz w:val="24"/>
        </w:rPr>
        <w:t>https://www.cmu.edu/teaching/designteach/design/instructionalstrategies/groupprojects/benefits.html.</w:t>
      </w:r>
      <w:r>
        <w:rPr>
          <w:rStyle w:val="14"/>
          <w:rFonts w:ascii="Times New Roman Regular" w:hAnsi="Times New Roman Regular" w:cs="Times New Roman Regular"/>
          <w:sz w:val="24"/>
        </w:rPr>
        <w:fldChar w:fldCharType="end"/>
      </w:r>
      <w:r>
        <w:rPr>
          <w:rFonts w:ascii="Times New Roman Regular" w:hAnsi="Times New Roman Regular" w:cs="Times New Roman Regular"/>
          <w:sz w:val="24"/>
        </w:rPr>
        <w:t xml:space="preserve">  [Accessed 18 Apr</w:t>
      </w:r>
      <w:r>
        <w:rPr>
          <w:rFonts w:ascii="Times New Roman Regular" w:hAnsi="Times New Roman Regular" w:cs="Times New Roman Regular"/>
          <w:sz w:val="24"/>
          <w:lang w:eastAsia="zh-Hans"/>
        </w:rPr>
        <w:t>il</w:t>
      </w:r>
      <w:r>
        <w:rPr>
          <w:rFonts w:ascii="Times New Roman Regular" w:hAnsi="Times New Roman Regular" w:cs="Times New Roman Regular"/>
          <w:sz w:val="24"/>
        </w:rPr>
        <w:t xml:space="preserve"> 2022].</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Cogan, R. (1998) </w:t>
      </w:r>
      <w:r>
        <w:rPr>
          <w:rFonts w:ascii="Times New Roman" w:hAnsi="Times New Roman" w:eastAsia="DengXian" w:cs="Times New Roman"/>
          <w:i/>
          <w:iCs/>
          <w:sz w:val="24"/>
        </w:rPr>
        <w:t>Critical Thinking: Step by Step</w:t>
      </w:r>
      <w:r>
        <w:rPr>
          <w:rFonts w:ascii="Times New Roman" w:hAnsi="Times New Roman" w:eastAsia="DengXian" w:cs="Times New Roman"/>
          <w:sz w:val="24"/>
        </w:rPr>
        <w:t>. University Press of America.</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Cottrell, S. (2017) </w:t>
      </w:r>
      <w:r>
        <w:rPr>
          <w:rFonts w:ascii="Times New Roman" w:hAnsi="Times New Roman" w:eastAsia="DengXian" w:cs="Times New Roman"/>
          <w:i/>
          <w:iCs/>
          <w:sz w:val="24"/>
        </w:rPr>
        <w:t>Critical Thinking Skills: Effective Analysis, Argument and Reflection</w:t>
      </w:r>
      <w:r>
        <w:rPr>
          <w:rFonts w:ascii="Times New Roman" w:hAnsi="Times New Roman" w:eastAsia="DengXian" w:cs="Times New Roman"/>
          <w:sz w:val="24"/>
        </w:rPr>
        <w:t>. Bloomsbury Publishing.</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Cox, E. (2015). Coaching and Adult Learning: Theory and Practice. </w:t>
      </w:r>
      <w:r>
        <w:rPr>
          <w:rFonts w:ascii="Times New Roman Regular" w:hAnsi="Times New Roman Regular" w:cs="Times New Roman Regular"/>
          <w:i/>
          <w:iCs/>
          <w:sz w:val="24"/>
        </w:rPr>
        <w:t>New Directions for Adult and Continuing Education,</w:t>
      </w:r>
      <w:r>
        <w:rPr>
          <w:rFonts w:ascii="Times New Roman Regular" w:hAnsi="Times New Roman Regular" w:cs="Times New Roman Regular"/>
          <w:sz w:val="24"/>
        </w:rPr>
        <w:t xml:space="preserve"> 2015(148), pp.27–38.</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Daft, R.L. (2014) </w:t>
      </w:r>
      <w:r>
        <w:rPr>
          <w:rFonts w:ascii="Times New Roman" w:hAnsi="Times New Roman" w:eastAsia="DengXian" w:cs="Times New Roman"/>
          <w:i/>
          <w:iCs/>
          <w:sz w:val="24"/>
        </w:rPr>
        <w:t>The Leadership Experience</w:t>
      </w:r>
      <w:r>
        <w:rPr>
          <w:rFonts w:ascii="Times New Roman" w:hAnsi="Times New Roman" w:eastAsia="DengXian" w:cs="Times New Roman"/>
          <w:sz w:val="24"/>
        </w:rPr>
        <w:t>. Cengage Learning.</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Das, T.K. (1994) ‘EDUCATING TOMORROW’S MANAGERS: THE ROLE OF CRITICAL THINKING’, </w:t>
      </w:r>
      <w:r>
        <w:rPr>
          <w:rFonts w:ascii="Times New Roman" w:hAnsi="Times New Roman" w:eastAsia="DengXian" w:cs="Times New Roman"/>
          <w:i/>
          <w:iCs/>
          <w:sz w:val="24"/>
        </w:rPr>
        <w:t>The International Journal of Organizational Analysis</w:t>
      </w:r>
      <w:r>
        <w:rPr>
          <w:rFonts w:ascii="Times New Roman" w:hAnsi="Times New Roman" w:eastAsia="DengXian" w:cs="Times New Roman"/>
          <w:sz w:val="24"/>
        </w:rPr>
        <w:t>, 2(4), pp. 333–360.</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De Hei, M., Admiraal, W., Sjoer, E. and Strijbos, J.-W. (2017). Group learning activities and perceived learning outcomes. </w:t>
      </w:r>
      <w:r>
        <w:rPr>
          <w:rFonts w:ascii="Times New Roman Regular" w:hAnsi="Times New Roman Regular" w:cs="Times New Roman Regular"/>
          <w:i/>
          <w:iCs/>
          <w:sz w:val="24"/>
        </w:rPr>
        <w:t>Studies in Higher Education,</w:t>
      </w:r>
      <w:r>
        <w:rPr>
          <w:rFonts w:ascii="Times New Roman Regular" w:hAnsi="Times New Roman Regular" w:cs="Times New Roman Regular"/>
          <w:sz w:val="24"/>
        </w:rPr>
        <w:t xml:space="preserve"> 43(12), pp.2354–2370.</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Duarte, D.L. and Snyder, N.T. (2006) </w:t>
      </w:r>
      <w:r>
        <w:rPr>
          <w:rFonts w:ascii="Times New Roman" w:hAnsi="Times New Roman" w:eastAsia="DengXian" w:cs="Times New Roman"/>
          <w:i/>
          <w:iCs/>
          <w:sz w:val="24"/>
        </w:rPr>
        <w:t>Mastering Virtual Teams: Strategies, Tools, and Techniques That Succeed</w:t>
      </w:r>
      <w:r>
        <w:rPr>
          <w:rFonts w:ascii="Times New Roman" w:hAnsi="Times New Roman" w:eastAsia="DengXian" w:cs="Times New Roman"/>
          <w:sz w:val="24"/>
        </w:rPr>
        <w:t>. John Wiley &amp; Sons.</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Eales-Reynolds, L.-J. et al. (2013) Critical thinking skills for education students. Second edition. London: Sage Publications.</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bookmarkStart w:id="33" w:name="OLE_LINK1"/>
      <w:r>
        <w:rPr>
          <w:rFonts w:ascii="Times New Roman Regular" w:hAnsi="Times New Roman Regular" w:cs="Times New Roman Regular"/>
          <w:sz w:val="24"/>
        </w:rPr>
        <w:t>Eggers, F., Lovelace, K.J. and Kraft, F. (2017)</w:t>
      </w:r>
      <w:bookmarkEnd w:id="33"/>
      <w:r>
        <w:rPr>
          <w:rFonts w:ascii="Times New Roman Regular" w:hAnsi="Times New Roman Regular" w:cs="Times New Roman Regular"/>
          <w:sz w:val="24"/>
        </w:rPr>
        <w:t xml:space="preserve"> ‘Fostering creativity through critical thinking: The case of business start‐up simulations’, Creativity and innovation management, 26(3), pp. 266–276. doi:10.1111/caim.12225.</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Eggers, F., Lovelace, K.J. and Kraft, F. (2017) ‘Fostering creativity through critical thinking: The case of business start-up simulations’, </w:t>
      </w:r>
      <w:r>
        <w:rPr>
          <w:rFonts w:ascii="Times New Roman" w:hAnsi="Times New Roman" w:eastAsia="DengXian" w:cs="Times New Roman"/>
          <w:i/>
          <w:iCs/>
          <w:sz w:val="24"/>
        </w:rPr>
        <w:t>Creativity and Innovation Management</w:t>
      </w:r>
      <w:r>
        <w:rPr>
          <w:rFonts w:ascii="Times New Roman" w:hAnsi="Times New Roman" w:eastAsia="DengXian" w:cs="Times New Roman"/>
          <w:sz w:val="24"/>
        </w:rPr>
        <w:t>, 26(3), pp. 266–276.</w:t>
      </w:r>
    </w:p>
    <w:p>
      <w:pPr>
        <w:pStyle w:val="16"/>
        <w:widowControl/>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eastAsia="宋体" w:cs="Times New Roman Regular"/>
          <w:kern w:val="0"/>
          <w:sz w:val="24"/>
          <w:lang w:eastAsia="zh-Hans" w:bidi="ar"/>
        </w:rPr>
        <w:t>Fuller Simon（2018）</w:t>
      </w:r>
      <w:r>
        <w:rPr>
          <w:rFonts w:ascii="Times New Roman Regular" w:hAnsi="Times New Roman Regular" w:eastAsia="宋体" w:cs="Times New Roman Regular"/>
          <w:kern w:val="0"/>
          <w:sz w:val="24"/>
          <w:lang w:bidi="ar"/>
        </w:rPr>
        <w:t>Advantages &amp; Disadvantages for Using Role Play As a Training Method.  [</w:t>
      </w:r>
      <w:r>
        <w:rPr>
          <w:rFonts w:ascii="Times New Roman Regular" w:hAnsi="Times New Roman Regular" w:eastAsia="宋体" w:cs="Times New Roman Regular"/>
          <w:kern w:val="0"/>
          <w:sz w:val="24"/>
          <w:lang w:eastAsia="zh-Hans" w:bidi="ar"/>
        </w:rPr>
        <w:t>online</w:t>
      </w:r>
      <w:r>
        <w:rPr>
          <w:rFonts w:ascii="Times New Roman Regular" w:hAnsi="Times New Roman Regular" w:eastAsia="宋体" w:cs="Times New Roman Regular"/>
          <w:kern w:val="0"/>
          <w:sz w:val="24"/>
          <w:lang w:bidi="ar"/>
        </w:rPr>
        <w:t xml:space="preserve">]  Available at: </w:t>
      </w:r>
      <w:r>
        <w:fldChar w:fldCharType="begin"/>
      </w:r>
      <w:r>
        <w:instrText xml:space="preserve"> HYPERLINK "https://bizfluent.com/info-12027484-advantages-disadvantages-using-role-play-training-method.html" </w:instrText>
      </w:r>
      <w:r>
        <w:fldChar w:fldCharType="separate"/>
      </w:r>
      <w:r>
        <w:rPr>
          <w:rStyle w:val="14"/>
          <w:rFonts w:ascii="Times New Roman Regular" w:hAnsi="Times New Roman Regular" w:eastAsia="宋体" w:cs="Times New Roman Regular"/>
          <w:sz w:val="24"/>
        </w:rPr>
        <w:t>https://bizfluent.com/info-12027484-advantages-disadvantages-using-role-play-training-method.html</w:t>
      </w:r>
      <w:r>
        <w:rPr>
          <w:rStyle w:val="14"/>
          <w:rFonts w:ascii="Times New Roman Regular" w:hAnsi="Times New Roman Regular" w:eastAsia="宋体" w:cs="Times New Roman Regular"/>
          <w:sz w:val="24"/>
        </w:rPr>
        <w:fldChar w:fldCharType="end"/>
      </w:r>
      <w:r>
        <w:rPr>
          <w:rFonts w:ascii="Times New Roman Regular" w:hAnsi="Times New Roman Regular" w:eastAsia="宋体" w:cs="Times New Roman Regular"/>
          <w:kern w:val="0"/>
          <w:sz w:val="24"/>
          <w:lang w:bidi="ar"/>
        </w:rPr>
        <w:t xml:space="preserve"> (Accessed: 4 May 2022).</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Gemmill, G. and Oakley, J. (1992) ‘Leadership: An Alienating Social Myth?’, </w:t>
      </w:r>
      <w:r>
        <w:rPr>
          <w:rFonts w:ascii="Times New Roman" w:hAnsi="Times New Roman" w:eastAsia="DengXian" w:cs="Times New Roman"/>
          <w:i/>
          <w:iCs/>
          <w:sz w:val="24"/>
        </w:rPr>
        <w:t>Human Relations</w:t>
      </w:r>
      <w:r>
        <w:rPr>
          <w:rFonts w:ascii="Times New Roman" w:hAnsi="Times New Roman" w:eastAsia="DengXian" w:cs="Times New Roman"/>
          <w:sz w:val="24"/>
        </w:rPr>
        <w:t>, 45(2), pp. 113–129.</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fldChar w:fldCharType="begin"/>
      </w:r>
      <w:r>
        <w:instrText xml:space="preserve"> HYPERLINK "https://blog.innerdrive.co.uk/advantages-disadvantages-group-work#:~:text=Numerous%20research%20studies%20have%20shown%20the%20benefits%20of" </w:instrText>
      </w:r>
      <w:r>
        <w:fldChar w:fldCharType="separate"/>
      </w:r>
      <w:r>
        <w:rPr>
          <w:rStyle w:val="14"/>
          <w:rFonts w:ascii="Times New Roman Regular" w:hAnsi="Times New Roman Regular" w:cs="Times New Roman Regular"/>
          <w:sz w:val="24"/>
        </w:rPr>
        <w:t>https://blog.innerdrive.co.uk/advantages-disadvantages-group-work#:~:text=Numerous%20research%20studies%20have%20shown%20the%20benefits%20of</w:t>
      </w:r>
      <w:r>
        <w:rPr>
          <w:rStyle w:val="14"/>
          <w:rFonts w:ascii="Times New Roman Regular" w:hAnsi="Times New Roman Regular" w:cs="Times New Roman Regular"/>
          <w:sz w:val="24"/>
        </w:rPr>
        <w:fldChar w:fldCharType="end"/>
      </w:r>
      <w:r>
        <w:rPr>
          <w:rFonts w:ascii="Times New Roman Regular" w:hAnsi="Times New Roman Regular" w:cs="Times New Roman Regular"/>
          <w:sz w:val="24"/>
        </w:rPr>
        <w:t xml:space="preserve"> [Accessed 18 Apr</w:t>
      </w:r>
      <w:r>
        <w:rPr>
          <w:rFonts w:ascii="Times New Roman Regular" w:hAnsi="Times New Roman Regular" w:cs="Times New Roman Regular"/>
          <w:sz w:val="24"/>
          <w:lang w:eastAsia="zh-Hans"/>
        </w:rPr>
        <w:t>il</w:t>
      </w:r>
      <w:r>
        <w:rPr>
          <w:rFonts w:ascii="Times New Roman Regular" w:hAnsi="Times New Roman Regular" w:cs="Times New Roman Regular"/>
          <w:sz w:val="24"/>
        </w:rPr>
        <w:t xml:space="preserve"> 2022].</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fldChar w:fldCharType="begin"/>
      </w:r>
      <w:r>
        <w:instrText xml:space="preserve"> HYPERLINK "https://citl.illinois.edu/citl-101/teaching-learning/resources/teaching-strategies/group-learning." </w:instrText>
      </w:r>
      <w:r>
        <w:fldChar w:fldCharType="separate"/>
      </w:r>
      <w:r>
        <w:rPr>
          <w:rStyle w:val="14"/>
          <w:rFonts w:ascii="Times New Roman Regular" w:hAnsi="Times New Roman Regular" w:cs="Times New Roman Regular"/>
          <w:sz w:val="24"/>
        </w:rPr>
        <w:t>https://citl.illinois.edu/citl-101/teaching-learning/resources/teaching-strategies/group-learning.</w:t>
      </w:r>
      <w:r>
        <w:rPr>
          <w:rStyle w:val="14"/>
          <w:rFonts w:ascii="Times New Roman Regular" w:hAnsi="Times New Roman Regular" w:cs="Times New Roman Regular"/>
          <w:sz w:val="24"/>
        </w:rPr>
        <w:fldChar w:fldCharType="end"/>
      </w:r>
      <w:r>
        <w:rPr>
          <w:rFonts w:ascii="Times New Roman Regular" w:hAnsi="Times New Roman Regular" w:cs="Times New Roman Regular"/>
          <w:sz w:val="24"/>
        </w:rPr>
        <w:t xml:space="preserve">  [Accessed 18 April 2022].</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Hunter, T.N. (1986) ‘Review of Modern Approaches to Understanding and Managing Organizations’, </w:t>
      </w:r>
      <w:r>
        <w:rPr>
          <w:rFonts w:ascii="Times New Roman" w:hAnsi="Times New Roman" w:eastAsia="DengXian" w:cs="Times New Roman"/>
          <w:i/>
          <w:iCs/>
          <w:sz w:val="24"/>
        </w:rPr>
        <w:t>Public Productivity Review</w:t>
      </w:r>
      <w:r>
        <w:rPr>
          <w:rFonts w:ascii="Times New Roman" w:hAnsi="Times New Roman" w:eastAsia="DengXian" w:cs="Times New Roman"/>
          <w:sz w:val="24"/>
        </w:rPr>
        <w:t>, 10(1), pp. 111–113.</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Illinois. (2020). </w:t>
      </w:r>
      <w:r>
        <w:rPr>
          <w:rFonts w:ascii="Times New Roman Regular" w:hAnsi="Times New Roman Regular" w:cs="Times New Roman Regular"/>
          <w:i/>
          <w:iCs/>
          <w:sz w:val="24"/>
        </w:rPr>
        <w:t>Group Learning.</w:t>
      </w:r>
      <w:r>
        <w:rPr>
          <w:rFonts w:ascii="Times New Roman Regular" w:hAnsi="Times New Roman Regular" w:cs="Times New Roman Regular"/>
          <w:sz w:val="24"/>
        </w:rPr>
        <w:t xml:space="preserve"> [online] Available at: </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 xml:space="preserve">InnerDrive. (2019). 10 advantages and disadvantages of group work in the classroom. [online] Available at: </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Johnson, D. W., Johnson, R. T., and Smith, K. A. (1998). Cooperative learning returns to college: What evidence is there that it works.</w:t>
      </w:r>
      <w:r>
        <w:rPr>
          <w:rFonts w:ascii="Times New Roman Regular" w:hAnsi="Times New Roman Regular" w:cs="Times New Roman Regular"/>
          <w:i/>
          <w:iCs/>
          <w:sz w:val="24"/>
        </w:rPr>
        <w:t xml:space="preserve"> Change, </w:t>
      </w:r>
      <w:r>
        <w:rPr>
          <w:rFonts w:ascii="Times New Roman Regular" w:hAnsi="Times New Roman Regular" w:cs="Times New Roman Regular"/>
          <w:sz w:val="24"/>
        </w:rPr>
        <w:t>30(4), pp.27-35.</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bookmarkStart w:id="34" w:name="OLE_LINK3"/>
      <w:r>
        <w:rPr>
          <w:rFonts w:ascii="Times New Roman Regular" w:hAnsi="Times New Roman Regular" w:cs="Times New Roman Regular"/>
          <w:sz w:val="24"/>
        </w:rPr>
        <w:t>Kadosh, K.C. (2020)</w:t>
      </w:r>
      <w:bookmarkEnd w:id="34"/>
      <w:r>
        <w:rPr>
          <w:rFonts w:ascii="Times New Roman Regular" w:hAnsi="Times New Roman Regular" w:cs="Times New Roman Regular"/>
          <w:sz w:val="24"/>
        </w:rPr>
        <w:t xml:space="preserve"> The Oxford handbook of developmental cognitive neuroscience. Oxford: Oxford University Press.</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Kamm, F.M. Frances M. et al. (2016) The trolley problem mysteries. New York: Oxford University Press.</w:t>
      </w:r>
    </w:p>
    <w:p>
      <w:pPr>
        <w:pStyle w:val="16"/>
        <w:widowControl/>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eastAsia="宋体" w:cs="Times New Roman Regular"/>
          <w:kern w:val="0"/>
          <w:sz w:val="24"/>
          <w:lang w:bidi="ar"/>
        </w:rPr>
        <w:t xml:space="preserve">King, K. (2000). The adult ESL experience: Facilitating perspective transformation in the classroom. Adult Basic Education, 10(2), 69–89. </w:t>
      </w:r>
    </w:p>
    <w:p>
      <w:pPr>
        <w:pStyle w:val="16"/>
        <w:widowControl/>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eastAsia="宋体" w:cs="Times New Roman Regular"/>
          <w:kern w:val="0"/>
          <w:sz w:val="24"/>
          <w:lang w:bidi="ar"/>
        </w:rPr>
        <w:t>Knowles, M. (1975). Self-directed learning: A guide for learners and teachers. Chicago: Follett Publishing Company</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bookmarkStart w:id="35" w:name="OLE_LINK4"/>
      <w:r>
        <w:rPr>
          <w:rFonts w:ascii="Times New Roman Regular" w:hAnsi="Times New Roman Regular" w:cs="Times New Roman Regular"/>
          <w:sz w:val="24"/>
        </w:rPr>
        <w:t xml:space="preserve">Laird, P.W. (2017) </w:t>
      </w:r>
      <w:bookmarkEnd w:id="35"/>
      <w:r>
        <w:rPr>
          <w:rFonts w:ascii="Times New Roman Regular" w:hAnsi="Times New Roman Regular" w:cs="Times New Roman Regular"/>
          <w:sz w:val="24"/>
        </w:rPr>
        <w:t>‘How business historians can save the world - from the fallacy of self-made success’, Business history, 59(8), pp. 1201–1217. doi:10.1080/00076791.2016.1251904.</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Lurey, J.S. and Raisinghani, M.S. (2001) ‘An empirical study of best practices in virtual teams’, </w:t>
      </w:r>
      <w:r>
        <w:rPr>
          <w:rFonts w:ascii="Times New Roman" w:hAnsi="Times New Roman" w:eastAsia="DengXian" w:cs="Times New Roman"/>
          <w:i/>
          <w:iCs/>
          <w:sz w:val="24"/>
        </w:rPr>
        <w:t>Information &amp; Management</w:t>
      </w:r>
      <w:r>
        <w:rPr>
          <w:rFonts w:ascii="Times New Roman" w:hAnsi="Times New Roman" w:eastAsia="DengXian" w:cs="Times New Roman"/>
          <w:sz w:val="24"/>
        </w:rPr>
        <w:t>, 38(8), pp. 523–544.</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Luthans, F. and Peterson, S.J. (2002) ‘Employee engagement and manager self‐efficacy’, </w:t>
      </w:r>
      <w:r>
        <w:rPr>
          <w:rFonts w:ascii="Times New Roman" w:hAnsi="Times New Roman" w:eastAsia="DengXian" w:cs="Times New Roman"/>
          <w:i/>
          <w:iCs/>
          <w:sz w:val="24"/>
        </w:rPr>
        <w:t>Journal of Management Development</w:t>
      </w:r>
      <w:r>
        <w:rPr>
          <w:rFonts w:ascii="Times New Roman" w:hAnsi="Times New Roman" w:eastAsia="DengXian" w:cs="Times New Roman"/>
          <w:sz w:val="24"/>
        </w:rPr>
        <w:t>, 21(5), pp. 376–387.</w:t>
      </w:r>
    </w:p>
    <w:p>
      <w:pPr>
        <w:pStyle w:val="16"/>
        <w:widowControl/>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eastAsia="宋体" w:cs="Times New Roman Regular"/>
          <w:sz w:val="24"/>
        </w:rPr>
        <w:t>Maier（2002）</w:t>
      </w:r>
      <w:r>
        <w:rPr>
          <w:rFonts w:ascii="Times New Roman Regular" w:hAnsi="Times New Roman Regular" w:eastAsia="宋体" w:cs="Times New Roman Regular"/>
          <w:i/>
          <w:kern w:val="0"/>
          <w:sz w:val="24"/>
          <w:lang w:bidi="ar"/>
        </w:rPr>
        <w:t>Role playing: Structures and educational objectives</w:t>
      </w:r>
      <w:r>
        <w:rPr>
          <w:rFonts w:ascii="Times New Roman Regular" w:hAnsi="Times New Roman Regular" w:eastAsia="宋体" w:cs="Times New Roman Regular"/>
          <w:kern w:val="0"/>
          <w:sz w:val="24"/>
          <w:lang w:bidi="ar"/>
        </w:rPr>
        <w:t xml:space="preserve">  [</w:t>
      </w:r>
      <w:r>
        <w:rPr>
          <w:rFonts w:ascii="Times New Roman Regular" w:hAnsi="Times New Roman Regular" w:eastAsia="宋体" w:cs="Times New Roman Regular"/>
          <w:kern w:val="0"/>
          <w:sz w:val="24"/>
          <w:lang w:eastAsia="zh-Hans" w:bidi="ar"/>
        </w:rPr>
        <w:t>online</w:t>
      </w:r>
      <w:r>
        <w:rPr>
          <w:rFonts w:ascii="Times New Roman Regular" w:hAnsi="Times New Roman Regular" w:eastAsia="宋体" w:cs="Times New Roman Regular"/>
          <w:kern w:val="0"/>
          <w:sz w:val="24"/>
          <w:lang w:bidi="ar"/>
        </w:rPr>
        <w:t xml:space="preserve">]  Available at: </w:t>
      </w:r>
      <w:r>
        <w:fldChar w:fldCharType="begin"/>
      </w:r>
      <w:r>
        <w:instrText xml:space="preserve"> HYPERLINK "https://cyc-net.org/cyc-online/cycol-0102-roleplay.html" </w:instrText>
      </w:r>
      <w:r>
        <w:fldChar w:fldCharType="separate"/>
      </w:r>
      <w:r>
        <w:rPr>
          <w:rStyle w:val="14"/>
          <w:rFonts w:ascii="Times New Roman Regular" w:hAnsi="Times New Roman Regular" w:eastAsia="宋体" w:cs="Times New Roman Regular"/>
          <w:sz w:val="24"/>
        </w:rPr>
        <w:t>https://cyc-net.org/cyc-online/cycol-0102-roleplay.html</w:t>
      </w:r>
      <w:r>
        <w:rPr>
          <w:rStyle w:val="14"/>
          <w:rFonts w:ascii="Times New Roman Regular" w:hAnsi="Times New Roman Regular" w:eastAsia="宋体" w:cs="Times New Roman Regular"/>
          <w:sz w:val="24"/>
        </w:rPr>
        <w:fldChar w:fldCharType="end"/>
      </w:r>
      <w:r>
        <w:rPr>
          <w:rFonts w:ascii="Times New Roman Regular" w:hAnsi="Times New Roman Regular" w:eastAsia="宋体" w:cs="Times New Roman Regular"/>
          <w:kern w:val="0"/>
          <w:sz w:val="24"/>
          <w:lang w:bidi="ar"/>
        </w:rPr>
        <w:t xml:space="preserve"> (Accessed: 19 April 2022).</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Novelli, L. and Taylor, S. (1993) ‘The Context for Leadership in 21st-Century Organizations: A Role for Critical Thinking’, </w:t>
      </w:r>
      <w:r>
        <w:rPr>
          <w:rFonts w:ascii="Times New Roman" w:hAnsi="Times New Roman" w:eastAsia="DengXian" w:cs="Times New Roman"/>
          <w:i/>
          <w:iCs/>
          <w:sz w:val="24"/>
        </w:rPr>
        <w:t>American Behavioral Scientist</w:t>
      </w:r>
      <w:r>
        <w:rPr>
          <w:rFonts w:ascii="Times New Roman" w:hAnsi="Times New Roman" w:eastAsia="DengXian" w:cs="Times New Roman"/>
          <w:sz w:val="24"/>
        </w:rPr>
        <w:t>, 37(1), pp. 139–147.</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Nydegger, R. and Nydegger, L. (2010) ‘Challenges In Managing Virtual Teams’, </w:t>
      </w:r>
      <w:r>
        <w:rPr>
          <w:rFonts w:ascii="Times New Roman" w:hAnsi="Times New Roman" w:eastAsia="DengXian" w:cs="Times New Roman"/>
          <w:i/>
          <w:iCs/>
          <w:sz w:val="24"/>
        </w:rPr>
        <w:t>Journal of Business &amp; Economics Research (JBER)</w:t>
      </w:r>
      <w:r>
        <w:rPr>
          <w:rFonts w:ascii="Times New Roman" w:hAnsi="Times New Roman" w:eastAsia="DengXian" w:cs="Times New Roman"/>
          <w:sz w:val="24"/>
        </w:rPr>
        <w:t>, 8(3). Available at: https://clutejournals.com/index.php/JBER/article/view/690 (Accessed: 17 April 2022).</w:t>
      </w:r>
    </w:p>
    <w:p>
      <w:pPr>
        <w:pStyle w:val="16"/>
        <w:widowControl/>
        <w:numPr>
          <w:ilvl w:val="0"/>
          <w:numId w:val="2"/>
        </w:numPr>
        <w:spacing w:before="156" w:beforeLines="50" w:after="156" w:afterLines="50"/>
        <w:ind w:firstLineChars="0"/>
        <w:rPr>
          <w:rFonts w:hint="eastAsia" w:ascii="Times New Roman Regular" w:hAnsi="Times New Roman Regular" w:eastAsia="宋体" w:cs="Times New Roman Regular"/>
          <w:sz w:val="24"/>
        </w:rPr>
      </w:pPr>
      <w:r>
        <w:rPr>
          <w:rFonts w:ascii="Times New Roman Regular" w:hAnsi="Times New Roman Regular" w:eastAsia="宋体" w:cs="Times New Roman Regular"/>
          <w:kern w:val="0"/>
          <w:sz w:val="24"/>
          <w:lang w:bidi="ar"/>
        </w:rPr>
        <w:t xml:space="preserve">Prince, M. J., &amp; Felder, R. M. (2006). Inductive teaching and learning methods: Definitions, comparisons, and research bases. </w:t>
      </w:r>
      <w:r>
        <w:rPr>
          <w:rFonts w:ascii="Times New Roman Regular" w:hAnsi="Times New Roman Regular" w:eastAsia="宋体" w:cs="Times New Roman Regular"/>
          <w:i/>
          <w:iCs/>
          <w:kern w:val="0"/>
          <w:sz w:val="24"/>
          <w:lang w:bidi="ar"/>
        </w:rPr>
        <w:t>Journal of Engineering Education, 95</w:t>
      </w:r>
      <w:r>
        <w:rPr>
          <w:rFonts w:ascii="Times New Roman Regular" w:hAnsi="Times New Roman Regular" w:eastAsia="宋体" w:cs="Times New Roman Regular"/>
          <w:kern w:val="0"/>
          <w:sz w:val="24"/>
          <w:lang w:bidi="ar"/>
        </w:rPr>
        <w:t>, 123-138.</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Rego, A., Owens, B., Yam, K.C., Bluhm, D., Cunha, M.P. e, Silard, A., Gonçalves, L., Martins, M., Simpson, A.V. and Liu, W. (2019) ‘Leader Humility and Team Performance: Exploring the Mediating Mechanisms of Team PsyCap and Task Allocation Effectiveness’, </w:t>
      </w:r>
      <w:r>
        <w:rPr>
          <w:rFonts w:ascii="Times New Roman" w:hAnsi="Times New Roman" w:eastAsia="DengXian" w:cs="Times New Roman"/>
          <w:i/>
          <w:iCs/>
          <w:sz w:val="24"/>
        </w:rPr>
        <w:t>Journal of Management</w:t>
      </w:r>
      <w:r>
        <w:rPr>
          <w:rFonts w:ascii="Times New Roman" w:hAnsi="Times New Roman" w:eastAsia="DengXian" w:cs="Times New Roman"/>
          <w:sz w:val="24"/>
        </w:rPr>
        <w:t>, 45(3), pp. 1009–1033.</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Robert, J., Rob, O. and Lise, S.P. (2005) </w:t>
      </w:r>
      <w:r>
        <w:rPr>
          <w:rFonts w:ascii="Times New Roman" w:hAnsi="Times New Roman" w:eastAsia="DengXian" w:cs="Times New Roman"/>
          <w:i/>
          <w:iCs/>
          <w:sz w:val="24"/>
        </w:rPr>
        <w:t>Working Virtually: Challenges of Virtual Teams: Challenges of Virtual Teams</w:t>
      </w:r>
      <w:r>
        <w:rPr>
          <w:rFonts w:ascii="Times New Roman" w:hAnsi="Times New Roman" w:eastAsia="DengXian" w:cs="Times New Roman"/>
          <w:sz w:val="24"/>
        </w:rPr>
        <w:t>. Idea Group Inc (IGI).</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Siegel, H. (2017) Education’s epistemology : rationality, diversity, and critical thinking. New York, NY: Oxford University Press.</w:t>
      </w:r>
    </w:p>
    <w:p>
      <w:pPr>
        <w:pStyle w:val="16"/>
        <w:widowControl/>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eastAsia="宋体" w:cs="Times New Roman Regular"/>
          <w:color w:val="222222"/>
          <w:kern w:val="0"/>
          <w:sz w:val="24"/>
          <w:shd w:val="clear" w:color="auto" w:fill="FFFFFF"/>
          <w:lang w:bidi="ar"/>
        </w:rPr>
        <w:t>Smart, K. L., Witt, C., &amp; Scott, J. P. (2012). Toward learner-centered teaching: An inductive approach. </w:t>
      </w:r>
      <w:r>
        <w:rPr>
          <w:rFonts w:ascii="Times New Roman Regular" w:hAnsi="Times New Roman Regular" w:eastAsia="宋体" w:cs="Times New Roman Regular"/>
          <w:i/>
          <w:color w:val="222222"/>
          <w:kern w:val="0"/>
          <w:sz w:val="24"/>
          <w:shd w:val="clear" w:color="auto" w:fill="FFFFFF"/>
          <w:lang w:bidi="ar"/>
        </w:rPr>
        <w:t>Business Communication Quarterly</w:t>
      </w:r>
      <w:r>
        <w:rPr>
          <w:rFonts w:ascii="Times New Roman Regular" w:hAnsi="Times New Roman Regular" w:eastAsia="宋体" w:cs="Times New Roman Regular"/>
          <w:color w:val="222222"/>
          <w:kern w:val="0"/>
          <w:sz w:val="24"/>
          <w:shd w:val="clear" w:color="auto" w:fill="FFFFFF"/>
          <w:lang w:bidi="ar"/>
        </w:rPr>
        <w:t>, </w:t>
      </w:r>
      <w:r>
        <w:rPr>
          <w:rFonts w:ascii="Times New Roman Regular" w:hAnsi="Times New Roman Regular" w:eastAsia="宋体" w:cs="Times New Roman Regular"/>
          <w:i/>
          <w:color w:val="222222"/>
          <w:kern w:val="0"/>
          <w:sz w:val="24"/>
          <w:shd w:val="clear" w:color="auto" w:fill="FFFFFF"/>
          <w:lang w:bidi="ar"/>
        </w:rPr>
        <w:t>75</w:t>
      </w:r>
      <w:r>
        <w:rPr>
          <w:rFonts w:ascii="Times New Roman Regular" w:hAnsi="Times New Roman Regular" w:eastAsia="宋体" w:cs="Times New Roman Regular"/>
          <w:color w:val="222222"/>
          <w:kern w:val="0"/>
          <w:sz w:val="24"/>
          <w:shd w:val="clear" w:color="auto" w:fill="FFFFFF"/>
          <w:lang w:bidi="ar"/>
        </w:rPr>
        <w:t>(4), 392-403.</w:t>
      </w:r>
    </w:p>
    <w:p>
      <w:pPr>
        <w:pStyle w:val="16"/>
        <w:widowControl/>
        <w:numPr>
          <w:ilvl w:val="0"/>
          <w:numId w:val="2"/>
        </w:numPr>
        <w:spacing w:before="156" w:beforeLines="50" w:after="156" w:afterLines="50"/>
        <w:ind w:firstLineChars="0"/>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Sogunro, O.A. (2004). Efficacy of role-playing pedagogy in training leaders: Some reflections. Journal of Management Development, 23(4), 355-371.</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Supplemental Material for Cognitive Biases, Heuristics, and Logical Fallacies in Clinical Practice: A Brief Field Guide for Practicing Clinicians and Supervisors (2020) Professional psychology, research and practice [Preprint]. doi:10.1037/pro0000309.supp.</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Tschuschke, V. and Flatten, G. (2019) ‘Effect of group leaders on doctors’ learning in Balint groups’, </w:t>
      </w:r>
      <w:r>
        <w:rPr>
          <w:rFonts w:ascii="Times New Roman Regular" w:hAnsi="Times New Roman Regular" w:cs="Times New Roman Regular"/>
          <w:i/>
          <w:iCs/>
          <w:sz w:val="24"/>
        </w:rPr>
        <w:t>International journal of psychiatry in medicine,</w:t>
      </w:r>
      <w:r>
        <w:rPr>
          <w:rFonts w:ascii="Times New Roman Regular" w:hAnsi="Times New Roman Regular" w:cs="Times New Roman Regular"/>
          <w:sz w:val="24"/>
        </w:rPr>
        <w:t xml:space="preserve"> 54(2), pp. 83–96.</w:t>
      </w:r>
    </w:p>
    <w:p>
      <w:pPr>
        <w:pStyle w:val="16"/>
        <w:widowControl/>
        <w:numPr>
          <w:ilvl w:val="0"/>
          <w:numId w:val="2"/>
        </w:numPr>
        <w:spacing w:before="156" w:beforeLines="50" w:after="156" w:afterLines="50"/>
        <w:ind w:firstLineChars="0"/>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Westrup, U. &amp; Planander, A. (2013). Role-play as a pedagogical method to prepare students for practice: The students’ voice. Ogre utbildning, 3(3), 199-210.</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Wilson, J.M., Goodman, P.S. and Cronin, M.A. (2007). Group learning. </w:t>
      </w:r>
      <w:r>
        <w:rPr>
          <w:rFonts w:ascii="Times New Roman Regular" w:hAnsi="Times New Roman Regular" w:cs="Times New Roman Regular"/>
          <w:i/>
          <w:iCs/>
          <w:sz w:val="24"/>
        </w:rPr>
        <w:t>Academy of Management Review,</w:t>
      </w:r>
      <w:r>
        <w:rPr>
          <w:rFonts w:ascii="Times New Roman Regular" w:hAnsi="Times New Roman Regular" w:cs="Times New Roman Regular"/>
          <w:sz w:val="24"/>
        </w:rPr>
        <w:t xml:space="preserve"> 32(4), pp.1041–1059.</w:t>
      </w:r>
    </w:p>
    <w:p>
      <w:pPr>
        <w:pStyle w:val="17"/>
        <w:numPr>
          <w:ilvl w:val="0"/>
          <w:numId w:val="2"/>
        </w:numPr>
        <w:spacing w:before="156" w:beforeLines="50" w:after="156" w:afterLines="50"/>
        <w:rPr>
          <w:rFonts w:ascii="Times New Roman" w:hAnsi="Times New Roman" w:eastAsia="DengXian" w:cs="Times New Roman"/>
          <w:sz w:val="24"/>
        </w:rPr>
      </w:pPr>
      <w:r>
        <w:rPr>
          <w:rFonts w:ascii="Times New Roman" w:hAnsi="Times New Roman" w:eastAsia="DengXian" w:cs="Times New Roman"/>
          <w:sz w:val="24"/>
        </w:rPr>
        <w:t xml:space="preserve">ŽivkoviĿ, S. (2016) ‘A Model of Critical Thinking as an Important Attribute for Success in the 21st Century’, </w:t>
      </w:r>
      <w:r>
        <w:rPr>
          <w:rFonts w:ascii="Times New Roman" w:hAnsi="Times New Roman" w:eastAsia="DengXian" w:cs="Times New Roman"/>
          <w:i/>
          <w:iCs/>
          <w:sz w:val="24"/>
        </w:rPr>
        <w:t>Procedia - Social and Behavioral Sciences</w:t>
      </w:r>
      <w:r>
        <w:rPr>
          <w:rFonts w:ascii="Times New Roman" w:hAnsi="Times New Roman" w:eastAsia="DengXian" w:cs="Times New Roman"/>
          <w:sz w:val="24"/>
        </w:rPr>
        <w:t>, 232, pp. 102–108.</w:t>
      </w:r>
    </w:p>
    <w:p>
      <w:pPr>
        <w:pStyle w:val="16"/>
        <w:numPr>
          <w:ilvl w:val="0"/>
          <w:numId w:val="2"/>
        </w:numPr>
        <w:spacing w:before="156" w:beforeLines="50" w:after="156" w:afterLines="50"/>
        <w:ind w:firstLineChars="0"/>
        <w:rPr>
          <w:rFonts w:hint="eastAsia" w:ascii="Times New Roman Regular" w:hAnsi="Times New Roman Regular" w:cs="Times New Roman Regular"/>
          <w:sz w:val="24"/>
        </w:rPr>
      </w:pPr>
      <w:r>
        <w:rPr>
          <w:rFonts w:ascii="Times New Roman Regular" w:hAnsi="Times New Roman Regular" w:cs="Times New Roman Regular"/>
          <w:sz w:val="24"/>
        </w:rPr>
        <w:t>Zubialde, J.P., Mold, J. and Eubank, D. (2009). Outcomes that matter in chronic illness: A taxonomy informed by self-determination and adult-learning theory. </w:t>
      </w:r>
      <w:r>
        <w:rPr>
          <w:rFonts w:ascii="Times New Roman Regular" w:hAnsi="Times New Roman Regular" w:cs="Times New Roman Regular"/>
          <w:i/>
          <w:iCs/>
          <w:sz w:val="24"/>
        </w:rPr>
        <w:t>Families, Systems, &amp; Health,</w:t>
      </w:r>
      <w:r>
        <w:rPr>
          <w:rFonts w:ascii="Times New Roman Regular" w:hAnsi="Times New Roman Regular" w:cs="Times New Roman Regular"/>
          <w:sz w:val="24"/>
        </w:rPr>
        <w:t xml:space="preserve"> 27(3), pp.193–200.</w:t>
      </w:r>
    </w:p>
    <w:p>
      <w:pPr>
        <w:spacing w:line="480" w:lineRule="auto"/>
        <w:rPr>
          <w:rFonts w:hint="eastAsia" w:ascii="Arial Regular" w:hAnsi="Arial Regular" w:cs="Arial Regular"/>
          <w:sz w:val="24"/>
        </w:rPr>
      </w:pPr>
    </w:p>
    <w:p>
      <w:pPr>
        <w:rPr>
          <w:rFonts w:ascii="Arial" w:hAnsi="Arial" w:cs="Arial"/>
          <w:sz w:val="24"/>
        </w:rPr>
      </w:pPr>
      <w:r>
        <w:rPr>
          <w:rFonts w:ascii="Arial" w:hAnsi="Arial" w:cs="Arial"/>
          <w:sz w:val="24"/>
        </w:rPr>
        <w:br w:type="page"/>
      </w:r>
    </w:p>
    <w:p>
      <w:pPr>
        <w:rPr>
          <w:rFonts w:ascii="Arial" w:hAnsi="Arial" w:cs="Arial"/>
          <w:sz w:val="24"/>
        </w:rPr>
        <w:sectPr>
          <w:footerReference r:id="rId5" w:type="default"/>
          <w:pgSz w:w="11906" w:h="16838"/>
          <w:pgMar w:top="1440" w:right="1800" w:bottom="1440" w:left="1800" w:header="851" w:footer="992" w:gutter="0"/>
          <w:pgNumType w:start="1"/>
          <w:cols w:space="425" w:num="1"/>
          <w:docGrid w:type="lines" w:linePitch="312" w:charSpace="0"/>
        </w:sectPr>
      </w:pPr>
    </w:p>
    <w:p>
      <w:pPr>
        <w:rPr>
          <w:rFonts w:ascii="Times New Roman" w:hAnsi="Times New Roman" w:cs="Times New Roman"/>
          <w:sz w:val="24"/>
          <w:lang w:eastAsia="zh-Hans"/>
        </w:rPr>
      </w:pPr>
      <w:r>
        <w:rPr>
          <w:rFonts w:hint="default" w:ascii="Arial" w:hAnsi="Arial" w:cs="Arial"/>
          <w:sz w:val="24"/>
        </w:rPr>
        <w:drawing>
          <wp:inline distT="0" distB="0" distL="114300" distR="114300">
            <wp:extent cx="8851265" cy="4979035"/>
            <wp:effectExtent l="0" t="0" r="13335" b="24765"/>
            <wp:docPr id="97" name="图片 97" descr="幻灯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幻灯片1"/>
                    <pic:cNvPicPr>
                      <a:picLocks noChangeAspect="1"/>
                    </pic:cNvPicPr>
                  </pic:nvPicPr>
                  <pic:blipFill>
                    <a:blip r:embed="rId10"/>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96" name="图片 96" descr="幻灯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幻灯片2"/>
                    <pic:cNvPicPr>
                      <a:picLocks noChangeAspect="1"/>
                    </pic:cNvPicPr>
                  </pic:nvPicPr>
                  <pic:blipFill>
                    <a:blip r:embed="rId11"/>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95" name="图片 95" descr="幻灯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幻灯片3"/>
                    <pic:cNvPicPr>
                      <a:picLocks noChangeAspect="1"/>
                    </pic:cNvPicPr>
                  </pic:nvPicPr>
                  <pic:blipFill>
                    <a:blip r:embed="rId12"/>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94" name="图片 94" descr="幻灯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幻灯片4"/>
                    <pic:cNvPicPr>
                      <a:picLocks noChangeAspect="1"/>
                    </pic:cNvPicPr>
                  </pic:nvPicPr>
                  <pic:blipFill>
                    <a:blip r:embed="rId13"/>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93" name="图片 93" descr="幻灯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幻灯片5"/>
                    <pic:cNvPicPr>
                      <a:picLocks noChangeAspect="1"/>
                    </pic:cNvPicPr>
                  </pic:nvPicPr>
                  <pic:blipFill>
                    <a:blip r:embed="rId14"/>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92" name="图片 92" descr="幻灯片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幻灯片6"/>
                    <pic:cNvPicPr>
                      <a:picLocks noChangeAspect="1"/>
                    </pic:cNvPicPr>
                  </pic:nvPicPr>
                  <pic:blipFill>
                    <a:blip r:embed="rId15"/>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91" name="图片 91" descr="幻灯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幻灯片7"/>
                    <pic:cNvPicPr>
                      <a:picLocks noChangeAspect="1"/>
                    </pic:cNvPicPr>
                  </pic:nvPicPr>
                  <pic:blipFill>
                    <a:blip r:embed="rId16"/>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90" name="图片 90" descr="幻灯片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幻灯片8"/>
                    <pic:cNvPicPr>
                      <a:picLocks noChangeAspect="1"/>
                    </pic:cNvPicPr>
                  </pic:nvPicPr>
                  <pic:blipFill>
                    <a:blip r:embed="rId17"/>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89" name="图片 89" descr="幻灯片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幻灯片9"/>
                    <pic:cNvPicPr>
                      <a:picLocks noChangeAspect="1"/>
                    </pic:cNvPicPr>
                  </pic:nvPicPr>
                  <pic:blipFill>
                    <a:blip r:embed="rId18"/>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88" name="图片 88" descr="幻灯片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幻灯片10"/>
                    <pic:cNvPicPr>
                      <a:picLocks noChangeAspect="1"/>
                    </pic:cNvPicPr>
                  </pic:nvPicPr>
                  <pic:blipFill>
                    <a:blip r:embed="rId19"/>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87" name="图片 87" descr="幻灯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幻灯片11"/>
                    <pic:cNvPicPr>
                      <a:picLocks noChangeAspect="1"/>
                    </pic:cNvPicPr>
                  </pic:nvPicPr>
                  <pic:blipFill>
                    <a:blip r:embed="rId20"/>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86" name="图片 86" descr="幻灯片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幻灯片12"/>
                    <pic:cNvPicPr>
                      <a:picLocks noChangeAspect="1"/>
                    </pic:cNvPicPr>
                  </pic:nvPicPr>
                  <pic:blipFill>
                    <a:blip r:embed="rId21"/>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85" name="图片 85" descr="幻灯片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幻灯片13"/>
                    <pic:cNvPicPr>
                      <a:picLocks noChangeAspect="1"/>
                    </pic:cNvPicPr>
                  </pic:nvPicPr>
                  <pic:blipFill>
                    <a:blip r:embed="rId22"/>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84" name="图片 84" descr="幻灯片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幻灯片14"/>
                    <pic:cNvPicPr>
                      <a:picLocks noChangeAspect="1"/>
                    </pic:cNvPicPr>
                  </pic:nvPicPr>
                  <pic:blipFill>
                    <a:blip r:embed="rId23"/>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83" name="图片 83" descr="幻灯片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幻灯片15"/>
                    <pic:cNvPicPr>
                      <a:picLocks noChangeAspect="1"/>
                    </pic:cNvPicPr>
                  </pic:nvPicPr>
                  <pic:blipFill>
                    <a:blip r:embed="rId24"/>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82" name="图片 82" descr="幻灯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幻灯片16"/>
                    <pic:cNvPicPr>
                      <a:picLocks noChangeAspect="1"/>
                    </pic:cNvPicPr>
                  </pic:nvPicPr>
                  <pic:blipFill>
                    <a:blip r:embed="rId25"/>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81" name="图片 81" descr="幻灯片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幻灯片17"/>
                    <pic:cNvPicPr>
                      <a:picLocks noChangeAspect="1"/>
                    </pic:cNvPicPr>
                  </pic:nvPicPr>
                  <pic:blipFill>
                    <a:blip r:embed="rId26"/>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80" name="图片 80" descr="幻灯片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幻灯片18"/>
                    <pic:cNvPicPr>
                      <a:picLocks noChangeAspect="1"/>
                    </pic:cNvPicPr>
                  </pic:nvPicPr>
                  <pic:blipFill>
                    <a:blip r:embed="rId27"/>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79" name="图片 79" descr="幻灯片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幻灯片19"/>
                    <pic:cNvPicPr>
                      <a:picLocks noChangeAspect="1"/>
                    </pic:cNvPicPr>
                  </pic:nvPicPr>
                  <pic:blipFill>
                    <a:blip r:embed="rId28"/>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78" name="图片 78" descr="幻灯片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幻灯片20"/>
                    <pic:cNvPicPr>
                      <a:picLocks noChangeAspect="1"/>
                    </pic:cNvPicPr>
                  </pic:nvPicPr>
                  <pic:blipFill>
                    <a:blip r:embed="rId29"/>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77" name="图片 77" descr="幻灯片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幻灯片21"/>
                    <pic:cNvPicPr>
                      <a:picLocks noChangeAspect="1"/>
                    </pic:cNvPicPr>
                  </pic:nvPicPr>
                  <pic:blipFill>
                    <a:blip r:embed="rId30"/>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76" name="图片 76" descr="幻灯片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幻灯片22"/>
                    <pic:cNvPicPr>
                      <a:picLocks noChangeAspect="1"/>
                    </pic:cNvPicPr>
                  </pic:nvPicPr>
                  <pic:blipFill>
                    <a:blip r:embed="rId31"/>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75" name="图片 75" descr="幻灯片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幻灯片23"/>
                    <pic:cNvPicPr>
                      <a:picLocks noChangeAspect="1"/>
                    </pic:cNvPicPr>
                  </pic:nvPicPr>
                  <pic:blipFill>
                    <a:blip r:embed="rId32"/>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74" name="图片 74" descr="幻灯片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幻灯片24"/>
                    <pic:cNvPicPr>
                      <a:picLocks noChangeAspect="1"/>
                    </pic:cNvPicPr>
                  </pic:nvPicPr>
                  <pic:blipFill>
                    <a:blip r:embed="rId33"/>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73" name="图片 73" descr="幻灯片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幻灯片25"/>
                    <pic:cNvPicPr>
                      <a:picLocks noChangeAspect="1"/>
                    </pic:cNvPicPr>
                  </pic:nvPicPr>
                  <pic:blipFill>
                    <a:blip r:embed="rId34"/>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72" name="图片 72" descr="幻灯片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幻灯片26"/>
                    <pic:cNvPicPr>
                      <a:picLocks noChangeAspect="1"/>
                    </pic:cNvPicPr>
                  </pic:nvPicPr>
                  <pic:blipFill>
                    <a:blip r:embed="rId35"/>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71" name="图片 71" descr="幻灯片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幻灯片27"/>
                    <pic:cNvPicPr>
                      <a:picLocks noChangeAspect="1"/>
                    </pic:cNvPicPr>
                  </pic:nvPicPr>
                  <pic:blipFill>
                    <a:blip r:embed="rId36"/>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70" name="图片 70" descr="幻灯片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幻灯片28"/>
                    <pic:cNvPicPr>
                      <a:picLocks noChangeAspect="1"/>
                    </pic:cNvPicPr>
                  </pic:nvPicPr>
                  <pic:blipFill>
                    <a:blip r:embed="rId37"/>
                    <a:stretch>
                      <a:fillRect/>
                    </a:stretch>
                  </pic:blipFill>
                  <pic:spPr>
                    <a:xfrm>
                      <a:off x="0" y="0"/>
                      <a:ext cx="8851265" cy="4979035"/>
                    </a:xfrm>
                    <a:prstGeom prst="rect">
                      <a:avLst/>
                    </a:prstGeom>
                  </pic:spPr>
                </pic:pic>
              </a:graphicData>
            </a:graphic>
          </wp:inline>
        </w:drawing>
      </w:r>
      <w:r>
        <w:rPr>
          <w:rFonts w:hint="default" w:ascii="Arial" w:hAnsi="Arial" w:cs="Arial"/>
          <w:sz w:val="24"/>
        </w:rPr>
        <w:drawing>
          <wp:inline distT="0" distB="0" distL="114300" distR="114300">
            <wp:extent cx="8851265" cy="4979035"/>
            <wp:effectExtent l="0" t="0" r="13335" b="24765"/>
            <wp:docPr id="69" name="图片 69" descr="幻灯片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幻灯片29"/>
                    <pic:cNvPicPr>
                      <a:picLocks noChangeAspect="1"/>
                    </pic:cNvPicPr>
                  </pic:nvPicPr>
                  <pic:blipFill>
                    <a:blip r:embed="rId38"/>
                    <a:stretch>
                      <a:fillRect/>
                    </a:stretch>
                  </pic:blipFill>
                  <pic:spPr>
                    <a:xfrm>
                      <a:off x="0" y="0"/>
                      <a:ext cx="8851265" cy="4979035"/>
                    </a:xfrm>
                    <a:prstGeom prst="rect">
                      <a:avLst/>
                    </a:prstGeom>
                  </pic:spPr>
                </pic:pic>
              </a:graphicData>
            </a:graphic>
          </wp:inline>
        </w:drawing>
      </w:r>
      <w:bookmarkStart w:id="36" w:name="_GoBack"/>
      <w:bookmarkEnd w:id="36"/>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等线">
    <w:altName w:val="汉仪中等线KW"/>
    <w:panose1 w:val="00000000000000000000"/>
    <w:charset w:val="86"/>
    <w:family w:val="auto"/>
    <w:pitch w:val="default"/>
    <w:sig w:usb0="00000000" w:usb1="00000000" w:usb2="00000000" w:usb3="00000000" w:csb0="00000000" w:csb1="00000000"/>
  </w:font>
  <w:font w:name="汉仪中等线KW">
    <w:panose1 w:val="01010104010101010101"/>
    <w:charset w:val="86"/>
    <w:family w:val="auto"/>
    <w:pitch w:val="default"/>
    <w:sig w:usb0="00000000" w:usb1="00000000" w:usb2="00000000" w:usb3="00000000" w:csb0="0016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Times New Roman Bold">
    <w:panose1 w:val="02020603050405020304"/>
    <w:charset w:val="00"/>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Arial Regular">
    <w:panose1 w:val="020B0604020202020204"/>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Am1VpzKgIAAFUEAAAOAAAAAAAAAAEAIAAAADUBAABkcnMv&#10;ZTJvRG9jLnhtbFBLBQYAAAAABgAGAFkBAADR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CzSVju0AAAAAUBAAAPAAAAAAAAAAEAIAAAADgAAABkcnMvZG93&#10;bnJldi54bWxQSwECFAAUAAAACACHTuJActDybSsCAABVBAAADgAAAAAAAAABACAAAAA1AQAAZHJz&#10;L2Uyb0RvYy54bWxQSwUGAAAAAAYABgBZAQAA0g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I</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3A4988"/>
    <w:multiLevelType w:val="singleLevel"/>
    <w:tmpl w:val="A43A4988"/>
    <w:lvl w:ilvl="0" w:tentative="0">
      <w:start w:val="1"/>
      <w:numFmt w:val="decimal"/>
      <w:suff w:val="space"/>
      <w:lvlText w:val="%1."/>
      <w:lvlJc w:val="left"/>
    </w:lvl>
  </w:abstractNum>
  <w:abstractNum w:abstractNumId="1">
    <w:nsid w:val="3A493D3F"/>
    <w:multiLevelType w:val="multilevel"/>
    <w:tmpl w:val="3A493D3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DCC"/>
    <w:rsid w:val="00006C4F"/>
    <w:rsid w:val="00080C79"/>
    <w:rsid w:val="000A5318"/>
    <w:rsid w:val="000B18EB"/>
    <w:rsid w:val="00104873"/>
    <w:rsid w:val="00133F5F"/>
    <w:rsid w:val="001E4711"/>
    <w:rsid w:val="0024316B"/>
    <w:rsid w:val="002618F9"/>
    <w:rsid w:val="002621D6"/>
    <w:rsid w:val="00274B10"/>
    <w:rsid w:val="00280CD3"/>
    <w:rsid w:val="0028364C"/>
    <w:rsid w:val="002B76E8"/>
    <w:rsid w:val="002F53A4"/>
    <w:rsid w:val="00335672"/>
    <w:rsid w:val="003464CB"/>
    <w:rsid w:val="00351C9B"/>
    <w:rsid w:val="0037277A"/>
    <w:rsid w:val="003F7F74"/>
    <w:rsid w:val="0042369C"/>
    <w:rsid w:val="004239B1"/>
    <w:rsid w:val="0046600F"/>
    <w:rsid w:val="00474C4A"/>
    <w:rsid w:val="00496555"/>
    <w:rsid w:val="004A1350"/>
    <w:rsid w:val="004F6117"/>
    <w:rsid w:val="00504D61"/>
    <w:rsid w:val="00537DCC"/>
    <w:rsid w:val="00540861"/>
    <w:rsid w:val="00563D64"/>
    <w:rsid w:val="005D4AEE"/>
    <w:rsid w:val="00604DBC"/>
    <w:rsid w:val="006426B4"/>
    <w:rsid w:val="006438C4"/>
    <w:rsid w:val="006710FD"/>
    <w:rsid w:val="006A44D8"/>
    <w:rsid w:val="006C1CBC"/>
    <w:rsid w:val="00701AD8"/>
    <w:rsid w:val="00745361"/>
    <w:rsid w:val="007614F7"/>
    <w:rsid w:val="0076271B"/>
    <w:rsid w:val="007910A4"/>
    <w:rsid w:val="0079375A"/>
    <w:rsid w:val="007A57CA"/>
    <w:rsid w:val="007A7274"/>
    <w:rsid w:val="007E6E6C"/>
    <w:rsid w:val="007E71AD"/>
    <w:rsid w:val="0081503E"/>
    <w:rsid w:val="00853890"/>
    <w:rsid w:val="008816FD"/>
    <w:rsid w:val="00892C89"/>
    <w:rsid w:val="008D6A01"/>
    <w:rsid w:val="0092330A"/>
    <w:rsid w:val="00960DA5"/>
    <w:rsid w:val="00962783"/>
    <w:rsid w:val="00994F1C"/>
    <w:rsid w:val="009B0770"/>
    <w:rsid w:val="009E58F9"/>
    <w:rsid w:val="00A63419"/>
    <w:rsid w:val="00A84095"/>
    <w:rsid w:val="00AA6689"/>
    <w:rsid w:val="00B151C5"/>
    <w:rsid w:val="00B33563"/>
    <w:rsid w:val="00B77EE0"/>
    <w:rsid w:val="00BB6684"/>
    <w:rsid w:val="00BC0094"/>
    <w:rsid w:val="00C0105D"/>
    <w:rsid w:val="00C227E0"/>
    <w:rsid w:val="00C5613B"/>
    <w:rsid w:val="00C70F37"/>
    <w:rsid w:val="00C95AA3"/>
    <w:rsid w:val="00CC480E"/>
    <w:rsid w:val="00D42058"/>
    <w:rsid w:val="00D47824"/>
    <w:rsid w:val="00D50875"/>
    <w:rsid w:val="00D73EF3"/>
    <w:rsid w:val="00D81557"/>
    <w:rsid w:val="00D957F9"/>
    <w:rsid w:val="00D96A30"/>
    <w:rsid w:val="00DA790A"/>
    <w:rsid w:val="00DC224C"/>
    <w:rsid w:val="00DC2B5E"/>
    <w:rsid w:val="00DF7887"/>
    <w:rsid w:val="00E32E68"/>
    <w:rsid w:val="00E72B9E"/>
    <w:rsid w:val="00E73A33"/>
    <w:rsid w:val="00E9303E"/>
    <w:rsid w:val="00EA698A"/>
    <w:rsid w:val="00EB150A"/>
    <w:rsid w:val="00EC7CC4"/>
    <w:rsid w:val="00F021B2"/>
    <w:rsid w:val="00F45AC3"/>
    <w:rsid w:val="00F97D6F"/>
    <w:rsid w:val="00FB0047"/>
    <w:rsid w:val="00FC1323"/>
    <w:rsid w:val="0F7DC39F"/>
    <w:rsid w:val="1F6E9B98"/>
    <w:rsid w:val="268BB402"/>
    <w:rsid w:val="27A7937D"/>
    <w:rsid w:val="29D60999"/>
    <w:rsid w:val="2DEB1A27"/>
    <w:rsid w:val="36F7C669"/>
    <w:rsid w:val="39FE1C8C"/>
    <w:rsid w:val="3DAFB99D"/>
    <w:rsid w:val="3DEEA00B"/>
    <w:rsid w:val="3DFD09D7"/>
    <w:rsid w:val="3F767E26"/>
    <w:rsid w:val="3F89FC1A"/>
    <w:rsid w:val="3FED7AD4"/>
    <w:rsid w:val="4EFA9129"/>
    <w:rsid w:val="4FFEDCD0"/>
    <w:rsid w:val="4FFF2A21"/>
    <w:rsid w:val="53F74E57"/>
    <w:rsid w:val="57CEA67C"/>
    <w:rsid w:val="596F8319"/>
    <w:rsid w:val="5BBA41DD"/>
    <w:rsid w:val="5BF1296E"/>
    <w:rsid w:val="5CDDF34D"/>
    <w:rsid w:val="5CFB7235"/>
    <w:rsid w:val="5D763165"/>
    <w:rsid w:val="5DFF189E"/>
    <w:rsid w:val="5EEBCDD0"/>
    <w:rsid w:val="5EFB3E26"/>
    <w:rsid w:val="5F51E21B"/>
    <w:rsid w:val="5F7FD08B"/>
    <w:rsid w:val="5FEF4377"/>
    <w:rsid w:val="6BB752BD"/>
    <w:rsid w:val="6D7BA36C"/>
    <w:rsid w:val="6DFFEF6A"/>
    <w:rsid w:val="6EDDD94F"/>
    <w:rsid w:val="6EEB7568"/>
    <w:rsid w:val="6F525C47"/>
    <w:rsid w:val="73E74996"/>
    <w:rsid w:val="759F6CB2"/>
    <w:rsid w:val="75D7ACD5"/>
    <w:rsid w:val="75FF54C0"/>
    <w:rsid w:val="79F7BDE9"/>
    <w:rsid w:val="7A2D7A02"/>
    <w:rsid w:val="7ACD6C61"/>
    <w:rsid w:val="7BBF58FD"/>
    <w:rsid w:val="7BC72F21"/>
    <w:rsid w:val="7BFF1641"/>
    <w:rsid w:val="7CFAD0C1"/>
    <w:rsid w:val="7D75F1F8"/>
    <w:rsid w:val="7D7F9342"/>
    <w:rsid w:val="7D97D3BD"/>
    <w:rsid w:val="7E1BF99A"/>
    <w:rsid w:val="7E5DE347"/>
    <w:rsid w:val="7E9C2278"/>
    <w:rsid w:val="7EBEB21C"/>
    <w:rsid w:val="7EBF5F05"/>
    <w:rsid w:val="7EED62F9"/>
    <w:rsid w:val="7EEECAEE"/>
    <w:rsid w:val="7F7EC58B"/>
    <w:rsid w:val="7FA7460B"/>
    <w:rsid w:val="7FBCEAC1"/>
    <w:rsid w:val="7FDB7BCE"/>
    <w:rsid w:val="7FE79658"/>
    <w:rsid w:val="7FFE9200"/>
    <w:rsid w:val="7FFEECF5"/>
    <w:rsid w:val="7FFF7A15"/>
    <w:rsid w:val="9FFD78B8"/>
    <w:rsid w:val="A75DFA31"/>
    <w:rsid w:val="A7BA8699"/>
    <w:rsid w:val="A98F87A2"/>
    <w:rsid w:val="ACEFF77E"/>
    <w:rsid w:val="ACFE8F09"/>
    <w:rsid w:val="ADDD5DC3"/>
    <w:rsid w:val="B3FABFB3"/>
    <w:rsid w:val="B4BE96D5"/>
    <w:rsid w:val="B75B3EAC"/>
    <w:rsid w:val="B7FB477A"/>
    <w:rsid w:val="B9F6849E"/>
    <w:rsid w:val="BB2F13BC"/>
    <w:rsid w:val="BBBD2282"/>
    <w:rsid w:val="BBDE0171"/>
    <w:rsid w:val="BF3F5C8F"/>
    <w:rsid w:val="BF792E16"/>
    <w:rsid w:val="BFBF0FC6"/>
    <w:rsid w:val="BFD82F69"/>
    <w:rsid w:val="C73B6C7E"/>
    <w:rsid w:val="C7FF61FA"/>
    <w:rsid w:val="C8FF3329"/>
    <w:rsid w:val="CF7FFF09"/>
    <w:rsid w:val="CFCEEFAF"/>
    <w:rsid w:val="D3BD7FE2"/>
    <w:rsid w:val="D3C1BDC1"/>
    <w:rsid w:val="D4F73C57"/>
    <w:rsid w:val="D59A229A"/>
    <w:rsid w:val="D7B71EAF"/>
    <w:rsid w:val="D7EF8800"/>
    <w:rsid w:val="D97D1455"/>
    <w:rsid w:val="DD67799A"/>
    <w:rsid w:val="DE577D65"/>
    <w:rsid w:val="DF7D9A52"/>
    <w:rsid w:val="DFBEB494"/>
    <w:rsid w:val="E07F7E4C"/>
    <w:rsid w:val="E3D9FF54"/>
    <w:rsid w:val="EAB6C28D"/>
    <w:rsid w:val="EEDDDBA7"/>
    <w:rsid w:val="EEEF1AC2"/>
    <w:rsid w:val="EF5E233E"/>
    <w:rsid w:val="EFE78514"/>
    <w:rsid w:val="EFEA749C"/>
    <w:rsid w:val="F1FAE498"/>
    <w:rsid w:val="F24F62F8"/>
    <w:rsid w:val="F55EAFBA"/>
    <w:rsid w:val="F5DF7CB1"/>
    <w:rsid w:val="F5F78888"/>
    <w:rsid w:val="F6FEF94B"/>
    <w:rsid w:val="F7FF9194"/>
    <w:rsid w:val="FA55C41B"/>
    <w:rsid w:val="FAEA47BD"/>
    <w:rsid w:val="FAFDB786"/>
    <w:rsid w:val="FB5B6FAC"/>
    <w:rsid w:val="FB97455D"/>
    <w:rsid w:val="FBFE25C1"/>
    <w:rsid w:val="FC3E31CA"/>
    <w:rsid w:val="FCF77881"/>
    <w:rsid w:val="FCFFE459"/>
    <w:rsid w:val="FD575D37"/>
    <w:rsid w:val="FD779C42"/>
    <w:rsid w:val="FD7FD7C0"/>
    <w:rsid w:val="FDBFE6DE"/>
    <w:rsid w:val="FDCB6804"/>
    <w:rsid w:val="FDD7FB13"/>
    <w:rsid w:val="FDF7E9C5"/>
    <w:rsid w:val="FDFF900A"/>
    <w:rsid w:val="FE475EA6"/>
    <w:rsid w:val="FEFF565C"/>
    <w:rsid w:val="FF57A54E"/>
    <w:rsid w:val="FF7704AF"/>
    <w:rsid w:val="FFBEEE1A"/>
    <w:rsid w:val="FFF91ADD"/>
    <w:rsid w:val="FFFD02F2"/>
    <w:rsid w:val="FFFE24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30"/>
      <w:szCs w:val="44"/>
    </w:rPr>
  </w:style>
  <w:style w:type="paragraph" w:styleId="3">
    <w:name w:val="heading 2"/>
    <w:basedOn w:val="1"/>
    <w:next w:val="1"/>
    <w:link w:val="19"/>
    <w:qFormat/>
    <w:uiPriority w:val="0"/>
    <w:pPr>
      <w:keepNext/>
      <w:widowControl/>
      <w:jc w:val="left"/>
      <w:outlineLvl w:val="1"/>
    </w:pPr>
    <w:rPr>
      <w:rFonts w:ascii="Calibri" w:hAnsi="Calibri" w:eastAsia="Times New Roman" w:cs="Times New Roman"/>
      <w:b/>
      <w:kern w:val="0"/>
      <w:sz w:val="24"/>
      <w:szCs w:val="20"/>
      <w:lang w:val="en-GB" w:eastAsia="en-US"/>
    </w:rPr>
  </w:style>
  <w:style w:type="paragraph" w:styleId="4">
    <w:name w:val="heading 3"/>
    <w:basedOn w:val="1"/>
    <w:next w:val="1"/>
    <w:unhideWhenUsed/>
    <w:qFormat/>
    <w:uiPriority w:val="9"/>
    <w:pPr>
      <w:keepNext/>
      <w:keepLines/>
      <w:spacing w:before="260" w:after="260" w:line="413" w:lineRule="auto"/>
      <w:outlineLvl w:val="2"/>
    </w:pPr>
    <w:rPr>
      <w:b/>
      <w:sz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footer"/>
    <w:basedOn w:val="1"/>
    <w:semiHidden/>
    <w:unhideWhenUsed/>
    <w:qFormat/>
    <w:uiPriority w:val="99"/>
    <w:pPr>
      <w:tabs>
        <w:tab w:val="center" w:pos="4153"/>
        <w:tab w:val="right" w:pos="8306"/>
      </w:tabs>
      <w:snapToGrid w:val="0"/>
      <w:jc w:val="left"/>
    </w:pPr>
    <w:rPr>
      <w:sz w:val="18"/>
    </w:rPr>
  </w:style>
  <w:style w:type="paragraph" w:styleId="6">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unhideWhenUsed/>
    <w:qFormat/>
    <w:uiPriority w:val="39"/>
  </w:style>
  <w:style w:type="paragraph" w:styleId="8">
    <w:name w:val="toc 2"/>
    <w:basedOn w:val="1"/>
    <w:next w:val="1"/>
    <w:unhideWhenUsed/>
    <w:qFormat/>
    <w:uiPriority w:val="39"/>
    <w:pPr>
      <w:ind w:left="420" w:leftChars="200"/>
    </w:p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FollowedHyperlink"/>
    <w:basedOn w:val="12"/>
    <w:semiHidden/>
    <w:unhideWhenUsed/>
    <w:qFormat/>
    <w:uiPriority w:val="99"/>
    <w:rPr>
      <w:color w:val="954F72" w:themeColor="followedHyperlink"/>
      <w:u w:val="single"/>
      <w14:textFill>
        <w14:solidFill>
          <w14:schemeClr w14:val="folHlink"/>
        </w14:solidFill>
      </w14:textFill>
    </w:rPr>
  </w:style>
  <w:style w:type="character" w:styleId="14">
    <w:name w:val="Hyperlink"/>
    <w:basedOn w:val="12"/>
    <w:qFormat/>
    <w:uiPriority w:val="99"/>
    <w:rPr>
      <w:color w:val="0000FF"/>
      <w:u w:val="single"/>
    </w:rPr>
  </w:style>
  <w:style w:type="character" w:customStyle="1" w:styleId="15">
    <w:name w:val="标题 1 字符"/>
    <w:basedOn w:val="12"/>
    <w:link w:val="2"/>
    <w:qFormat/>
    <w:uiPriority w:val="0"/>
    <w:rPr>
      <w:b/>
      <w:bCs/>
      <w:kern w:val="44"/>
      <w:sz w:val="30"/>
      <w:szCs w:val="44"/>
    </w:rPr>
  </w:style>
  <w:style w:type="paragraph" w:styleId="16">
    <w:name w:val="List Paragraph"/>
    <w:basedOn w:val="1"/>
    <w:qFormat/>
    <w:uiPriority w:val="34"/>
    <w:pPr>
      <w:ind w:firstLine="420" w:firstLineChars="200"/>
    </w:pPr>
  </w:style>
  <w:style w:type="paragraph" w:customStyle="1" w:styleId="17">
    <w:name w:val="书目1"/>
    <w:basedOn w:val="1"/>
    <w:link w:val="18"/>
    <w:qFormat/>
    <w:uiPriority w:val="0"/>
    <w:pPr>
      <w:spacing w:after="240"/>
    </w:pPr>
  </w:style>
  <w:style w:type="character" w:customStyle="1" w:styleId="18">
    <w:name w:val="Bibliography 字符"/>
    <w:basedOn w:val="12"/>
    <w:link w:val="17"/>
    <w:qFormat/>
    <w:uiPriority w:val="0"/>
  </w:style>
  <w:style w:type="character" w:customStyle="1" w:styleId="19">
    <w:name w:val="标题 2 字符"/>
    <w:basedOn w:val="12"/>
    <w:link w:val="3"/>
    <w:qFormat/>
    <w:uiPriority w:val="0"/>
    <w:rPr>
      <w:rFonts w:ascii="Calibri" w:hAnsi="Calibri" w:eastAsia="Times New Roman" w:cs="Times New Roman"/>
      <w:b/>
      <w:kern w:val="0"/>
      <w:sz w:val="24"/>
      <w:szCs w:val="20"/>
      <w:lang w:val="en-GB" w:eastAsia="en-US"/>
    </w:rPr>
  </w:style>
  <w:style w:type="paragraph" w:customStyle="1" w:styleId="20">
    <w:name w:val="列表段落4"/>
    <w:basedOn w:val="1"/>
    <w:qFormat/>
    <w:uiPriority w:val="99"/>
    <w:pPr>
      <w:ind w:firstLine="420" w:firstLineChars="200"/>
    </w:pPr>
    <w:rPr>
      <w:szCs w:val="22"/>
    </w:rPr>
  </w:style>
  <w:style w:type="paragraph" w:customStyle="1" w:styleId="21">
    <w:name w:val="p1"/>
    <w:basedOn w:val="1"/>
    <w:qFormat/>
    <w:uiPriority w:val="0"/>
    <w:pPr>
      <w:jc w:val="center"/>
    </w:pPr>
    <w:rPr>
      <w:rFonts w:ascii="Helvetica Neue" w:hAnsi="Helvetica Neue" w:eastAsia="Helvetica Neue" w:cs="Times New Roman"/>
      <w:kern w:val="0"/>
      <w:sz w:val="26"/>
      <w:szCs w:val="26"/>
    </w:rPr>
  </w:style>
  <w:style w:type="paragraph" w:customStyle="1" w:styleId="22">
    <w:name w:val="WPSOffice手动目录 1"/>
    <w:qFormat/>
    <w:uiPriority w:val="0"/>
    <w:rPr>
      <w:rFonts w:asciiTheme="minorHAnsi" w:hAnsiTheme="minorHAnsi" w:eastAsiaTheme="minorEastAsia" w:cstheme="minorBidi"/>
      <w:lang w:val="en-US" w:eastAsia="zh-CN" w:bidi="ar-SA"/>
    </w:rPr>
  </w:style>
  <w:style w:type="paragraph" w:customStyle="1" w:styleId="23">
    <w:name w:val="WPSOffice手动目录 3"/>
    <w:qFormat/>
    <w:uiPriority w:val="0"/>
    <w:pPr>
      <w:ind w:left="400" w:leftChars="400"/>
    </w:pPr>
    <w:rPr>
      <w:rFonts w:asciiTheme="minorHAnsi" w:hAnsiTheme="minorHAnsi" w:eastAsiaTheme="minorEastAsia" w:cstheme="minorBidi"/>
      <w:lang w:val="en-US" w:eastAsia="zh-CN" w:bidi="ar-SA"/>
    </w:rPr>
  </w:style>
  <w:style w:type="paragraph" w:customStyle="1" w:styleId="24">
    <w:name w:val="WPSOffice手动目录 2"/>
    <w:qFormat/>
    <w:uiPriority w:val="0"/>
    <w:pPr>
      <w:ind w:left="200" w:leftChars="200"/>
    </w:pPr>
    <w:rPr>
      <w:rFonts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footer" Target="footer2.xml"/><Relationship Id="rId39" Type="http://schemas.openxmlformats.org/officeDocument/2006/relationships/customXml" Target="../customXml/item1.xml"/><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er" Target="foot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5914</Words>
  <Characters>33710</Characters>
  <Lines>280</Lines>
  <Paragraphs>79</Paragraphs>
  <TotalTime>44</TotalTime>
  <ScaleCrop>false</ScaleCrop>
  <LinksUpToDate>false</LinksUpToDate>
  <CharactersWithSpaces>39545</CharactersWithSpaces>
  <Application>WPS Office_4.2.0.6720_F1E327BC-269C-435d-A152-05C5408002CA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2022-04-21T22:52:00Z</dcterms:created>
  <dc:creator>Microsoft Office User</dc:creator>
  <cp:lastModifiedBy>t</cp:lastModifiedBy>
  <dcterms:modified xsi:type="dcterms:W3CDTF">2022-05-05T14:25:47Z</dcterms:modified>
  <cp:revision>379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2052-4.2.0.6720</vt:lpwstr>
  </property>
  <property fmtid="{D5CDD505-2E9C-101B-9397-08002B2CF9AE}" pid="3" name="ICV">
    <vt:lpwstr>A17A47A399863AA9729861625F256E96</vt:lpwstr>
  </property>
  <property fmtid="{D5CDD505-2E9C-101B-9397-08002B2CF9AE}" pid="4" name="ZOTERO_PREF_1">
    <vt:lpwstr>&lt;data data-version="3" zotero-version="6.0.4"&gt;&lt;session id="JO87s5MJ"/&gt;&lt;style id="http://www.zotero.org/styles/harvard-cite-them-right-no-et-al" hasBibliography="1" bibliographyStyleHasBeenSet="0"/&gt;&lt;prefs&gt;&lt;pref name="fieldType" value="Field"/&gt;&lt;/prefs&gt;&lt;/dat</vt:lpwstr>
  </property>
  <property fmtid="{D5CDD505-2E9C-101B-9397-08002B2CF9AE}" pid="5" name="ZOTERO_PREF_2">
    <vt:lpwstr>a&gt;</vt:lpwstr>
  </property>
</Properties>
</file>