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7F8B1" w14:textId="2BD561FA" w:rsidR="00575C83" w:rsidRPr="00FD57CE" w:rsidRDefault="00575C83" w:rsidP="00642118">
      <w:pPr>
        <w:spacing w:line="480" w:lineRule="auto"/>
        <w:rPr>
          <w:rFonts w:ascii="Arial" w:hAnsi="Arial" w:cs="Arial"/>
        </w:rPr>
      </w:pPr>
      <w:r w:rsidRPr="00FD57CE">
        <w:rPr>
          <w:rFonts w:ascii="Arial" w:hAnsi="Arial" w:cs="Arial"/>
        </w:rPr>
        <w:t>Student name: Isaac Owen Saer</w:t>
      </w:r>
    </w:p>
    <w:p w14:paraId="5ECC7C1C" w14:textId="77777777" w:rsidR="00575C83" w:rsidRPr="00FD57CE" w:rsidRDefault="00575C83" w:rsidP="00642118">
      <w:pPr>
        <w:spacing w:line="480" w:lineRule="auto"/>
        <w:rPr>
          <w:rFonts w:ascii="Arial" w:hAnsi="Arial" w:cs="Arial"/>
        </w:rPr>
      </w:pPr>
      <w:r w:rsidRPr="00FD57CE">
        <w:rPr>
          <w:rFonts w:ascii="Arial" w:hAnsi="Arial" w:cs="Arial"/>
        </w:rPr>
        <w:t>P Number: 2501869</w:t>
      </w:r>
    </w:p>
    <w:p w14:paraId="65C227E5" w14:textId="77777777" w:rsidR="00575C83" w:rsidRPr="00FD57CE" w:rsidRDefault="00575C83" w:rsidP="00642118">
      <w:pPr>
        <w:spacing w:line="480" w:lineRule="auto"/>
        <w:rPr>
          <w:rFonts w:ascii="Arial" w:hAnsi="Arial" w:cs="Arial"/>
        </w:rPr>
      </w:pPr>
      <w:r w:rsidRPr="00FD57CE">
        <w:rPr>
          <w:rFonts w:ascii="Arial" w:hAnsi="Arial" w:cs="Arial"/>
        </w:rPr>
        <w:t>Programme of Study: Graphic Design BA (Hons)</w:t>
      </w:r>
    </w:p>
    <w:p w14:paraId="64816158" w14:textId="25A1E7B6" w:rsidR="00575C83" w:rsidRPr="00FD57CE" w:rsidRDefault="00575C83" w:rsidP="00642118">
      <w:pPr>
        <w:spacing w:line="480" w:lineRule="auto"/>
        <w:rPr>
          <w:rFonts w:ascii="Arial" w:hAnsi="Arial" w:cs="Arial"/>
        </w:rPr>
      </w:pPr>
      <w:r w:rsidRPr="00FD57CE">
        <w:rPr>
          <w:rFonts w:ascii="Arial" w:hAnsi="Arial" w:cs="Arial"/>
        </w:rPr>
        <w:t>Module: Ways of Perceiving (ADDA4023/C)</w:t>
      </w:r>
    </w:p>
    <w:p w14:paraId="61585D67" w14:textId="77777777" w:rsidR="00575C83" w:rsidRPr="00FD57CE" w:rsidRDefault="00575C83" w:rsidP="00642118">
      <w:pPr>
        <w:spacing w:line="480" w:lineRule="auto"/>
        <w:rPr>
          <w:rFonts w:ascii="Arial" w:hAnsi="Arial" w:cs="Arial"/>
        </w:rPr>
      </w:pPr>
    </w:p>
    <w:p w14:paraId="38E095BF" w14:textId="1B105646" w:rsidR="00575C83" w:rsidRPr="00FD57CE" w:rsidRDefault="00575C83" w:rsidP="00642118">
      <w:pPr>
        <w:spacing w:line="480" w:lineRule="auto"/>
        <w:rPr>
          <w:rFonts w:ascii="Arial" w:hAnsi="Arial" w:cs="Arial"/>
        </w:rPr>
      </w:pPr>
      <w:r w:rsidRPr="00FD57CE">
        <w:rPr>
          <w:rFonts w:ascii="Arial" w:hAnsi="Arial" w:cs="Arial"/>
        </w:rPr>
        <w:t xml:space="preserve">Task: Curate an Exhibition </w:t>
      </w:r>
      <w:r w:rsidR="00522AD8" w:rsidRPr="00FD57CE">
        <w:rPr>
          <w:rFonts w:ascii="Arial" w:hAnsi="Arial" w:cs="Arial"/>
        </w:rPr>
        <w:t>–</w:t>
      </w:r>
      <w:r w:rsidRPr="00FD57CE">
        <w:rPr>
          <w:rFonts w:ascii="Arial" w:hAnsi="Arial" w:cs="Arial"/>
        </w:rPr>
        <w:t xml:space="preserve"> </w:t>
      </w:r>
      <w:r w:rsidR="00522AD8" w:rsidRPr="00FD57CE">
        <w:rPr>
          <w:rFonts w:ascii="Arial" w:hAnsi="Arial" w:cs="Arial"/>
        </w:rPr>
        <w:t xml:space="preserve">1451 </w:t>
      </w:r>
      <w:r w:rsidR="0002490D" w:rsidRPr="00FD57CE">
        <w:rPr>
          <w:rFonts w:ascii="Arial" w:hAnsi="Arial" w:cs="Arial"/>
        </w:rPr>
        <w:t>Words</w:t>
      </w:r>
    </w:p>
    <w:p w14:paraId="67F98693" w14:textId="0F515A59" w:rsidR="00D64D3B" w:rsidRPr="00FD57CE" w:rsidRDefault="00D64D3B" w:rsidP="00642118">
      <w:pPr>
        <w:spacing w:line="480" w:lineRule="auto"/>
        <w:rPr>
          <w:rFonts w:ascii="Arial" w:hAnsi="Arial" w:cs="Arial"/>
        </w:rPr>
      </w:pPr>
    </w:p>
    <w:p w14:paraId="3F03B238" w14:textId="77777777" w:rsidR="00D64D3B" w:rsidRPr="00FD57CE" w:rsidRDefault="00D64D3B" w:rsidP="00642118">
      <w:pPr>
        <w:spacing w:line="480" w:lineRule="auto"/>
        <w:rPr>
          <w:rFonts w:ascii="Arial" w:hAnsi="Arial" w:cs="Arial"/>
        </w:rPr>
      </w:pPr>
      <w:r w:rsidRPr="00FD57CE">
        <w:rPr>
          <w:rFonts w:ascii="Arial" w:hAnsi="Arial" w:cs="Arial"/>
        </w:rPr>
        <w:br w:type="page"/>
      </w:r>
    </w:p>
    <w:p w14:paraId="52662565" w14:textId="77777777" w:rsidR="00D64D3B" w:rsidRPr="00FD57CE" w:rsidRDefault="00D64D3B" w:rsidP="00642118">
      <w:pPr>
        <w:spacing w:line="480" w:lineRule="auto"/>
        <w:rPr>
          <w:rFonts w:ascii="Arial" w:hAnsi="Arial" w:cs="Arial"/>
        </w:rPr>
      </w:pPr>
      <w:r w:rsidRPr="00FD57CE">
        <w:rPr>
          <w:rFonts w:ascii="Arial" w:hAnsi="Arial" w:cs="Arial"/>
        </w:rPr>
        <w:lastRenderedPageBreak/>
        <w:t>For this assessment, I confirm that I have not used Generative AI to support me in structuring my submission, including creating a draft argument structure, identifying parts and headings. I confirm that I have not used Generative AI to create text for my submission. I confirm that I have not used Generative AI for creative materials, such as images.</w:t>
      </w:r>
    </w:p>
    <w:p w14:paraId="6D9885C9" w14:textId="77777777" w:rsidR="00A57A07" w:rsidRPr="00FD57CE" w:rsidRDefault="00A57A07" w:rsidP="00642118">
      <w:pPr>
        <w:spacing w:line="480" w:lineRule="auto"/>
        <w:rPr>
          <w:rFonts w:ascii="Arial" w:hAnsi="Arial" w:cs="Arial"/>
        </w:rPr>
      </w:pPr>
    </w:p>
    <w:p w14:paraId="7AD0AA5F" w14:textId="77777777" w:rsidR="00A57A07" w:rsidRPr="00FD57CE" w:rsidRDefault="00A57A07" w:rsidP="00642118">
      <w:pPr>
        <w:spacing w:line="480" w:lineRule="auto"/>
        <w:rPr>
          <w:rFonts w:ascii="Arial" w:hAnsi="Arial" w:cs="Arial"/>
        </w:rPr>
      </w:pPr>
    </w:p>
    <w:p w14:paraId="6284287D" w14:textId="77777777" w:rsidR="00322973" w:rsidRPr="00FD57CE" w:rsidRDefault="00322973" w:rsidP="00642118">
      <w:pPr>
        <w:spacing w:line="480" w:lineRule="auto"/>
        <w:rPr>
          <w:rFonts w:ascii="Arial" w:hAnsi="Arial" w:cs="Arial"/>
        </w:rPr>
      </w:pPr>
    </w:p>
    <w:p w14:paraId="3030A40C" w14:textId="03232466" w:rsidR="00575C83" w:rsidRPr="00FD57CE" w:rsidRDefault="00575C83" w:rsidP="00642118">
      <w:pPr>
        <w:spacing w:line="480" w:lineRule="auto"/>
        <w:rPr>
          <w:rFonts w:ascii="Arial" w:hAnsi="Arial" w:cs="Arial"/>
        </w:rPr>
      </w:pPr>
      <w:r w:rsidRPr="00FD57CE">
        <w:rPr>
          <w:rFonts w:ascii="Arial" w:hAnsi="Arial" w:cs="Arial"/>
        </w:rPr>
        <w:br w:type="page"/>
      </w:r>
    </w:p>
    <w:p w14:paraId="61231BD0" w14:textId="77777777" w:rsidR="00575C83" w:rsidRPr="00FD57CE" w:rsidRDefault="00575C83" w:rsidP="00642118">
      <w:pPr>
        <w:spacing w:line="480" w:lineRule="auto"/>
        <w:rPr>
          <w:rFonts w:ascii="Arial" w:hAnsi="Arial" w:cs="Arial"/>
          <w:b/>
          <w:bCs/>
        </w:rPr>
      </w:pPr>
      <w:r w:rsidRPr="00FD57CE">
        <w:rPr>
          <w:rFonts w:ascii="Arial" w:hAnsi="Arial" w:cs="Arial"/>
          <w:b/>
          <w:bCs/>
        </w:rPr>
        <w:lastRenderedPageBreak/>
        <w:t>The Significance of Colour in a Grey World</w:t>
      </w:r>
    </w:p>
    <w:p w14:paraId="00173474" w14:textId="50DE2D40" w:rsidR="00ED0FC1" w:rsidRPr="00FD57CE" w:rsidRDefault="00667828" w:rsidP="00642118">
      <w:pPr>
        <w:spacing w:line="480" w:lineRule="auto"/>
        <w:rPr>
          <w:rFonts w:ascii="Arial" w:hAnsi="Arial" w:cs="Arial"/>
        </w:rPr>
      </w:pPr>
      <w:r w:rsidRPr="00FD57CE">
        <w:rPr>
          <w:rFonts w:ascii="Arial" w:hAnsi="Arial" w:cs="Arial"/>
        </w:rPr>
        <w:t xml:space="preserve">This exhibition has been curated to </w:t>
      </w:r>
      <w:r w:rsidR="0054468A" w:rsidRPr="00FD57CE">
        <w:rPr>
          <w:rFonts w:ascii="Arial" w:hAnsi="Arial" w:cs="Arial"/>
        </w:rPr>
        <w:t>show</w:t>
      </w:r>
      <w:r w:rsidRPr="00FD57CE">
        <w:rPr>
          <w:rFonts w:ascii="Arial" w:hAnsi="Arial" w:cs="Arial"/>
        </w:rPr>
        <w:t xml:space="preserve"> how, in a world where uniformity and dullness are increasingly normalised—whether through urban concrete landscapes, minimalism, or emotional desensitisation—colour emerges as a powerful agent of disruption, communication, and meaning. </w:t>
      </w:r>
      <w:r w:rsidRPr="00FD57CE">
        <w:rPr>
          <w:rFonts w:ascii="Arial" w:hAnsi="Arial" w:cs="Arial"/>
          <w:i/>
          <w:iCs/>
        </w:rPr>
        <w:t>The Significance of Colour in a Grey World</w:t>
      </w:r>
      <w:r w:rsidRPr="00FD57CE">
        <w:rPr>
          <w:rFonts w:ascii="Arial" w:hAnsi="Arial" w:cs="Arial"/>
        </w:rPr>
        <w:t xml:space="preserve"> is a</w:t>
      </w:r>
      <w:r w:rsidR="005339C2" w:rsidRPr="00FD57CE">
        <w:rPr>
          <w:rFonts w:ascii="Arial" w:hAnsi="Arial" w:cs="Arial"/>
        </w:rPr>
        <w:t>n</w:t>
      </w:r>
      <w:r w:rsidRPr="00FD57CE">
        <w:rPr>
          <w:rFonts w:ascii="Arial" w:hAnsi="Arial" w:cs="Arial"/>
        </w:rPr>
        <w:t xml:space="preserve"> exhibition that explores how artists and designers have used colour not only for aesthetic purposes, but as a language for expression, resistance, identity, and perception</w:t>
      </w:r>
      <w:r w:rsidR="00811D46" w:rsidRPr="00FD57CE">
        <w:rPr>
          <w:rFonts w:ascii="Arial" w:hAnsi="Arial" w:cs="Arial"/>
        </w:rPr>
        <w:t xml:space="preserve">. Rather than treating colour as a purely aesthetic feature, this exhibition positions it as </w:t>
      </w:r>
      <w:r w:rsidR="008569B1" w:rsidRPr="00FD57CE">
        <w:rPr>
          <w:rFonts w:ascii="Arial" w:hAnsi="Arial" w:cs="Arial"/>
        </w:rPr>
        <w:t>something</w:t>
      </w:r>
      <w:r w:rsidR="00811D46" w:rsidRPr="00FD57CE">
        <w:rPr>
          <w:rFonts w:ascii="Arial" w:hAnsi="Arial" w:cs="Arial"/>
        </w:rPr>
        <w:t xml:space="preserve"> that shapes meaning and experience. As Josef Albers observes, “in visual perception a </w:t>
      </w:r>
      <w:proofErr w:type="spellStart"/>
      <w:r w:rsidR="00811D46" w:rsidRPr="00FD57CE">
        <w:rPr>
          <w:rFonts w:ascii="Arial" w:hAnsi="Arial" w:cs="Arial"/>
        </w:rPr>
        <w:t>color</w:t>
      </w:r>
      <w:proofErr w:type="spellEnd"/>
      <w:r w:rsidR="00811D46" w:rsidRPr="00FD57CE">
        <w:rPr>
          <w:rFonts w:ascii="Arial" w:hAnsi="Arial" w:cs="Arial"/>
        </w:rPr>
        <w:t xml:space="preserve"> is almost never seen as it really is” (Albers, 1963</w:t>
      </w:r>
      <w:r w:rsidR="0060486E" w:rsidRPr="00FD57CE">
        <w:rPr>
          <w:rFonts w:ascii="Arial" w:hAnsi="Arial" w:cs="Arial"/>
        </w:rPr>
        <w:t xml:space="preserve">, </w:t>
      </w:r>
      <w:r w:rsidR="00D1478B" w:rsidRPr="00FD57CE">
        <w:rPr>
          <w:rFonts w:ascii="Arial" w:hAnsi="Arial" w:cs="Arial"/>
        </w:rPr>
        <w:t>p.</w:t>
      </w:r>
      <w:r w:rsidR="006D7EC7" w:rsidRPr="00FD57CE">
        <w:rPr>
          <w:rFonts w:ascii="Arial" w:hAnsi="Arial" w:cs="Arial"/>
        </w:rPr>
        <w:t xml:space="preserve"> </w:t>
      </w:r>
      <w:r w:rsidR="00D1478B" w:rsidRPr="00FD57CE">
        <w:rPr>
          <w:rFonts w:ascii="Arial" w:hAnsi="Arial" w:cs="Arial"/>
        </w:rPr>
        <w:t>27</w:t>
      </w:r>
      <w:r w:rsidR="00811D46" w:rsidRPr="00FD57CE">
        <w:rPr>
          <w:rFonts w:ascii="Arial" w:hAnsi="Arial" w:cs="Arial"/>
        </w:rPr>
        <w:t xml:space="preserve">), reminding us that colour is relational and </w:t>
      </w:r>
      <w:r w:rsidR="008569B1" w:rsidRPr="00FD57CE">
        <w:rPr>
          <w:rFonts w:ascii="Arial" w:hAnsi="Arial" w:cs="Arial"/>
        </w:rPr>
        <w:t>context dependent</w:t>
      </w:r>
      <w:r w:rsidR="00811D46" w:rsidRPr="00FD57CE">
        <w:rPr>
          <w:rFonts w:ascii="Arial" w:hAnsi="Arial" w:cs="Arial"/>
        </w:rPr>
        <w:t xml:space="preserve">. Building on this idea, the exhibition considers how artists use colour to create feeling, signal identity, challenge systems, and </w:t>
      </w:r>
      <w:r w:rsidR="00181072" w:rsidRPr="00FD57CE">
        <w:rPr>
          <w:rFonts w:ascii="Arial" w:hAnsi="Arial" w:cs="Arial"/>
        </w:rPr>
        <w:t xml:space="preserve">change </w:t>
      </w:r>
      <w:r w:rsidR="00811D46" w:rsidRPr="00FD57CE">
        <w:rPr>
          <w:rFonts w:ascii="Arial" w:hAnsi="Arial" w:cs="Arial"/>
        </w:rPr>
        <w:t>perception.</w:t>
      </w:r>
    </w:p>
    <w:p w14:paraId="5D5FAD60" w14:textId="09E59A6A" w:rsidR="000C74F0" w:rsidRPr="00FD57CE" w:rsidRDefault="000C74F0" w:rsidP="00642118">
      <w:pPr>
        <w:spacing w:line="480" w:lineRule="auto"/>
        <w:rPr>
          <w:rFonts w:ascii="Arial" w:hAnsi="Arial" w:cs="Arial"/>
        </w:rPr>
      </w:pPr>
      <w:r w:rsidRPr="00FD57CE">
        <w:rPr>
          <w:rFonts w:ascii="Arial" w:hAnsi="Arial" w:cs="Arial"/>
          <w:noProof/>
        </w:rPr>
        <w:drawing>
          <wp:inline distT="0" distB="0" distL="0" distR="0" wp14:anchorId="60EC1E9F" wp14:editId="44585865">
            <wp:extent cx="2971800" cy="2971800"/>
            <wp:effectExtent l="0" t="0" r="0" b="0"/>
            <wp:docPr id="17140831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71800" cy="2971800"/>
                    </a:xfrm>
                    <a:prstGeom prst="rect">
                      <a:avLst/>
                    </a:prstGeom>
                    <a:noFill/>
                    <a:ln>
                      <a:noFill/>
                    </a:ln>
                  </pic:spPr>
                </pic:pic>
              </a:graphicData>
            </a:graphic>
          </wp:inline>
        </w:drawing>
      </w:r>
    </w:p>
    <w:p w14:paraId="07B0F33B" w14:textId="09E31592" w:rsidR="008D5A8D" w:rsidRPr="00FD57CE" w:rsidRDefault="00DE0A40" w:rsidP="00642118">
      <w:pPr>
        <w:spacing w:line="480" w:lineRule="auto"/>
        <w:rPr>
          <w:rFonts w:ascii="Arial" w:hAnsi="Arial" w:cs="Arial"/>
          <w:i/>
          <w:iCs/>
        </w:rPr>
      </w:pPr>
      <w:r w:rsidRPr="00FD57CE">
        <w:rPr>
          <w:rFonts w:ascii="Arial" w:hAnsi="Arial" w:cs="Arial"/>
        </w:rPr>
        <w:t>Fig 1</w:t>
      </w:r>
      <w:r w:rsidR="00637981" w:rsidRPr="00FD57CE">
        <w:rPr>
          <w:rFonts w:ascii="Arial" w:hAnsi="Arial" w:cs="Arial"/>
        </w:rPr>
        <w:t xml:space="preserve">, (Saer, 2026, </w:t>
      </w:r>
      <w:r w:rsidR="006C2334" w:rsidRPr="00FD57CE">
        <w:rPr>
          <w:rFonts w:ascii="Arial" w:hAnsi="Arial" w:cs="Arial"/>
          <w:i/>
          <w:iCs/>
        </w:rPr>
        <w:t>The Significance of Colour in a Grey World</w:t>
      </w:r>
      <w:r w:rsidR="000A5608" w:rsidRPr="00FD57CE">
        <w:rPr>
          <w:rFonts w:ascii="Arial" w:hAnsi="Arial" w:cs="Arial"/>
          <w:i/>
          <w:iCs/>
        </w:rPr>
        <w:t xml:space="preserve"> Floorplan)</w:t>
      </w:r>
    </w:p>
    <w:p w14:paraId="78AFE828" w14:textId="39BE4B4B" w:rsidR="00EB3C9E" w:rsidRPr="00FD57CE" w:rsidRDefault="002111A8" w:rsidP="00642118">
      <w:pPr>
        <w:spacing w:line="480" w:lineRule="auto"/>
        <w:rPr>
          <w:rFonts w:ascii="Arial" w:hAnsi="Arial" w:cs="Arial"/>
        </w:rPr>
      </w:pPr>
      <w:r w:rsidRPr="00FD57CE">
        <w:rPr>
          <w:rFonts w:ascii="Arial" w:hAnsi="Arial" w:cs="Arial"/>
        </w:rPr>
        <w:lastRenderedPageBreak/>
        <w:t xml:space="preserve">The structure of the exhibition will be five closed rooms, allowing visitors to be immersed in five distinct environments.  </w:t>
      </w:r>
      <w:r w:rsidR="00C537AC" w:rsidRPr="00FD57CE">
        <w:rPr>
          <w:rFonts w:ascii="Arial" w:hAnsi="Arial" w:cs="Arial"/>
        </w:rPr>
        <w:t>R</w:t>
      </w:r>
      <w:r w:rsidRPr="00FD57CE">
        <w:rPr>
          <w:rFonts w:ascii="Arial" w:hAnsi="Arial" w:cs="Arial"/>
        </w:rPr>
        <w:t>oom</w:t>
      </w:r>
      <w:r w:rsidR="00C537AC" w:rsidRPr="00FD57CE">
        <w:rPr>
          <w:rFonts w:ascii="Arial" w:hAnsi="Arial" w:cs="Arial"/>
        </w:rPr>
        <w:t>s</w:t>
      </w:r>
      <w:r w:rsidRPr="00FD57CE">
        <w:rPr>
          <w:rFonts w:ascii="Arial" w:hAnsi="Arial" w:cs="Arial"/>
        </w:rPr>
        <w:t xml:space="preserve"> </w:t>
      </w:r>
      <w:r w:rsidR="00C537AC" w:rsidRPr="00FD57CE">
        <w:rPr>
          <w:rFonts w:ascii="Arial" w:hAnsi="Arial" w:cs="Arial"/>
        </w:rPr>
        <w:t>are</w:t>
      </w:r>
      <w:r w:rsidRPr="00FD57CE">
        <w:rPr>
          <w:rFonts w:ascii="Arial" w:hAnsi="Arial" w:cs="Arial"/>
        </w:rPr>
        <w:t xml:space="preserve"> designed to symbolise </w:t>
      </w:r>
      <w:r w:rsidR="00C537AC" w:rsidRPr="00FD57CE">
        <w:rPr>
          <w:rFonts w:ascii="Arial" w:hAnsi="Arial" w:cs="Arial"/>
        </w:rPr>
        <w:t>each</w:t>
      </w:r>
      <w:r w:rsidRPr="00FD57CE">
        <w:rPr>
          <w:rFonts w:ascii="Arial" w:hAnsi="Arial" w:cs="Arial"/>
        </w:rPr>
        <w:t xml:space="preserve"> piece: dimmed, warm lighting for Rothko to encourage contemplation, a darker, quiet</w:t>
      </w:r>
      <w:r w:rsidR="006476D6" w:rsidRPr="00FD57CE">
        <w:rPr>
          <w:rFonts w:ascii="Arial" w:hAnsi="Arial" w:cs="Arial"/>
        </w:rPr>
        <w:t>er</w:t>
      </w:r>
      <w:r w:rsidR="00D677A5" w:rsidRPr="00FD57CE">
        <w:rPr>
          <w:rFonts w:ascii="Arial" w:hAnsi="Arial" w:cs="Arial"/>
        </w:rPr>
        <w:t xml:space="preserve">, </w:t>
      </w:r>
      <w:r w:rsidRPr="00FD57CE">
        <w:rPr>
          <w:rFonts w:ascii="Arial" w:hAnsi="Arial" w:cs="Arial"/>
        </w:rPr>
        <w:t xml:space="preserve">dimly lit space for Picasso, a </w:t>
      </w:r>
      <w:r w:rsidR="00E6377A" w:rsidRPr="00FD57CE">
        <w:rPr>
          <w:rFonts w:ascii="Arial" w:hAnsi="Arial" w:cs="Arial"/>
        </w:rPr>
        <w:t>neutral</w:t>
      </w:r>
      <w:r w:rsidRPr="00FD57CE">
        <w:rPr>
          <w:rFonts w:ascii="Arial" w:hAnsi="Arial" w:cs="Arial"/>
        </w:rPr>
        <w:t xml:space="preserve"> setting for</w:t>
      </w:r>
      <w:r w:rsidR="00E6377A" w:rsidRPr="00FD57CE">
        <w:rPr>
          <w:rFonts w:ascii="Arial" w:hAnsi="Arial" w:cs="Arial"/>
        </w:rPr>
        <w:t xml:space="preserve"> Dass</w:t>
      </w:r>
      <w:r w:rsidRPr="00FD57CE">
        <w:rPr>
          <w:rFonts w:ascii="Arial" w:hAnsi="Arial" w:cs="Arial"/>
        </w:rPr>
        <w:t>, a bold and graphic environment for the Guerrilla Girls, and a</w:t>
      </w:r>
      <w:r w:rsidR="00637C8E" w:rsidRPr="00FD57CE">
        <w:rPr>
          <w:rFonts w:ascii="Arial" w:hAnsi="Arial" w:cs="Arial"/>
        </w:rPr>
        <w:t xml:space="preserve"> softly lit</w:t>
      </w:r>
      <w:r w:rsidR="003B3AC4" w:rsidRPr="00FD57CE">
        <w:rPr>
          <w:rFonts w:ascii="Arial" w:hAnsi="Arial" w:cs="Arial"/>
        </w:rPr>
        <w:t>, atmospheric space for Monet</w:t>
      </w:r>
      <w:r w:rsidRPr="00FD57CE">
        <w:rPr>
          <w:rFonts w:ascii="Arial" w:hAnsi="Arial" w:cs="Arial"/>
        </w:rPr>
        <w:t>.</w:t>
      </w:r>
    </w:p>
    <w:p w14:paraId="1066122B" w14:textId="0BC9A0A9" w:rsidR="00EB3C9E" w:rsidRPr="00FD57CE" w:rsidRDefault="002111A8" w:rsidP="00642118">
      <w:pPr>
        <w:spacing w:line="480" w:lineRule="auto"/>
        <w:ind w:firstLine="720"/>
        <w:rPr>
          <w:rFonts w:ascii="Arial" w:hAnsi="Arial" w:cs="Arial"/>
        </w:rPr>
      </w:pPr>
      <w:r w:rsidRPr="00FD57CE">
        <w:rPr>
          <w:rFonts w:ascii="Arial" w:hAnsi="Arial" w:cs="Arial"/>
        </w:rPr>
        <w:t>A central corridor runs parallel to the rooms, featuring a timeline of colour theory</w:t>
      </w:r>
      <w:r w:rsidR="00DD36EB" w:rsidRPr="00FD57CE">
        <w:rPr>
          <w:rFonts w:ascii="Arial" w:hAnsi="Arial" w:cs="Arial"/>
        </w:rPr>
        <w:t xml:space="preserve"> </w:t>
      </w:r>
      <w:r w:rsidRPr="00FD57CE">
        <w:rPr>
          <w:rFonts w:ascii="Arial" w:hAnsi="Arial" w:cs="Arial"/>
        </w:rPr>
        <w:t>(Newton, Goethe, Albers</w:t>
      </w:r>
      <w:r w:rsidR="0026297C" w:rsidRPr="00FD57CE">
        <w:rPr>
          <w:rFonts w:ascii="Arial" w:hAnsi="Arial" w:cs="Arial"/>
        </w:rPr>
        <w:t>), providing</w:t>
      </w:r>
      <w:r w:rsidRPr="00FD57CE">
        <w:rPr>
          <w:rFonts w:ascii="Arial" w:hAnsi="Arial" w:cs="Arial"/>
        </w:rPr>
        <w:t xml:space="preserve"> academic context for the works and referencing key developments in both scientific and perceptual understandings of colour (Goethe, 1840; Itten, 1970).</w:t>
      </w:r>
    </w:p>
    <w:p w14:paraId="057A2F92" w14:textId="389340BF" w:rsidR="00E266E5" w:rsidRPr="00FD57CE" w:rsidRDefault="002111A8" w:rsidP="00642118">
      <w:pPr>
        <w:spacing w:line="480" w:lineRule="auto"/>
        <w:ind w:firstLine="720"/>
        <w:rPr>
          <w:rFonts w:ascii="Arial" w:hAnsi="Arial" w:cs="Arial"/>
        </w:rPr>
      </w:pPr>
      <w:r w:rsidRPr="00FD57CE">
        <w:rPr>
          <w:rFonts w:ascii="Arial" w:hAnsi="Arial" w:cs="Arial"/>
        </w:rPr>
        <w:t>While occasional references can be made to broader movements such as Modernism and later contemporary practices, the primary focus remains on how colour is experienced and understood by the viewer. This ensures that the exhibition remains accessible</w:t>
      </w:r>
      <w:r w:rsidR="00FD6E4C" w:rsidRPr="00FD57CE">
        <w:rPr>
          <w:rFonts w:ascii="Arial" w:hAnsi="Arial" w:cs="Arial"/>
        </w:rPr>
        <w:t>,</w:t>
      </w:r>
      <w:r w:rsidRPr="00FD57CE">
        <w:rPr>
          <w:rFonts w:ascii="Arial" w:hAnsi="Arial" w:cs="Arial"/>
        </w:rPr>
        <w:t xml:space="preserve"> while still grounded in theory.</w:t>
      </w:r>
    </w:p>
    <w:p w14:paraId="1963A3A8" w14:textId="77777777" w:rsidR="002111A8" w:rsidRPr="00FD57CE" w:rsidRDefault="002111A8" w:rsidP="00642118">
      <w:pPr>
        <w:spacing w:line="480" w:lineRule="auto"/>
        <w:rPr>
          <w:rFonts w:ascii="Arial" w:hAnsi="Arial" w:cs="Arial"/>
        </w:rPr>
      </w:pPr>
      <w:r w:rsidRPr="00FD57CE">
        <w:rPr>
          <w:rFonts w:ascii="Arial" w:hAnsi="Arial" w:cs="Arial"/>
          <w:noProof/>
        </w:rPr>
        <w:drawing>
          <wp:inline distT="0" distB="0" distL="0" distR="0" wp14:anchorId="4735D8E1" wp14:editId="77CE120B">
            <wp:extent cx="2125980" cy="2729668"/>
            <wp:effectExtent l="0" t="0" r="7620" b="0"/>
            <wp:docPr id="9583159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3909" cy="2739849"/>
                    </a:xfrm>
                    <a:prstGeom prst="rect">
                      <a:avLst/>
                    </a:prstGeom>
                    <a:noFill/>
                    <a:ln>
                      <a:noFill/>
                    </a:ln>
                  </pic:spPr>
                </pic:pic>
              </a:graphicData>
            </a:graphic>
          </wp:inline>
        </w:drawing>
      </w:r>
    </w:p>
    <w:p w14:paraId="2EECFD7E" w14:textId="3A44B7C4" w:rsidR="0074344E" w:rsidRPr="00FD57CE" w:rsidRDefault="00CA7D5A" w:rsidP="00642118">
      <w:pPr>
        <w:spacing w:line="480" w:lineRule="auto"/>
        <w:rPr>
          <w:rFonts w:ascii="Arial" w:hAnsi="Arial" w:cs="Arial"/>
        </w:rPr>
      </w:pPr>
      <w:r w:rsidRPr="00FD57CE">
        <w:rPr>
          <w:rFonts w:ascii="Arial" w:hAnsi="Arial" w:cs="Arial"/>
        </w:rPr>
        <w:t xml:space="preserve">Fig </w:t>
      </w:r>
      <w:r w:rsidR="00B655DF" w:rsidRPr="00FD57CE">
        <w:rPr>
          <w:rFonts w:ascii="Arial" w:hAnsi="Arial" w:cs="Arial"/>
        </w:rPr>
        <w:t>2</w:t>
      </w:r>
      <w:r w:rsidRPr="00FD57CE">
        <w:rPr>
          <w:rFonts w:ascii="Arial" w:hAnsi="Arial" w:cs="Arial"/>
        </w:rPr>
        <w:t>,</w:t>
      </w:r>
      <w:r w:rsidR="00557AA8" w:rsidRPr="00FD57CE">
        <w:rPr>
          <w:rFonts w:ascii="Arial" w:hAnsi="Arial" w:cs="Arial"/>
        </w:rPr>
        <w:t xml:space="preserve"> (</w:t>
      </w:r>
      <w:r w:rsidRPr="00FD57CE">
        <w:rPr>
          <w:rFonts w:ascii="Arial" w:hAnsi="Arial" w:cs="Arial"/>
        </w:rPr>
        <w:t xml:space="preserve">Rothko, </w:t>
      </w:r>
      <w:r w:rsidR="00557AA8" w:rsidRPr="00FD57CE">
        <w:rPr>
          <w:rFonts w:ascii="Arial" w:hAnsi="Arial" w:cs="Arial"/>
        </w:rPr>
        <w:t xml:space="preserve">1956, </w:t>
      </w:r>
      <w:r w:rsidR="00557AA8" w:rsidRPr="00FD57CE">
        <w:rPr>
          <w:rFonts w:ascii="Arial" w:hAnsi="Arial" w:cs="Arial"/>
          <w:i/>
          <w:iCs/>
        </w:rPr>
        <w:t>Orange and Yellow</w:t>
      </w:r>
      <w:r w:rsidR="00557AA8" w:rsidRPr="00FD57CE">
        <w:rPr>
          <w:rFonts w:ascii="Arial" w:hAnsi="Arial" w:cs="Arial"/>
        </w:rPr>
        <w:t>)</w:t>
      </w:r>
      <w:r w:rsidR="002111A8" w:rsidRPr="00FD57CE">
        <w:rPr>
          <w:rFonts w:ascii="Arial" w:hAnsi="Arial" w:cs="Arial"/>
          <w:noProof/>
        </w:rPr>
        <w:t xml:space="preserve"> </w:t>
      </w:r>
    </w:p>
    <w:p w14:paraId="66BB35E0" w14:textId="13CC3E9A" w:rsidR="00EB3C9E" w:rsidRPr="00FD57CE" w:rsidRDefault="00FA21A6" w:rsidP="00642118">
      <w:pPr>
        <w:spacing w:line="480" w:lineRule="auto"/>
        <w:rPr>
          <w:rFonts w:ascii="Arial" w:hAnsi="Arial" w:cs="Arial"/>
        </w:rPr>
      </w:pPr>
      <w:r w:rsidRPr="00FD57CE">
        <w:rPr>
          <w:rFonts w:ascii="Arial" w:hAnsi="Arial" w:cs="Arial"/>
        </w:rPr>
        <w:t xml:space="preserve">The opening section of the exhibition explores how colour operates as an emotional language, capable of communicating feelings beyond words. Mark Rothko’s </w:t>
      </w:r>
      <w:r w:rsidRPr="00FD57CE">
        <w:rPr>
          <w:rFonts w:ascii="Arial" w:hAnsi="Arial" w:cs="Arial"/>
          <w:i/>
          <w:iCs/>
        </w:rPr>
        <w:t xml:space="preserve">Orange </w:t>
      </w:r>
      <w:r w:rsidRPr="00FD57CE">
        <w:rPr>
          <w:rFonts w:ascii="Arial" w:hAnsi="Arial" w:cs="Arial"/>
          <w:i/>
          <w:iCs/>
        </w:rPr>
        <w:lastRenderedPageBreak/>
        <w:t>and Yellow</w:t>
      </w:r>
      <w:r w:rsidRPr="00FD57CE">
        <w:rPr>
          <w:rFonts w:ascii="Arial" w:hAnsi="Arial" w:cs="Arial"/>
        </w:rPr>
        <w:t xml:space="preserve"> (1956) demonstrates how colour can function as a direct emotional experience. Composed of large, softly edged rectangles luminous </w:t>
      </w:r>
      <w:r w:rsidR="00DA3CDC" w:rsidRPr="00FD57CE">
        <w:rPr>
          <w:rFonts w:ascii="Arial" w:hAnsi="Arial" w:cs="Arial"/>
        </w:rPr>
        <w:t xml:space="preserve">in </w:t>
      </w:r>
      <w:r w:rsidRPr="00FD57CE">
        <w:rPr>
          <w:rFonts w:ascii="Arial" w:hAnsi="Arial" w:cs="Arial"/>
        </w:rPr>
        <w:t xml:space="preserve">colour, the painting immerses the viewer in warm </w:t>
      </w:r>
      <w:r w:rsidR="008C0962" w:rsidRPr="00FD57CE">
        <w:rPr>
          <w:rFonts w:ascii="Arial" w:hAnsi="Arial" w:cs="Arial"/>
        </w:rPr>
        <w:t>tones</w:t>
      </w:r>
      <w:r w:rsidRPr="00FD57CE">
        <w:rPr>
          <w:rFonts w:ascii="Arial" w:hAnsi="Arial" w:cs="Arial"/>
        </w:rPr>
        <w:t>, evoking</w:t>
      </w:r>
      <w:r w:rsidR="008F6957" w:rsidRPr="00FD57CE">
        <w:rPr>
          <w:rFonts w:ascii="Arial" w:hAnsi="Arial" w:cs="Arial"/>
        </w:rPr>
        <w:t xml:space="preserve"> an </w:t>
      </w:r>
      <w:r w:rsidRPr="00FD57CE">
        <w:rPr>
          <w:rFonts w:ascii="Arial" w:hAnsi="Arial" w:cs="Arial"/>
        </w:rPr>
        <w:t>emotion</w:t>
      </w:r>
      <w:r w:rsidR="008F6957" w:rsidRPr="00FD57CE">
        <w:rPr>
          <w:rFonts w:ascii="Arial" w:hAnsi="Arial" w:cs="Arial"/>
        </w:rPr>
        <w:t>al response</w:t>
      </w:r>
      <w:r w:rsidRPr="00FD57CE">
        <w:rPr>
          <w:rFonts w:ascii="Arial" w:hAnsi="Arial" w:cs="Arial"/>
        </w:rPr>
        <w:t>, rather than being merely observed</w:t>
      </w:r>
      <w:r w:rsidR="00EB3C9E" w:rsidRPr="00FD57CE">
        <w:rPr>
          <w:rFonts w:ascii="Arial" w:hAnsi="Arial" w:cs="Arial"/>
        </w:rPr>
        <w:t>.</w:t>
      </w:r>
    </w:p>
    <w:p w14:paraId="44612332" w14:textId="3D9DDAA7" w:rsidR="0006692F" w:rsidRPr="00FD57CE" w:rsidRDefault="00E05DD3" w:rsidP="00642118">
      <w:pPr>
        <w:spacing w:line="480" w:lineRule="auto"/>
        <w:ind w:firstLine="720"/>
        <w:rPr>
          <w:rFonts w:ascii="Arial" w:hAnsi="Arial" w:cs="Arial"/>
        </w:rPr>
      </w:pPr>
      <w:r w:rsidRPr="00FD57CE">
        <w:rPr>
          <w:rFonts w:ascii="Arial" w:hAnsi="Arial" w:cs="Arial"/>
        </w:rPr>
        <w:t>Not simply</w:t>
      </w:r>
      <w:r w:rsidR="00FA21A6" w:rsidRPr="00FD57CE">
        <w:rPr>
          <w:rFonts w:ascii="Arial" w:hAnsi="Arial" w:cs="Arial"/>
        </w:rPr>
        <w:t xml:space="preserve"> depicting recognisable forms, "Rothko utilized vast fields of </w:t>
      </w:r>
      <w:proofErr w:type="spellStart"/>
      <w:r w:rsidR="00FA21A6" w:rsidRPr="00FD57CE">
        <w:rPr>
          <w:rFonts w:ascii="Arial" w:hAnsi="Arial" w:cs="Arial"/>
        </w:rPr>
        <w:t>color</w:t>
      </w:r>
      <w:proofErr w:type="spellEnd"/>
      <w:r w:rsidR="00FA21A6" w:rsidRPr="00FD57CE">
        <w:rPr>
          <w:rFonts w:ascii="Arial" w:hAnsi="Arial" w:cs="Arial"/>
        </w:rPr>
        <w:t xml:space="preserve"> to create immersive, contemplative experiences" (Gage, 1999, p. 9). The relationship between orange and yellow creates a sense of intensity and stillness simultaneously, encouraging prolonged contemplation. Rothko sought to convey fundamental human emotions, particularly intense and existential states.</w:t>
      </w:r>
    </w:p>
    <w:p w14:paraId="72232E5C" w14:textId="51B8C57A" w:rsidR="00414A90" w:rsidRPr="00FD57CE" w:rsidRDefault="00FA21A6" w:rsidP="00642118">
      <w:pPr>
        <w:spacing w:line="480" w:lineRule="auto"/>
        <w:ind w:firstLine="720"/>
        <w:rPr>
          <w:rFonts w:ascii="Arial" w:hAnsi="Arial" w:cs="Arial"/>
        </w:rPr>
      </w:pPr>
      <w:r w:rsidRPr="00FD57CE">
        <w:rPr>
          <w:rFonts w:ascii="Arial" w:hAnsi="Arial" w:cs="Arial"/>
        </w:rPr>
        <w:t>Although often associated with late Modernist abstraction, the significance of this work lies less in its stylistic category and more in its ability to transform colour into an immersive, emotional environment for the viewer.</w:t>
      </w:r>
      <w:r w:rsidR="00BD3991" w:rsidRPr="00FD57CE">
        <w:rPr>
          <w:rFonts w:ascii="Arial" w:hAnsi="Arial" w:cs="Arial"/>
          <w:noProof/>
        </w:rPr>
        <w:t xml:space="preserve"> </w:t>
      </w:r>
    </w:p>
    <w:p w14:paraId="06BF2952" w14:textId="29CC69E0" w:rsidR="00BD3991" w:rsidRPr="00FD57CE" w:rsidRDefault="00BD3991" w:rsidP="00642118">
      <w:pPr>
        <w:spacing w:line="480" w:lineRule="auto"/>
        <w:rPr>
          <w:rFonts w:ascii="Arial" w:hAnsi="Arial" w:cs="Arial"/>
        </w:rPr>
      </w:pPr>
      <w:r w:rsidRPr="00FD57CE">
        <w:rPr>
          <w:rFonts w:ascii="Arial" w:hAnsi="Arial" w:cs="Arial"/>
          <w:noProof/>
        </w:rPr>
        <w:drawing>
          <wp:inline distT="0" distB="0" distL="0" distR="0" wp14:anchorId="2206819B" wp14:editId="41302E03">
            <wp:extent cx="1855849" cy="2778454"/>
            <wp:effectExtent l="0" t="0" r="0" b="3175"/>
            <wp:docPr id="12596090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0393" cy="2800228"/>
                    </a:xfrm>
                    <a:prstGeom prst="rect">
                      <a:avLst/>
                    </a:prstGeom>
                    <a:noFill/>
                    <a:ln>
                      <a:noFill/>
                    </a:ln>
                  </pic:spPr>
                </pic:pic>
              </a:graphicData>
            </a:graphic>
          </wp:inline>
        </w:drawing>
      </w:r>
    </w:p>
    <w:p w14:paraId="4514B48A" w14:textId="4231B86F" w:rsidR="0084394B" w:rsidRPr="00FD57CE" w:rsidRDefault="0084394B" w:rsidP="00642118">
      <w:pPr>
        <w:spacing w:line="480" w:lineRule="auto"/>
        <w:rPr>
          <w:rFonts w:ascii="Arial" w:hAnsi="Arial" w:cs="Arial"/>
        </w:rPr>
      </w:pPr>
      <w:r w:rsidRPr="00FD57CE">
        <w:rPr>
          <w:rFonts w:ascii="Arial" w:hAnsi="Arial" w:cs="Arial"/>
        </w:rPr>
        <w:t xml:space="preserve">Fig </w:t>
      </w:r>
      <w:r w:rsidR="00B655DF" w:rsidRPr="00FD57CE">
        <w:rPr>
          <w:rFonts w:ascii="Arial" w:hAnsi="Arial" w:cs="Arial"/>
        </w:rPr>
        <w:t>3</w:t>
      </w:r>
      <w:r w:rsidRPr="00FD57CE">
        <w:rPr>
          <w:rFonts w:ascii="Arial" w:hAnsi="Arial" w:cs="Arial"/>
        </w:rPr>
        <w:t xml:space="preserve">, </w:t>
      </w:r>
      <w:r w:rsidR="00B90F6A" w:rsidRPr="00FD57CE">
        <w:rPr>
          <w:rFonts w:ascii="Arial" w:hAnsi="Arial" w:cs="Arial"/>
        </w:rPr>
        <w:t xml:space="preserve">(Picasso, 1903-1904, </w:t>
      </w:r>
      <w:r w:rsidR="005E3FD7" w:rsidRPr="00FD57CE">
        <w:rPr>
          <w:rFonts w:ascii="Arial" w:hAnsi="Arial" w:cs="Arial"/>
          <w:i/>
          <w:iCs/>
        </w:rPr>
        <w:t>The Old Guitarist</w:t>
      </w:r>
      <w:r w:rsidR="005E3FD7" w:rsidRPr="00FD57CE">
        <w:rPr>
          <w:rFonts w:ascii="Arial" w:hAnsi="Arial" w:cs="Arial"/>
        </w:rPr>
        <w:t>)</w:t>
      </w:r>
    </w:p>
    <w:p w14:paraId="0526C829" w14:textId="77777777" w:rsidR="0006692F" w:rsidRPr="00FD57CE" w:rsidRDefault="00FC2233" w:rsidP="00642118">
      <w:pPr>
        <w:spacing w:line="480" w:lineRule="auto"/>
        <w:rPr>
          <w:rFonts w:ascii="Arial" w:hAnsi="Arial" w:cs="Arial"/>
        </w:rPr>
      </w:pPr>
      <w:r w:rsidRPr="00FD57CE">
        <w:rPr>
          <w:rFonts w:ascii="Arial" w:hAnsi="Arial" w:cs="Arial"/>
        </w:rPr>
        <w:t xml:space="preserve">Pablo Picasso’s </w:t>
      </w:r>
      <w:r w:rsidRPr="00FD57CE">
        <w:rPr>
          <w:rFonts w:ascii="Arial" w:hAnsi="Arial" w:cs="Arial"/>
          <w:i/>
          <w:iCs/>
        </w:rPr>
        <w:t>The Old Guitarist</w:t>
      </w:r>
      <w:r w:rsidRPr="00FD57CE">
        <w:rPr>
          <w:rFonts w:ascii="Arial" w:hAnsi="Arial" w:cs="Arial"/>
        </w:rPr>
        <w:t xml:space="preserve"> reveals how the restriction of colour can be equally expressive. Painted during his Blue Period, the work is dominated by cool blue tones </w:t>
      </w:r>
      <w:r w:rsidRPr="00FD57CE">
        <w:rPr>
          <w:rFonts w:ascii="Arial" w:hAnsi="Arial" w:cs="Arial"/>
        </w:rPr>
        <w:lastRenderedPageBreak/>
        <w:t>that represent isolation, poverty, and misery. The restricted palette intensifies the emotional impact, as “</w:t>
      </w:r>
      <w:proofErr w:type="spellStart"/>
      <w:r w:rsidRPr="00FD57CE">
        <w:rPr>
          <w:rFonts w:ascii="Arial" w:hAnsi="Arial" w:cs="Arial"/>
        </w:rPr>
        <w:t>Color</w:t>
      </w:r>
      <w:proofErr w:type="spellEnd"/>
      <w:r w:rsidRPr="00FD57CE">
        <w:rPr>
          <w:rFonts w:ascii="Arial" w:hAnsi="Arial" w:cs="Arial"/>
        </w:rPr>
        <w:t xml:space="preserve"> is the most relative medium in art” (Albers, 1963, p. 92), emphasising how even limited colour can affect psychological response.</w:t>
      </w:r>
    </w:p>
    <w:p w14:paraId="1E03C7BE" w14:textId="23DACDFE" w:rsidR="00FB01E5" w:rsidRPr="00FD57CE" w:rsidRDefault="00FC2233" w:rsidP="00642118">
      <w:pPr>
        <w:spacing w:line="480" w:lineRule="auto"/>
        <w:ind w:firstLine="720"/>
        <w:rPr>
          <w:rFonts w:ascii="Arial" w:hAnsi="Arial" w:cs="Arial"/>
        </w:rPr>
      </w:pPr>
      <w:r w:rsidRPr="00FD57CE">
        <w:rPr>
          <w:rFonts w:ascii="Arial" w:hAnsi="Arial" w:cs="Arial"/>
        </w:rPr>
        <w:t xml:space="preserve">The figure appears thin and stretched, heightening a feeling of physical and emotional fragility, completing the portrayal of human suffering. The otherwise cool blue palette is interrupted only by the brown guitar, which brings a slight warmth to the painting and draws the eye. Although </w:t>
      </w:r>
      <w:r w:rsidR="00C71621" w:rsidRPr="00FD57CE">
        <w:rPr>
          <w:rFonts w:ascii="Arial" w:hAnsi="Arial" w:cs="Arial"/>
        </w:rPr>
        <w:t>still</w:t>
      </w:r>
      <w:r w:rsidR="00484458" w:rsidRPr="00FD57CE">
        <w:rPr>
          <w:rFonts w:ascii="Arial" w:hAnsi="Arial" w:cs="Arial"/>
        </w:rPr>
        <w:t xml:space="preserve"> </w:t>
      </w:r>
      <w:r w:rsidRPr="00FD57CE">
        <w:rPr>
          <w:rFonts w:ascii="Arial" w:hAnsi="Arial" w:cs="Arial"/>
        </w:rPr>
        <w:t>dark</w:t>
      </w:r>
      <w:r w:rsidR="00484458" w:rsidRPr="00FD57CE">
        <w:rPr>
          <w:rFonts w:ascii="Arial" w:hAnsi="Arial" w:cs="Arial"/>
        </w:rPr>
        <w:t xml:space="preserve"> in</w:t>
      </w:r>
      <w:r w:rsidRPr="00FD57CE">
        <w:rPr>
          <w:rFonts w:ascii="Arial" w:hAnsi="Arial" w:cs="Arial"/>
        </w:rPr>
        <w:t xml:space="preserve"> tone, this subtle contrast demonstrates how small colour shifts can influence interpretation and direct the viewer’s focus.</w:t>
      </w:r>
      <w:r w:rsidRPr="00FD57CE">
        <w:rPr>
          <w:rFonts w:ascii="Arial" w:hAnsi="Arial" w:cs="Arial"/>
        </w:rPr>
        <w:br/>
        <w:t xml:space="preserve">This work </w:t>
      </w:r>
      <w:proofErr w:type="gramStart"/>
      <w:r w:rsidR="00753ABC" w:rsidRPr="00FD57CE">
        <w:rPr>
          <w:rFonts w:ascii="Arial" w:hAnsi="Arial" w:cs="Arial"/>
        </w:rPr>
        <w:t>is in</w:t>
      </w:r>
      <w:r w:rsidRPr="00FD57CE">
        <w:rPr>
          <w:rFonts w:ascii="Arial" w:hAnsi="Arial" w:cs="Arial"/>
        </w:rPr>
        <w:t xml:space="preserve"> contrast to</w:t>
      </w:r>
      <w:proofErr w:type="gramEnd"/>
      <w:r w:rsidRPr="00FD57CE">
        <w:rPr>
          <w:rFonts w:ascii="Arial" w:hAnsi="Arial" w:cs="Arial"/>
        </w:rPr>
        <w:t xml:space="preserve"> Rothko</w:t>
      </w:r>
      <w:r w:rsidR="00CE43A4" w:rsidRPr="00FD57CE">
        <w:rPr>
          <w:rFonts w:ascii="Arial" w:hAnsi="Arial" w:cs="Arial"/>
        </w:rPr>
        <w:t>’s</w:t>
      </w:r>
      <w:r w:rsidRPr="00FD57CE">
        <w:rPr>
          <w:rFonts w:ascii="Arial" w:hAnsi="Arial" w:cs="Arial"/>
        </w:rPr>
        <w:t>, showing that colour’s significance lies not only in vibrancy but also in its absence.</w:t>
      </w:r>
    </w:p>
    <w:p w14:paraId="5D4B747D" w14:textId="6B5BDB01" w:rsidR="003E3190" w:rsidRPr="00FD57CE" w:rsidRDefault="003E3190" w:rsidP="00642118">
      <w:pPr>
        <w:spacing w:line="480" w:lineRule="auto"/>
        <w:rPr>
          <w:rFonts w:ascii="Arial" w:hAnsi="Arial" w:cs="Arial"/>
        </w:rPr>
      </w:pPr>
      <w:r w:rsidRPr="00FD57CE">
        <w:rPr>
          <w:rFonts w:ascii="Arial" w:hAnsi="Arial" w:cs="Arial"/>
          <w:noProof/>
        </w:rPr>
        <w:drawing>
          <wp:inline distT="0" distB="0" distL="0" distR="0" wp14:anchorId="61DA8400" wp14:editId="465EE2D0">
            <wp:extent cx="2419350" cy="2419350"/>
            <wp:effectExtent l="0" t="0" r="0" b="0"/>
            <wp:docPr id="1434534118" name="Picture 1" descr="Angelica Dass human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gelica Dass humana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inline>
        </w:drawing>
      </w:r>
    </w:p>
    <w:p w14:paraId="02A1FEDD" w14:textId="4CD30CC1" w:rsidR="003E3190" w:rsidRPr="00FD57CE" w:rsidRDefault="003E3190" w:rsidP="00642118">
      <w:pPr>
        <w:spacing w:line="480" w:lineRule="auto"/>
        <w:rPr>
          <w:rFonts w:ascii="Arial" w:hAnsi="Arial" w:cs="Arial"/>
        </w:rPr>
      </w:pPr>
      <w:r w:rsidRPr="00FD57CE">
        <w:rPr>
          <w:rFonts w:ascii="Arial" w:hAnsi="Arial" w:cs="Arial"/>
        </w:rPr>
        <w:t xml:space="preserve">Fig </w:t>
      </w:r>
      <w:r w:rsidR="00B655DF" w:rsidRPr="00FD57CE">
        <w:rPr>
          <w:rFonts w:ascii="Arial" w:hAnsi="Arial" w:cs="Arial"/>
        </w:rPr>
        <w:t>4</w:t>
      </w:r>
      <w:r w:rsidR="00B8731F" w:rsidRPr="00FD57CE">
        <w:rPr>
          <w:rFonts w:ascii="Arial" w:hAnsi="Arial" w:cs="Arial"/>
        </w:rPr>
        <w:t xml:space="preserve">, (Dass, </w:t>
      </w:r>
      <w:r w:rsidR="00C10923" w:rsidRPr="00FD57CE">
        <w:rPr>
          <w:rFonts w:ascii="Arial" w:hAnsi="Arial" w:cs="Arial"/>
        </w:rPr>
        <w:t xml:space="preserve">2012-ongoing, </w:t>
      </w:r>
      <w:r w:rsidR="006E36EF" w:rsidRPr="00FD57CE">
        <w:rPr>
          <w:rFonts w:ascii="Arial" w:hAnsi="Arial" w:cs="Arial"/>
          <w:i/>
          <w:iCs/>
        </w:rPr>
        <w:t>Humanae</w:t>
      </w:r>
      <w:r w:rsidR="006E36EF" w:rsidRPr="00FD57CE">
        <w:rPr>
          <w:rFonts w:ascii="Arial" w:hAnsi="Arial" w:cs="Arial"/>
        </w:rPr>
        <w:t>)</w:t>
      </w:r>
    </w:p>
    <w:p w14:paraId="57EAAAEE" w14:textId="79613853" w:rsidR="00AA5847" w:rsidRPr="00FD57CE" w:rsidRDefault="00AA5847" w:rsidP="00642118">
      <w:pPr>
        <w:spacing w:line="480" w:lineRule="auto"/>
        <w:rPr>
          <w:rFonts w:ascii="Arial" w:hAnsi="Arial" w:cs="Arial"/>
        </w:rPr>
      </w:pPr>
      <w:r w:rsidRPr="00FD57CE">
        <w:rPr>
          <w:rFonts w:ascii="Arial" w:hAnsi="Arial" w:cs="Arial"/>
        </w:rPr>
        <w:t xml:space="preserve">Angelica Dass's </w:t>
      </w:r>
      <w:r w:rsidRPr="00FD57CE">
        <w:rPr>
          <w:rFonts w:ascii="Arial" w:hAnsi="Arial" w:cs="Arial"/>
          <w:i/>
          <w:iCs/>
        </w:rPr>
        <w:t>Humanae</w:t>
      </w:r>
      <w:r w:rsidRPr="00FD57CE">
        <w:rPr>
          <w:rFonts w:ascii="Arial" w:hAnsi="Arial" w:cs="Arial"/>
        </w:rPr>
        <w:t xml:space="preserve"> explores colour as a direct, socially engaged way of representing identity. The project consists of a l</w:t>
      </w:r>
      <w:r w:rsidR="00D70373" w:rsidRPr="00FD57CE">
        <w:rPr>
          <w:rFonts w:ascii="Arial" w:hAnsi="Arial" w:cs="Arial"/>
        </w:rPr>
        <w:t>arge</w:t>
      </w:r>
      <w:r w:rsidRPr="00FD57CE">
        <w:rPr>
          <w:rFonts w:ascii="Arial" w:hAnsi="Arial" w:cs="Arial"/>
        </w:rPr>
        <w:t xml:space="preserve"> series of photographic portraits in which each subject's skin tone is </w:t>
      </w:r>
      <w:r w:rsidR="00382827" w:rsidRPr="00FD57CE">
        <w:rPr>
          <w:rFonts w:ascii="Arial" w:hAnsi="Arial" w:cs="Arial"/>
        </w:rPr>
        <w:t>paired</w:t>
      </w:r>
      <w:r w:rsidRPr="00FD57CE">
        <w:rPr>
          <w:rFonts w:ascii="Arial" w:hAnsi="Arial" w:cs="Arial"/>
        </w:rPr>
        <w:t xml:space="preserve"> to a</w:t>
      </w:r>
      <w:r w:rsidR="00C8709D" w:rsidRPr="00FD57CE">
        <w:rPr>
          <w:rFonts w:ascii="Arial" w:hAnsi="Arial" w:cs="Arial"/>
        </w:rPr>
        <w:t xml:space="preserve"> matching Pantone</w:t>
      </w:r>
      <w:r w:rsidRPr="00FD57CE">
        <w:rPr>
          <w:rFonts w:ascii="Arial" w:hAnsi="Arial" w:cs="Arial"/>
        </w:rPr>
        <w:t xml:space="preserve"> background colou</w:t>
      </w:r>
      <w:r w:rsidR="00C8709D" w:rsidRPr="00FD57CE">
        <w:rPr>
          <w:rFonts w:ascii="Arial" w:hAnsi="Arial" w:cs="Arial"/>
        </w:rPr>
        <w:t>r</w:t>
      </w:r>
      <w:r w:rsidRPr="00FD57CE">
        <w:rPr>
          <w:rFonts w:ascii="Arial" w:hAnsi="Arial" w:cs="Arial"/>
        </w:rPr>
        <w:t>. This method removes the concept of racial or hierarchical classifications and instead presents human skin as part of a continuous colour spectrum.</w:t>
      </w:r>
    </w:p>
    <w:p w14:paraId="60AC4C98" w14:textId="39E6E765" w:rsidR="00AA5847" w:rsidRPr="00FD57CE" w:rsidRDefault="00AA5847" w:rsidP="00642118">
      <w:pPr>
        <w:spacing w:line="480" w:lineRule="auto"/>
        <w:ind w:firstLine="720"/>
        <w:rPr>
          <w:rFonts w:ascii="Arial" w:hAnsi="Arial" w:cs="Arial"/>
        </w:rPr>
      </w:pPr>
      <w:r w:rsidRPr="00FD57CE">
        <w:rPr>
          <w:rFonts w:ascii="Arial" w:hAnsi="Arial" w:cs="Arial"/>
        </w:rPr>
        <w:lastRenderedPageBreak/>
        <w:t xml:space="preserve">Dass challenges socially constructed ideas of race and difference by transforming skin colour into a standard colour code. The portraits emphasise subtle tonal variations, prompting viewers to reevaluate their assumptions </w:t>
      </w:r>
      <w:r w:rsidR="00017671" w:rsidRPr="00FD57CE">
        <w:rPr>
          <w:rFonts w:ascii="Arial" w:hAnsi="Arial" w:cs="Arial"/>
        </w:rPr>
        <w:t xml:space="preserve">of </w:t>
      </w:r>
      <w:r w:rsidRPr="00FD57CE">
        <w:rPr>
          <w:rFonts w:ascii="Arial" w:hAnsi="Arial" w:cs="Arial"/>
        </w:rPr>
        <w:t xml:space="preserve">identity and classification. In this context, colour serves as both a visual and conceptual tool, </w:t>
      </w:r>
      <w:r w:rsidR="00415A83" w:rsidRPr="00FD57CE">
        <w:rPr>
          <w:rFonts w:ascii="Arial" w:hAnsi="Arial" w:cs="Arial"/>
        </w:rPr>
        <w:t>revealing how colour meaning is shaped through linguistic and cultural systems (Berlin and Kay, 1969)</w:t>
      </w:r>
    </w:p>
    <w:p w14:paraId="1F5D62A0" w14:textId="52CEE998" w:rsidR="00ED120F" w:rsidRPr="00FD57CE" w:rsidRDefault="00AA5847" w:rsidP="00642118">
      <w:pPr>
        <w:spacing w:line="480" w:lineRule="auto"/>
        <w:ind w:firstLine="720"/>
        <w:rPr>
          <w:rFonts w:ascii="Arial" w:hAnsi="Arial" w:cs="Arial"/>
        </w:rPr>
      </w:pPr>
      <w:r w:rsidRPr="00FD57CE">
        <w:rPr>
          <w:rFonts w:ascii="Arial" w:hAnsi="Arial" w:cs="Arial"/>
        </w:rPr>
        <w:t xml:space="preserve">The Pantone system is </w:t>
      </w:r>
      <w:r w:rsidR="00070D14" w:rsidRPr="00FD57CE">
        <w:rPr>
          <w:rFonts w:ascii="Arial" w:hAnsi="Arial" w:cs="Arial"/>
        </w:rPr>
        <w:t>especially</w:t>
      </w:r>
      <w:r w:rsidRPr="00FD57CE">
        <w:rPr>
          <w:rFonts w:ascii="Arial" w:hAnsi="Arial" w:cs="Arial"/>
        </w:rPr>
        <w:t xml:space="preserve"> significant </w:t>
      </w:r>
      <w:r w:rsidR="002A705F" w:rsidRPr="00FD57CE">
        <w:rPr>
          <w:rFonts w:ascii="Arial" w:hAnsi="Arial" w:cs="Arial"/>
        </w:rPr>
        <w:t>as</w:t>
      </w:r>
      <w:r w:rsidRPr="00FD57CE">
        <w:rPr>
          <w:rFonts w:ascii="Arial" w:hAnsi="Arial" w:cs="Arial"/>
        </w:rPr>
        <w:t xml:space="preserve"> it stems from commercial design and global standardisation. By using it on human skin, Dass shows how systems of classification can both help and hurt understanding. This change from subjective perception to coded classification highlights the conflict between being unique and being put into groups.</w:t>
      </w:r>
    </w:p>
    <w:p w14:paraId="72F81422" w14:textId="34E39771" w:rsidR="00AA5847" w:rsidRPr="00FD57CE" w:rsidRDefault="00AA5847" w:rsidP="00642118">
      <w:pPr>
        <w:spacing w:line="480" w:lineRule="auto"/>
        <w:ind w:firstLine="720"/>
        <w:rPr>
          <w:rFonts w:ascii="Arial" w:hAnsi="Arial" w:cs="Arial"/>
        </w:rPr>
      </w:pPr>
      <w:r w:rsidRPr="00FD57CE">
        <w:rPr>
          <w:rFonts w:ascii="Arial" w:hAnsi="Arial" w:cs="Arial"/>
        </w:rPr>
        <w:t xml:space="preserve">The same neutral expression, direct gaze, and framing in each portrait purely emphasise the colour. This repetition strengthens the argument that identity is not fixed or binary but rather exists within a wide and intricate spectrum. </w:t>
      </w:r>
      <w:r w:rsidR="000D4C67" w:rsidRPr="00FD57CE">
        <w:rPr>
          <w:rFonts w:ascii="Arial" w:hAnsi="Arial" w:cs="Arial"/>
        </w:rPr>
        <w:t>The work also reflects broader contemporary concerns with representation and inclusivity, as</w:t>
      </w:r>
      <w:r w:rsidR="00834FCF" w:rsidRPr="00FD57CE">
        <w:rPr>
          <w:rFonts w:ascii="Arial" w:hAnsi="Arial" w:cs="Arial"/>
        </w:rPr>
        <w:t xml:space="preserve"> Batchelor wrote, </w:t>
      </w:r>
      <w:r w:rsidR="006E36E7" w:rsidRPr="00FD57CE">
        <w:rPr>
          <w:rFonts w:ascii="Arial" w:hAnsi="Arial" w:cs="Arial"/>
        </w:rPr>
        <w:t>“colour has been the object of extreme prejudice in Western culture</w:t>
      </w:r>
      <w:r w:rsidR="008974B5" w:rsidRPr="00FD57CE">
        <w:rPr>
          <w:rFonts w:ascii="Arial" w:hAnsi="Arial" w:cs="Arial"/>
        </w:rPr>
        <w:t xml:space="preserve">” </w:t>
      </w:r>
      <w:r w:rsidRPr="00FD57CE">
        <w:rPr>
          <w:rFonts w:ascii="Arial" w:hAnsi="Arial" w:cs="Arial"/>
        </w:rPr>
        <w:t>(Batchelor, 2000</w:t>
      </w:r>
      <w:r w:rsidR="008974B5" w:rsidRPr="00FD57CE">
        <w:rPr>
          <w:rFonts w:ascii="Arial" w:hAnsi="Arial" w:cs="Arial"/>
        </w:rPr>
        <w:t>, p. 22</w:t>
      </w:r>
      <w:r w:rsidRPr="00FD57CE">
        <w:rPr>
          <w:rFonts w:ascii="Arial" w:hAnsi="Arial" w:cs="Arial"/>
        </w:rPr>
        <w:t xml:space="preserve">). </w:t>
      </w:r>
    </w:p>
    <w:p w14:paraId="518D5EB5" w14:textId="715B0758" w:rsidR="004071B4" w:rsidRPr="00FD57CE" w:rsidRDefault="00AA5847" w:rsidP="00642118">
      <w:pPr>
        <w:spacing w:line="480" w:lineRule="auto"/>
        <w:ind w:firstLine="720"/>
        <w:rPr>
          <w:rFonts w:ascii="Arial" w:hAnsi="Arial" w:cs="Arial"/>
        </w:rPr>
      </w:pPr>
      <w:r w:rsidRPr="00FD57CE">
        <w:rPr>
          <w:rFonts w:ascii="Arial" w:hAnsi="Arial" w:cs="Arial"/>
        </w:rPr>
        <w:t>Unlike the expressive or symbolic use of colour in painting, Humanae employs colour analytically and systematically. It turns colour into a language of equality, where differences are recognised without hierarchy. The work highlights the social and political dimensions of colour, which strengthens its role as a powerful tool for shaping how people see and understand their own identities.</w:t>
      </w:r>
    </w:p>
    <w:p w14:paraId="4197388C" w14:textId="27FD9ABA" w:rsidR="00354F5D" w:rsidRPr="00FD57CE" w:rsidRDefault="00354F5D" w:rsidP="00642118">
      <w:pPr>
        <w:spacing w:line="480" w:lineRule="auto"/>
        <w:rPr>
          <w:rFonts w:ascii="Arial" w:hAnsi="Arial" w:cs="Arial"/>
        </w:rPr>
      </w:pPr>
      <w:r w:rsidRPr="00FD57CE">
        <w:rPr>
          <w:rFonts w:ascii="Arial" w:hAnsi="Arial" w:cs="Arial"/>
          <w:noProof/>
        </w:rPr>
        <w:lastRenderedPageBreak/>
        <w:drawing>
          <wp:inline distT="0" distB="0" distL="0" distR="0" wp14:anchorId="26874202" wp14:editId="26E8A717">
            <wp:extent cx="3309257" cy="1308014"/>
            <wp:effectExtent l="0" t="0" r="5715" b="6985"/>
            <wp:docPr id="1859882674" name="Picture 3" descr="guerilla girls met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uerilla girls met museu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20844" cy="1312594"/>
                    </a:xfrm>
                    <a:prstGeom prst="rect">
                      <a:avLst/>
                    </a:prstGeom>
                    <a:noFill/>
                    <a:ln>
                      <a:noFill/>
                    </a:ln>
                  </pic:spPr>
                </pic:pic>
              </a:graphicData>
            </a:graphic>
          </wp:inline>
        </w:drawing>
      </w:r>
    </w:p>
    <w:p w14:paraId="6DD2C6A0" w14:textId="437F900D" w:rsidR="00354F5D" w:rsidRPr="00FD57CE" w:rsidRDefault="00354F5D" w:rsidP="00642118">
      <w:pPr>
        <w:spacing w:line="480" w:lineRule="auto"/>
        <w:rPr>
          <w:rFonts w:ascii="Arial" w:hAnsi="Arial" w:cs="Arial"/>
        </w:rPr>
      </w:pPr>
      <w:r w:rsidRPr="00FD57CE">
        <w:rPr>
          <w:rFonts w:ascii="Arial" w:hAnsi="Arial" w:cs="Arial"/>
        </w:rPr>
        <w:t xml:space="preserve">Fig </w:t>
      </w:r>
      <w:r w:rsidR="00B655DF" w:rsidRPr="00FD57CE">
        <w:rPr>
          <w:rFonts w:ascii="Arial" w:hAnsi="Arial" w:cs="Arial"/>
        </w:rPr>
        <w:t>5</w:t>
      </w:r>
      <w:r w:rsidRPr="00FD57CE">
        <w:rPr>
          <w:rFonts w:ascii="Arial" w:hAnsi="Arial" w:cs="Arial"/>
        </w:rPr>
        <w:t>, (</w:t>
      </w:r>
      <w:r w:rsidR="00DB7B69" w:rsidRPr="00FD57CE">
        <w:rPr>
          <w:rFonts w:ascii="Arial" w:hAnsi="Arial" w:cs="Arial"/>
        </w:rPr>
        <w:t xml:space="preserve">Guerrilla Girls, </w:t>
      </w:r>
      <w:r w:rsidR="00265B0D" w:rsidRPr="00FD57CE">
        <w:rPr>
          <w:rFonts w:ascii="Arial" w:hAnsi="Arial" w:cs="Arial"/>
        </w:rPr>
        <w:t>1989</w:t>
      </w:r>
      <w:r w:rsidR="00083363" w:rsidRPr="00FD57CE">
        <w:rPr>
          <w:rFonts w:ascii="Arial" w:hAnsi="Arial" w:cs="Arial"/>
        </w:rPr>
        <w:t xml:space="preserve">, </w:t>
      </w:r>
      <w:r w:rsidR="00083363" w:rsidRPr="00FD57CE">
        <w:rPr>
          <w:rFonts w:ascii="Arial" w:hAnsi="Arial" w:cs="Arial"/>
          <w:i/>
          <w:iCs/>
        </w:rPr>
        <w:t xml:space="preserve">Do Women Have </w:t>
      </w:r>
      <w:proofErr w:type="gramStart"/>
      <w:r w:rsidR="00424724" w:rsidRPr="00FD57CE">
        <w:rPr>
          <w:rFonts w:ascii="Arial" w:hAnsi="Arial" w:cs="Arial"/>
          <w:i/>
          <w:iCs/>
        </w:rPr>
        <w:t>T</w:t>
      </w:r>
      <w:r w:rsidR="00083363" w:rsidRPr="00FD57CE">
        <w:rPr>
          <w:rFonts w:ascii="Arial" w:hAnsi="Arial" w:cs="Arial"/>
          <w:i/>
          <w:iCs/>
        </w:rPr>
        <w:t>o</w:t>
      </w:r>
      <w:proofErr w:type="gramEnd"/>
      <w:r w:rsidR="00083363" w:rsidRPr="00FD57CE">
        <w:rPr>
          <w:rFonts w:ascii="Arial" w:hAnsi="Arial" w:cs="Arial"/>
          <w:i/>
          <w:iCs/>
        </w:rPr>
        <w:t xml:space="preserve"> Be </w:t>
      </w:r>
      <w:r w:rsidR="00424724" w:rsidRPr="00FD57CE">
        <w:rPr>
          <w:rFonts w:ascii="Arial" w:hAnsi="Arial" w:cs="Arial"/>
          <w:i/>
          <w:iCs/>
        </w:rPr>
        <w:t xml:space="preserve">Naked </w:t>
      </w:r>
      <w:proofErr w:type="gramStart"/>
      <w:r w:rsidR="00424724" w:rsidRPr="00FD57CE">
        <w:rPr>
          <w:rFonts w:ascii="Arial" w:hAnsi="Arial" w:cs="Arial"/>
          <w:i/>
          <w:iCs/>
        </w:rPr>
        <w:t>To</w:t>
      </w:r>
      <w:proofErr w:type="gramEnd"/>
      <w:r w:rsidR="00424724" w:rsidRPr="00FD57CE">
        <w:rPr>
          <w:rFonts w:ascii="Arial" w:hAnsi="Arial" w:cs="Arial"/>
          <w:i/>
          <w:iCs/>
        </w:rPr>
        <w:t xml:space="preserve"> Get </w:t>
      </w:r>
      <w:proofErr w:type="gramStart"/>
      <w:r w:rsidR="00424724" w:rsidRPr="00FD57CE">
        <w:rPr>
          <w:rFonts w:ascii="Arial" w:hAnsi="Arial" w:cs="Arial"/>
          <w:i/>
          <w:iCs/>
        </w:rPr>
        <w:t>Into</w:t>
      </w:r>
      <w:proofErr w:type="gramEnd"/>
      <w:r w:rsidR="00424724" w:rsidRPr="00FD57CE">
        <w:rPr>
          <w:rFonts w:ascii="Arial" w:hAnsi="Arial" w:cs="Arial"/>
          <w:i/>
          <w:iCs/>
        </w:rPr>
        <w:t xml:space="preserve"> </w:t>
      </w:r>
      <w:proofErr w:type="gramStart"/>
      <w:r w:rsidR="00424724" w:rsidRPr="00FD57CE">
        <w:rPr>
          <w:rFonts w:ascii="Arial" w:hAnsi="Arial" w:cs="Arial"/>
          <w:i/>
          <w:iCs/>
        </w:rPr>
        <w:t>The</w:t>
      </w:r>
      <w:proofErr w:type="gramEnd"/>
      <w:r w:rsidR="00424724" w:rsidRPr="00FD57CE">
        <w:rPr>
          <w:rFonts w:ascii="Arial" w:hAnsi="Arial" w:cs="Arial"/>
          <w:i/>
          <w:iCs/>
        </w:rPr>
        <w:t xml:space="preserve"> Met. Museum</w:t>
      </w:r>
      <w:r w:rsidR="006D57EA" w:rsidRPr="00FD57CE">
        <w:rPr>
          <w:rFonts w:ascii="Arial" w:hAnsi="Arial" w:cs="Arial"/>
          <w:i/>
          <w:iCs/>
        </w:rPr>
        <w:t>?</w:t>
      </w:r>
      <w:r w:rsidR="006D57EA" w:rsidRPr="00FD57CE">
        <w:rPr>
          <w:rFonts w:ascii="Arial" w:hAnsi="Arial" w:cs="Arial"/>
        </w:rPr>
        <w:t>)</w:t>
      </w:r>
    </w:p>
    <w:p w14:paraId="625EF36E" w14:textId="6B35EA09" w:rsidR="00536E02" w:rsidRPr="00FD57CE" w:rsidRDefault="00536E02" w:rsidP="00642118">
      <w:pPr>
        <w:spacing w:line="480" w:lineRule="auto"/>
        <w:rPr>
          <w:rFonts w:ascii="Arial" w:hAnsi="Arial" w:cs="Arial"/>
        </w:rPr>
      </w:pPr>
      <w:r w:rsidRPr="00FD57CE">
        <w:rPr>
          <w:rFonts w:ascii="Arial" w:hAnsi="Arial" w:cs="Arial"/>
        </w:rPr>
        <w:t xml:space="preserve">The Guerrilla Girls' poster demonstrates how colour can be used </w:t>
      </w:r>
      <w:r w:rsidR="00E4319F" w:rsidRPr="00FD57CE">
        <w:rPr>
          <w:rFonts w:ascii="Arial" w:hAnsi="Arial" w:cs="Arial"/>
        </w:rPr>
        <w:t>to</w:t>
      </w:r>
      <w:r w:rsidRPr="00FD57CE">
        <w:rPr>
          <w:rFonts w:ascii="Arial" w:hAnsi="Arial" w:cs="Arial"/>
        </w:rPr>
        <w:t xml:space="preserve"> protest and perform visual activism. The contrast between a bright yellow background and sharp black text </w:t>
      </w:r>
      <w:r w:rsidR="00F9404D" w:rsidRPr="00FD57CE">
        <w:rPr>
          <w:rFonts w:ascii="Arial" w:hAnsi="Arial" w:cs="Arial"/>
        </w:rPr>
        <w:t>creates</w:t>
      </w:r>
      <w:r w:rsidRPr="00FD57CE">
        <w:rPr>
          <w:rFonts w:ascii="Arial" w:hAnsi="Arial" w:cs="Arial"/>
        </w:rPr>
        <w:t xml:space="preserve"> an immediate visual impact, bringing attention to the subject matter, gender inequality in the art world</w:t>
      </w:r>
      <w:r w:rsidR="00F9404D" w:rsidRPr="00FD57CE">
        <w:rPr>
          <w:rFonts w:ascii="Arial" w:hAnsi="Arial" w:cs="Arial"/>
        </w:rPr>
        <w:t>.</w:t>
      </w:r>
    </w:p>
    <w:p w14:paraId="7AA82642" w14:textId="77777777" w:rsidR="00E4319F" w:rsidRPr="00FD57CE" w:rsidRDefault="00536E02" w:rsidP="00642118">
      <w:pPr>
        <w:spacing w:line="480" w:lineRule="auto"/>
        <w:ind w:firstLine="720"/>
        <w:rPr>
          <w:rFonts w:ascii="Arial" w:hAnsi="Arial" w:cs="Arial"/>
          <w:noProof/>
        </w:rPr>
      </w:pPr>
      <w:r w:rsidRPr="00FD57CE">
        <w:rPr>
          <w:rFonts w:ascii="Arial" w:hAnsi="Arial" w:cs="Arial"/>
        </w:rPr>
        <w:t xml:space="preserve">The high-contrast colours are </w:t>
      </w:r>
      <w:proofErr w:type="gramStart"/>
      <w:r w:rsidRPr="00FD57CE">
        <w:rPr>
          <w:rFonts w:ascii="Arial" w:hAnsi="Arial" w:cs="Arial"/>
        </w:rPr>
        <w:t>similar to</w:t>
      </w:r>
      <w:proofErr w:type="gramEnd"/>
      <w:r w:rsidRPr="00FD57CE">
        <w:rPr>
          <w:rFonts w:ascii="Arial" w:hAnsi="Arial" w:cs="Arial"/>
        </w:rPr>
        <w:t xml:space="preserve"> those used in advertising and mass communication, which makes the message clear and direct. The work doesn't use colour as emotional expression; instead, it uses it strategically to draw attention and encourage a sense of urgency. This method aligns with the broader changes in art in the late 20th century that aimed to reach more people and </w:t>
      </w:r>
      <w:r w:rsidR="00F9404D" w:rsidRPr="00FD57CE">
        <w:rPr>
          <w:rFonts w:ascii="Arial" w:hAnsi="Arial" w:cs="Arial"/>
        </w:rPr>
        <w:t>to question institutional power structures (Foster, 1996</w:t>
      </w:r>
      <w:r w:rsidR="008068E9" w:rsidRPr="00FD57CE">
        <w:rPr>
          <w:rFonts w:ascii="Arial" w:hAnsi="Arial" w:cs="Arial"/>
        </w:rPr>
        <w:t>).</w:t>
      </w:r>
      <w:r w:rsidR="00E4319F" w:rsidRPr="00FD57CE">
        <w:rPr>
          <w:rFonts w:ascii="Arial" w:hAnsi="Arial" w:cs="Arial"/>
        </w:rPr>
        <w:t xml:space="preserve"> </w:t>
      </w:r>
      <w:r w:rsidRPr="00FD57CE">
        <w:rPr>
          <w:rFonts w:ascii="Arial" w:hAnsi="Arial" w:cs="Arial"/>
        </w:rPr>
        <w:t>The poster highlights that colour can be used for more than just decoration; it can also be a means to criticise societal norms and political intervention.</w:t>
      </w:r>
      <w:r w:rsidR="00995699" w:rsidRPr="00FD57CE">
        <w:rPr>
          <w:rFonts w:ascii="Arial" w:hAnsi="Arial" w:cs="Arial"/>
          <w:noProof/>
        </w:rPr>
        <w:t xml:space="preserve"> </w:t>
      </w:r>
    </w:p>
    <w:p w14:paraId="03580F42" w14:textId="610E3F88" w:rsidR="00EA0F75" w:rsidRPr="00FD57CE" w:rsidRDefault="00995699" w:rsidP="00642118">
      <w:pPr>
        <w:spacing w:line="480" w:lineRule="auto"/>
        <w:rPr>
          <w:rFonts w:ascii="Arial" w:hAnsi="Arial" w:cs="Arial"/>
          <w:noProof/>
        </w:rPr>
      </w:pPr>
      <w:r w:rsidRPr="00FD57CE">
        <w:rPr>
          <w:rFonts w:ascii="Arial" w:hAnsi="Arial" w:cs="Arial"/>
          <w:noProof/>
        </w:rPr>
        <w:lastRenderedPageBreak/>
        <w:drawing>
          <wp:inline distT="0" distB="0" distL="0" distR="0" wp14:anchorId="75798E60" wp14:editId="295D45B5">
            <wp:extent cx="3008535" cy="2143125"/>
            <wp:effectExtent l="0" t="0" r="1905" b="0"/>
            <wp:docPr id="1173894833" name="Picture 1" descr="Claude Monet - San Giorgio Maggiore at Du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ude Monet - San Giorgio Maggiore at Dus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13253" cy="2146486"/>
                    </a:xfrm>
                    <a:prstGeom prst="rect">
                      <a:avLst/>
                    </a:prstGeom>
                    <a:noFill/>
                    <a:ln>
                      <a:noFill/>
                    </a:ln>
                  </pic:spPr>
                </pic:pic>
              </a:graphicData>
            </a:graphic>
          </wp:inline>
        </w:drawing>
      </w:r>
    </w:p>
    <w:p w14:paraId="50EB3DF1" w14:textId="017A25FA" w:rsidR="00F646AB" w:rsidRPr="00FD57CE" w:rsidRDefault="00995699" w:rsidP="00642118">
      <w:pPr>
        <w:spacing w:line="480" w:lineRule="auto"/>
        <w:rPr>
          <w:rFonts w:ascii="Arial" w:hAnsi="Arial" w:cs="Arial"/>
          <w:i/>
          <w:iCs/>
        </w:rPr>
      </w:pPr>
      <w:r w:rsidRPr="00FD57CE">
        <w:rPr>
          <w:rFonts w:ascii="Arial" w:hAnsi="Arial" w:cs="Arial"/>
          <w:noProof/>
        </w:rPr>
        <w:t xml:space="preserve">Fig </w:t>
      </w:r>
      <w:r w:rsidR="00B655DF" w:rsidRPr="00FD57CE">
        <w:rPr>
          <w:rFonts w:ascii="Arial" w:hAnsi="Arial" w:cs="Arial"/>
          <w:noProof/>
        </w:rPr>
        <w:t>6, (</w:t>
      </w:r>
      <w:r w:rsidR="00823BBF" w:rsidRPr="00FD57CE">
        <w:rPr>
          <w:rFonts w:ascii="Arial" w:hAnsi="Arial" w:cs="Arial"/>
          <w:noProof/>
        </w:rPr>
        <w:t>Monet,</w:t>
      </w:r>
      <w:r w:rsidR="00F646AB" w:rsidRPr="00FD57CE">
        <w:rPr>
          <w:rFonts w:ascii="Arial" w:hAnsi="Arial" w:cs="Arial"/>
          <w:noProof/>
        </w:rPr>
        <w:t xml:space="preserve"> </w:t>
      </w:r>
      <w:r w:rsidR="00823BBF" w:rsidRPr="00FD57CE">
        <w:rPr>
          <w:rFonts w:ascii="Arial" w:hAnsi="Arial" w:cs="Arial"/>
          <w:noProof/>
        </w:rPr>
        <w:t>1908-1912</w:t>
      </w:r>
      <w:r w:rsidR="00F646AB" w:rsidRPr="00FD57CE">
        <w:rPr>
          <w:rFonts w:ascii="Arial" w:hAnsi="Arial" w:cs="Arial"/>
          <w:noProof/>
        </w:rPr>
        <w:t>,</w:t>
      </w:r>
      <w:r w:rsidR="00F646AB" w:rsidRPr="00FD57CE">
        <w:rPr>
          <w:rFonts w:ascii="Arial" w:hAnsi="Arial" w:cs="Arial"/>
        </w:rPr>
        <w:t xml:space="preserve"> </w:t>
      </w:r>
      <w:r w:rsidR="00F646AB" w:rsidRPr="00FD57CE">
        <w:rPr>
          <w:rFonts w:ascii="Arial" w:hAnsi="Arial" w:cs="Arial"/>
          <w:i/>
          <w:iCs/>
        </w:rPr>
        <w:t>San Giorgio Maggiore at Dusk</w:t>
      </w:r>
      <w:r w:rsidR="000E2E22" w:rsidRPr="00FD57CE">
        <w:rPr>
          <w:rFonts w:ascii="Arial" w:hAnsi="Arial" w:cs="Arial"/>
          <w:i/>
          <w:iCs/>
        </w:rPr>
        <w:t>)</w:t>
      </w:r>
    </w:p>
    <w:p w14:paraId="0058A93C" w14:textId="29A23892" w:rsidR="00CA232E" w:rsidRPr="00FD57CE" w:rsidRDefault="00CA232E" w:rsidP="00642118">
      <w:pPr>
        <w:spacing w:line="480" w:lineRule="auto"/>
        <w:rPr>
          <w:rFonts w:ascii="Arial" w:hAnsi="Arial" w:cs="Arial"/>
        </w:rPr>
      </w:pPr>
      <w:r w:rsidRPr="00FD57CE">
        <w:rPr>
          <w:rFonts w:ascii="Arial" w:hAnsi="Arial" w:cs="Arial"/>
        </w:rPr>
        <w:t xml:space="preserve">Claude Monet's </w:t>
      </w:r>
      <w:r w:rsidRPr="00FD57CE">
        <w:rPr>
          <w:rFonts w:ascii="Arial" w:hAnsi="Arial" w:cs="Arial"/>
          <w:i/>
          <w:iCs/>
        </w:rPr>
        <w:t>San Giorgio Maggiore at Dusk</w:t>
      </w:r>
      <w:r w:rsidRPr="00FD57CE">
        <w:rPr>
          <w:rFonts w:ascii="Arial" w:hAnsi="Arial" w:cs="Arial"/>
        </w:rPr>
        <w:t xml:space="preserve"> (1908–1912) shows colour as something that changes with light and time. Monet painted this while he was in Venice. The painting shows how the colours change at dusk</w:t>
      </w:r>
      <w:r w:rsidR="008A3846" w:rsidRPr="00FD57CE">
        <w:rPr>
          <w:rFonts w:ascii="Arial" w:hAnsi="Arial" w:cs="Arial"/>
        </w:rPr>
        <w:t>.</w:t>
      </w:r>
      <w:r w:rsidRPr="00FD57CE">
        <w:rPr>
          <w:rFonts w:ascii="Arial" w:hAnsi="Arial" w:cs="Arial"/>
        </w:rPr>
        <w:t xml:space="preserve"> </w:t>
      </w:r>
      <w:r w:rsidR="008A3846" w:rsidRPr="00FD57CE">
        <w:rPr>
          <w:rFonts w:ascii="Arial" w:hAnsi="Arial" w:cs="Arial"/>
        </w:rPr>
        <w:t>B</w:t>
      </w:r>
      <w:r w:rsidRPr="00FD57CE">
        <w:rPr>
          <w:rFonts w:ascii="Arial" w:hAnsi="Arial" w:cs="Arial"/>
        </w:rPr>
        <w:t xml:space="preserve">y using soft violets, blues, and warm oranges. Monet doesn't show a fixed view of the buildings; </w:t>
      </w:r>
      <w:r w:rsidR="00BD3895" w:rsidRPr="00FD57CE">
        <w:rPr>
          <w:rFonts w:ascii="Arial" w:hAnsi="Arial" w:cs="Arial"/>
        </w:rPr>
        <w:t>rather</w:t>
      </w:r>
      <w:r w:rsidRPr="00FD57CE">
        <w:rPr>
          <w:rFonts w:ascii="Arial" w:hAnsi="Arial" w:cs="Arial"/>
        </w:rPr>
        <w:t>, he blends the outlines of the buildings into the surrounding colour, letting light and atmosphere take centre stage.</w:t>
      </w:r>
    </w:p>
    <w:p w14:paraId="7DC27487" w14:textId="6CBC4F8E" w:rsidR="00CA232E" w:rsidRPr="00FD57CE" w:rsidRDefault="00CA232E" w:rsidP="00642118">
      <w:pPr>
        <w:spacing w:line="480" w:lineRule="auto"/>
        <w:ind w:firstLine="720"/>
        <w:rPr>
          <w:rFonts w:ascii="Arial" w:hAnsi="Arial" w:cs="Arial"/>
        </w:rPr>
      </w:pPr>
      <w:r w:rsidRPr="00FD57CE">
        <w:rPr>
          <w:rFonts w:ascii="Arial" w:hAnsi="Arial" w:cs="Arial"/>
        </w:rPr>
        <w:t xml:space="preserve">The blurry layers of colour give the painting depth, not </w:t>
      </w:r>
      <w:r w:rsidR="00BD3895" w:rsidRPr="00FD57CE">
        <w:rPr>
          <w:rFonts w:ascii="Arial" w:hAnsi="Arial" w:cs="Arial"/>
        </w:rPr>
        <w:t>through</w:t>
      </w:r>
      <w:r w:rsidRPr="00FD57CE">
        <w:rPr>
          <w:rFonts w:ascii="Arial" w:hAnsi="Arial" w:cs="Arial"/>
        </w:rPr>
        <w:t xml:space="preserve"> us</w:t>
      </w:r>
      <w:r w:rsidR="00BD3895" w:rsidRPr="00FD57CE">
        <w:rPr>
          <w:rFonts w:ascii="Arial" w:hAnsi="Arial" w:cs="Arial"/>
        </w:rPr>
        <w:t xml:space="preserve">e of </w:t>
      </w:r>
      <w:r w:rsidRPr="00FD57CE">
        <w:rPr>
          <w:rFonts w:ascii="Arial" w:hAnsi="Arial" w:cs="Arial"/>
        </w:rPr>
        <w:t xml:space="preserve">lines; instead, </w:t>
      </w:r>
      <w:r w:rsidR="00DF0A91" w:rsidRPr="00FD57CE">
        <w:rPr>
          <w:rFonts w:ascii="Arial" w:hAnsi="Arial" w:cs="Arial"/>
        </w:rPr>
        <w:t>by</w:t>
      </w:r>
      <w:r w:rsidRPr="00FD57CE">
        <w:rPr>
          <w:rFonts w:ascii="Arial" w:hAnsi="Arial" w:cs="Arial"/>
        </w:rPr>
        <w:t xml:space="preserve"> use</w:t>
      </w:r>
      <w:r w:rsidR="00DF0A91" w:rsidRPr="00FD57CE">
        <w:rPr>
          <w:rFonts w:ascii="Arial" w:hAnsi="Arial" w:cs="Arial"/>
        </w:rPr>
        <w:t xml:space="preserve"> of</w:t>
      </w:r>
      <w:r w:rsidRPr="00FD57CE">
        <w:rPr>
          <w:rFonts w:ascii="Arial" w:hAnsi="Arial" w:cs="Arial"/>
        </w:rPr>
        <w:t xml:space="preserve"> tonal variation. The church's silhouette slowly becomes clear against the colours around it, </w:t>
      </w:r>
      <w:r w:rsidR="00367895" w:rsidRPr="00FD57CE">
        <w:rPr>
          <w:rFonts w:ascii="Arial" w:hAnsi="Arial" w:cs="Arial"/>
        </w:rPr>
        <w:t>demonstrating</w:t>
      </w:r>
      <w:r w:rsidRPr="00FD57CE">
        <w:rPr>
          <w:rFonts w:ascii="Arial" w:hAnsi="Arial" w:cs="Arial"/>
        </w:rPr>
        <w:t xml:space="preserve"> how we see things</w:t>
      </w:r>
      <w:r w:rsidR="00DF0A91" w:rsidRPr="00FD57CE">
        <w:rPr>
          <w:rFonts w:ascii="Arial" w:hAnsi="Arial" w:cs="Arial"/>
        </w:rPr>
        <w:t>,</w:t>
      </w:r>
      <w:r w:rsidRPr="00FD57CE">
        <w:rPr>
          <w:rFonts w:ascii="Arial" w:hAnsi="Arial" w:cs="Arial"/>
        </w:rPr>
        <w:t xml:space="preserve"> depends more on contrast and small colour differences</w:t>
      </w:r>
      <w:r w:rsidR="00946390" w:rsidRPr="00FD57CE">
        <w:rPr>
          <w:rFonts w:ascii="Arial" w:hAnsi="Arial" w:cs="Arial"/>
        </w:rPr>
        <w:t>,</w:t>
      </w:r>
      <w:r w:rsidRPr="00FD57CE">
        <w:rPr>
          <w:rFonts w:ascii="Arial" w:hAnsi="Arial" w:cs="Arial"/>
        </w:rPr>
        <w:t xml:space="preserve"> than on clear lines. This fits with the idea that colour is relational and </w:t>
      </w:r>
      <w:r w:rsidR="0045466C" w:rsidRPr="00FD57CE">
        <w:rPr>
          <w:rFonts w:ascii="Arial" w:hAnsi="Arial" w:cs="Arial"/>
        </w:rPr>
        <w:t>influenced</w:t>
      </w:r>
      <w:r w:rsidR="004E538C" w:rsidRPr="00FD57CE">
        <w:rPr>
          <w:rFonts w:ascii="Arial" w:hAnsi="Arial" w:cs="Arial"/>
        </w:rPr>
        <w:t xml:space="preserve"> by</w:t>
      </w:r>
      <w:r w:rsidRPr="00FD57CE">
        <w:rPr>
          <w:rFonts w:ascii="Arial" w:hAnsi="Arial" w:cs="Arial"/>
        </w:rPr>
        <w:t xml:space="preserve"> its context (Albers, 1963).</w:t>
      </w:r>
    </w:p>
    <w:p w14:paraId="350B2F0B" w14:textId="5D0E68C0" w:rsidR="00890DCF" w:rsidRPr="00FD57CE" w:rsidRDefault="00CA232E" w:rsidP="00642118">
      <w:pPr>
        <w:spacing w:line="480" w:lineRule="auto"/>
        <w:ind w:firstLine="720"/>
        <w:rPr>
          <w:rFonts w:ascii="Arial" w:hAnsi="Arial" w:cs="Arial"/>
        </w:rPr>
      </w:pPr>
      <w:r w:rsidRPr="00FD57CE">
        <w:rPr>
          <w:rFonts w:ascii="Arial" w:hAnsi="Arial" w:cs="Arial"/>
        </w:rPr>
        <w:t xml:space="preserve">Monet's brushwork is still loose and flowing, which supports the idea that the scene is </w:t>
      </w:r>
      <w:r w:rsidR="00C17BC4" w:rsidRPr="00FD57CE">
        <w:rPr>
          <w:rFonts w:ascii="Arial" w:hAnsi="Arial" w:cs="Arial"/>
        </w:rPr>
        <w:t>fluid and constantly evolving</w:t>
      </w:r>
      <w:r w:rsidRPr="00FD57CE">
        <w:rPr>
          <w:rFonts w:ascii="Arial" w:hAnsi="Arial" w:cs="Arial"/>
        </w:rPr>
        <w:t xml:space="preserve">. The colours </w:t>
      </w:r>
      <w:r w:rsidR="005372F7" w:rsidRPr="00FD57CE">
        <w:rPr>
          <w:rFonts w:ascii="Arial" w:hAnsi="Arial" w:cs="Arial"/>
        </w:rPr>
        <w:t>shift</w:t>
      </w:r>
      <w:r w:rsidRPr="00FD57CE">
        <w:rPr>
          <w:rFonts w:ascii="Arial" w:hAnsi="Arial" w:cs="Arial"/>
        </w:rPr>
        <w:t xml:space="preserve"> from warm to cool, suggesting the transition from day to night and highlighting how perception is always changing. Arnheim </w:t>
      </w:r>
      <w:r w:rsidR="00890DCF" w:rsidRPr="00FD57CE">
        <w:rPr>
          <w:rFonts w:ascii="Arial" w:hAnsi="Arial" w:cs="Arial"/>
        </w:rPr>
        <w:t>writes</w:t>
      </w:r>
    </w:p>
    <w:p w14:paraId="03695B81" w14:textId="07E78082" w:rsidR="00183C10" w:rsidRPr="00FD57CE" w:rsidRDefault="00890DCF" w:rsidP="00642118">
      <w:pPr>
        <w:spacing w:line="480" w:lineRule="auto"/>
        <w:ind w:left="720"/>
        <w:rPr>
          <w:rFonts w:ascii="Arial" w:hAnsi="Arial" w:cs="Arial"/>
        </w:rPr>
      </w:pPr>
      <w:r w:rsidRPr="00FD57CE">
        <w:rPr>
          <w:rFonts w:ascii="Arial" w:hAnsi="Arial" w:cs="Arial"/>
        </w:rPr>
        <w:lastRenderedPageBreak/>
        <w:t>“Rather, in looking at an object, we reach out for it. With an invisible finger we move through the space around us, go out to the distant places where things are found, touch them, catch them, scan their surfaces, trace their borders, explore their texture. Perceiving shapes is an eminently active occupation.</w:t>
      </w:r>
      <w:r w:rsidR="002B04BF" w:rsidRPr="00FD57CE">
        <w:rPr>
          <w:rFonts w:ascii="Arial" w:hAnsi="Arial" w:cs="Arial"/>
        </w:rPr>
        <w:t>”</w:t>
      </w:r>
      <w:r w:rsidR="00A56ABB" w:rsidRPr="00FD57CE">
        <w:rPr>
          <w:rFonts w:ascii="Arial" w:hAnsi="Arial" w:cs="Arial"/>
        </w:rPr>
        <w:t xml:space="preserve"> </w:t>
      </w:r>
      <w:r w:rsidR="00575A31" w:rsidRPr="00FD57CE">
        <w:rPr>
          <w:rFonts w:ascii="Arial" w:hAnsi="Arial" w:cs="Arial"/>
        </w:rPr>
        <w:t>(</w:t>
      </w:r>
      <w:r w:rsidR="00A56ABB" w:rsidRPr="00FD57CE">
        <w:rPr>
          <w:rFonts w:ascii="Arial" w:hAnsi="Arial" w:cs="Arial"/>
        </w:rPr>
        <w:t>Arnheim, R. 1974</w:t>
      </w:r>
      <w:r w:rsidR="00575A31" w:rsidRPr="00FD57CE">
        <w:rPr>
          <w:rFonts w:ascii="Arial" w:hAnsi="Arial" w:cs="Arial"/>
        </w:rPr>
        <w:t xml:space="preserve">, p. </w:t>
      </w:r>
      <w:r w:rsidR="008605D8" w:rsidRPr="00FD57CE">
        <w:rPr>
          <w:rFonts w:ascii="Arial" w:hAnsi="Arial" w:cs="Arial"/>
        </w:rPr>
        <w:t>43</w:t>
      </w:r>
      <w:r w:rsidR="00A56ABB" w:rsidRPr="00FD57CE">
        <w:rPr>
          <w:rFonts w:ascii="Arial" w:hAnsi="Arial" w:cs="Arial"/>
        </w:rPr>
        <w:t>)</w:t>
      </w:r>
    </w:p>
    <w:p w14:paraId="4BC0DC71" w14:textId="0DC84D6A" w:rsidR="00995699" w:rsidRPr="00FD57CE" w:rsidRDefault="00CA232E" w:rsidP="00642118">
      <w:pPr>
        <w:spacing w:line="480" w:lineRule="auto"/>
        <w:rPr>
          <w:rFonts w:ascii="Arial" w:hAnsi="Arial" w:cs="Arial"/>
        </w:rPr>
      </w:pPr>
      <w:r w:rsidRPr="00FD57CE">
        <w:rPr>
          <w:rFonts w:ascii="Arial" w:hAnsi="Arial" w:cs="Arial"/>
        </w:rPr>
        <w:t xml:space="preserve">Monet's painting necessitates that the observer visually </w:t>
      </w:r>
      <w:r w:rsidR="002908F0" w:rsidRPr="00FD57CE">
        <w:rPr>
          <w:rFonts w:ascii="Arial" w:hAnsi="Arial" w:cs="Arial"/>
        </w:rPr>
        <w:t>reconstructs</w:t>
      </w:r>
      <w:r w:rsidRPr="00FD57CE">
        <w:rPr>
          <w:rFonts w:ascii="Arial" w:hAnsi="Arial" w:cs="Arial"/>
        </w:rPr>
        <w:t xml:space="preserve"> the scene from these disjointed impressions.</w:t>
      </w:r>
    </w:p>
    <w:p w14:paraId="28B5E30B" w14:textId="412D965E" w:rsidR="003E7169" w:rsidRPr="00FD57CE" w:rsidRDefault="006C007A" w:rsidP="00642118">
      <w:pPr>
        <w:spacing w:line="480" w:lineRule="auto"/>
        <w:ind w:firstLine="720"/>
        <w:rPr>
          <w:rFonts w:ascii="Arial" w:hAnsi="Arial" w:cs="Arial"/>
        </w:rPr>
      </w:pPr>
      <w:r w:rsidRPr="00FD57CE">
        <w:rPr>
          <w:rFonts w:ascii="Arial" w:hAnsi="Arial" w:cs="Arial"/>
        </w:rPr>
        <w:t>The Significance of Colour in a Grey World intends to demonstrate that colour is a dynamic and</w:t>
      </w:r>
      <w:r w:rsidR="00FE68D4" w:rsidRPr="00FD57CE">
        <w:rPr>
          <w:rFonts w:ascii="Arial" w:hAnsi="Arial" w:cs="Arial"/>
        </w:rPr>
        <w:t xml:space="preserve"> complex</w:t>
      </w:r>
      <w:r w:rsidRPr="00FD57CE">
        <w:rPr>
          <w:rFonts w:ascii="Arial" w:hAnsi="Arial" w:cs="Arial"/>
        </w:rPr>
        <w:t xml:space="preserve"> element of visual culture. Through five carefully selected works, the exhibition reveals how colour can evoke emotion, signify identity, challenge power structures, and transform perception. </w:t>
      </w:r>
      <w:r w:rsidR="00862724" w:rsidRPr="00FD57CE">
        <w:rPr>
          <w:rFonts w:ascii="Arial" w:hAnsi="Arial" w:cs="Arial"/>
        </w:rPr>
        <w:t>In contrast to</w:t>
      </w:r>
      <w:r w:rsidRPr="00FD57CE">
        <w:rPr>
          <w:rFonts w:ascii="Arial" w:hAnsi="Arial" w:cs="Arial"/>
        </w:rPr>
        <w:t xml:space="preserve"> centring on a single historical narrative, the exhibition emphasises the lived and sensory experience of colour. It shows that colour is never neutral; it is shaped by context, meaning, and interaction, as widely discussed in both art historical and scientific studies of colour (Gage, 1993; Albers, 4 1963). In a world that often feels visually and emotionally muted, this exhibition invites viewers to reconsider colour as a powerful and transformative force</w:t>
      </w:r>
      <w:r w:rsidR="00BD5533" w:rsidRPr="00FD57CE">
        <w:rPr>
          <w:rFonts w:ascii="Arial" w:hAnsi="Arial" w:cs="Arial"/>
        </w:rPr>
        <w:t>.</w:t>
      </w:r>
    </w:p>
    <w:p w14:paraId="6A7138A4" w14:textId="77777777" w:rsidR="003E7169" w:rsidRPr="00FD57CE" w:rsidRDefault="003E7169" w:rsidP="00642118">
      <w:pPr>
        <w:spacing w:line="480" w:lineRule="auto"/>
        <w:rPr>
          <w:rFonts w:ascii="Arial" w:hAnsi="Arial" w:cs="Arial"/>
        </w:rPr>
      </w:pPr>
      <w:r w:rsidRPr="00FD57CE">
        <w:rPr>
          <w:rFonts w:ascii="Arial" w:hAnsi="Arial" w:cs="Arial"/>
        </w:rPr>
        <w:br w:type="page"/>
      </w:r>
    </w:p>
    <w:p w14:paraId="1496C99E" w14:textId="77777777" w:rsidR="003E7169" w:rsidRPr="006307F4" w:rsidRDefault="003E7169" w:rsidP="00642118">
      <w:pPr>
        <w:spacing w:line="480" w:lineRule="auto"/>
        <w:rPr>
          <w:u w:val="single"/>
        </w:rPr>
      </w:pPr>
      <w:r w:rsidRPr="006307F4">
        <w:rPr>
          <w:u w:val="single"/>
        </w:rPr>
        <w:lastRenderedPageBreak/>
        <w:t>Bibliography</w:t>
      </w:r>
    </w:p>
    <w:p w14:paraId="4790BFCA" w14:textId="7DA46CD5" w:rsidR="00B17329" w:rsidRDefault="00B17329" w:rsidP="00642118">
      <w:pPr>
        <w:spacing w:line="480" w:lineRule="auto"/>
      </w:pPr>
      <w:r w:rsidRPr="00B17329">
        <w:t xml:space="preserve">Albers, J. (1963) </w:t>
      </w:r>
      <w:r w:rsidRPr="00B17329">
        <w:rPr>
          <w:i/>
          <w:iCs/>
        </w:rPr>
        <w:t xml:space="preserve">Interaction of </w:t>
      </w:r>
      <w:proofErr w:type="spellStart"/>
      <w:r w:rsidRPr="00B17329">
        <w:rPr>
          <w:i/>
          <w:iCs/>
        </w:rPr>
        <w:t>Color</w:t>
      </w:r>
      <w:proofErr w:type="spellEnd"/>
      <w:r w:rsidRPr="00B17329">
        <w:t xml:space="preserve">. New Haven: Yale University Press. Available at: </w:t>
      </w:r>
      <w:hyperlink r:id="rId16" w:history="1">
        <w:r w:rsidR="00782A29" w:rsidRPr="00782A29">
          <w:rPr>
            <w:rStyle w:val="Hyperlink"/>
          </w:rPr>
          <w:t xml:space="preserve">Interaction of </w:t>
        </w:r>
        <w:proofErr w:type="spellStart"/>
        <w:proofErr w:type="gramStart"/>
        <w:r w:rsidR="00782A29" w:rsidRPr="00782A29">
          <w:rPr>
            <w:rStyle w:val="Hyperlink"/>
          </w:rPr>
          <w:t>color</w:t>
        </w:r>
        <w:proofErr w:type="spellEnd"/>
        <w:r w:rsidR="00782A29" w:rsidRPr="00782A29">
          <w:rPr>
            <w:rStyle w:val="Hyperlink"/>
          </w:rPr>
          <w:t xml:space="preserve"> :</w:t>
        </w:r>
        <w:proofErr w:type="gramEnd"/>
        <w:r w:rsidR="00782A29" w:rsidRPr="00782A29">
          <w:rPr>
            <w:rStyle w:val="Hyperlink"/>
          </w:rPr>
          <w:t xml:space="preserve"> text of the original edition with selected plates</w:t>
        </w:r>
      </w:hyperlink>
      <w:r w:rsidR="00782A29" w:rsidRPr="00782A29">
        <w:t xml:space="preserve"> </w:t>
      </w:r>
      <w:r w:rsidRPr="00B17329">
        <w:t>(Accessed: 14 April 2026).</w:t>
      </w:r>
    </w:p>
    <w:p w14:paraId="0797E96D" w14:textId="4C21FF00" w:rsidR="00B17329" w:rsidRPr="00B17329" w:rsidRDefault="00B17329" w:rsidP="00642118">
      <w:pPr>
        <w:spacing w:line="480" w:lineRule="auto"/>
      </w:pPr>
      <w:r w:rsidRPr="00B17329">
        <w:t xml:space="preserve">Arnheim, R. (1974) </w:t>
      </w:r>
      <w:r w:rsidRPr="00B17329">
        <w:rPr>
          <w:i/>
          <w:iCs/>
        </w:rPr>
        <w:t>Art and Visual Perception: A Psychology of the Creative Eye</w:t>
      </w:r>
      <w:r w:rsidRPr="00B17329">
        <w:t xml:space="preserve">. Berkeley: University of California Press. Available at: </w:t>
      </w:r>
      <w:hyperlink r:id="rId17" w:history="1">
        <w:r w:rsidR="00E34E38" w:rsidRPr="00E34E38">
          <w:rPr>
            <w:rStyle w:val="Hyperlink"/>
          </w:rPr>
          <w:t>Arnheim_Rudolf_Art_and_Visual_Perception_1974.pdf</w:t>
        </w:r>
      </w:hyperlink>
      <w:r w:rsidR="00E34E38" w:rsidRPr="00E34E38">
        <w:t xml:space="preserve"> </w:t>
      </w:r>
      <w:r w:rsidRPr="00B17329">
        <w:t>(Accessed: 25 April 2026).</w:t>
      </w:r>
    </w:p>
    <w:p w14:paraId="69E2AB86" w14:textId="7642F7C1" w:rsidR="00B17329" w:rsidRPr="00B17329" w:rsidRDefault="00B17329" w:rsidP="00642118">
      <w:pPr>
        <w:spacing w:line="480" w:lineRule="auto"/>
      </w:pPr>
      <w:r w:rsidRPr="00B17329">
        <w:t xml:space="preserve">Batchelor, D. (2000) </w:t>
      </w:r>
      <w:r w:rsidRPr="00B17329">
        <w:rPr>
          <w:i/>
          <w:iCs/>
        </w:rPr>
        <w:t>Chromophobia</w:t>
      </w:r>
      <w:r w:rsidRPr="00B17329">
        <w:t xml:space="preserve">. London: </w:t>
      </w:r>
      <w:proofErr w:type="spellStart"/>
      <w:r w:rsidRPr="00B17329">
        <w:t>Reaktion</w:t>
      </w:r>
      <w:proofErr w:type="spellEnd"/>
      <w:r w:rsidRPr="00B17329">
        <w:t xml:space="preserve"> Books. Available at:</w:t>
      </w:r>
      <w:r w:rsidR="0019214D">
        <w:t xml:space="preserve"> </w:t>
      </w:r>
      <w:hyperlink r:id="rId18" w:history="1">
        <w:r w:rsidR="0019214D" w:rsidRPr="0019214D">
          <w:rPr>
            <w:rStyle w:val="Hyperlink"/>
          </w:rPr>
          <w:t>Chromophobia → David Batchelor</w:t>
        </w:r>
      </w:hyperlink>
      <w:r w:rsidR="0019214D" w:rsidRPr="0019214D">
        <w:t xml:space="preserve"> </w:t>
      </w:r>
      <w:r w:rsidRPr="00B17329">
        <w:t>(Accessed: 16 April 2026).</w:t>
      </w:r>
    </w:p>
    <w:p w14:paraId="37DB24F9" w14:textId="6ED8BD16" w:rsidR="00B17329" w:rsidRPr="00B17329" w:rsidRDefault="00B17329" w:rsidP="00642118">
      <w:pPr>
        <w:spacing w:line="480" w:lineRule="auto"/>
      </w:pPr>
      <w:r w:rsidRPr="00B17329">
        <w:t xml:space="preserve">Berlin, B. and Kay, P. (1969) </w:t>
      </w:r>
      <w:r w:rsidRPr="00B17329">
        <w:rPr>
          <w:i/>
          <w:iCs/>
        </w:rPr>
        <w:t xml:space="preserve">Basic </w:t>
      </w:r>
      <w:proofErr w:type="spellStart"/>
      <w:r w:rsidRPr="00B17329">
        <w:rPr>
          <w:i/>
          <w:iCs/>
        </w:rPr>
        <w:t>Color</w:t>
      </w:r>
      <w:proofErr w:type="spellEnd"/>
      <w:r w:rsidRPr="00B17329">
        <w:rPr>
          <w:i/>
          <w:iCs/>
        </w:rPr>
        <w:t xml:space="preserve"> Terms: Their Universality and Evolution</w:t>
      </w:r>
      <w:r w:rsidRPr="00B17329">
        <w:t xml:space="preserve">. Berkeley: University of California Press. Available at: </w:t>
      </w:r>
      <w:hyperlink r:id="rId19" w:history="1">
        <w:proofErr w:type="spellStart"/>
        <w:r w:rsidR="00E57457" w:rsidRPr="00E57457">
          <w:rPr>
            <w:rStyle w:val="Hyperlink"/>
          </w:rPr>
          <w:t>Color</w:t>
        </w:r>
        <w:proofErr w:type="spellEnd"/>
        <w:r w:rsidR="00E57457" w:rsidRPr="00E57457">
          <w:rPr>
            <w:rStyle w:val="Hyperlink"/>
          </w:rPr>
          <w:t xml:space="preserve"> Terms: Universality and Evolution | PDF | Lexicon | Human Communication</w:t>
        </w:r>
      </w:hyperlink>
      <w:r w:rsidR="00E57457" w:rsidRPr="00E57457">
        <w:t xml:space="preserve"> </w:t>
      </w:r>
      <w:r w:rsidRPr="00B17329">
        <w:t>(Accessed: 16 April 2026).</w:t>
      </w:r>
    </w:p>
    <w:p w14:paraId="6D263082" w14:textId="23B57C3B" w:rsidR="00B17329" w:rsidRPr="00B17329" w:rsidRDefault="00B17329" w:rsidP="00642118">
      <w:pPr>
        <w:spacing w:line="480" w:lineRule="auto"/>
      </w:pPr>
      <w:r w:rsidRPr="00B17329">
        <w:t xml:space="preserve">Foster, H. (1996) </w:t>
      </w:r>
      <w:r w:rsidRPr="00B17329">
        <w:rPr>
          <w:i/>
          <w:iCs/>
        </w:rPr>
        <w:t>The Return of the Real</w:t>
      </w:r>
      <w:r w:rsidRPr="00B17329">
        <w:t>. Cambridge, MA: MIT Press. Available at:</w:t>
      </w:r>
      <w:r w:rsidR="00F316A3">
        <w:t xml:space="preserve"> </w:t>
      </w:r>
      <w:hyperlink r:id="rId20" w:history="1">
        <w:r w:rsidR="00F316A3" w:rsidRPr="00F316A3">
          <w:rPr>
            <w:rStyle w:val="Hyperlink"/>
          </w:rPr>
          <w:t>Foster_Hal_The_Return_of_the_Real_1996.pdf</w:t>
        </w:r>
      </w:hyperlink>
      <w:r w:rsidR="00F316A3" w:rsidRPr="00F316A3">
        <w:t xml:space="preserve"> </w:t>
      </w:r>
      <w:r w:rsidRPr="00B17329">
        <w:t>(Accessed: 23 April 2026).</w:t>
      </w:r>
    </w:p>
    <w:p w14:paraId="6D1FD313" w14:textId="00E90608" w:rsidR="00B17329" w:rsidRPr="00B17329" w:rsidRDefault="00B17329" w:rsidP="00642118">
      <w:pPr>
        <w:spacing w:line="480" w:lineRule="auto"/>
      </w:pPr>
      <w:r w:rsidRPr="00B17329">
        <w:t xml:space="preserve">Gage, J. (1999) </w:t>
      </w:r>
      <w:proofErr w:type="spellStart"/>
      <w:r w:rsidRPr="00B17329">
        <w:rPr>
          <w:i/>
          <w:iCs/>
        </w:rPr>
        <w:t>Color</w:t>
      </w:r>
      <w:proofErr w:type="spellEnd"/>
      <w:r w:rsidRPr="00B17329">
        <w:rPr>
          <w:i/>
          <w:iCs/>
        </w:rPr>
        <w:t xml:space="preserve"> and Meaning: Art, Science, and Symbolism</w:t>
      </w:r>
      <w:r w:rsidRPr="00B17329">
        <w:t>. Berkeley: University of California Press. Available at:</w:t>
      </w:r>
      <w:r w:rsidR="00896B47">
        <w:t xml:space="preserve"> </w:t>
      </w:r>
      <w:hyperlink r:id="rId21" w:history="1">
        <w:proofErr w:type="spellStart"/>
        <w:r w:rsidR="00896B47" w:rsidRPr="00896B47">
          <w:rPr>
            <w:rStyle w:val="Hyperlink"/>
          </w:rPr>
          <w:t>Color</w:t>
        </w:r>
        <w:proofErr w:type="spellEnd"/>
        <w:r w:rsidR="00896B47" w:rsidRPr="00896B47">
          <w:rPr>
            <w:rStyle w:val="Hyperlink"/>
          </w:rPr>
          <w:t xml:space="preserve"> and Meaning</w:t>
        </w:r>
      </w:hyperlink>
      <w:r w:rsidR="00896B47" w:rsidRPr="00896B47">
        <w:t xml:space="preserve"> </w:t>
      </w:r>
      <w:r w:rsidRPr="00B17329">
        <w:t>(Accessed: 14 April 2026).</w:t>
      </w:r>
    </w:p>
    <w:p w14:paraId="78F176CF" w14:textId="5A7CF363" w:rsidR="00B17329" w:rsidRPr="00B17329" w:rsidRDefault="00B17329" w:rsidP="00642118">
      <w:pPr>
        <w:spacing w:line="480" w:lineRule="auto"/>
      </w:pPr>
      <w:r w:rsidRPr="00B17329">
        <w:t xml:space="preserve">Goethe, J.W.V. (1810) </w:t>
      </w:r>
      <w:r w:rsidRPr="00B17329">
        <w:rPr>
          <w:i/>
          <w:iCs/>
        </w:rPr>
        <w:t>Goethe’s Theory of Colours</w:t>
      </w:r>
      <w:r w:rsidRPr="00B17329">
        <w:t>. Translated by C. Eastlake (1840). London: Project Gutenberg. Available at:</w:t>
      </w:r>
      <w:r w:rsidR="00896B47">
        <w:t xml:space="preserve"> </w:t>
      </w:r>
      <w:hyperlink r:id="rId22" w:history="1">
        <w:r w:rsidR="00896B47" w:rsidRPr="00896B47">
          <w:rPr>
            <w:rStyle w:val="Hyperlink"/>
          </w:rPr>
          <w:t xml:space="preserve">Goethe's theory of </w:t>
        </w:r>
        <w:proofErr w:type="gramStart"/>
        <w:r w:rsidR="00896B47" w:rsidRPr="00896B47">
          <w:rPr>
            <w:rStyle w:val="Hyperlink"/>
          </w:rPr>
          <w:t>colours :</w:t>
        </w:r>
        <w:proofErr w:type="gramEnd"/>
        <w:r w:rsidR="00896B47" w:rsidRPr="00896B47">
          <w:rPr>
            <w:rStyle w:val="Hyperlink"/>
          </w:rPr>
          <w:t xml:space="preserve"> Johann Wolfgang von </w:t>
        </w:r>
        <w:proofErr w:type="gramStart"/>
        <w:r w:rsidR="00896B47" w:rsidRPr="00896B47">
          <w:rPr>
            <w:rStyle w:val="Hyperlink"/>
          </w:rPr>
          <w:t>Goethe :</w:t>
        </w:r>
        <w:proofErr w:type="gramEnd"/>
        <w:r w:rsidR="00896B47" w:rsidRPr="00896B47">
          <w:rPr>
            <w:rStyle w:val="Hyperlink"/>
          </w:rPr>
          <w:t xml:space="preserve"> Free Download, Borrow, and </w:t>
        </w:r>
        <w:proofErr w:type="gramStart"/>
        <w:r w:rsidR="00896B47" w:rsidRPr="00896B47">
          <w:rPr>
            <w:rStyle w:val="Hyperlink"/>
          </w:rPr>
          <w:t>Streaming :</w:t>
        </w:r>
        <w:proofErr w:type="gramEnd"/>
        <w:r w:rsidR="00896B47" w:rsidRPr="00896B47">
          <w:rPr>
            <w:rStyle w:val="Hyperlink"/>
          </w:rPr>
          <w:t xml:space="preserve"> Internet Archive</w:t>
        </w:r>
      </w:hyperlink>
      <w:r w:rsidR="00896B47" w:rsidRPr="00896B47">
        <w:t xml:space="preserve"> </w:t>
      </w:r>
      <w:r w:rsidRPr="00B17329">
        <w:t>(Accessed: 14 April 2026).</w:t>
      </w:r>
    </w:p>
    <w:p w14:paraId="3B591DD2" w14:textId="77777777" w:rsidR="006307F4" w:rsidRDefault="00B17329" w:rsidP="00642118">
      <w:pPr>
        <w:spacing w:line="480" w:lineRule="auto"/>
      </w:pPr>
      <w:r w:rsidRPr="00B17329">
        <w:t xml:space="preserve">Itten, J. (1970) </w:t>
      </w:r>
      <w:r w:rsidRPr="00B17329">
        <w:rPr>
          <w:i/>
          <w:iCs/>
        </w:rPr>
        <w:t xml:space="preserve">The Elements of </w:t>
      </w:r>
      <w:proofErr w:type="spellStart"/>
      <w:r w:rsidRPr="00B17329">
        <w:rPr>
          <w:i/>
          <w:iCs/>
        </w:rPr>
        <w:t>Color</w:t>
      </w:r>
      <w:proofErr w:type="spellEnd"/>
      <w:r w:rsidRPr="00B17329">
        <w:t>. New York: Van Nostrand Reinhold Company. Available at:</w:t>
      </w:r>
      <w:r w:rsidR="006307F4">
        <w:t xml:space="preserve"> </w:t>
      </w:r>
      <w:hyperlink r:id="rId23" w:history="1">
        <w:r w:rsidR="006307F4" w:rsidRPr="006307F4">
          <w:rPr>
            <w:rStyle w:val="Hyperlink"/>
          </w:rPr>
          <w:t xml:space="preserve">The Elements of </w:t>
        </w:r>
        <w:proofErr w:type="spellStart"/>
        <w:r w:rsidR="006307F4" w:rsidRPr="006307F4">
          <w:rPr>
            <w:rStyle w:val="Hyperlink"/>
          </w:rPr>
          <w:t>Color</w:t>
        </w:r>
        <w:proofErr w:type="spellEnd"/>
      </w:hyperlink>
      <w:r w:rsidR="006307F4" w:rsidRPr="006307F4">
        <w:t xml:space="preserve"> </w:t>
      </w:r>
      <w:r w:rsidRPr="00B17329">
        <w:t>(Accessed: 14 April 2026).</w:t>
      </w:r>
    </w:p>
    <w:p w14:paraId="36685C4D" w14:textId="32463811" w:rsidR="003E7169" w:rsidRDefault="003E7169" w:rsidP="00642118">
      <w:pPr>
        <w:spacing w:line="480" w:lineRule="auto"/>
        <w:rPr>
          <w:u w:val="single"/>
        </w:rPr>
      </w:pPr>
      <w:r w:rsidRPr="006307F4">
        <w:rPr>
          <w:u w:val="single"/>
        </w:rPr>
        <w:lastRenderedPageBreak/>
        <w:t>List of Figures</w:t>
      </w:r>
    </w:p>
    <w:p w14:paraId="08F925C2" w14:textId="08ED0F52" w:rsidR="00DA3C54" w:rsidRPr="00DA3C54" w:rsidRDefault="00DA3C54" w:rsidP="00642118">
      <w:pPr>
        <w:spacing w:line="480" w:lineRule="auto"/>
      </w:pPr>
      <w:r w:rsidRPr="00DA3C54">
        <w:t>Dass, A. (</w:t>
      </w:r>
      <w:r w:rsidR="00DA036D">
        <w:t>2012- Ongoing</w:t>
      </w:r>
      <w:r w:rsidRPr="00DA3C54">
        <w:t xml:space="preserve">) </w:t>
      </w:r>
      <w:r w:rsidRPr="00DA3C54">
        <w:rPr>
          <w:i/>
          <w:iCs/>
        </w:rPr>
        <w:t>Humanae</w:t>
      </w:r>
      <w:r w:rsidRPr="00DA3C54">
        <w:t>. Available at:</w:t>
      </w:r>
      <w:r w:rsidR="00B87D31">
        <w:t xml:space="preserve"> </w:t>
      </w:r>
      <w:hyperlink r:id="rId24" w:history="1">
        <w:r w:rsidR="00B87D31" w:rsidRPr="00B87D31">
          <w:rPr>
            <w:rStyle w:val="Hyperlink"/>
          </w:rPr>
          <w:t>Angélica Dass's Humanae project proves colour isn't just 'black and white' | Metro News</w:t>
        </w:r>
      </w:hyperlink>
      <w:r w:rsidRPr="00DA3C54">
        <w:t xml:space="preserve"> (Accessed: 16 April 2026).</w:t>
      </w:r>
    </w:p>
    <w:p w14:paraId="592A3694" w14:textId="72EBC597" w:rsidR="00DA3C54" w:rsidRPr="00DA3C54" w:rsidRDefault="00DA3C54" w:rsidP="00642118">
      <w:pPr>
        <w:spacing w:line="480" w:lineRule="auto"/>
      </w:pPr>
      <w:r w:rsidRPr="00DA3C54">
        <w:t xml:space="preserve">Guerrilla Girls (1989) </w:t>
      </w:r>
      <w:r w:rsidRPr="00DA3C54">
        <w:rPr>
          <w:i/>
          <w:iCs/>
        </w:rPr>
        <w:t xml:space="preserve">Do Women Have </w:t>
      </w:r>
      <w:proofErr w:type="gramStart"/>
      <w:r w:rsidRPr="00DA3C54">
        <w:rPr>
          <w:i/>
          <w:iCs/>
        </w:rPr>
        <w:t>To</w:t>
      </w:r>
      <w:proofErr w:type="gramEnd"/>
      <w:r w:rsidRPr="00DA3C54">
        <w:rPr>
          <w:i/>
          <w:iCs/>
        </w:rPr>
        <w:t xml:space="preserve"> Be Naked </w:t>
      </w:r>
      <w:proofErr w:type="gramStart"/>
      <w:r w:rsidRPr="00DA3C54">
        <w:rPr>
          <w:i/>
          <w:iCs/>
        </w:rPr>
        <w:t>To</w:t>
      </w:r>
      <w:proofErr w:type="gramEnd"/>
      <w:r w:rsidRPr="00DA3C54">
        <w:rPr>
          <w:i/>
          <w:iCs/>
        </w:rPr>
        <w:t xml:space="preserve"> Get </w:t>
      </w:r>
      <w:proofErr w:type="gramStart"/>
      <w:r w:rsidRPr="00DA3C54">
        <w:rPr>
          <w:i/>
          <w:iCs/>
        </w:rPr>
        <w:t>Into</w:t>
      </w:r>
      <w:proofErr w:type="gramEnd"/>
      <w:r w:rsidRPr="00DA3C54">
        <w:rPr>
          <w:i/>
          <w:iCs/>
        </w:rPr>
        <w:t xml:space="preserve"> the Met. </w:t>
      </w:r>
      <w:proofErr w:type="gramStart"/>
      <w:r w:rsidRPr="00DA3C54">
        <w:rPr>
          <w:i/>
          <w:iCs/>
        </w:rPr>
        <w:t>Museum?</w:t>
      </w:r>
      <w:r w:rsidRPr="00DA3C54">
        <w:t>.</w:t>
      </w:r>
      <w:proofErr w:type="gramEnd"/>
      <w:r w:rsidRPr="00DA3C54">
        <w:t xml:space="preserve"> Available at</w:t>
      </w:r>
      <w:r w:rsidR="00D76409">
        <w:t xml:space="preserve">: </w:t>
      </w:r>
      <w:hyperlink r:id="rId25" w:history="1">
        <w:r w:rsidR="00D76409" w:rsidRPr="00D76409">
          <w:rPr>
            <w:rStyle w:val="Hyperlink"/>
          </w:rPr>
          <w:t xml:space="preserve">The Rise of the Women Movement: 7 Feminist Art Pieces You Should Know | </w:t>
        </w:r>
        <w:proofErr w:type="spellStart"/>
        <w:r w:rsidR="00D76409" w:rsidRPr="00D76409">
          <w:rPr>
            <w:rStyle w:val="Hyperlink"/>
          </w:rPr>
          <w:t>TheCollector</w:t>
        </w:r>
        <w:proofErr w:type="spellEnd"/>
      </w:hyperlink>
      <w:r w:rsidRPr="00DA3C54">
        <w:t xml:space="preserve"> (Accessed: 23 April 2026).</w:t>
      </w:r>
    </w:p>
    <w:p w14:paraId="437CA0F6" w14:textId="4E7013AA" w:rsidR="00DA3C54" w:rsidRPr="00DA3C54" w:rsidRDefault="00DA3C54" w:rsidP="00642118">
      <w:pPr>
        <w:spacing w:line="480" w:lineRule="auto"/>
      </w:pPr>
      <w:r w:rsidRPr="00DA3C54">
        <w:t xml:space="preserve">Monet, C. (1908–1912) </w:t>
      </w:r>
      <w:r w:rsidRPr="00DA3C54">
        <w:rPr>
          <w:i/>
          <w:iCs/>
        </w:rPr>
        <w:t>San Giorgio Maggiore at Dusk</w:t>
      </w:r>
      <w:r w:rsidRPr="00DA3C54">
        <w:t>. Available at:</w:t>
      </w:r>
      <w:r w:rsidR="00C23D2E">
        <w:t xml:space="preserve"> </w:t>
      </w:r>
      <w:hyperlink r:id="rId26" w:history="1">
        <w:r w:rsidR="00C23D2E" w:rsidRPr="00C23D2E">
          <w:rPr>
            <w:rStyle w:val="Hyperlink"/>
          </w:rPr>
          <w:t xml:space="preserve">San Giorgio Maggiore at Dusk by Claude Monet - Art Print – </w:t>
        </w:r>
        <w:proofErr w:type="spellStart"/>
        <w:r w:rsidR="00C23D2E" w:rsidRPr="00C23D2E">
          <w:rPr>
            <w:rStyle w:val="Hyperlink"/>
          </w:rPr>
          <w:t>Zapista</w:t>
        </w:r>
        <w:proofErr w:type="spellEnd"/>
      </w:hyperlink>
      <w:r w:rsidRPr="00DA3C54">
        <w:t xml:space="preserve"> (Accessed: 25 April 2026).</w:t>
      </w:r>
    </w:p>
    <w:p w14:paraId="1F37C500" w14:textId="753C11D9" w:rsidR="00DA3C54" w:rsidRPr="00DA3C54" w:rsidRDefault="00DA3C54" w:rsidP="00642118">
      <w:pPr>
        <w:spacing w:line="480" w:lineRule="auto"/>
      </w:pPr>
      <w:r w:rsidRPr="00DA3C54">
        <w:t xml:space="preserve">Picasso, P. (1903–1904) </w:t>
      </w:r>
      <w:r w:rsidRPr="00DA3C54">
        <w:rPr>
          <w:i/>
          <w:iCs/>
        </w:rPr>
        <w:t>The Old Guitarist</w:t>
      </w:r>
      <w:r w:rsidRPr="00DA3C54">
        <w:t>. Available at</w:t>
      </w:r>
      <w:r w:rsidR="004A7639">
        <w:t xml:space="preserve">: </w:t>
      </w:r>
      <w:hyperlink r:id="rId27" w:history="1">
        <w:r w:rsidR="004A7639" w:rsidRPr="004A7639">
          <w:rPr>
            <w:rStyle w:val="Hyperlink"/>
          </w:rPr>
          <w:t>The Power of Colour: How Artists Use It to Tell Stories</w:t>
        </w:r>
      </w:hyperlink>
      <w:r w:rsidRPr="00DA3C54">
        <w:t xml:space="preserve"> (Accessed: 14 April 2026).</w:t>
      </w:r>
    </w:p>
    <w:p w14:paraId="398D5D5A" w14:textId="7717D89E" w:rsidR="00DA3C54" w:rsidRPr="00DA3C54" w:rsidRDefault="00DA3C54" w:rsidP="00642118">
      <w:pPr>
        <w:spacing w:line="480" w:lineRule="auto"/>
      </w:pPr>
      <w:r w:rsidRPr="00DA3C54">
        <w:t xml:space="preserve">Rothko, M. (1961) </w:t>
      </w:r>
      <w:r w:rsidRPr="00DA3C54">
        <w:rPr>
          <w:i/>
          <w:iCs/>
        </w:rPr>
        <w:t>Orange and Yellow</w:t>
      </w:r>
      <w:r w:rsidRPr="00DA3C54">
        <w:t>. Available at:</w:t>
      </w:r>
      <w:r w:rsidR="004A7639">
        <w:t xml:space="preserve"> </w:t>
      </w:r>
      <w:hyperlink r:id="rId28" w:history="1">
        <w:r w:rsidR="004A7639" w:rsidRPr="004A7639">
          <w:rPr>
            <w:rStyle w:val="Hyperlink"/>
          </w:rPr>
          <w:t>The Power of Colour: How Artists Use It to Tell Stories</w:t>
        </w:r>
      </w:hyperlink>
      <w:r w:rsidR="004A7639">
        <w:t xml:space="preserve"> </w:t>
      </w:r>
      <w:r w:rsidRPr="00DA3C54">
        <w:t>(Accessed: 14 April 2026).</w:t>
      </w:r>
    </w:p>
    <w:p w14:paraId="145B7818" w14:textId="2DEFC7FC" w:rsidR="006C007A" w:rsidRDefault="00DA3C54" w:rsidP="00642118">
      <w:pPr>
        <w:spacing w:line="480" w:lineRule="auto"/>
      </w:pPr>
      <w:r w:rsidRPr="00DA3C54">
        <w:t xml:space="preserve">Saer, I. (2026) </w:t>
      </w:r>
      <w:r w:rsidRPr="00DA3C54">
        <w:rPr>
          <w:i/>
          <w:iCs/>
        </w:rPr>
        <w:t>The Significance of Colour in a Grey World Floorplan</w:t>
      </w:r>
      <w:r w:rsidRPr="00DA3C54">
        <w:t>.</w:t>
      </w:r>
    </w:p>
    <w:p w14:paraId="4E203195" w14:textId="3FED0821" w:rsidR="00995699" w:rsidRPr="006D57EA" w:rsidRDefault="00995699" w:rsidP="00642118">
      <w:pPr>
        <w:spacing w:line="480" w:lineRule="auto"/>
      </w:pPr>
    </w:p>
    <w:p w14:paraId="39A2B6BD" w14:textId="77777777" w:rsidR="0074344E" w:rsidRDefault="0074344E" w:rsidP="00642118">
      <w:pPr>
        <w:spacing w:line="480" w:lineRule="auto"/>
      </w:pPr>
    </w:p>
    <w:p w14:paraId="3A6A7B3C" w14:textId="77777777" w:rsidR="002F5F54" w:rsidRPr="006F526B" w:rsidRDefault="002F5F54" w:rsidP="00642118">
      <w:pPr>
        <w:spacing w:line="480" w:lineRule="auto"/>
      </w:pPr>
    </w:p>
    <w:p w14:paraId="3388700C" w14:textId="496D2B69" w:rsidR="00174C07" w:rsidRPr="00667828" w:rsidRDefault="00174C07" w:rsidP="00642118">
      <w:pPr>
        <w:spacing w:line="480" w:lineRule="auto"/>
      </w:pPr>
    </w:p>
    <w:p w14:paraId="539491EE" w14:textId="4E71DCE5" w:rsidR="00575C83" w:rsidRPr="00575C83" w:rsidRDefault="00575C83" w:rsidP="00642118">
      <w:pPr>
        <w:spacing w:line="480" w:lineRule="auto"/>
      </w:pPr>
    </w:p>
    <w:p w14:paraId="354F8346" w14:textId="2CBDA772" w:rsidR="00575C83" w:rsidRPr="00575C83" w:rsidRDefault="00575C83" w:rsidP="00642118">
      <w:pPr>
        <w:spacing w:line="480" w:lineRule="auto"/>
      </w:pPr>
    </w:p>
    <w:sectPr w:rsidR="00575C83" w:rsidRPr="00575C83" w:rsidSect="00C635BC">
      <w:footerReference w:type="default" r:id="rId29"/>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B790C" w14:textId="77777777" w:rsidR="000704FE" w:rsidRDefault="000704FE" w:rsidP="008C1E99">
      <w:pPr>
        <w:spacing w:after="0" w:line="240" w:lineRule="auto"/>
      </w:pPr>
      <w:r>
        <w:separator/>
      </w:r>
    </w:p>
  </w:endnote>
  <w:endnote w:type="continuationSeparator" w:id="0">
    <w:p w14:paraId="069CD8DC" w14:textId="77777777" w:rsidR="000704FE" w:rsidRDefault="000704FE" w:rsidP="008C1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599271"/>
      <w:docPartObj>
        <w:docPartGallery w:val="Page Numbers (Bottom of Page)"/>
        <w:docPartUnique/>
      </w:docPartObj>
    </w:sdtPr>
    <w:sdtContent>
      <w:p w14:paraId="54E70270" w14:textId="119A1863" w:rsidR="008C1E99" w:rsidRDefault="008C1E99">
        <w:pPr>
          <w:pStyle w:val="Footer"/>
          <w:jc w:val="right"/>
        </w:pPr>
        <w:r>
          <w:fldChar w:fldCharType="begin"/>
        </w:r>
        <w:r>
          <w:instrText>PAGE   \* MERGEFORMAT</w:instrText>
        </w:r>
        <w:r>
          <w:fldChar w:fldCharType="separate"/>
        </w:r>
        <w:r>
          <w:t>2</w:t>
        </w:r>
        <w:r>
          <w:fldChar w:fldCharType="end"/>
        </w:r>
      </w:p>
    </w:sdtContent>
  </w:sdt>
  <w:p w14:paraId="056FEA92" w14:textId="77777777" w:rsidR="008C1E99" w:rsidRDefault="008C1E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FF773" w14:textId="77777777" w:rsidR="000704FE" w:rsidRDefault="000704FE" w:rsidP="008C1E99">
      <w:pPr>
        <w:spacing w:after="0" w:line="240" w:lineRule="auto"/>
      </w:pPr>
      <w:r>
        <w:separator/>
      </w:r>
    </w:p>
  </w:footnote>
  <w:footnote w:type="continuationSeparator" w:id="0">
    <w:p w14:paraId="2F79BE42" w14:textId="77777777" w:rsidR="000704FE" w:rsidRDefault="000704FE" w:rsidP="008C1E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C83"/>
    <w:rsid w:val="00017671"/>
    <w:rsid w:val="0002371B"/>
    <w:rsid w:val="0002490D"/>
    <w:rsid w:val="00026D59"/>
    <w:rsid w:val="000313BA"/>
    <w:rsid w:val="0006692F"/>
    <w:rsid w:val="000704FE"/>
    <w:rsid w:val="00070D14"/>
    <w:rsid w:val="00083363"/>
    <w:rsid w:val="00085DAE"/>
    <w:rsid w:val="00086601"/>
    <w:rsid w:val="000A5608"/>
    <w:rsid w:val="000C74F0"/>
    <w:rsid w:val="000D4C67"/>
    <w:rsid w:val="000E2E22"/>
    <w:rsid w:val="00104A1E"/>
    <w:rsid w:val="0011104B"/>
    <w:rsid w:val="00111682"/>
    <w:rsid w:val="00116097"/>
    <w:rsid w:val="001228AF"/>
    <w:rsid w:val="00131021"/>
    <w:rsid w:val="001534F6"/>
    <w:rsid w:val="00174C07"/>
    <w:rsid w:val="00181072"/>
    <w:rsid w:val="00183C10"/>
    <w:rsid w:val="00190F56"/>
    <w:rsid w:val="0019214D"/>
    <w:rsid w:val="001A5330"/>
    <w:rsid w:val="001B79B7"/>
    <w:rsid w:val="001D3B98"/>
    <w:rsid w:val="001E07D5"/>
    <w:rsid w:val="001F4F7B"/>
    <w:rsid w:val="001F5B04"/>
    <w:rsid w:val="002068E8"/>
    <w:rsid w:val="002111A8"/>
    <w:rsid w:val="0022770F"/>
    <w:rsid w:val="00237916"/>
    <w:rsid w:val="0026297C"/>
    <w:rsid w:val="00263097"/>
    <w:rsid w:val="00265B0D"/>
    <w:rsid w:val="00265C8E"/>
    <w:rsid w:val="00267E37"/>
    <w:rsid w:val="0027279D"/>
    <w:rsid w:val="00284BBB"/>
    <w:rsid w:val="002908F0"/>
    <w:rsid w:val="002A592D"/>
    <w:rsid w:val="002A705F"/>
    <w:rsid w:val="002A7970"/>
    <w:rsid w:val="002B04BF"/>
    <w:rsid w:val="002B5973"/>
    <w:rsid w:val="002C4EED"/>
    <w:rsid w:val="002E662B"/>
    <w:rsid w:val="002F484E"/>
    <w:rsid w:val="002F5F54"/>
    <w:rsid w:val="00322973"/>
    <w:rsid w:val="00330AB3"/>
    <w:rsid w:val="00332016"/>
    <w:rsid w:val="00354F5D"/>
    <w:rsid w:val="00357D6E"/>
    <w:rsid w:val="003671DE"/>
    <w:rsid w:val="00367895"/>
    <w:rsid w:val="00370EBF"/>
    <w:rsid w:val="00382827"/>
    <w:rsid w:val="00383FC7"/>
    <w:rsid w:val="0039374C"/>
    <w:rsid w:val="003B0182"/>
    <w:rsid w:val="003B3AC4"/>
    <w:rsid w:val="003E3190"/>
    <w:rsid w:val="003E7169"/>
    <w:rsid w:val="004071B4"/>
    <w:rsid w:val="00414A90"/>
    <w:rsid w:val="00415A83"/>
    <w:rsid w:val="00422491"/>
    <w:rsid w:val="00424724"/>
    <w:rsid w:val="00424BED"/>
    <w:rsid w:val="004479D5"/>
    <w:rsid w:val="0045466C"/>
    <w:rsid w:val="0046073A"/>
    <w:rsid w:val="00484458"/>
    <w:rsid w:val="004A7639"/>
    <w:rsid w:val="004B6A3F"/>
    <w:rsid w:val="004C454D"/>
    <w:rsid w:val="004C6C6C"/>
    <w:rsid w:val="004E538C"/>
    <w:rsid w:val="004E5839"/>
    <w:rsid w:val="004F0F2C"/>
    <w:rsid w:val="004F6A5F"/>
    <w:rsid w:val="005050F2"/>
    <w:rsid w:val="00522AD8"/>
    <w:rsid w:val="005339C2"/>
    <w:rsid w:val="00536E02"/>
    <w:rsid w:val="005372F7"/>
    <w:rsid w:val="0054468A"/>
    <w:rsid w:val="00555F9B"/>
    <w:rsid w:val="00557AA8"/>
    <w:rsid w:val="00575A31"/>
    <w:rsid w:val="00575C83"/>
    <w:rsid w:val="005A4A34"/>
    <w:rsid w:val="005C506D"/>
    <w:rsid w:val="005C7CD2"/>
    <w:rsid w:val="005D1228"/>
    <w:rsid w:val="005D7E97"/>
    <w:rsid w:val="005E3FD7"/>
    <w:rsid w:val="005F1054"/>
    <w:rsid w:val="005F15F5"/>
    <w:rsid w:val="00600517"/>
    <w:rsid w:val="0060486E"/>
    <w:rsid w:val="006261C6"/>
    <w:rsid w:val="006307F4"/>
    <w:rsid w:val="00637981"/>
    <w:rsid w:val="00637C8E"/>
    <w:rsid w:val="00642118"/>
    <w:rsid w:val="006476D6"/>
    <w:rsid w:val="00664A09"/>
    <w:rsid w:val="00667828"/>
    <w:rsid w:val="006751F1"/>
    <w:rsid w:val="0069328F"/>
    <w:rsid w:val="00694BC9"/>
    <w:rsid w:val="006A6A46"/>
    <w:rsid w:val="006B208D"/>
    <w:rsid w:val="006C007A"/>
    <w:rsid w:val="006C2334"/>
    <w:rsid w:val="006D57EA"/>
    <w:rsid w:val="006D7EC7"/>
    <w:rsid w:val="006E36E7"/>
    <w:rsid w:val="006E36EF"/>
    <w:rsid w:val="006E7C09"/>
    <w:rsid w:val="006F526B"/>
    <w:rsid w:val="00700263"/>
    <w:rsid w:val="0074344E"/>
    <w:rsid w:val="00753ABC"/>
    <w:rsid w:val="007557D4"/>
    <w:rsid w:val="0077241E"/>
    <w:rsid w:val="00782A29"/>
    <w:rsid w:val="007A00D5"/>
    <w:rsid w:val="007B4753"/>
    <w:rsid w:val="007C3F56"/>
    <w:rsid w:val="007E74D5"/>
    <w:rsid w:val="008068E9"/>
    <w:rsid w:val="008115AE"/>
    <w:rsid w:val="00811D46"/>
    <w:rsid w:val="00823BBF"/>
    <w:rsid w:val="00834FCF"/>
    <w:rsid w:val="0084076D"/>
    <w:rsid w:val="00842094"/>
    <w:rsid w:val="0084394B"/>
    <w:rsid w:val="008464D7"/>
    <w:rsid w:val="008569B1"/>
    <w:rsid w:val="008605D8"/>
    <w:rsid w:val="00862724"/>
    <w:rsid w:val="008763FA"/>
    <w:rsid w:val="00890DCF"/>
    <w:rsid w:val="00896B47"/>
    <w:rsid w:val="008974B5"/>
    <w:rsid w:val="008A3846"/>
    <w:rsid w:val="008C0962"/>
    <w:rsid w:val="008C1E99"/>
    <w:rsid w:val="008C506E"/>
    <w:rsid w:val="008D1D89"/>
    <w:rsid w:val="008D5A8D"/>
    <w:rsid w:val="008E38B0"/>
    <w:rsid w:val="008F6957"/>
    <w:rsid w:val="00910111"/>
    <w:rsid w:val="0091471A"/>
    <w:rsid w:val="009158EF"/>
    <w:rsid w:val="00942A7B"/>
    <w:rsid w:val="00946390"/>
    <w:rsid w:val="009703D3"/>
    <w:rsid w:val="00995699"/>
    <w:rsid w:val="0099595B"/>
    <w:rsid w:val="009C39F7"/>
    <w:rsid w:val="009E3926"/>
    <w:rsid w:val="00A02F2E"/>
    <w:rsid w:val="00A04199"/>
    <w:rsid w:val="00A102F7"/>
    <w:rsid w:val="00A1683D"/>
    <w:rsid w:val="00A32E76"/>
    <w:rsid w:val="00A53960"/>
    <w:rsid w:val="00A56ABB"/>
    <w:rsid w:val="00A57A07"/>
    <w:rsid w:val="00A61445"/>
    <w:rsid w:val="00A62F6D"/>
    <w:rsid w:val="00A82F50"/>
    <w:rsid w:val="00A8425B"/>
    <w:rsid w:val="00AA2B9D"/>
    <w:rsid w:val="00AA5847"/>
    <w:rsid w:val="00AB0C2F"/>
    <w:rsid w:val="00AB558F"/>
    <w:rsid w:val="00AE52B0"/>
    <w:rsid w:val="00AF4B98"/>
    <w:rsid w:val="00B018C0"/>
    <w:rsid w:val="00B01C45"/>
    <w:rsid w:val="00B17329"/>
    <w:rsid w:val="00B265E4"/>
    <w:rsid w:val="00B304C1"/>
    <w:rsid w:val="00B41B0A"/>
    <w:rsid w:val="00B52862"/>
    <w:rsid w:val="00B6196E"/>
    <w:rsid w:val="00B655DF"/>
    <w:rsid w:val="00B8731F"/>
    <w:rsid w:val="00B87D31"/>
    <w:rsid w:val="00B90F6A"/>
    <w:rsid w:val="00B91658"/>
    <w:rsid w:val="00BB5C7A"/>
    <w:rsid w:val="00BD3895"/>
    <w:rsid w:val="00BD3991"/>
    <w:rsid w:val="00BD5533"/>
    <w:rsid w:val="00BD7570"/>
    <w:rsid w:val="00BE0E58"/>
    <w:rsid w:val="00C10923"/>
    <w:rsid w:val="00C10A47"/>
    <w:rsid w:val="00C1163E"/>
    <w:rsid w:val="00C11788"/>
    <w:rsid w:val="00C17BC4"/>
    <w:rsid w:val="00C2298F"/>
    <w:rsid w:val="00C236FE"/>
    <w:rsid w:val="00C23D2E"/>
    <w:rsid w:val="00C33EF0"/>
    <w:rsid w:val="00C40446"/>
    <w:rsid w:val="00C47707"/>
    <w:rsid w:val="00C537AC"/>
    <w:rsid w:val="00C635BC"/>
    <w:rsid w:val="00C638EC"/>
    <w:rsid w:val="00C7158E"/>
    <w:rsid w:val="00C71621"/>
    <w:rsid w:val="00C8709D"/>
    <w:rsid w:val="00C91E4E"/>
    <w:rsid w:val="00CA232E"/>
    <w:rsid w:val="00CA7D5A"/>
    <w:rsid w:val="00CC001C"/>
    <w:rsid w:val="00CD510E"/>
    <w:rsid w:val="00CE43A4"/>
    <w:rsid w:val="00CE73C0"/>
    <w:rsid w:val="00D07D3B"/>
    <w:rsid w:val="00D1478B"/>
    <w:rsid w:val="00D64D3B"/>
    <w:rsid w:val="00D677A5"/>
    <w:rsid w:val="00D70373"/>
    <w:rsid w:val="00D73B6D"/>
    <w:rsid w:val="00D76409"/>
    <w:rsid w:val="00D84D3E"/>
    <w:rsid w:val="00DA036D"/>
    <w:rsid w:val="00DA3C54"/>
    <w:rsid w:val="00DA3CDC"/>
    <w:rsid w:val="00DA71C3"/>
    <w:rsid w:val="00DB7B69"/>
    <w:rsid w:val="00DC1594"/>
    <w:rsid w:val="00DC2564"/>
    <w:rsid w:val="00DC729D"/>
    <w:rsid w:val="00DD1336"/>
    <w:rsid w:val="00DD36EB"/>
    <w:rsid w:val="00DD395E"/>
    <w:rsid w:val="00DE0A40"/>
    <w:rsid w:val="00DF0A91"/>
    <w:rsid w:val="00DF2007"/>
    <w:rsid w:val="00DF50B7"/>
    <w:rsid w:val="00E05DD3"/>
    <w:rsid w:val="00E13B70"/>
    <w:rsid w:val="00E17658"/>
    <w:rsid w:val="00E266E5"/>
    <w:rsid w:val="00E34E38"/>
    <w:rsid w:val="00E40738"/>
    <w:rsid w:val="00E4319F"/>
    <w:rsid w:val="00E57457"/>
    <w:rsid w:val="00E6377A"/>
    <w:rsid w:val="00E9384E"/>
    <w:rsid w:val="00E95964"/>
    <w:rsid w:val="00EA0F75"/>
    <w:rsid w:val="00EA332E"/>
    <w:rsid w:val="00EB3C9E"/>
    <w:rsid w:val="00EB52A1"/>
    <w:rsid w:val="00EC57F5"/>
    <w:rsid w:val="00ED0FC1"/>
    <w:rsid w:val="00ED120F"/>
    <w:rsid w:val="00ED33F0"/>
    <w:rsid w:val="00EE00AC"/>
    <w:rsid w:val="00EE1F65"/>
    <w:rsid w:val="00F04CAA"/>
    <w:rsid w:val="00F13864"/>
    <w:rsid w:val="00F228A7"/>
    <w:rsid w:val="00F26E6E"/>
    <w:rsid w:val="00F316A3"/>
    <w:rsid w:val="00F60591"/>
    <w:rsid w:val="00F646AB"/>
    <w:rsid w:val="00F90C1D"/>
    <w:rsid w:val="00F9359D"/>
    <w:rsid w:val="00F9404D"/>
    <w:rsid w:val="00FA21A6"/>
    <w:rsid w:val="00FB01E5"/>
    <w:rsid w:val="00FC2233"/>
    <w:rsid w:val="00FD5431"/>
    <w:rsid w:val="00FD57CE"/>
    <w:rsid w:val="00FD6E4C"/>
    <w:rsid w:val="00FE68D4"/>
    <w:rsid w:val="00FF7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880BA"/>
  <w15:chartTrackingRefBased/>
  <w15:docId w15:val="{E6F39A8E-00BE-4412-A20F-89C5AAFC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C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5C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5C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5C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5C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5C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5C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5C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5C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C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5C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5C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5C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5C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5C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5C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5C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5C83"/>
    <w:rPr>
      <w:rFonts w:eastAsiaTheme="majorEastAsia" w:cstheme="majorBidi"/>
      <w:color w:val="272727" w:themeColor="text1" w:themeTint="D8"/>
    </w:rPr>
  </w:style>
  <w:style w:type="paragraph" w:styleId="Title">
    <w:name w:val="Title"/>
    <w:basedOn w:val="Normal"/>
    <w:next w:val="Normal"/>
    <w:link w:val="TitleChar"/>
    <w:uiPriority w:val="10"/>
    <w:qFormat/>
    <w:rsid w:val="00575C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5C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5C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5C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5C83"/>
    <w:pPr>
      <w:spacing w:before="160"/>
      <w:jc w:val="center"/>
    </w:pPr>
    <w:rPr>
      <w:i/>
      <w:iCs/>
      <w:color w:val="404040" w:themeColor="text1" w:themeTint="BF"/>
    </w:rPr>
  </w:style>
  <w:style w:type="character" w:customStyle="1" w:styleId="QuoteChar">
    <w:name w:val="Quote Char"/>
    <w:basedOn w:val="DefaultParagraphFont"/>
    <w:link w:val="Quote"/>
    <w:uiPriority w:val="29"/>
    <w:rsid w:val="00575C83"/>
    <w:rPr>
      <w:i/>
      <w:iCs/>
      <w:color w:val="404040" w:themeColor="text1" w:themeTint="BF"/>
    </w:rPr>
  </w:style>
  <w:style w:type="paragraph" w:styleId="ListParagraph">
    <w:name w:val="List Paragraph"/>
    <w:basedOn w:val="Normal"/>
    <w:uiPriority w:val="34"/>
    <w:qFormat/>
    <w:rsid w:val="00575C83"/>
    <w:pPr>
      <w:ind w:left="720"/>
      <w:contextualSpacing/>
    </w:pPr>
  </w:style>
  <w:style w:type="character" w:styleId="IntenseEmphasis">
    <w:name w:val="Intense Emphasis"/>
    <w:basedOn w:val="DefaultParagraphFont"/>
    <w:uiPriority w:val="21"/>
    <w:qFormat/>
    <w:rsid w:val="00575C83"/>
    <w:rPr>
      <w:i/>
      <w:iCs/>
      <w:color w:val="0F4761" w:themeColor="accent1" w:themeShade="BF"/>
    </w:rPr>
  </w:style>
  <w:style w:type="paragraph" w:styleId="IntenseQuote">
    <w:name w:val="Intense Quote"/>
    <w:basedOn w:val="Normal"/>
    <w:next w:val="Normal"/>
    <w:link w:val="IntenseQuoteChar"/>
    <w:uiPriority w:val="30"/>
    <w:qFormat/>
    <w:rsid w:val="00575C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5C83"/>
    <w:rPr>
      <w:i/>
      <w:iCs/>
      <w:color w:val="0F4761" w:themeColor="accent1" w:themeShade="BF"/>
    </w:rPr>
  </w:style>
  <w:style w:type="character" w:styleId="IntenseReference">
    <w:name w:val="Intense Reference"/>
    <w:basedOn w:val="DefaultParagraphFont"/>
    <w:uiPriority w:val="32"/>
    <w:qFormat/>
    <w:rsid w:val="00575C83"/>
    <w:rPr>
      <w:b/>
      <w:bCs/>
      <w:smallCaps/>
      <w:color w:val="0F4761" w:themeColor="accent1" w:themeShade="BF"/>
      <w:spacing w:val="5"/>
    </w:rPr>
  </w:style>
  <w:style w:type="character" w:styleId="Hyperlink">
    <w:name w:val="Hyperlink"/>
    <w:basedOn w:val="DefaultParagraphFont"/>
    <w:uiPriority w:val="99"/>
    <w:unhideWhenUsed/>
    <w:rsid w:val="00104A1E"/>
    <w:rPr>
      <w:color w:val="467886" w:themeColor="hyperlink"/>
      <w:u w:val="single"/>
    </w:rPr>
  </w:style>
  <w:style w:type="character" w:styleId="UnresolvedMention">
    <w:name w:val="Unresolved Mention"/>
    <w:basedOn w:val="DefaultParagraphFont"/>
    <w:uiPriority w:val="99"/>
    <w:semiHidden/>
    <w:unhideWhenUsed/>
    <w:rsid w:val="00104A1E"/>
    <w:rPr>
      <w:color w:val="605E5C"/>
      <w:shd w:val="clear" w:color="auto" w:fill="E1DFDD"/>
    </w:rPr>
  </w:style>
  <w:style w:type="paragraph" w:styleId="NormalWeb">
    <w:name w:val="Normal (Web)"/>
    <w:basedOn w:val="Normal"/>
    <w:uiPriority w:val="99"/>
    <w:semiHidden/>
    <w:unhideWhenUsed/>
    <w:rsid w:val="00811D46"/>
    <w:rPr>
      <w:rFonts w:ascii="Times New Roman" w:hAnsi="Times New Roman" w:cs="Times New Roman"/>
    </w:rPr>
  </w:style>
  <w:style w:type="paragraph" w:styleId="Header">
    <w:name w:val="header"/>
    <w:basedOn w:val="Normal"/>
    <w:link w:val="HeaderChar"/>
    <w:uiPriority w:val="99"/>
    <w:unhideWhenUsed/>
    <w:rsid w:val="008C1E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E99"/>
  </w:style>
  <w:style w:type="paragraph" w:styleId="Footer">
    <w:name w:val="footer"/>
    <w:basedOn w:val="Normal"/>
    <w:link w:val="FooterChar"/>
    <w:uiPriority w:val="99"/>
    <w:unhideWhenUsed/>
    <w:rsid w:val="008C1E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E99"/>
  </w:style>
  <w:style w:type="character" w:styleId="FollowedHyperlink">
    <w:name w:val="FollowedHyperlink"/>
    <w:basedOn w:val="DefaultParagraphFont"/>
    <w:uiPriority w:val="99"/>
    <w:semiHidden/>
    <w:unhideWhenUsed/>
    <w:rsid w:val="003E319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davidbatchelor.co.uk/books/chromophobia/" TargetMode="External"/><Relationship Id="rId26" Type="http://schemas.openxmlformats.org/officeDocument/2006/relationships/hyperlink" Target="https://zapista.com/en-gb/products/san-giorgio-maggiore-at-dusk-art-print?variant=50613145207113" TargetMode="External"/><Relationship Id="rId3" Type="http://schemas.openxmlformats.org/officeDocument/2006/relationships/customXml" Target="../customXml/item3.xml"/><Relationship Id="rId21" Type="http://schemas.openxmlformats.org/officeDocument/2006/relationships/hyperlink" Target="https://cdn.bookey.app/files/pdf/book/en/color-and-meaning.pdf"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monoskop.org/images/e/e7/Arnheim_Rudolf_Art_and_Visual_Perception_1974.pdf" TargetMode="External"/><Relationship Id="rId25" Type="http://schemas.openxmlformats.org/officeDocument/2006/relationships/hyperlink" Target="https://www.thecollector.com/feminist-art/" TargetMode="External"/><Relationship Id="rId2" Type="http://schemas.openxmlformats.org/officeDocument/2006/relationships/customXml" Target="../customXml/item2.xml"/><Relationship Id="rId16" Type="http://schemas.openxmlformats.org/officeDocument/2006/relationships/hyperlink" Target="https://ia800306.us.archive.org/23/items/interaction-of-color-50th-anniversary-edition/9780300179354.pdf" TargetMode="External"/><Relationship Id="rId20" Type="http://schemas.openxmlformats.org/officeDocument/2006/relationships/hyperlink" Target="https://monoskop.org/images/2/27/Foster_Hal_The_Return_of_the_Real_1996.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metro.co.uk/2015/05/12/photographer-angelica-dass-has-taken-pictures-of-over-2500-people-to-prove-were-not-just-black-or-white-5193085/"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yperlink" Target="https://monoskop.org/images/4/46/Itten_Johannes_The_Elements_of_Color.pdf" TargetMode="External"/><Relationship Id="rId28" Type="http://schemas.openxmlformats.org/officeDocument/2006/relationships/hyperlink" Target="https://www.london-artcollege.co.uk/news/2025/02/the-power-of-colour-how-artists-use-it-to-tell-stories/" TargetMode="External"/><Relationship Id="rId10" Type="http://schemas.openxmlformats.org/officeDocument/2006/relationships/image" Target="media/image1.jpeg"/><Relationship Id="rId19" Type="http://schemas.openxmlformats.org/officeDocument/2006/relationships/hyperlink" Target="https://www.scribd.com/document/870803345/Brent-Berlin-Paul-Kay-Basic-Color-Terms-Their-Universality-and-Evolution-University-of-California-Press-1969"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s://archive.org/details/goethestheoryco01goetgoog/page/n6/mode/2up" TargetMode="External"/><Relationship Id="rId27" Type="http://schemas.openxmlformats.org/officeDocument/2006/relationships/hyperlink" Target="https://www.london-artcollege.co.uk/news/2025/02/the-power-of-colour-how-artists-use-it-to-tell-stori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3de18e09df5227c11c90323eaddf75f9">
  <xsd:schema xmlns:xsd="http://www.w3.org/2001/XMLSchema" xmlns:xs="http://www.w3.org/2001/XMLSchema" xmlns:p="http://schemas.microsoft.com/office/2006/metadata/properties" xmlns:ns3="b4f9f7ee-5770-4a14-8925-17f3d16e50b7" targetNamespace="http://schemas.microsoft.com/office/2006/metadata/properties" ma:root="true" ma:fieldsID="c1ed7b544623fcb13403ec5ea00ce97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7C873-7B8C-4A6A-A2E1-987F69C3F9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BC8B19-C884-466A-8DC0-392F214D5205}">
  <ds:schemaRefs>
    <ds:schemaRef ds:uri="http://schemas.microsoft.com/sharepoint/v3/contenttype/forms"/>
  </ds:schemaRefs>
</ds:datastoreItem>
</file>

<file path=customXml/itemProps3.xml><?xml version="1.0" encoding="utf-8"?>
<ds:datastoreItem xmlns:ds="http://schemas.openxmlformats.org/officeDocument/2006/customXml" ds:itemID="{5121EA64-2862-4569-844B-7D42D1E5037D}">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034578EF-A34A-4A75-A132-402407985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2067</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Saer (2501869)</dc:creator>
  <cp:keywords/>
  <dc:description/>
  <cp:lastModifiedBy>Isaac Saer</cp:lastModifiedBy>
  <cp:revision>45</cp:revision>
  <dcterms:created xsi:type="dcterms:W3CDTF">2026-04-27T10:48:00Z</dcterms:created>
  <dcterms:modified xsi:type="dcterms:W3CDTF">2026-04-27T18:40:00Z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be29203d-fc8b-48cc-a3ac-0fe9c148dfc7</vt:lpwstr>
  </property>
  <property fmtid="{D5CDD505-2E9C-101B-9397-08002B2CF9AE}" pid="3" name="ContentTypeId">
    <vt:lpwstr>0x01010060C4E9246EAD664A9A522726E403CA17</vt:lpwstr>
  </property>
</Properties>
</file>