
<file path=[Content_Types].xml><?xml version="1.0" encoding="utf-8"?>
<Types xmlns="http://schemas.openxmlformats.org/package/2006/content-types">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D37" w:rsidRDefault="4CBCA962" w:rsidP="4CBCA962">
      <w:pPr>
        <w:spacing w:after="200" w:line="276" w:lineRule="auto"/>
        <w:rPr>
          <w:rFonts w:ascii="Calibri" w:eastAsia="Calibri" w:hAnsi="Calibri" w:cs="Calibri"/>
          <w:color w:val="000000" w:themeColor="text1"/>
          <w:sz w:val="24"/>
          <w:szCs w:val="24"/>
          <w:lang w:val="cy-GB"/>
        </w:rPr>
      </w:pPr>
      <w:r w:rsidRPr="4CBCA962">
        <w:rPr>
          <w:rFonts w:ascii="Calibri" w:eastAsia="Calibri" w:hAnsi="Calibri" w:cs="Calibri"/>
          <w:b/>
          <w:bCs/>
          <w:color w:val="000000" w:themeColor="text1"/>
          <w:sz w:val="24"/>
          <w:szCs w:val="24"/>
          <w:u w:val="single"/>
          <w:lang w:val="cy-GB"/>
        </w:rPr>
        <w:t>ECAD6010</w:t>
      </w:r>
      <w:r w:rsidR="005C4413">
        <w:tab/>
      </w:r>
      <w:r w:rsidR="005C4413">
        <w:tab/>
      </w:r>
      <w:r w:rsidR="005C4413">
        <w:tab/>
      </w:r>
      <w:r w:rsidR="005C4413">
        <w:tab/>
      </w:r>
      <w:r w:rsidR="005C4413">
        <w:tab/>
      </w:r>
      <w:r w:rsidR="005C4413">
        <w:tab/>
      </w:r>
      <w:r w:rsidR="005C4413">
        <w:tab/>
      </w:r>
      <w:r w:rsidR="005C4413">
        <w:tab/>
      </w:r>
      <w:r w:rsidRPr="4CBCA962">
        <w:rPr>
          <w:rFonts w:ascii="Calibri" w:eastAsia="Calibri" w:hAnsi="Calibri" w:cs="Calibri"/>
          <w:b/>
          <w:bCs/>
          <w:color w:val="000000" w:themeColor="text1"/>
          <w:sz w:val="24"/>
          <w:szCs w:val="24"/>
          <w:u w:val="single"/>
          <w:lang w:val="cy-GB"/>
        </w:rPr>
        <w:t>Kelsie Andrews 1902489</w:t>
      </w:r>
    </w:p>
    <w:p w:rsidR="00477D37" w:rsidRDefault="4CBCA962" w:rsidP="4CBCA962">
      <w:pPr>
        <w:spacing w:after="200" w:line="276" w:lineRule="auto"/>
        <w:rPr>
          <w:rFonts w:ascii="Calibri" w:eastAsia="Calibri" w:hAnsi="Calibri" w:cs="Calibri"/>
          <w:color w:val="000000" w:themeColor="text1"/>
          <w:sz w:val="24"/>
          <w:szCs w:val="24"/>
          <w:lang w:val="cy-GB"/>
        </w:rPr>
      </w:pPr>
      <w:r w:rsidRPr="4CBCA962">
        <w:rPr>
          <w:rFonts w:ascii="Calibri" w:eastAsia="Calibri" w:hAnsi="Calibri" w:cs="Calibri"/>
          <w:b/>
          <w:bCs/>
          <w:color w:val="000000" w:themeColor="text1"/>
          <w:sz w:val="24"/>
          <w:szCs w:val="24"/>
          <w:u w:val="single"/>
          <w:lang w:val="cy-GB"/>
        </w:rPr>
        <w:t>Cylch 3 Astudiaethau Proffesiynol ac Addysgegol: Ymchwilio i’r Dysgu: beth, sut a pham ydw i’n addysgu?  Prosiect Ymchwil ar raddfa fechan yn canolbwyntio ar ddiddordeb proffesiynol.</w:t>
      </w:r>
    </w:p>
    <w:p w:rsidR="00477D37" w:rsidRDefault="4CBCA962" w:rsidP="4CBCA962">
      <w:pPr>
        <w:spacing w:beforeAutospacing="1" w:after="360" w:afterAutospacing="1" w:line="276" w:lineRule="auto"/>
        <w:rPr>
          <w:rFonts w:ascii="Calibri" w:eastAsia="Calibri" w:hAnsi="Calibri" w:cs="Calibri"/>
          <w:color w:val="1F1F1F"/>
          <w:sz w:val="24"/>
          <w:szCs w:val="24"/>
          <w:lang w:val="cy-GB"/>
        </w:rPr>
      </w:pPr>
      <w:r w:rsidRPr="4CBCA962">
        <w:rPr>
          <w:rFonts w:ascii="Calibri" w:eastAsia="Calibri" w:hAnsi="Calibri" w:cs="Calibri"/>
          <w:color w:val="000000" w:themeColor="text1"/>
          <w:sz w:val="24"/>
          <w:szCs w:val="24"/>
          <w:lang w:val="cy-GB"/>
        </w:rPr>
        <w:t>Yn ystod yr aseiniad yma mi fyddwn yn ffocysu ar y cwestiwn ymchwil. ‘I ba raddau mae creu meini prawf llwyddiant ar y cyd yn helpu cyfranogiad disgyblion?’. Nod yr aseiniad yw i ymchwilio a ddatrys pa mor effeithiol yw meini prawf llwyddiant ar y disgyblion a sut mae creu un ei hun yn helpu gyda’i gyfranogiad. Mae’r testun ymchwil yma yn nghyd-fynd gyda fy Mhasbort Dysgu Proffesiynol (PDP) oherwydd mae’n ffocysu ar  agwedd newydd yr wyf wedi dysgu am. Mae’n hefyd yn cyfle i mi i ymchwilio mewn ddyfnder yr hyn hoffwn ddatblygu fel athrawes.  Trwy gwneud yr ymchwil yma yr wyf wedi dysgu rhywbeth newydd am fod yn athrawes ac wedi dysgu sgil newydd o addysgu. Y sgil a’r dull newydd yma yw astudiaeth wers. Mae astudiaeth wers yn rhywbeth newydd i mi arbrofi gyda ac mae’n rhywbeth mi fyddwn yn ffocysu ar fwy fel athrawes. Fe wnes i gynnal yr ymchwil mewn ysgol sydd ar gyrion tref. Mae’r ysgol yn gwasanaethu’r pentref a’r ardal gyfagos. Mae 197 disgybl, rhwng 7 ac 11 mlwydd oed, ar y gofrestr. Disgrifir yr ardal fel un nad yw’n ffyniannus nac o dan anfantais economaidd. Cynhaliwyd yr ymchwil mewn dosbarth Blwyddyn 3 lle roedd 22 o blant yn bresennol. Siaradaf am hyn mewn fwy o ddyfnder yn hwyrach yn yr aseiniad yma. Nid oeddwn wedi gweld hi’n hawdd dewis pwnc ar gyfer yr ymchwil yma oherwydd teimlaf fel bod nifer fawr iawn o bethau yn bwysig iawn i blant ac wrth gwrs yn y byd addysgu. Roedd digonedd o bynciau a hoffwn i wedi ffocysu’r aseiniad ar, ond wrth edrych ar y cwricwlwm newydd ac edrych ar yr hyn mae Donaldson wedi cyflwyno sy’n hynod o fuddiol i disgyblion, roedd Meini Prawf Llwyddiant wedi sefyll mas yn fawr i mi. Esbonia Donaldson yn y cwricwlwm “</w:t>
      </w:r>
      <w:r w:rsidRPr="4CBCA962">
        <w:rPr>
          <w:rFonts w:ascii="Calibri" w:eastAsia="Calibri" w:hAnsi="Calibri" w:cs="Calibri"/>
          <w:color w:val="1F1F1F"/>
          <w:sz w:val="24"/>
          <w:szCs w:val="24"/>
          <w:lang w:val="cy-GB"/>
        </w:rPr>
        <w:t xml:space="preserve">Nodwedd arbennig arall o’r fframwaith yw’r pwyslais a roddir ar gynnydd dysgwyr”. Gan fod asesu yn cael ei disgrifio fel “at the heart of the curriculum” (Llywodraeth Cymru, 2020) teimlaf fel bod hyn yn elfen hynod o bwysig i rhoi fwy o ymchwil i mewn i. Pwysleisir Donaldson yn y gwricwlwm newydd “Mae asesu’n greiddiol i gynllunio cwricwlwm. Ei bwrpas cyffredinol yw cefnogi pob ddysgwr i wneud cynnydd. Dylai asesu ganolbwyntio o hyd ar symud y dysgu yn ei flaen trwy ddeall y dysgu sydd eisoes wedi digwydd, gan ddefnyddio hyn i sicrhau bod pob dysgwr yn cael ei herio a chefnogi pob dysgwr yn briodol yn ôl ei anghenion dysgu unigol. Mae’n gofyn am bartneriaeth rhwng pob un sy’n gyfrifol, gan gynnwys y dysgwr”. Gwelwn fan hyn mae Donaldson yn uwcholeuo pwysigrwydd bartneriaeth rhwng pob un sy’n gyfrifol gan gynnwys y disgyblion. Teimlais fel roedd hyn yn rhywbeth allweddol i ffocysu ar ac felly wedi uno’r rhan asesu sef ‘Y Meini Prawf Llwyddiant’ a’r rhan bartneriaeth gyda’r disgyblion ac felly’n teimlo eu fod yn berthnasol iawn i ffocysu’r gwaith ymchwil ar hyn a dyna sut wnes ipenderfynnu ar weld sut roedd y disgyblion yn ymateb os roedden nhw’n gallu creu meini prawf llwyddaint er mwyn mynd ati i asesu gwaith ei hun trwy defnyddio’r meini prawf llwyddiant. </w:t>
      </w:r>
    </w:p>
    <w:p w:rsidR="00477D37" w:rsidRDefault="00477D37" w:rsidP="4CBCA962">
      <w:pPr>
        <w:spacing w:beforeAutospacing="1" w:after="360" w:afterAutospacing="1" w:line="276" w:lineRule="auto"/>
        <w:rPr>
          <w:rFonts w:ascii="Calibri" w:eastAsia="Calibri" w:hAnsi="Calibri" w:cs="Calibri"/>
          <w:color w:val="1F1F1F"/>
          <w:sz w:val="24"/>
          <w:szCs w:val="24"/>
          <w:lang w:val="cy-GB"/>
        </w:rPr>
      </w:pPr>
    </w:p>
    <w:p w:rsidR="00477D37" w:rsidRDefault="4CBCA962" w:rsidP="4CBCA962">
      <w:pPr>
        <w:spacing w:beforeAutospacing="1" w:after="360" w:afterAutospacing="1" w:line="276" w:lineRule="auto"/>
        <w:rPr>
          <w:rFonts w:ascii="Calibri" w:eastAsia="Calibri" w:hAnsi="Calibri" w:cs="Calibri"/>
          <w:color w:val="333333"/>
          <w:sz w:val="24"/>
          <w:szCs w:val="24"/>
          <w:lang w:val="cy-GB"/>
        </w:rPr>
      </w:pPr>
      <w:r w:rsidRPr="4CBCA962">
        <w:rPr>
          <w:rFonts w:ascii="Calibri" w:eastAsia="Calibri" w:hAnsi="Calibri" w:cs="Calibri"/>
          <w:color w:val="1F1F1F"/>
          <w:sz w:val="24"/>
          <w:szCs w:val="24"/>
          <w:lang w:val="cy-GB"/>
        </w:rPr>
        <w:t xml:space="preserve">Mae Meini Prawf Llwyddiant yn rhan allweddol o Asesu ar gyfer dysgu. Asesu ar gyfer dysgu yw fath o asesu sy’n sicrhau bod disgyblion yn gwneud cynnydd. Mae 4 elfen gwahanol o asesu ar gyfer dysgu ac yn fy marn i mae pob un ohonyn nhw’n nghyd-fynd gyda’i gilydd. Y pedwar elfen yw hunan asesu, asesu cyfoedion, adborth a Meini Prawf Llwyddiant.  Cytunaf gyda Dann sy’n son bod asesu ar gyfer dysgu yn rhywbeth hynod o bwysig ar gyfer cynnydd a dysgu’r disgyblion. Mae hi’n dadlau bod asesu ar gyfer dysgu yn rhywbeth sy’n rhaid cael ei ddeall gan disgyblion er mwyn iddyn nhw gallu gwneud barnau ei hun am eu gynnydd ei hun. </w:t>
      </w:r>
      <w:r w:rsidRPr="4CBCA962">
        <w:rPr>
          <w:rFonts w:ascii="Calibri" w:eastAsia="Calibri" w:hAnsi="Calibri" w:cs="Calibri"/>
          <w:color w:val="000000" w:themeColor="text1"/>
          <w:sz w:val="24"/>
          <w:szCs w:val="24"/>
          <w:lang w:val="cy-GB"/>
        </w:rPr>
        <w:t>(Dann, R. 2002). Dengys ymchwil bod disgyblion sy’n derbyn meini prawf llwyddiant ar gyfer ei waith o fewn y dosbarth yn gallu ffocysu am fwy o amser. Wrth gwneud  yr ymchwil yma, roeddwn i’n gallu gweld sut mae hyn yn wir. Roedd y disgyblion yn colli canolbwyntiad wrth gwneud y poster gyntaf ond y gallu canolbwyntio am hirach wrth greu’r ail poster. Mae ymchwil hefyd yn dangos bod disgyblion sy’n derbyn Meini Prawf Llwyddiant yn y dosbarth yn cael fwy o gymhelliant ac yn fwy actif yn ei ddysgu. Credaf fod hyn yn peth da oherwydd dyna yw pwrpas y gwricwlwm newydd, i sicrhau bod disgyblion yn dechrau fod yn fwy annibynnol ac yn gallu dysgu o’i hun. Mae ymchwil hefyd yn dangos bod disgyblion yn cymryd fwy o gyfrifoldeb yn ei waith os ydyn nhw’n derbyn Meini Prawf Llwyddiant. Teimlaf fel bod hyn yn rhywbeth a wnes i weld trwy gwneud yr ymchwil oherwydd mae’n amlwg b</w:t>
      </w:r>
      <w:r w:rsidRPr="4CBCA962">
        <w:rPr>
          <w:rFonts w:ascii="Calibri" w:eastAsia="Calibri" w:hAnsi="Calibri" w:cs="Calibri"/>
          <w:sz w:val="24"/>
          <w:szCs w:val="24"/>
          <w:lang w:val="cy-GB"/>
        </w:rPr>
        <w:t>od y disgyblion wedi mwynhau gwneud y gwaith ar y cyd. (NCCA.ie). Dadleuir Fisher mae “Meini Prawf Llwyddiant yn gadael i’r disgyblion i wybod beth mae’r diwedd yn edrych fel”. (Fisher..) Cytunaf yn gryf gyda’r hyn mae Fisher yn dweud oherwydd yn fy marn i mae hyn yn rhywbeth bwysig iawn i disgyblion, weithiau rwy’n teimlo os nad yw’r disgyblion yn gallu gweld y diwedd, nid ydyn nhw’n deall pam maent yn ei gwneud y gwaith. Wrth i’r diwedd cael ei uwcholeuo gyda’r meini prawf llwyddiant mae sylw y disgyblion yn cael ei ddal ac maent yn gwybod beth yn union beth yw’r gôl ar y diwedd. Mae’r hyn mae Nancy Grey yn ddweud hefyd yn wir yn fy marn i a chytunaf yn gryf gyda’i phwynt hi bod “meini prawf llwyddiant yn gwneud i’r dysgu yn weledol ar gyfer y dysgwyr ac ar gyfer yr athrawon”. Mae hyn yn pwynt pwysig iawn oherwydd mae rhai disgyblion yn dysgwyr gweledol ac yn gweld hi’n anodd dysgu os nad yw pethau’n weledol. Mae meini prawf llwyddiant yn weledol iawn oherwydd mae’n rhoi pob cam sydd angen ar disgyblion i sicrhau fod eu gwaith yn gywir. Ond er hyn, mae dwy ochr i bob peth, yn fy marn i anfantais i Meini Prawf Llwyddiant yn gyffredinol yw ei fod yn rhoi gormod o wybodaeth I'r disgyblion. Er enghraifft, os mae meini prawf ar gyfer darn o waith gyda’r disgyblion maent yn defnyddio hyn i gwneud ei gwaith, cytunaf bod angen ysbrydoliaeth a sbardun ar y disgyblion, ond os maent yn ddarllen o meini prawf ni fydden nhw’n dysgu sut i greu darn o</w:t>
      </w:r>
      <w:r w:rsidR="006E6252">
        <w:rPr>
          <w:rFonts w:ascii="Calibri" w:eastAsia="Calibri" w:hAnsi="Calibri" w:cs="Calibri"/>
          <w:sz w:val="24"/>
          <w:szCs w:val="24"/>
          <w:lang w:val="cy-GB"/>
        </w:rPr>
        <w:t xml:space="preserve"> waith yn annibynol. Anghytynwyd rhai damcaniaethwy </w:t>
      </w:r>
      <w:r w:rsidRPr="4CBCA962">
        <w:rPr>
          <w:rFonts w:ascii="Calibri" w:eastAsia="Calibri" w:hAnsi="Calibri" w:cs="Calibri"/>
          <w:sz w:val="24"/>
          <w:szCs w:val="24"/>
          <w:lang w:val="cy-GB"/>
        </w:rPr>
        <w:t xml:space="preserve"> gyda hyn oherwydd maen nhw’n dadlau mae “Success criteria is a set of features which a teacher wants to see in a child's work throughout a lesson or term. It is a good way to ensure that young students know what's expected of them. It </w:t>
      </w:r>
      <w:r w:rsidRPr="4CBCA962">
        <w:rPr>
          <w:rFonts w:ascii="Calibri" w:eastAsia="Calibri" w:hAnsi="Calibri" w:cs="Calibri"/>
          <w:sz w:val="24"/>
          <w:szCs w:val="24"/>
          <w:lang w:val="cy-GB"/>
        </w:rPr>
        <w:lastRenderedPageBreak/>
        <w:t xml:space="preserve">also encourages students to challenge themselves and think carefully about how they structure their work”. Awgrymir hyn felly bod hyn yn helpu i ddisgyblion i fod yn annibynnol oherwydd mae’n galluogi iddyn nhw i feddwl o flaen llaw ac i meddwl cyn dechrau ysgrifennu, mae hyn yn rhoi annibyniaeth I'r disgyblion i feddwl a cynllunio cyn ysgrifennu. </w:t>
      </w:r>
    </w:p>
    <w:p w:rsidR="00477D37" w:rsidRDefault="00477D37" w:rsidP="4CBCA962">
      <w:pPr>
        <w:spacing w:beforeAutospacing="1" w:after="360" w:afterAutospacing="1" w:line="276" w:lineRule="auto"/>
        <w:rPr>
          <w:rFonts w:ascii="Calibri" w:eastAsia="Calibri" w:hAnsi="Calibri" w:cs="Calibri"/>
          <w:color w:val="000000" w:themeColor="text1"/>
          <w:sz w:val="24"/>
          <w:szCs w:val="24"/>
          <w:lang w:val="cy-GB"/>
        </w:rPr>
      </w:pPr>
    </w:p>
    <w:p w:rsidR="00477D37" w:rsidRDefault="4CBCA962" w:rsidP="4CBCA962">
      <w:pPr>
        <w:spacing w:beforeAutospacing="1" w:after="360" w:afterAutospacing="1" w:line="276" w:lineRule="auto"/>
        <w:rPr>
          <w:rFonts w:ascii="Calibri" w:eastAsia="Calibri" w:hAnsi="Calibri" w:cs="Calibri"/>
          <w:color w:val="1F1F1F"/>
          <w:sz w:val="24"/>
          <w:szCs w:val="24"/>
          <w:lang w:val="cy-GB"/>
        </w:rPr>
      </w:pPr>
      <w:r w:rsidRPr="4CBCA962">
        <w:rPr>
          <w:rFonts w:ascii="Calibri" w:eastAsia="Calibri" w:hAnsi="Calibri" w:cs="Calibri"/>
          <w:b/>
          <w:bCs/>
          <w:color w:val="1F1F1F"/>
          <w:sz w:val="24"/>
          <w:szCs w:val="24"/>
          <w:u w:val="single"/>
          <w:lang w:val="cy-GB"/>
        </w:rPr>
        <w:t xml:space="preserve">Astudiaeth gwers </w:t>
      </w:r>
    </w:p>
    <w:p w:rsidR="00477D37" w:rsidRDefault="4CBCA962" w:rsidP="4CBCA962">
      <w:pPr>
        <w:spacing w:beforeAutospacing="1" w:after="360" w:afterAutospacing="1" w:line="276" w:lineRule="auto"/>
        <w:rPr>
          <w:rFonts w:ascii="Calibri" w:eastAsia="Calibri" w:hAnsi="Calibri" w:cs="Calibri"/>
          <w:sz w:val="24"/>
          <w:szCs w:val="24"/>
          <w:lang w:val="cy-GB"/>
        </w:rPr>
      </w:pPr>
      <w:r w:rsidRPr="4CBCA962">
        <w:rPr>
          <w:rFonts w:ascii="Calibri" w:eastAsia="Calibri" w:hAnsi="Calibri" w:cs="Calibri"/>
          <w:color w:val="1F1F1F"/>
          <w:sz w:val="24"/>
          <w:szCs w:val="24"/>
          <w:lang w:val="cy-GB"/>
        </w:rPr>
        <w:t>Mae astudiaeth gwers yn rhywbeth sydd wedi cael ei ddatblygu mewn Siapan. Esbonia Ming Cheung a Yee Wong taw astudiaeth gwers yw ymchwil sy’n cael ei arwain gan athrawon lle maent yn gweithio gyda’i gilydd er mwyn ffocysu a thargedu un agwedd ar gyfer datblygiad y disgyblion. Gan ddefnyddio tystiolaeth sydd eisoes yn bodoli, mae cyfranogwyr yn ymchwilio ar y cyd, yn cynllunio, yn addysgu ac yn arsylwi cyfres o wersi, gan ddefnyddio trafodaeth barhaus, myfyrio a mewnbwn arbenigol. Mae astudiaeth gwers yn gweithio fel cylchred lle mae pob athrawo/athrawes yn arsylwi gwersi ei gilydd gan ffocysu ar y ti disgybl maent wedi cytuno arsylwi ar. Mae’r cylchred yn gweithio fel: Cam 1 – Cynllunio gwers gyda’ch gilydd gan esbonio a sichrau bod pawb yyn deall yr hyn rydych yn targedu a’r tri disgybl yr ydych yn canolbwyntio ar. Cam 2 – Arsylwi’r wers gan ffocysu ar y disgyblion ffocws ac yna rhoi cyfweliad bach i’r disgyblion o’r hyn sydd wedi disgywdd yn y wers. Ac yna Cam 3 – Myfyriwch y wers gyda’ch gilydd. Dadleuir Robinson bod cymryd rhan mewn ymchwiliadau cydweithredol i wella addysgu a dysgu yw’r ffordd fwyaf effeithiol y gall arweinydd ysgol wella canlyniadau addysgol ar gyfer disgyblion (Robinson, 2009). Cefnoga’r hyn mae Dudley yn ddweud fy rhesymau dros dewis i wneud Meini Prawf Llwyddiant fel rhan o fy ymchwil ar gyfer yr aseiniad yma gan ei fod yn ddweud bod Astudiaeth Gwers wedi cael ei ddefnyddio yn llwyddiannus yn y wlad yma er mwyn gwella technegau addysgu a chynnydd disgyblion mewn pynciau craidd yn Ysgol Gynradd er mwyn cefnogi datblygiad dulliau pedagogaidd gwell  gan gynnw</w:t>
      </w:r>
      <w:r w:rsidRPr="4CBCA962">
        <w:rPr>
          <w:rFonts w:eastAsiaTheme="minorEastAsia"/>
          <w:color w:val="1F1F1F"/>
          <w:sz w:val="24"/>
          <w:szCs w:val="24"/>
          <w:lang w:val="cy-GB"/>
        </w:rPr>
        <w:t>ys Asesu ar gyfer Dysgu (AagD) (Dudley, 2013). Dadleuir David Weston mae mantais i astudiaethau gwers yw “</w:t>
      </w:r>
      <w:r w:rsidRPr="4CBCA962">
        <w:rPr>
          <w:rFonts w:eastAsiaTheme="minorEastAsia"/>
          <w:color w:val="202124"/>
          <w:sz w:val="24"/>
          <w:szCs w:val="24"/>
          <w:lang w:val="cy-GB"/>
        </w:rPr>
        <w:t>When done well, lesson study is clearly a powerful model. It engages teachers in thinking deeply about the curriculum, assessment and how pupils think and act in the classroom. Furthermore, it can facilitate valuable discussions of pedagogy and subject matter, giving teachers new perspectives on their practice.” Credaf fod pwynt diddorol iawn gyda Weston oherwydd mae’n uwcholeuuo sut mae cael nifer o athrawon mewn un astudiaeth gwers yn gallu helpu nifer o ddisgyblion wrth arsylwi nhw. Ar y llaw arall mae Dania A yn ddadlau mae “</w:t>
      </w:r>
      <w:r w:rsidRPr="4CBCA962">
        <w:rPr>
          <w:rFonts w:ascii="Calibri" w:eastAsia="Calibri" w:hAnsi="Calibri" w:cs="Calibri"/>
          <w:sz w:val="24"/>
          <w:szCs w:val="24"/>
          <w:lang w:val="cy-GB"/>
        </w:rPr>
        <w:t xml:space="preserve">The most important difficulties in the implementation of the lesson study by the preservice teachers are the difficulty of co-operation, time pressure, tensions, failure to predict student responses, lack of focus on student learning, inadequate understanding of proper use of technology, the inexperience, stress and anxiety resulting from the observation of the teaching, the reflection, the fatigue due to their attempt to respond to the requirements of the particular method”. </w:t>
      </w:r>
      <w:r w:rsidRPr="4CBCA962">
        <w:rPr>
          <w:rFonts w:ascii="Calibri" w:eastAsia="Calibri" w:hAnsi="Calibri" w:cs="Calibri"/>
          <w:sz w:val="24"/>
          <w:szCs w:val="24"/>
          <w:lang w:val="cy-GB"/>
        </w:rPr>
        <w:lastRenderedPageBreak/>
        <w:t>Mae hyn yn bwysig iawn i ystyried, mae’n bwysig cofio nid yw bob gwers yr un peth ac mae nifer fawr o wahanol bethau yn cael effaith ar safon gwers.</w:t>
      </w:r>
    </w:p>
    <w:p w:rsidR="00477D37" w:rsidRDefault="00477D37" w:rsidP="4CBCA962">
      <w:pPr>
        <w:spacing w:beforeAutospacing="1" w:after="360" w:afterAutospacing="1" w:line="276" w:lineRule="auto"/>
        <w:rPr>
          <w:rFonts w:ascii="Calibri" w:eastAsia="Calibri" w:hAnsi="Calibri" w:cs="Calibri"/>
          <w:color w:val="1F1F1F"/>
          <w:sz w:val="24"/>
          <w:szCs w:val="24"/>
          <w:lang w:val="cy-GB"/>
        </w:rPr>
      </w:pPr>
    </w:p>
    <w:p w:rsidR="00477D37" w:rsidRDefault="00477D37" w:rsidP="4CBCA962">
      <w:pPr>
        <w:spacing w:beforeAutospacing="1" w:after="360" w:afterAutospacing="1" w:line="276" w:lineRule="auto"/>
        <w:rPr>
          <w:rFonts w:ascii="Calibri" w:eastAsia="Calibri" w:hAnsi="Calibri" w:cs="Calibri"/>
          <w:b/>
          <w:bCs/>
          <w:color w:val="1F1F1F"/>
          <w:sz w:val="24"/>
          <w:szCs w:val="24"/>
          <w:u w:val="single"/>
          <w:lang w:val="cy-GB"/>
        </w:rPr>
      </w:pPr>
    </w:p>
    <w:p w:rsidR="00477D37" w:rsidRDefault="4CBCA962" w:rsidP="4CBCA962">
      <w:pPr>
        <w:spacing w:beforeAutospacing="1" w:after="360" w:afterAutospacing="1" w:line="276" w:lineRule="auto"/>
        <w:rPr>
          <w:rFonts w:ascii="Times New Roman" w:eastAsia="Times New Roman" w:hAnsi="Times New Roman" w:cs="Times New Roman"/>
          <w:color w:val="000000" w:themeColor="text1"/>
          <w:sz w:val="24"/>
          <w:szCs w:val="24"/>
          <w:lang w:val="en-GB"/>
        </w:rPr>
      </w:pPr>
      <w:r w:rsidRPr="4CBCA962">
        <w:rPr>
          <w:rFonts w:ascii="Calibri" w:eastAsia="Calibri" w:hAnsi="Calibri" w:cs="Calibri"/>
          <w:color w:val="1F1F1F"/>
          <w:sz w:val="24"/>
          <w:szCs w:val="24"/>
          <w:lang w:val="cy-GB"/>
        </w:rPr>
        <w:t>Fel rydym yn ymwybodol, pwrpas astudiaeth wers yw i ffocysu ar 3 unigolyn wrth gwneud gwers er mwyn gweld sut maent yn ymateb i’r wers a ffocws y wers. Fe wnes i dewis y tri disgybl ar gyfer yr astudiaeth wers ar hap trwy defnyddio gwefan ‘random name generator’. Dyma oedd y ffordd fwyaf teg yn fy marn i gan fod unrhyw tri yn gallu cael ei dewis ac nid oedd gen i’r pŵer i dewis unrhyw un yn benodol. Gan fod y cwestiwn ymchwil yn cyfeirio at gyfranogiad y disgyblion os roedden nhw’n creu’r meini prawf ar y cyd, teimlais fel roedd hi’n syniad da i gael rhywbeth i gymharu gyfranogiad y disgyblion i. Hynny yw teimlais fel roedd hi’n syniad da gymharu gyfranogiad y disgyblion pan nad oedden nhw’n helpu cyd-cynllunio’r meini prawf llwyddiant â chyfranogiad y disgyblion pan oedden nhw yn helpu cyd-cynllunio’r meini prawf llwyddiant. Roedd hyn yn helpu i mi gael well dealltwriaeth o sut roedd y disgyblion yn ymateb pan roedden nhw’n cael helpu gyda’r cyd-cynllunio. O ganlyniad i hyn penderfynwyd gyda phartner mi fyddaf yn rhedeg gwers yn seiliedig ar creu poster parti pen-blwydd Mr Urdd, yn bwrpasol fe wnaethon ni greu’r meini prawf ar gyfer y disgyblion ac fe gyflwynwyd y meini prawf yn gloi ar ddechrau’r wers. Yn ystod y wers yma roedd braidd dim o’r disgyblion wedi defnyddio’r taflen meini prawf llwyddiant ar gyfer ei bosteri, ond roedd llawer iawn o gwestiynau a ddryswch gan y disgyblion. Yn wahanol i hyn yn yn yr ail wers yr wythnos nesaf fe rhoddais i dempled o’r meini prawf ar y bwrdd gwyn ac fe wnes i gofyn i’r disgyblion beth oes angen cynnwys mewn poster Santes Dwynwen. Wrth i’r disgyblion cael y cyfle i wneud hyn roedd hyn yn sichrau ei fod nhw’n cael y rhyddid i helpu gyda’r cynllunio. Mae hyn hefyd wedi sicrhau bod llais y disgybl wedi cael ei weithredu, yng ngeiriau Mc</w:t>
      </w:r>
      <w:proofErr w:type="spellStart"/>
      <w:r w:rsidRPr="4CBCA962">
        <w:rPr>
          <w:rFonts w:ascii="Calibri" w:eastAsia="Calibri" w:hAnsi="Calibri" w:cs="Calibri"/>
          <w:color w:val="000000" w:themeColor="text1"/>
          <w:sz w:val="24"/>
          <w:szCs w:val="24"/>
          <w:lang w:val="en-GB"/>
        </w:rPr>
        <w:t>Intyre</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Pedder</w:t>
      </w:r>
      <w:proofErr w:type="spellEnd"/>
      <w:r w:rsidRPr="4CBCA962">
        <w:rPr>
          <w:rFonts w:ascii="Calibri" w:eastAsia="Calibri" w:hAnsi="Calibri" w:cs="Calibri"/>
          <w:color w:val="000000" w:themeColor="text1"/>
          <w:sz w:val="24"/>
          <w:szCs w:val="24"/>
          <w:lang w:val="en-GB"/>
        </w:rPr>
        <w:t xml:space="preserve">  a Ruddock (2005)  “Mae </w:t>
      </w:r>
      <w:proofErr w:type="spellStart"/>
      <w:r w:rsidRPr="4CBCA962">
        <w:rPr>
          <w:rFonts w:ascii="Calibri" w:eastAsia="Calibri" w:hAnsi="Calibri" w:cs="Calibri"/>
          <w:color w:val="000000" w:themeColor="text1"/>
          <w:sz w:val="24"/>
          <w:szCs w:val="24"/>
          <w:lang w:val="en-GB"/>
        </w:rPr>
        <w:t>gan</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pob</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disgybl</w:t>
      </w:r>
      <w:proofErr w:type="spellEnd"/>
      <w:r w:rsidRPr="4CBCA962">
        <w:rPr>
          <w:rFonts w:ascii="Calibri" w:eastAsia="Calibri" w:hAnsi="Calibri" w:cs="Calibri"/>
          <w:color w:val="000000" w:themeColor="text1"/>
          <w:sz w:val="24"/>
          <w:szCs w:val="24"/>
          <w:lang w:val="en-GB"/>
        </w:rPr>
        <w:t xml:space="preserve"> yr </w:t>
      </w:r>
      <w:proofErr w:type="spellStart"/>
      <w:r w:rsidRPr="4CBCA962">
        <w:rPr>
          <w:rFonts w:ascii="Calibri" w:eastAsia="Calibri" w:hAnsi="Calibri" w:cs="Calibri"/>
          <w:color w:val="000000" w:themeColor="text1"/>
          <w:sz w:val="24"/>
          <w:szCs w:val="24"/>
          <w:lang w:val="en-GB"/>
        </w:rPr>
        <w:t>hawl</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i</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cael</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ei</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glywed</w:t>
      </w:r>
      <w:proofErr w:type="spellEnd"/>
      <w:r w:rsidRPr="4CBCA962">
        <w:rPr>
          <w:rFonts w:ascii="Calibri" w:eastAsia="Calibri" w:hAnsi="Calibri" w:cs="Calibri"/>
          <w:color w:val="000000" w:themeColor="text1"/>
          <w:sz w:val="24"/>
          <w:szCs w:val="24"/>
          <w:lang w:val="en-GB"/>
        </w:rPr>
        <w:t xml:space="preserve">”. Mae </w:t>
      </w:r>
      <w:proofErr w:type="spellStart"/>
      <w:r w:rsidRPr="4CBCA962">
        <w:rPr>
          <w:rFonts w:ascii="Calibri" w:eastAsia="Calibri" w:hAnsi="Calibri" w:cs="Calibri"/>
          <w:color w:val="000000" w:themeColor="text1"/>
          <w:sz w:val="24"/>
          <w:szCs w:val="24"/>
          <w:lang w:val="en-GB"/>
        </w:rPr>
        <w:t>canlyniadau’r</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graddfa</w:t>
      </w:r>
      <w:proofErr w:type="spellEnd"/>
      <w:r w:rsidRPr="4CBCA962">
        <w:rPr>
          <w:rFonts w:ascii="Calibri" w:eastAsia="Calibri" w:hAnsi="Calibri" w:cs="Calibri"/>
          <w:color w:val="000000" w:themeColor="text1"/>
          <w:sz w:val="24"/>
          <w:szCs w:val="24"/>
          <w:lang w:val="en-GB"/>
        </w:rPr>
        <w:t xml:space="preserve"> Leuven </w:t>
      </w:r>
      <w:proofErr w:type="spellStart"/>
      <w:r w:rsidRPr="4CBCA962">
        <w:rPr>
          <w:rFonts w:ascii="Calibri" w:eastAsia="Calibri" w:hAnsi="Calibri" w:cs="Calibri"/>
          <w:color w:val="000000" w:themeColor="text1"/>
          <w:sz w:val="24"/>
          <w:szCs w:val="24"/>
          <w:lang w:val="en-GB"/>
        </w:rPr>
        <w:t>yn</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dangos</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bod</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braidd</w:t>
      </w:r>
      <w:proofErr w:type="spellEnd"/>
      <w:r w:rsidRPr="4CBCA962">
        <w:rPr>
          <w:rFonts w:ascii="Calibri" w:eastAsia="Calibri" w:hAnsi="Calibri" w:cs="Calibri"/>
          <w:color w:val="000000" w:themeColor="text1"/>
          <w:sz w:val="24"/>
          <w:szCs w:val="24"/>
          <w:lang w:val="en-GB"/>
        </w:rPr>
        <w:t xml:space="preserve"> dim </w:t>
      </w:r>
      <w:proofErr w:type="spellStart"/>
      <w:r w:rsidRPr="4CBCA962">
        <w:rPr>
          <w:rFonts w:ascii="Calibri" w:eastAsia="Calibri" w:hAnsi="Calibri" w:cs="Calibri"/>
          <w:color w:val="000000" w:themeColor="text1"/>
          <w:sz w:val="24"/>
          <w:szCs w:val="24"/>
          <w:lang w:val="en-GB"/>
        </w:rPr>
        <w:t>cyfranogiad</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gan</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unhryw</w:t>
      </w:r>
      <w:proofErr w:type="spellEnd"/>
      <w:r w:rsidRPr="4CBCA962">
        <w:rPr>
          <w:rFonts w:ascii="Calibri" w:eastAsia="Calibri" w:hAnsi="Calibri" w:cs="Calibri"/>
          <w:color w:val="000000" w:themeColor="text1"/>
          <w:sz w:val="24"/>
          <w:szCs w:val="24"/>
          <w:lang w:val="en-GB"/>
        </w:rPr>
        <w:t xml:space="preserve"> </w:t>
      </w:r>
      <w:proofErr w:type="gramStart"/>
      <w:r w:rsidRPr="4CBCA962">
        <w:rPr>
          <w:rFonts w:ascii="Calibri" w:eastAsia="Calibri" w:hAnsi="Calibri" w:cs="Calibri"/>
          <w:color w:val="000000" w:themeColor="text1"/>
          <w:sz w:val="24"/>
          <w:szCs w:val="24"/>
          <w:lang w:val="en-GB"/>
        </w:rPr>
        <w:t>un</w:t>
      </w:r>
      <w:proofErr w:type="gram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o’r</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disgyblion</w:t>
      </w:r>
      <w:proofErr w:type="spellEnd"/>
      <w:r w:rsidRPr="4CBCA962">
        <w:rPr>
          <w:rFonts w:ascii="Calibri" w:eastAsia="Calibri" w:hAnsi="Calibri" w:cs="Calibri"/>
          <w:color w:val="000000" w:themeColor="text1"/>
          <w:sz w:val="24"/>
          <w:szCs w:val="24"/>
          <w:lang w:val="en-GB"/>
        </w:rPr>
        <w:t xml:space="preserve"> ac </w:t>
      </w:r>
      <w:proofErr w:type="spellStart"/>
      <w:r w:rsidRPr="4CBCA962">
        <w:rPr>
          <w:rFonts w:ascii="Calibri" w:eastAsia="Calibri" w:hAnsi="Calibri" w:cs="Calibri"/>
          <w:color w:val="000000" w:themeColor="text1"/>
          <w:sz w:val="24"/>
          <w:szCs w:val="24"/>
          <w:lang w:val="en-GB"/>
        </w:rPr>
        <w:t>roedden</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nhw’n</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ddryslyd</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iawn</w:t>
      </w:r>
      <w:proofErr w:type="spellEnd"/>
      <w:r w:rsidRPr="4CBCA962">
        <w:rPr>
          <w:rFonts w:ascii="Calibri" w:eastAsia="Calibri" w:hAnsi="Calibri" w:cs="Calibri"/>
          <w:color w:val="000000" w:themeColor="text1"/>
          <w:sz w:val="24"/>
          <w:szCs w:val="24"/>
          <w:lang w:val="en-GB"/>
        </w:rPr>
        <w:t xml:space="preserve">. Mae </w:t>
      </w:r>
      <w:proofErr w:type="spellStart"/>
      <w:r w:rsidRPr="4CBCA962">
        <w:rPr>
          <w:rFonts w:ascii="Calibri" w:eastAsia="Calibri" w:hAnsi="Calibri" w:cs="Calibri"/>
          <w:color w:val="000000" w:themeColor="text1"/>
          <w:sz w:val="24"/>
          <w:szCs w:val="24"/>
          <w:lang w:val="en-GB"/>
        </w:rPr>
        <w:t>hyn</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hefyd</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yn</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dangos</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bod</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pob</w:t>
      </w:r>
      <w:proofErr w:type="spellEnd"/>
      <w:r w:rsidRPr="4CBCA962">
        <w:rPr>
          <w:rFonts w:ascii="Calibri" w:eastAsia="Calibri" w:hAnsi="Calibri" w:cs="Calibri"/>
          <w:color w:val="000000" w:themeColor="text1"/>
          <w:sz w:val="24"/>
          <w:szCs w:val="24"/>
          <w:lang w:val="en-GB"/>
        </w:rPr>
        <w:t xml:space="preserve"> </w:t>
      </w:r>
      <w:proofErr w:type="gramStart"/>
      <w:r w:rsidRPr="4CBCA962">
        <w:rPr>
          <w:rFonts w:ascii="Calibri" w:eastAsia="Calibri" w:hAnsi="Calibri" w:cs="Calibri"/>
          <w:color w:val="000000" w:themeColor="text1"/>
          <w:sz w:val="24"/>
          <w:szCs w:val="24"/>
          <w:lang w:val="en-GB"/>
        </w:rPr>
        <w:t>un</w:t>
      </w:r>
      <w:proofErr w:type="gram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ohonyn</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nhw</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wedi</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sgorio’n</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isel</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ar</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gyfer</w:t>
      </w:r>
      <w:proofErr w:type="spellEnd"/>
      <w:r w:rsidRPr="4CBCA962">
        <w:rPr>
          <w:rFonts w:ascii="Calibri" w:eastAsia="Calibri" w:hAnsi="Calibri" w:cs="Calibri"/>
          <w:color w:val="000000" w:themeColor="text1"/>
          <w:sz w:val="24"/>
          <w:szCs w:val="24"/>
          <w:lang w:val="en-GB"/>
        </w:rPr>
        <w:t xml:space="preserve"> y </w:t>
      </w:r>
      <w:proofErr w:type="spellStart"/>
      <w:r w:rsidRPr="4CBCA962">
        <w:rPr>
          <w:rFonts w:ascii="Calibri" w:eastAsia="Calibri" w:hAnsi="Calibri" w:cs="Calibri"/>
          <w:color w:val="000000" w:themeColor="text1"/>
          <w:sz w:val="24"/>
          <w:szCs w:val="24"/>
          <w:lang w:val="en-GB"/>
        </w:rPr>
        <w:t>wers</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cyntaf</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ond</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wedi</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sgorio’n</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uchel</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iawn</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yn</w:t>
      </w:r>
      <w:proofErr w:type="spellEnd"/>
      <w:r w:rsidRPr="4CBCA962">
        <w:rPr>
          <w:rFonts w:ascii="Calibri" w:eastAsia="Calibri" w:hAnsi="Calibri" w:cs="Calibri"/>
          <w:color w:val="000000" w:themeColor="text1"/>
          <w:sz w:val="24"/>
          <w:szCs w:val="24"/>
          <w:lang w:val="en-GB"/>
        </w:rPr>
        <w:t xml:space="preserve"> yr ail </w:t>
      </w:r>
      <w:proofErr w:type="spellStart"/>
      <w:r w:rsidRPr="4CBCA962">
        <w:rPr>
          <w:rFonts w:ascii="Calibri" w:eastAsia="Calibri" w:hAnsi="Calibri" w:cs="Calibri"/>
          <w:color w:val="000000" w:themeColor="text1"/>
          <w:sz w:val="24"/>
          <w:szCs w:val="24"/>
          <w:lang w:val="en-GB"/>
        </w:rPr>
        <w:t>wers</w:t>
      </w:r>
      <w:proofErr w:type="spellEnd"/>
      <w:r w:rsidRPr="4CBCA962">
        <w:rPr>
          <w:rFonts w:ascii="Calibri" w:eastAsia="Calibri" w:hAnsi="Calibri" w:cs="Calibri"/>
          <w:color w:val="000000" w:themeColor="text1"/>
          <w:sz w:val="24"/>
          <w:szCs w:val="24"/>
          <w:lang w:val="en-GB"/>
        </w:rPr>
        <w:t xml:space="preserve"> </w:t>
      </w:r>
      <w:proofErr w:type="spellStart"/>
      <w:r w:rsidRPr="4CBCA962">
        <w:rPr>
          <w:rFonts w:ascii="Calibri" w:eastAsia="Calibri" w:hAnsi="Calibri" w:cs="Calibri"/>
          <w:color w:val="000000" w:themeColor="text1"/>
          <w:sz w:val="24"/>
          <w:szCs w:val="24"/>
          <w:lang w:val="en-GB"/>
        </w:rPr>
        <w:t>ar</w:t>
      </w:r>
      <w:proofErr w:type="spellEnd"/>
      <w:r w:rsidRPr="4CBCA962">
        <w:rPr>
          <w:rFonts w:ascii="Calibri" w:eastAsia="Calibri" w:hAnsi="Calibri" w:cs="Calibri"/>
          <w:color w:val="000000" w:themeColor="text1"/>
          <w:sz w:val="24"/>
          <w:szCs w:val="24"/>
          <w:lang w:val="en-GB"/>
        </w:rPr>
        <w:t xml:space="preserve"> y </w:t>
      </w:r>
      <w:proofErr w:type="spellStart"/>
      <w:r w:rsidRPr="4CBCA962">
        <w:rPr>
          <w:rFonts w:ascii="Calibri" w:eastAsia="Calibri" w:hAnsi="Calibri" w:cs="Calibri"/>
          <w:color w:val="000000" w:themeColor="text1"/>
          <w:sz w:val="24"/>
          <w:szCs w:val="24"/>
          <w:lang w:val="en-GB"/>
        </w:rPr>
        <w:t>graddfa</w:t>
      </w:r>
      <w:proofErr w:type="spellEnd"/>
      <w:r w:rsidRPr="4CBCA962">
        <w:rPr>
          <w:rFonts w:ascii="Calibri" w:eastAsia="Calibri" w:hAnsi="Calibri" w:cs="Calibri"/>
          <w:color w:val="000000" w:themeColor="text1"/>
          <w:sz w:val="24"/>
          <w:szCs w:val="24"/>
          <w:lang w:val="en-GB"/>
        </w:rPr>
        <w:t xml:space="preserve"> Leuven.  </w:t>
      </w:r>
      <w:r w:rsidRPr="4CBCA962">
        <w:rPr>
          <w:rFonts w:ascii="Times New Roman" w:eastAsia="Times New Roman" w:hAnsi="Times New Roman" w:cs="Times New Roman"/>
          <w:color w:val="000000" w:themeColor="text1"/>
          <w:sz w:val="24"/>
          <w:szCs w:val="24"/>
          <w:lang w:val="en-GB"/>
        </w:rPr>
        <w:t xml:space="preserve"> </w:t>
      </w:r>
    </w:p>
    <w:p w:rsidR="00477D37" w:rsidRDefault="00477D37" w:rsidP="4CBCA962">
      <w:pPr>
        <w:spacing w:beforeAutospacing="1" w:after="360" w:afterAutospacing="1" w:line="276" w:lineRule="auto"/>
        <w:rPr>
          <w:rFonts w:ascii="Times New Roman" w:eastAsia="Times New Roman" w:hAnsi="Times New Roman" w:cs="Times New Roman"/>
          <w:color w:val="000000" w:themeColor="text1"/>
          <w:sz w:val="24"/>
          <w:szCs w:val="24"/>
          <w:lang w:val="en-GB"/>
        </w:rPr>
      </w:pPr>
    </w:p>
    <w:p w:rsidR="00477D37" w:rsidRDefault="4CBCA962" w:rsidP="4CBCA962">
      <w:pPr>
        <w:spacing w:beforeAutospacing="1" w:after="360" w:afterAutospacing="1" w:line="276" w:lineRule="auto"/>
        <w:rPr>
          <w:rFonts w:ascii="Calibri" w:eastAsia="Calibri" w:hAnsi="Calibri" w:cs="Calibri"/>
          <w:color w:val="1F1F1F"/>
          <w:sz w:val="24"/>
          <w:szCs w:val="24"/>
          <w:u w:val="single"/>
          <w:lang w:val="cy-GB"/>
        </w:rPr>
      </w:pPr>
      <w:r w:rsidRPr="4CBCA962">
        <w:rPr>
          <w:rFonts w:ascii="Calibri" w:eastAsia="Calibri" w:hAnsi="Calibri" w:cs="Calibri"/>
          <w:color w:val="1F1F1F"/>
          <w:sz w:val="24"/>
          <w:szCs w:val="24"/>
          <w:u w:val="single"/>
          <w:lang w:val="cy-GB"/>
        </w:rPr>
        <w:t>Cyfweliad grŵp</w:t>
      </w:r>
    </w:p>
    <w:p w:rsidR="00477D37" w:rsidRDefault="4CBCA962" w:rsidP="4CBCA962">
      <w:pPr>
        <w:spacing w:beforeAutospacing="1" w:after="360" w:afterAutospacing="1" w:line="276" w:lineRule="auto"/>
        <w:rPr>
          <w:rFonts w:ascii="Calibri" w:eastAsia="Calibri" w:hAnsi="Calibri" w:cs="Calibri"/>
          <w:color w:val="1F1F1F"/>
          <w:sz w:val="24"/>
          <w:szCs w:val="24"/>
          <w:lang w:val="cy-GB"/>
        </w:rPr>
      </w:pPr>
      <w:r w:rsidRPr="4CBCA962">
        <w:rPr>
          <w:rFonts w:ascii="Calibri" w:eastAsia="Calibri" w:hAnsi="Calibri" w:cs="Calibri"/>
          <w:color w:val="1F1F1F"/>
          <w:sz w:val="24"/>
          <w:szCs w:val="24"/>
          <w:lang w:val="cy-GB"/>
        </w:rPr>
        <w:t xml:space="preserve">Ar gyfer y cyfweliad grŵp fe wnes i ddewis i ddefnyddio cwestiynau agored. Doeddwn i ddim am gofyn I'r disgyblion i ysgrifennu’r atebion ar bapur rhag ofn ei fod nhw ddim yn deall cwestiwn yn gywir. Dewisais cwestiynau agored oherwydd roeddwn i am glywed wir </w:t>
      </w:r>
      <w:r w:rsidRPr="4CBCA962">
        <w:rPr>
          <w:rFonts w:ascii="Calibri" w:eastAsia="Calibri" w:hAnsi="Calibri" w:cs="Calibri"/>
          <w:color w:val="1F1F1F"/>
          <w:sz w:val="24"/>
          <w:szCs w:val="24"/>
          <w:lang w:val="cy-GB"/>
        </w:rPr>
        <w:lastRenderedPageBreak/>
        <w:t xml:space="preserve">teimladau’r disgyblion ac am rhoi’r rhyddid iddyn nhw i ddweud yn union sut roedden nhw’n teimlo am yr hyn a wnaethon nhw yn y wers. Cymerais I'r ddisgyblion allan o’r wers gyda’i gilydd, cyn yr ycmhwil teimlais fel roedd hyn yn syniad da oherwydd roedden I'n credu fydd syniadau’r disgyblion yn helpu sbarduno atebion ei gilydd, ond wrth edrych nol nid oedd hyn yn wir. Fe wnes i ofyn 5 cwestiwn I'r disgyblion, nid oedden i am ddiflasu nhw gyda mwy. Wrth edrcyh nol hoffwn wedi cae y cyfle i ofyn cwestiynau ar ôl y ddwy wers yn hytrach nag ar ôl y r ail wers. Gofynais I'r cwestiwn cyntaf er mwyn gweld sut oedd y disgyblion yn teimlo aeth y ddwy wers a beth oedden nhw’n credu aeth y gwaith mewn ei persbectif nhw. Roedd yr disgyblion wedi bwysleisio nad oedden nhw wedi deall y tasg gyntaf ac felly o ganlyniad wedi mwynhau’r ail wers yn fwy. Dyma oedd yr ateb yr oeddwn i yn ddisgwyl. Yn dilyn hyn gofynnais beth oedden nhw’n teimlo oedd yn wahanol yn y ddwy wers, pwysleisir y disgyblion ei fod nhw yn teimlo fel ei bod nhw wedi creu’r gwaith a taw nhw sydd wedi penderfynu beth oedd yn mynd yn y gwaith ac felly dyna pam yr oedden nhw’n mwynhau ail wers yn fwy. Mae canlyniadau’r cyfweliad yn pwysleisio canlyniadau’r ymchwil cyfan. Roedd yr atebion roedd y disgyblion wedi rhoi yn dangos yn union beth yr oeddwn I'n disgwyl. Roedd y disgyblion yn esbonio ei fod nhw wedi mwynhau creu’r Meini Prawf llwyddiant ar y cyd oherwydd roedd e’n wahanol I'r arfer. Roedd y disgyblion yn gallu gweld yn union beth yr oeddwn I'n ysgrifennu oherwydd roedd y gwaith ar y bwrdd gwyn ar ei cyfer. Dywed y disgyblion hefyd yr oedden nhw’n teimlo’n fwy agored i ateb ac yn teimlo’n fwy hyderus i ateb ac i helpu gyda’r meini prawf oherwydd roedden nhw’n gallu gweld fy mod I'n ysgrifennu popeth yr oedden nhw’n ddweud. Rhywbeth a wnaeth sefyll allan i mi yn y cyfweliad yw un o’r disgyblion yn esbonio ei fod yn teimlo’n ‘arbennig’ yn ystod y wers oherwydd fe wnes i ysgrifennu ei syniad ar y bwrdd gwyn ac roedden nhw’n gallu gweld ei ateb ef mewn llyfr pawb yn y dosbarth. Roedd hyn wedi sefyll mas oherwydd wrth I'r disgybl esbonio hyn, fe wnaethon nhw esbonio ei fod nhw am gwneud yn well yn y gwaith oherwydd roedd e’n gallu gweld taw eu gwaith nhw oedd hyn. Roedd hyn yn diddorol i mi oherwydd roedd hyn yn mynd yn gyfiawnhau yn fwy yr hyn yr wyf am darganfod yn yr ymchwil oherwydd mae hyn yn awgrymu bod  gwneud Meini Prawf Llwyddiant ar y cyd oedd wedi gwneud i disgybl teimlo’n arbennig sy’n gwneud iddyn nhw eisiau cyfranogi I'r wers. </w:t>
      </w:r>
    </w:p>
    <w:p w:rsidR="00477D37" w:rsidRDefault="00477D37" w:rsidP="4CBCA962">
      <w:pPr>
        <w:spacing w:beforeAutospacing="1" w:after="360" w:afterAutospacing="1" w:line="276" w:lineRule="auto"/>
        <w:rPr>
          <w:rFonts w:ascii="Calibri" w:eastAsia="Calibri" w:hAnsi="Calibri" w:cs="Calibri"/>
          <w:color w:val="1F1F1F"/>
          <w:sz w:val="24"/>
          <w:szCs w:val="24"/>
          <w:lang w:val="cy-GB"/>
        </w:rPr>
      </w:pPr>
    </w:p>
    <w:p w:rsidR="00477D37" w:rsidRDefault="00477D37" w:rsidP="4CBCA962">
      <w:pPr>
        <w:spacing w:beforeAutospacing="1" w:after="360" w:afterAutospacing="1" w:line="276" w:lineRule="auto"/>
        <w:rPr>
          <w:rFonts w:ascii="Calibri" w:eastAsia="Calibri" w:hAnsi="Calibri" w:cs="Calibri"/>
          <w:color w:val="1F1F1F"/>
          <w:sz w:val="24"/>
          <w:szCs w:val="24"/>
          <w:lang w:val="cy-GB"/>
        </w:rPr>
      </w:pPr>
    </w:p>
    <w:p w:rsidR="00477D37" w:rsidRDefault="4CBCA962" w:rsidP="4CBCA962">
      <w:pPr>
        <w:spacing w:beforeAutospacing="1" w:after="360" w:afterAutospacing="1" w:line="276" w:lineRule="auto"/>
        <w:rPr>
          <w:rFonts w:ascii="Calibri" w:eastAsia="Calibri" w:hAnsi="Calibri" w:cs="Calibri"/>
          <w:color w:val="1F1F1F"/>
          <w:sz w:val="24"/>
          <w:szCs w:val="24"/>
          <w:lang w:val="cy-GB"/>
        </w:rPr>
      </w:pPr>
      <w:r w:rsidRPr="4CBCA962">
        <w:rPr>
          <w:rFonts w:ascii="Calibri" w:eastAsia="Calibri" w:hAnsi="Calibri" w:cs="Calibri"/>
          <w:b/>
          <w:bCs/>
          <w:color w:val="1F1F1F"/>
          <w:sz w:val="24"/>
          <w:szCs w:val="24"/>
          <w:u w:val="single"/>
          <w:lang w:val="cy-GB"/>
        </w:rPr>
        <w:t>Myfyfrio</w:t>
      </w:r>
    </w:p>
    <w:p w:rsidR="00477D37" w:rsidRDefault="4CBCA962" w:rsidP="4CBCA962">
      <w:pPr>
        <w:rPr>
          <w:rFonts w:eastAsiaTheme="minorEastAsia"/>
          <w:sz w:val="24"/>
          <w:szCs w:val="24"/>
          <w:lang w:val="cy-GB"/>
        </w:rPr>
      </w:pPr>
      <w:r w:rsidRPr="4CBCA962">
        <w:rPr>
          <w:rFonts w:ascii="Calibri" w:eastAsia="Calibri" w:hAnsi="Calibri" w:cs="Calibri"/>
          <w:color w:val="1F1F1F"/>
          <w:sz w:val="24"/>
          <w:szCs w:val="24"/>
          <w:lang w:val="cy-GB"/>
        </w:rPr>
        <w:t xml:space="preserve">Wrth gwrs pwrpas astudiaeth gwers yw i gyd-weithio gydag athrawon eraill ac arsylwi ar ei gwersi nhw ond oherwydd gofynion Covid eleni nid oedd hyn yn bosib felly fyddwn i wedi hoffi cael y cyfle i gwneud hyn. Teimlaf mi fyddwn wedi elwa o hyn, oherwydd mi fyddwn i wedi </w:t>
      </w:r>
      <w:r w:rsidRPr="4CBCA962">
        <w:rPr>
          <w:rFonts w:ascii="Calibri" w:eastAsia="Calibri" w:hAnsi="Calibri" w:cs="Calibri"/>
          <w:color w:val="1F1F1F"/>
          <w:sz w:val="24"/>
          <w:szCs w:val="24"/>
          <w:lang w:val="cy-GB"/>
        </w:rPr>
        <w:lastRenderedPageBreak/>
        <w:t xml:space="preserve">gweld yn union sut mae astudiaeth wers yn gweithredu fel arfer. Wrth edrych nôl ar yr astudiaeth wers efallai mi fyddaf yn newid y ffordd yr wyf yn dewis y disgyblion. Dylen i wedi dewis un disgybl o bob grŵp gallu er mwyn gweld yn union sut roedd pob gallu yn gallu delio gyda’r astudiaeth gwers a gyda chynnwys y wers. Hoffwn wedi gweld beth oedd canlyniadau pob gallu.  Fe wnes i gynnal 2 wers ar gyfer yr astudiaeth yma, er mwyn gwella fy mhrofiad, y tro nesaf mi fyddwn i yn ceisio cynnal holiadur ar ôl y ddwy wers yn hytrach nag ar ôl yr ail wers yn unig. Hoffwn wedi gofyn cwestiynau agored i’r disgyblion ar ôl y wers cyntaf yn ogystal a’r ail wers. Hefyd pe byddwn yn gwneud yr ymchwil yma eto hoffwn i wedi cael y cyfle i wneud y gyfweliad yn unigol yn hytrach na chyfweliad grŵp oherwydd teimlaf ni fyddai’r disgyblion yn gytuno gyda’i gilydd. Teimlaf wrth gwneud cyfweliad ar ben ei hun fe fydden nhw’n gallu rhoi atebion honest a ddweud beth oedden nhw’n teimlo yn hytrach nag aros i ddisgybl arall i ateb cyn iddyn nhw ateb. Bydd hyn hefyd yn helpu annog annibyniaeth I'r disgyblion ac eto’n bwysleisio bod dim un o’i hatebion nhw yn anghywir. </w:t>
      </w:r>
      <w:r w:rsidRPr="4CBCA962">
        <w:rPr>
          <w:sz w:val="24"/>
          <w:szCs w:val="24"/>
          <w:lang w:val="cy-GB"/>
        </w:rPr>
        <w:t>Y tro nesaf hoffwn i wedi cael y cyfle i arsylwi disgyblion sydd gyda anghenion dysgu ychwanegol wrth gwneud y wers yma. Yn yr achos yma nid oedd unrhyw disgybl yn y dosbarth gydag unrhyw anghenion ychwanegol ac felly nid oedd e’n bosib i dewis i arsylwi disgybl sydd gydag unrhyw anghenion dysgu ychwanegol. Ar gyfer y proses o arsylwi’r wers ac arsylwi’r disgyblion fe wnes i defnyddio’r graddfa Leuven. Y graddfa Leuven yw ffyrdd o asesu sydd wedi cael ei ddatblygu gan Ferre Leavers a’i dim. Mae 5 pwynt I'r graddfa sy’n alluogi athrawon i mesur lles a cyfr</w:t>
      </w:r>
      <w:r w:rsidRPr="4CBCA962">
        <w:rPr>
          <w:rFonts w:eastAsiaTheme="minorEastAsia"/>
          <w:sz w:val="24"/>
          <w:szCs w:val="24"/>
          <w:lang w:val="cy-GB"/>
        </w:rPr>
        <w:t xml:space="preserve">anogiad y disgyblion. Mae’r 5 pwynt yn cynnwys isel iawn, isel, canolig, uchel, uchel iawn. Esbonia Leuven taw “One of the major advantages of The Leuven Scale is that it is observation based, and puts the child at the centre of their own learning”. Teimlaf fel bod hyn yn berthnasol iawn oherwydd mae’n ffocysu ar 2 o’r brif bwyntiau yr ymchwil yma sef, cyfranogiad y disgyblion a dysgu ei hunain yn ganolog. Cyn i mi mynd ati i ddefnyddio’r graddfa Leuven roedd rhaid i mi ystyried manteision ac anfanteision y graddfa. Un o’r anfanteision I'r graddfa Leuven yw ei fod e ddim yn berthnasol ar gyfer unrhyw disgybl sydd gydag anghenion dysgu ychwanegol ac nid yw hyn yn wir adlewyrchiad ar gyfer y plant yma. Yn yr achos yma nid oedd hyn yn broblem oherwydd nid oedd unrhyw disgybl yn y dosbarth gydag unrhyw anghenion dysgu ychwanegol. Mae gweithwyr y ‘Learning Journals’ yn argymell y graddfa Leuven ac yn ebsonio “Although not perfect, the fact that the Leuven Scale provides </w:t>
      </w:r>
      <w:r w:rsidR="00477D37">
        <w:fldChar w:fldCharType="begin"/>
      </w:r>
      <w:r w:rsidR="00477D37">
        <w:instrText>HYPERLINK "https://learningjournals.co.uk/reggio-emilia-emmi-pikler-rudolf-stein-different-approaches-learning/" \h</w:instrText>
      </w:r>
      <w:r w:rsidR="00477D37">
        <w:fldChar w:fldCharType="separate"/>
      </w:r>
      <w:r w:rsidRPr="4CBCA962">
        <w:rPr>
          <w:rStyle w:val="Hyperlink"/>
          <w:rFonts w:eastAsiaTheme="minorEastAsia"/>
          <w:color w:val="auto"/>
          <w:sz w:val="24"/>
          <w:szCs w:val="24"/>
          <w:u w:val="none"/>
          <w:lang w:val="cy-GB"/>
        </w:rPr>
        <w:t>a teaching and learning tool</w:t>
      </w:r>
      <w:r w:rsidR="00477D37">
        <w:fldChar w:fldCharType="end"/>
      </w:r>
      <w:r w:rsidRPr="4CBCA962">
        <w:rPr>
          <w:rFonts w:eastAsiaTheme="minorEastAsia"/>
          <w:sz w:val="24"/>
          <w:szCs w:val="24"/>
          <w:lang w:val="cy-GB"/>
        </w:rPr>
        <w:t xml:space="preserve"> that is steeped in science, yet so readily and practically useable, makes it one of the most valuable ways to quantify and measure children’s learning and engagement.” Fe ddefnyddiais taflen arsylwi wrth gwylio’r clip o’r wers yn ôl. Roedd hyn yn dull defnyddiol iawn oherwydd roeddwn I'n gwybod yn union beth yr oeddwn i’n edrych am. Roedd hyn yn dull defnyddiol iawn oherwydd roedd e’n gwneud i’r arsylwi yn fwy penodol ac yn ffocysu ar yn union beth yr oeddwn I'n edrych ar yn y tri disgybl. Oherwydd roeddwn i am arsylwi cyfranogiad y tri disgybl, fe wnes i gwneud tabl ar gyfer yr taflen arsylwi o gwers 1, gwers 2 a beth oedd y disgyblion yn gwneud yn wahanol. </w:t>
      </w:r>
    </w:p>
    <w:p w:rsidR="00477D37" w:rsidRDefault="00477D37" w:rsidP="4CBCA962">
      <w:pPr>
        <w:spacing w:beforeAutospacing="1" w:after="360" w:afterAutospacing="1" w:line="276" w:lineRule="auto"/>
        <w:rPr>
          <w:rFonts w:ascii="Calibri" w:eastAsia="Calibri" w:hAnsi="Calibri" w:cs="Calibri"/>
          <w:color w:val="1F1F1F"/>
          <w:sz w:val="24"/>
          <w:szCs w:val="24"/>
          <w:lang w:val="cy-GB"/>
        </w:rPr>
      </w:pPr>
    </w:p>
    <w:p w:rsidR="00477D37" w:rsidRDefault="00477D37" w:rsidP="4CBCA962">
      <w:pPr>
        <w:spacing w:beforeAutospacing="1" w:after="360" w:afterAutospacing="1" w:line="276" w:lineRule="auto"/>
        <w:rPr>
          <w:rFonts w:ascii="Calibri" w:eastAsia="Calibri" w:hAnsi="Calibri" w:cs="Calibri"/>
          <w:color w:val="1F1F1F"/>
          <w:sz w:val="24"/>
          <w:szCs w:val="24"/>
          <w:lang w:val="cy-GB"/>
        </w:rPr>
      </w:pPr>
    </w:p>
    <w:p w:rsidR="00477D37" w:rsidRDefault="00477D37" w:rsidP="4CBCA962">
      <w:pPr>
        <w:spacing w:after="200" w:line="276" w:lineRule="auto"/>
        <w:rPr>
          <w:rFonts w:ascii="Calibri" w:eastAsia="Calibri" w:hAnsi="Calibri" w:cs="Calibri"/>
          <w:color w:val="000000" w:themeColor="text1"/>
          <w:sz w:val="24"/>
          <w:szCs w:val="24"/>
          <w:lang w:val="cy-GB"/>
        </w:rPr>
      </w:pPr>
    </w:p>
    <w:p w:rsidR="00477D37" w:rsidRDefault="00477D37" w:rsidP="4CBCA962">
      <w:pPr>
        <w:spacing w:after="200" w:line="276" w:lineRule="auto"/>
        <w:rPr>
          <w:rFonts w:ascii="Calibri" w:eastAsia="Calibri" w:hAnsi="Calibri" w:cs="Calibri"/>
          <w:color w:val="000000" w:themeColor="text1"/>
          <w:sz w:val="24"/>
          <w:szCs w:val="24"/>
          <w:lang w:val="cy-GB"/>
        </w:rPr>
      </w:pPr>
    </w:p>
    <w:p w:rsidR="00477D37" w:rsidRDefault="4CBCA962" w:rsidP="4CBCA962">
      <w:pPr>
        <w:spacing w:after="200" w:line="360" w:lineRule="auto"/>
        <w:rPr>
          <w:sz w:val="24"/>
          <w:szCs w:val="24"/>
          <w:u w:val="single"/>
          <w:lang w:val="cy-GB"/>
        </w:rPr>
      </w:pPr>
      <w:r w:rsidRPr="4CBCA962">
        <w:rPr>
          <w:sz w:val="24"/>
          <w:szCs w:val="24"/>
          <w:u w:val="single"/>
          <w:lang w:val="cy-GB"/>
        </w:rPr>
        <w:t>Myfyrio</w:t>
      </w:r>
    </w:p>
    <w:p w:rsidR="00477D37" w:rsidRDefault="4CBCA962" w:rsidP="4CBCA962">
      <w:pPr>
        <w:rPr>
          <w:rFonts w:eastAsiaTheme="minorEastAsia"/>
          <w:sz w:val="24"/>
          <w:szCs w:val="24"/>
          <w:lang w:val="cy-GB"/>
        </w:rPr>
      </w:pPr>
      <w:r w:rsidRPr="4CBCA962">
        <w:rPr>
          <w:sz w:val="24"/>
          <w:szCs w:val="24"/>
          <w:lang w:val="cy-GB"/>
        </w:rPr>
        <w:t>Y tro nesaf hoffwn i wedi cael y cyfle i arsylwi disgyblion sydd gyda anghenion dysgu ychwanegol wrth gwneud y wers yma. Yn yr achos yma nid oedd unrhyw disgybl yn y dosbarth gydag unrhyw anghenion ychwanegol ac felly nid oedd e’n bosib i dewis i arsylwi disgybl sydd gydag unrhyw anghenion dysgu ychwanegol. Ar gyfer y proses o arsylwi’r wers ac arsylwi’r disgyblion fe wnes i defnyddio’r graddfa Leuven. Y graddfa Leuven yw ffyrdd o asesu sydd wedi cael ei ddatblygu gan Ferre Leavers a’i dim. Mae 5 pwynt I'r graddfa sy’n alluogi athrawon i mesur lles a cyfr</w:t>
      </w:r>
      <w:r w:rsidRPr="4CBCA962">
        <w:rPr>
          <w:rFonts w:eastAsiaTheme="minorEastAsia"/>
          <w:sz w:val="24"/>
          <w:szCs w:val="24"/>
          <w:lang w:val="cy-GB"/>
        </w:rPr>
        <w:t xml:space="preserve">anogiad y disgyblion. Mae’r 5 pwynt yn cynnwys isel iawn, isel, canolig, uchel, uchel iawn. Esbonia Leuven taw “One of the major advantages of The Leuven Scale is that it is observation based, and puts the child at the centre of their own learning”. Teimlaf fel bod hyn yn berthnasol iawn oherwydd mae’n ffocysu ar 2 o’r brif bwyntiau yr ymchwil yma sef, cyfranogiad y disgyblion a dysgu ei hunain yn ganolog. Cyn i mi mynd ati i ddefnyddio’r graddfa Leuven roedd rhaid i mi ystyried manteision ac anfanteision y graddfa. Un o’r anfanteision I'r graddfa Leuven yw ei fod e ddim yn berthnasol ar gyfer unrhyw disgybl sydd gydag anghenion dysgu ychwanegol ac nid yw hyn yn wir adlewyrchiad ar gyfer y plant yma. Yn yr achos yma nid oedd hyn yn broblem oherwydd nid oedd unrhyw disgybl yn y dosbarth gydag unrhyw anghenion dysgu ychwanegol. Mae gweithwyr y ‘Learning Journals’ yn argymell y graddfa Leuven ac yn ebsonio “Although not perfect, the fact that the Leuven Scale provides </w:t>
      </w:r>
      <w:hyperlink r:id="rId4">
        <w:r w:rsidRPr="4CBCA962">
          <w:rPr>
            <w:rStyle w:val="Hyperlink"/>
            <w:rFonts w:eastAsiaTheme="minorEastAsia"/>
            <w:color w:val="auto"/>
            <w:sz w:val="24"/>
            <w:szCs w:val="24"/>
            <w:u w:val="none"/>
            <w:lang w:val="cy-GB"/>
          </w:rPr>
          <w:t>a teaching and learning tool</w:t>
        </w:r>
      </w:hyperlink>
      <w:r w:rsidRPr="4CBCA962">
        <w:rPr>
          <w:rFonts w:eastAsiaTheme="minorEastAsia"/>
          <w:sz w:val="24"/>
          <w:szCs w:val="24"/>
          <w:lang w:val="cy-GB"/>
        </w:rPr>
        <w:t xml:space="preserve"> that is steeped in science, yet so readily and practically useable, makes it one of the most valuable ways to quantify and measure children’s learning and engagement.”</w:t>
      </w:r>
    </w:p>
    <w:p w:rsidR="00477D37" w:rsidRDefault="4CBCA962" w:rsidP="4CBCA962">
      <w:pPr>
        <w:spacing w:beforeAutospacing="1" w:after="360" w:afterAutospacing="1" w:line="276" w:lineRule="auto"/>
        <w:rPr>
          <w:rFonts w:ascii="Calibri" w:eastAsia="Calibri" w:hAnsi="Calibri" w:cs="Calibri"/>
          <w:color w:val="1F1F1F"/>
          <w:sz w:val="24"/>
          <w:szCs w:val="24"/>
          <w:lang w:val="cy-GB"/>
        </w:rPr>
      </w:pPr>
      <w:r w:rsidRPr="4CBCA962">
        <w:rPr>
          <w:rFonts w:ascii="Calibri" w:eastAsia="Calibri" w:hAnsi="Calibri" w:cs="Calibri"/>
          <w:b/>
          <w:bCs/>
          <w:color w:val="1F1F1F"/>
          <w:sz w:val="24"/>
          <w:szCs w:val="24"/>
          <w:u w:val="single"/>
          <w:lang w:val="cy-GB"/>
        </w:rPr>
        <w:t>Moeseg</w:t>
      </w:r>
    </w:p>
    <w:p w:rsidR="00477D37" w:rsidRDefault="4CBCA962" w:rsidP="4CBCA962">
      <w:pPr>
        <w:spacing w:beforeAutospacing="1" w:after="360" w:afterAutospacing="1" w:line="276" w:lineRule="auto"/>
        <w:rPr>
          <w:sz w:val="24"/>
          <w:szCs w:val="24"/>
          <w:lang w:val="cy-GB"/>
        </w:rPr>
      </w:pPr>
      <w:r w:rsidRPr="4CBCA962">
        <w:rPr>
          <w:rFonts w:ascii="Calibri" w:eastAsia="Calibri" w:hAnsi="Calibri" w:cs="Calibri"/>
          <w:color w:val="1F1F1F"/>
          <w:sz w:val="24"/>
          <w:szCs w:val="24"/>
          <w:lang w:val="cy-GB"/>
        </w:rPr>
        <w:t xml:space="preserve">Mae’n bwysig iawn nodi bydd rhaid cael caniatad gofalwyr y disgyblion a chaniatad y disgyblion i rhedeg yr ymchwil ac er mwyn sicrhau fydden nhw’n rhan o’r ymchwil. Cyn dechrau ar yr ymchwil yma yn yr ysgol yma fe wnes i ffurflen foeseg (gwelir atodiad 1) er mwyn sichrau bod rheolau moeseg yn cael ei dilyn. </w:t>
      </w:r>
      <w:r w:rsidRPr="4CBCA962">
        <w:rPr>
          <w:sz w:val="24"/>
          <w:szCs w:val="24"/>
          <w:lang w:val="cy-GB"/>
        </w:rPr>
        <w:t xml:space="preserve">Mae BERA yn uwcholeuo’r pwysigrwydd o gael ganiatâd o’r cyfranogwyr (disgyblion yn yr achos yma). Fe wnes I sicrhau fy mod I'n gofyn I'r rhieni ac I'r disgyblion am ganiatâd iddyn nhw fod yn rhan o’r ymchwil cyn dechrau ar yr ymchwil, fe wnes I’r penderfyniad I ddosbarthu’r llythyron caniatâd (gwelir atodiad) wythnos cyn I mi dechrau’r ymchwil. Fe wnes I'r penderfyniad yma yn seiliedig ar ganllawiau BERA gan ei fod nhw’n ddatgan “fel arfer disgwylir y bydd cydsyniad gwybodus gwirfoddol y cyfranogwyr i gymryd rhan mewn astudiaeth yn cael ei sicrhau ar ddechrau'r astudiaeth, ac y bydd ymchwilwyr yn parhau i fod yn sensitif ac yn agored i'r posibilrwydd y bydd cyfranogwyr yn dymuno, am unrhyw reswm ac ar unrhyw adeg, i dynnu eu ganiatâd yn ôl”. Mae BERA yn ddatgan yn glir felly bod angen caniatâd cyn ddechrau’r ymchwil. Hefyd cyn I mi ddechrau’r wers fe wnes I esbonio I'r </w:t>
      </w:r>
      <w:r w:rsidRPr="4CBCA962">
        <w:rPr>
          <w:sz w:val="24"/>
          <w:szCs w:val="24"/>
          <w:lang w:val="cy-GB"/>
        </w:rPr>
        <w:lastRenderedPageBreak/>
        <w:t xml:space="preserve">disgyblion ei fod nhw’n rhan o ymchwil. Fe wnes I egluro I'r disgyblion os nad oedden nhw’n teimlo’n gyfforddus yn ystod y wers ac os nad oedden nhw’n teimlo’n gyfforddus yn fod yn rhan o ymchwil roedd ganddyn nhw’r hawl I adael y wers ac I beidio fod yn rhan o’r wers. Mae’r un peth yn wir ar gyfer yr cyfweliad, fe wnes I'n amlwg I'r ddisgyblion bod ganddyn nhw’r hawl i adael y gyfweliad ac yn ogystal nid oedd angen iddyn nhw ateb y cwestiynau os nad oedden nhw am.  Mae canllawiau BERA yn ddatgan “dylai ymchwilwyr gydnabod hawl pob cyfranogwr i dynnu'n ôl o'r ymchwil am unrhyw reswm neu am ddim rheswm o gwbl, ac ar unrhyw adeg, a dylid hysbysu cyfranogwyr o'r hawl hon”. Yn ategol at hyn fe wnes i cwblhau ffurflen foeseg (gwelir atodiad) cyn dechrau’r ymchwil mae hyn wedyn sicrhau fy mod I'n dilyn y camau cywir. Mae hyn yn bwysig er mwyn sicrhau diogelwch a tegwch i bob disgybl yn y dosbarth. </w:t>
      </w:r>
    </w:p>
    <w:p w:rsidR="4CBCA962" w:rsidRDefault="4CBCA962" w:rsidP="4CBCA962">
      <w:pPr>
        <w:rPr>
          <w:sz w:val="24"/>
          <w:szCs w:val="24"/>
          <w:lang w:val="cy-GB"/>
        </w:rPr>
      </w:pPr>
    </w:p>
    <w:p w:rsidR="4CBCA962" w:rsidRDefault="4CBCA962" w:rsidP="4CBCA962">
      <w:pPr>
        <w:rPr>
          <w:sz w:val="24"/>
          <w:szCs w:val="24"/>
          <w:u w:val="single"/>
          <w:lang w:val="cy-GB"/>
        </w:rPr>
      </w:pPr>
      <w:r w:rsidRPr="4CBCA962">
        <w:rPr>
          <w:sz w:val="24"/>
          <w:szCs w:val="24"/>
          <w:u w:val="single"/>
          <w:lang w:val="cy-GB"/>
        </w:rPr>
        <w:t>Casgliadau ac arghymhellion</w:t>
      </w:r>
    </w:p>
    <w:p w:rsidR="4CBCA962" w:rsidRDefault="4CBCA962" w:rsidP="4CBCA962">
      <w:pPr>
        <w:spacing w:after="200" w:line="276" w:lineRule="auto"/>
        <w:rPr>
          <w:rFonts w:ascii="Calibri" w:eastAsia="Calibri" w:hAnsi="Calibri" w:cs="Calibri"/>
          <w:color w:val="000000" w:themeColor="text1"/>
          <w:sz w:val="24"/>
          <w:szCs w:val="24"/>
          <w:lang w:val="cy-GB"/>
        </w:rPr>
      </w:pPr>
      <w:r w:rsidRPr="4CBCA962">
        <w:rPr>
          <w:rFonts w:ascii="Calibri" w:eastAsia="Calibri" w:hAnsi="Calibri" w:cs="Calibri"/>
          <w:color w:val="000000" w:themeColor="text1"/>
          <w:sz w:val="24"/>
          <w:szCs w:val="24"/>
          <w:lang w:val="cy-GB"/>
        </w:rPr>
        <w:t xml:space="preserve">Rydw i wedi dysgu llawer iawn o’r ymchwil yma ac mae ychydig o bethau yr wyf wedi dysgu yn mynd i effeithio ar fy arfer. Er enghraifft mi fyddaf yn sichruau fy mod i’n bwysleisio llais y disgybl mor gymaint a allai yn rhesymol. Teimlaf fel bydd hyn yn helpu annog annibyniaeth i’r disgyblion fel mae’r cwricwlwm newydd yn gofyn. Mi fyddwn i’n sichrau bod meini prawf llwyddiant clir a phendant yn cael ei dangos i’r disgyblion, gan sicrhau gofyn i’r disgyblion am ei gymorth wrth creu’r meini prawf llwyddiant. Mi fyddwn i hefyd yn csichrau bod y disgyblion yn deall yn union pam ydyn ni’n cael meini prawf llwyddiant a beth yyw bwrpas cael meini prawf. </w:t>
      </w:r>
    </w:p>
    <w:p w:rsidR="4CBCA962" w:rsidRDefault="4CBCA962" w:rsidP="4CBCA962">
      <w:pPr>
        <w:spacing w:after="200" w:line="360" w:lineRule="auto"/>
        <w:rPr>
          <w:sz w:val="24"/>
          <w:szCs w:val="24"/>
          <w:lang w:val="cy-GB"/>
        </w:rPr>
      </w:pPr>
      <w:r w:rsidRPr="4CBCA962">
        <w:rPr>
          <w:sz w:val="24"/>
          <w:szCs w:val="24"/>
          <w:lang w:val="cy-GB"/>
        </w:rPr>
        <w:t xml:space="preserve">Ar ôl gwneud yr ymchwil mae’n amlwg fod y pethau a wnes i rhagdybio yn wir. Hynny yw, roeddwn I'n disgwyl y canlyniadau a chefais i. Roeddwn I'n disgwyl I'r disgyblion i ymateb yn well yn yr ail wers wrth helpu gyda’r meini prawf, ac roeddwn I'n disgwyl I'w gyfranogiad nhw fod yn well. I ateb y cwestiwn ymchwil, yn fy marn i mae creu meini prawf llwyddiant ar y cyd wir yn helpu cyfranogiad disgyblion. Mae ymchwil yn dangos bod disgyblion sy’n derbyn Meini Prawf Llwyddiant yn gallu canolbwyntio yn fwy ac am fwy o amser yn ystod y wers. Rydw I'n credu hyn yn fawr oherwydd roedd y disgyblion yn colli hyder ac yn colli diddordeb yn ystod y wers cyntaf oherwydd nad oedden nhw’n gwybod beth oedd angen wneud.  Mae ymchwil hefyd yn dangos “giving voice to children is not simply or only about letting children speak, it is about exploring the unique contribution to our understanding of and theorising about the social world that’s childrens perspectives can provide” (James , 2009). Mae rhoi llais i disgyblion yn helpu iddyn nhw teimlo’n fwy hyderus. Gan gofyn I'r disgyblion am ei perspectif nhw mae’n cyfle fel athro/athrawes i weld os yw’r disgybl yn deall a beth maent yn ei ddeall.  Dadleuir </w:t>
      </w:r>
      <w:r w:rsidRPr="4CBCA962">
        <w:rPr>
          <w:sz w:val="24"/>
          <w:szCs w:val="24"/>
          <w:lang w:val="cy-GB"/>
        </w:rPr>
        <w:lastRenderedPageBreak/>
        <w:t xml:space="preserve">Fielding bod llais y disgybl yn ffordd arbennig i gael disgyblion i ategu at wers ac yn ffordd wych o sicrhau bod y disgyblion yn ddysgu oherwydd ei syniadau nhw oedden nhw ac felly maent yn gwneud gwaith maen nhw wedi gofyn i wneud. (Fielding 2004). Mae barn gan Mitra yn cefnogi’r hyn yr wyf wedi darganfod yn yr ymchwil oherwydd mae hi’n dweud “various studies have confirmed the benefits of pupil voice: increased pupil engagement, imporved relationship between pupils and teachers, and providing the right conditions for the school community to become a learning community”. Wrth gwerthuso’r ymchwil yma teimlaf fel yr wyf wedi dysgu llawer. Y prif peth yr wyf wedi dysgu yw efallai nid Meini Prawf Llwyddiant ar y cyd yw’r peth sy’n helpu cyfranogiad disgyblion y fwyaf ond llais y disgybl. Teimlaf fel fy mod i wedi dysgu am llais y disgybl yn ystod yr ymchwil yma ac mae hi’n amlwg iawn i mi bod llais y disgybl yn fwy bwysig na Meini Prawf Llwyddiant. </w:t>
      </w:r>
      <w:r w:rsidRPr="4CBCA962">
        <w:rPr>
          <w:rFonts w:ascii="Calibri" w:eastAsia="Calibri" w:hAnsi="Calibri" w:cs="Calibri"/>
          <w:color w:val="000000" w:themeColor="text1"/>
          <w:sz w:val="24"/>
          <w:szCs w:val="24"/>
          <w:lang w:val="cy-GB"/>
        </w:rPr>
        <w:t xml:space="preserve">I grynhoi, teimlaf fel bod meini prawf llwyddiant yn dda iawn ar gyfer disgyblion, teimlaf fel eu bod ganddyn nhw well dealltwriaeth o’r hyn maent yn gwneud os ydyn nhw’n helpu  gyda’r meini prawf. Er hyn teimlaf fel meini prawf llwyddiant ddim yn gweithio ar ben ei hun. Mae’n rhaid cael pob ffactor wedi glymu at ei gilydd er mwyn helpu dangos wir effaith meini prawf llwyddiant. Yn ategol i hyn mae Meini Prawf Llwyddiant yn fuddiol i nifer fawr iawn o ddisgyblion sy’n dysgu trwy pethau weledol, ond nid yw’n helpu’r dysgwyr sydd ddim yn dysgu’n weledol. </w:t>
      </w:r>
      <w:r w:rsidRPr="4CBCA962">
        <w:rPr>
          <w:sz w:val="24"/>
          <w:szCs w:val="24"/>
          <w:lang w:val="cy-GB"/>
        </w:rPr>
        <w:t xml:space="preserve">Yn fy marn i roedd y dull graddfa Leuven yn dibynadwy iawn. Roeddwn i wedi penderfynu ar y dull yma oherwydd roeddwn I'n gwybod bod digonedd o ymchwil wedi cael ei wneud ar y dull ac fod y dull yn un llwyddiannus. Rwyf hefyd yn gwybod bod nifer o ddamcaniaethwyr yn mwynhau’r dull yma ac yn gallu esbonio pa mor dda yw’r dull ar gyfer asesu cyfranogiad y disgyblion. Mae’r ymchwil wedi fod yn un llwyddiannus yn fy marn i, ond wrth gwrs teimlaf fel bod lle i ateb. Yn fy marn i mae’r cwestiwn ymchwil wedi cael ei ateb, ond yn fras, hynny yw mae’r ymchwil wedi arwain at fwy o gwestiynau megis ‘Faint o llais y disgybl yw gormod?’ ‘A ydy llais y disgybl yn fwy fuddiol na Meini Prawf Llwyddiant?’. I grynhoi mae’r ymchwil wedi fod yn un llwyddiannus ar yr arwynebedd ond os ydych yn edrych yn fwy ddwfn mae llawer o wendidau I'r ymchwil. </w:t>
      </w:r>
    </w:p>
    <w:p w:rsidR="00427E53" w:rsidRDefault="00427E53" w:rsidP="00427E53">
      <w:pPr>
        <w:rPr>
          <w:rFonts w:cstheme="minorHAnsi"/>
          <w:color w:val="000000"/>
          <w:spacing w:val="5"/>
          <w:sz w:val="24"/>
          <w:szCs w:val="24"/>
          <w:shd w:val="clear" w:color="auto" w:fill="FFFFFF"/>
        </w:rPr>
      </w:pPr>
    </w:p>
    <w:p w:rsidR="00427E53" w:rsidRDefault="00427E53" w:rsidP="00427E53">
      <w:pPr>
        <w:rPr>
          <w:rFonts w:cstheme="minorHAnsi"/>
          <w:color w:val="000000"/>
          <w:spacing w:val="5"/>
          <w:sz w:val="24"/>
          <w:szCs w:val="24"/>
          <w:shd w:val="clear" w:color="auto" w:fill="FFFFFF"/>
        </w:rPr>
      </w:pPr>
    </w:p>
    <w:p w:rsidR="00427E53" w:rsidRDefault="00427E53" w:rsidP="00427E53">
      <w:pPr>
        <w:rPr>
          <w:rFonts w:cstheme="minorHAnsi"/>
          <w:color w:val="000000"/>
          <w:spacing w:val="5"/>
          <w:sz w:val="24"/>
          <w:szCs w:val="24"/>
          <w:shd w:val="clear" w:color="auto" w:fill="FFFFFF"/>
        </w:rPr>
      </w:pPr>
    </w:p>
    <w:p w:rsidR="00427E53" w:rsidRDefault="00427E53" w:rsidP="00427E53">
      <w:pPr>
        <w:rPr>
          <w:rFonts w:cstheme="minorHAnsi"/>
          <w:color w:val="000000"/>
          <w:spacing w:val="5"/>
          <w:sz w:val="24"/>
          <w:szCs w:val="24"/>
          <w:shd w:val="clear" w:color="auto" w:fill="FFFFFF"/>
        </w:rPr>
      </w:pPr>
      <w:proofErr w:type="spellStart"/>
      <w:r>
        <w:rPr>
          <w:rFonts w:cstheme="minorHAnsi"/>
          <w:color w:val="000000"/>
          <w:spacing w:val="5"/>
          <w:sz w:val="24"/>
          <w:szCs w:val="24"/>
          <w:shd w:val="clear" w:color="auto" w:fill="FFFFFF"/>
        </w:rPr>
        <w:lastRenderedPageBreak/>
        <w:t>Rhestr</w:t>
      </w:r>
      <w:proofErr w:type="spellEnd"/>
      <w:r>
        <w:rPr>
          <w:rFonts w:cstheme="minorHAnsi"/>
          <w:color w:val="000000"/>
          <w:spacing w:val="5"/>
          <w:sz w:val="24"/>
          <w:szCs w:val="24"/>
          <w:shd w:val="clear" w:color="auto" w:fill="FFFFFF"/>
        </w:rPr>
        <w:t xml:space="preserve"> </w:t>
      </w:r>
      <w:proofErr w:type="spellStart"/>
      <w:r>
        <w:rPr>
          <w:rFonts w:cstheme="minorHAnsi"/>
          <w:color w:val="000000"/>
          <w:spacing w:val="5"/>
          <w:sz w:val="24"/>
          <w:szCs w:val="24"/>
          <w:shd w:val="clear" w:color="auto" w:fill="FFFFFF"/>
        </w:rPr>
        <w:t>Gyfeirnodi</w:t>
      </w:r>
      <w:proofErr w:type="spellEnd"/>
      <w:r>
        <w:rPr>
          <w:rFonts w:cstheme="minorHAnsi"/>
          <w:color w:val="000000"/>
          <w:spacing w:val="5"/>
          <w:sz w:val="24"/>
          <w:szCs w:val="24"/>
          <w:shd w:val="clear" w:color="auto" w:fill="FFFFFF"/>
        </w:rPr>
        <w:t xml:space="preserve"> </w:t>
      </w:r>
    </w:p>
    <w:p w:rsidR="00427E53" w:rsidRPr="00B010C5" w:rsidRDefault="00427E53" w:rsidP="00427E53">
      <w:pPr>
        <w:rPr>
          <w:rFonts w:cstheme="minorHAnsi"/>
          <w:color w:val="000000"/>
          <w:spacing w:val="5"/>
          <w:sz w:val="24"/>
          <w:szCs w:val="24"/>
          <w:shd w:val="clear" w:color="auto" w:fill="FFFFFF"/>
        </w:rPr>
      </w:pPr>
      <w:proofErr w:type="gramStart"/>
      <w:r w:rsidRPr="00B010C5">
        <w:rPr>
          <w:rFonts w:cstheme="minorHAnsi"/>
          <w:color w:val="000000"/>
          <w:spacing w:val="5"/>
          <w:sz w:val="24"/>
          <w:szCs w:val="24"/>
          <w:shd w:val="clear" w:color="auto" w:fill="FFFFFF"/>
        </w:rPr>
        <w:t>Ashworth, A.E. (1982) Testing for Continuous Assessment, London: Evans Brothers.</w:t>
      </w:r>
      <w:proofErr w:type="gramEnd"/>
    </w:p>
    <w:p w:rsidR="00427E53" w:rsidRPr="00B010C5" w:rsidRDefault="00427E53" w:rsidP="00427E53">
      <w:pPr>
        <w:rPr>
          <w:rFonts w:cstheme="minorHAnsi"/>
          <w:color w:val="202020"/>
          <w:sz w:val="24"/>
          <w:szCs w:val="24"/>
          <w:shd w:val="clear" w:color="auto" w:fill="FFFFFF"/>
        </w:rPr>
      </w:pPr>
      <w:r w:rsidRPr="00B010C5">
        <w:rPr>
          <w:rFonts w:cstheme="minorHAnsi"/>
          <w:color w:val="202020"/>
          <w:sz w:val="24"/>
          <w:szCs w:val="24"/>
          <w:shd w:val="clear" w:color="auto" w:fill="FFFFFF"/>
        </w:rPr>
        <w:t>Donaldson, G. (2015) </w:t>
      </w:r>
      <w:r w:rsidRPr="00B010C5">
        <w:rPr>
          <w:rStyle w:val="Emphasis"/>
          <w:rFonts w:cstheme="minorHAnsi"/>
          <w:color w:val="202020"/>
          <w:sz w:val="24"/>
          <w:szCs w:val="24"/>
          <w:shd w:val="clear" w:color="auto" w:fill="FFFFFF"/>
        </w:rPr>
        <w:t>Successful Futures: Independent Review of Curriculum and Assessment Arrangements in Wales.</w:t>
      </w:r>
      <w:r w:rsidRPr="00B010C5">
        <w:rPr>
          <w:rFonts w:cstheme="minorHAnsi"/>
          <w:color w:val="202020"/>
          <w:sz w:val="24"/>
          <w:szCs w:val="24"/>
          <w:shd w:val="clear" w:color="auto" w:fill="FFFFFF"/>
        </w:rPr>
        <w:t> Cardiff: Welsh Government.</w:t>
      </w:r>
    </w:p>
    <w:p w:rsidR="00427E53" w:rsidRPr="00B010C5" w:rsidRDefault="00427E53" w:rsidP="00427E53">
      <w:pPr>
        <w:rPr>
          <w:rFonts w:cstheme="minorHAnsi"/>
          <w:sz w:val="24"/>
          <w:szCs w:val="24"/>
        </w:rPr>
      </w:pPr>
      <w:r w:rsidRPr="00B010C5">
        <w:rPr>
          <w:rFonts w:cstheme="minorHAnsi"/>
          <w:sz w:val="24"/>
          <w:szCs w:val="24"/>
        </w:rPr>
        <w:t xml:space="preserve">Dudley, P. (2013) Teacher Learning in Lesson Study: what interaction-level discourse analysis revealed about how teachers </w:t>
      </w:r>
      <w:proofErr w:type="spellStart"/>
      <w:r w:rsidRPr="00B010C5">
        <w:rPr>
          <w:rFonts w:cstheme="minorHAnsi"/>
          <w:sz w:val="24"/>
          <w:szCs w:val="24"/>
        </w:rPr>
        <w:t>utilised</w:t>
      </w:r>
      <w:proofErr w:type="spellEnd"/>
      <w:r w:rsidRPr="00B010C5">
        <w:rPr>
          <w:rFonts w:cstheme="minorHAnsi"/>
          <w:sz w:val="24"/>
          <w:szCs w:val="24"/>
        </w:rPr>
        <w:t xml:space="preserve"> imagination, tacit knowledge of teaching and freshly gathered evidence of pupils learning, to develop their practice knowledge and so enhance their pupils’ learning, Teacher and Teacher Education, Teaching and Teacher Education 34 (2013) 107e121</w:t>
      </w:r>
    </w:p>
    <w:p w:rsidR="00427E53" w:rsidRPr="00B010C5" w:rsidRDefault="00427E53" w:rsidP="00427E53">
      <w:pPr>
        <w:rPr>
          <w:rFonts w:cstheme="minorHAnsi"/>
          <w:sz w:val="24"/>
          <w:szCs w:val="24"/>
        </w:rPr>
      </w:pPr>
    </w:p>
    <w:p w:rsidR="00427E53" w:rsidRPr="00B010C5" w:rsidRDefault="00427E53" w:rsidP="00427E53">
      <w:pPr>
        <w:rPr>
          <w:rFonts w:cstheme="minorHAnsi"/>
          <w:sz w:val="24"/>
          <w:szCs w:val="24"/>
        </w:rPr>
      </w:pPr>
      <w:r w:rsidRPr="00B010C5">
        <w:rPr>
          <w:rFonts w:cstheme="minorHAnsi"/>
          <w:sz w:val="24"/>
          <w:szCs w:val="24"/>
        </w:rPr>
        <w:t>Elizabeth A. Hopkins (2008) Classroom conditions to secure enjoyment and achievement: the pupils' voice. Listening to the voice of Every</w:t>
      </w:r>
      <w:r w:rsidRPr="00B010C5">
        <w:rPr>
          <w:rFonts w:cstheme="minorHAnsi"/>
          <w:sz w:val="24"/>
          <w:szCs w:val="24"/>
        </w:rPr>
        <w:t>child</w:t>
      </w:r>
      <w:r w:rsidRPr="00B010C5">
        <w:rPr>
          <w:rFonts w:cstheme="minorHAnsi"/>
          <w:sz w:val="24"/>
          <w:szCs w:val="24"/>
        </w:rPr>
      </w:r>
      <w:proofErr w:type="gramStart"/>
      <w:r w:rsidRPr="00B010C5">
        <w:rPr>
          <w:rFonts w:cstheme="minorHAnsi"/>
          <w:sz w:val="24"/>
          <w:szCs w:val="24"/>
        </w:rPr>
        <w:t>matters ,</w:t>
      </w:r>
      <w:proofErr w:type="gramEnd"/>
      <w:r w:rsidRPr="00B010C5">
        <w:rPr>
          <w:rFonts w:cstheme="minorHAnsi"/>
          <w:sz w:val="24"/>
          <w:szCs w:val="24"/>
        </w:rPr>
        <w:t xml:space="preserve"> Education 3–13, 36:4, 393-401</w:t>
      </w:r>
    </w:p>
    <w:p w:rsidR="00427E53" w:rsidRPr="00B010C5" w:rsidRDefault="00427E53" w:rsidP="00427E53">
      <w:pPr>
        <w:rPr>
          <w:rFonts w:cstheme="minorHAnsi"/>
          <w:sz w:val="24"/>
          <w:szCs w:val="24"/>
        </w:rPr>
      </w:pPr>
      <w:proofErr w:type="spellStart"/>
      <w:r w:rsidRPr="00B010C5">
        <w:rPr>
          <w:rFonts w:cstheme="minorHAnsi"/>
          <w:color w:val="202020"/>
          <w:sz w:val="24"/>
          <w:szCs w:val="24"/>
          <w:shd w:val="clear" w:color="auto" w:fill="FFFFFF"/>
        </w:rPr>
        <w:t>Estyn</w:t>
      </w:r>
      <w:proofErr w:type="spellEnd"/>
      <w:r w:rsidRPr="00B010C5">
        <w:rPr>
          <w:rFonts w:cstheme="minorHAnsi"/>
          <w:color w:val="202020"/>
          <w:sz w:val="24"/>
          <w:szCs w:val="24"/>
          <w:shd w:val="clear" w:color="auto" w:fill="FFFFFF"/>
        </w:rPr>
        <w:t xml:space="preserve"> (2005)</w:t>
      </w:r>
      <w:r w:rsidRPr="00B010C5">
        <w:rPr>
          <w:rStyle w:val="Emphasis"/>
          <w:rFonts w:cstheme="minorHAnsi"/>
          <w:color w:val="202020"/>
          <w:sz w:val="24"/>
          <w:szCs w:val="24"/>
          <w:shd w:val="clear" w:color="auto" w:fill="FFFFFF"/>
        </w:rPr>
        <w:t xml:space="preserve"> Y </w:t>
      </w:r>
      <w:proofErr w:type="spellStart"/>
      <w:r w:rsidRPr="00B010C5">
        <w:rPr>
          <w:rStyle w:val="Emphasis"/>
          <w:rFonts w:cstheme="minorHAnsi"/>
          <w:color w:val="202020"/>
          <w:sz w:val="24"/>
          <w:szCs w:val="24"/>
          <w:shd w:val="clear" w:color="auto" w:fill="FFFFFF"/>
        </w:rPr>
        <w:t>Cwricwlwm</w:t>
      </w:r>
      <w:proofErr w:type="spellEnd"/>
      <w:r w:rsidRPr="00B010C5">
        <w:rPr>
          <w:rStyle w:val="Emphasis"/>
          <w:rFonts w:cstheme="minorHAnsi"/>
          <w:color w:val="202020"/>
          <w:sz w:val="24"/>
          <w:szCs w:val="24"/>
          <w:shd w:val="clear" w:color="auto" w:fill="FFFFFF"/>
        </w:rPr>
        <w:t xml:space="preserve"> </w:t>
      </w:r>
      <w:proofErr w:type="spellStart"/>
      <w:r w:rsidRPr="00B010C5">
        <w:rPr>
          <w:rStyle w:val="Emphasis"/>
          <w:rFonts w:cstheme="minorHAnsi"/>
          <w:color w:val="202020"/>
          <w:sz w:val="24"/>
          <w:szCs w:val="24"/>
          <w:shd w:val="clear" w:color="auto" w:fill="FFFFFF"/>
        </w:rPr>
        <w:t>Cymreig</w:t>
      </w:r>
      <w:proofErr w:type="spellEnd"/>
      <w:r w:rsidRPr="00B010C5">
        <w:rPr>
          <w:rStyle w:val="Emphasis"/>
          <w:rFonts w:cstheme="minorHAnsi"/>
          <w:color w:val="202020"/>
          <w:sz w:val="24"/>
          <w:szCs w:val="24"/>
          <w:shd w:val="clear" w:color="auto" w:fill="FFFFFF"/>
        </w:rPr>
        <w:t>: Progress made by schools in implementation of ACCAC guidance issued in 2003.</w:t>
      </w:r>
      <w:r w:rsidRPr="00B010C5">
        <w:rPr>
          <w:rFonts w:cstheme="minorHAnsi"/>
          <w:color w:val="202020"/>
          <w:sz w:val="24"/>
          <w:szCs w:val="24"/>
          <w:shd w:val="clear" w:color="auto" w:fill="FFFFFF"/>
        </w:rPr>
        <w:t xml:space="preserve"> Cardiff: </w:t>
      </w:r>
      <w:proofErr w:type="spellStart"/>
      <w:r w:rsidRPr="00B010C5">
        <w:rPr>
          <w:rFonts w:cstheme="minorHAnsi"/>
          <w:color w:val="202020"/>
          <w:sz w:val="24"/>
          <w:szCs w:val="24"/>
          <w:shd w:val="clear" w:color="auto" w:fill="FFFFFF"/>
        </w:rPr>
        <w:t>Estyn</w:t>
      </w:r>
      <w:proofErr w:type="spellEnd"/>
      <w:r w:rsidRPr="00B010C5">
        <w:rPr>
          <w:rFonts w:cstheme="minorHAnsi"/>
          <w:color w:val="202020"/>
          <w:sz w:val="24"/>
          <w:szCs w:val="24"/>
          <w:shd w:val="clear" w:color="auto" w:fill="FFFFFF"/>
        </w:rPr>
        <w:t xml:space="preserve">. </w:t>
      </w:r>
      <w:proofErr w:type="gramStart"/>
      <w:r w:rsidRPr="00B010C5">
        <w:rPr>
          <w:rFonts w:cstheme="minorHAnsi"/>
          <w:sz w:val="24"/>
          <w:szCs w:val="24"/>
        </w:rPr>
        <w:t>Fielding, M. 2004.</w:t>
      </w:r>
      <w:proofErr w:type="gramEnd"/>
      <w:r w:rsidRPr="00B010C5">
        <w:rPr>
          <w:rFonts w:cstheme="minorHAnsi"/>
          <w:sz w:val="24"/>
          <w:szCs w:val="24"/>
        </w:rPr>
        <w:t xml:space="preserve"> Transformative approaches o student voice: Theoretical underpinnings, recalcitrant realities. British Educational Research</w:t>
      </w:r>
    </w:p>
    <w:p w:rsidR="00427E53" w:rsidRPr="00B010C5" w:rsidRDefault="00427E53" w:rsidP="00427E53">
      <w:pPr>
        <w:rPr>
          <w:rFonts w:cstheme="minorHAnsi"/>
          <w:sz w:val="24"/>
          <w:szCs w:val="24"/>
        </w:rPr>
      </w:pPr>
    </w:p>
    <w:p w:rsidR="00427E53" w:rsidRPr="00B010C5" w:rsidRDefault="00427E53" w:rsidP="00427E53">
      <w:pPr>
        <w:rPr>
          <w:rFonts w:cstheme="minorHAnsi"/>
          <w:sz w:val="24"/>
          <w:szCs w:val="24"/>
        </w:rPr>
      </w:pPr>
      <w:r w:rsidRPr="00B010C5">
        <w:rPr>
          <w:rFonts w:cstheme="minorHAnsi"/>
          <w:sz w:val="24"/>
          <w:szCs w:val="24"/>
        </w:rPr>
        <w:t xml:space="preserve">Fisher, D. 2003. What’s the Gist? Summary writing </w:t>
      </w:r>
      <w:proofErr w:type="spellStart"/>
      <w:r w:rsidRPr="00B010C5">
        <w:rPr>
          <w:rFonts w:cstheme="minorHAnsi"/>
          <w:sz w:val="24"/>
          <w:szCs w:val="24"/>
        </w:rPr>
        <w:t>forstruggling</w:t>
      </w:r>
      <w:proofErr w:type="spellEnd"/>
      <w:r w:rsidRPr="00B010C5">
        <w:rPr>
          <w:rFonts w:cstheme="minorHAnsi"/>
          <w:sz w:val="24"/>
          <w:szCs w:val="24"/>
        </w:rPr>
        <w:t xml:space="preserve"> Adolescent Writers, Voices from the middle. </w:t>
      </w:r>
    </w:p>
    <w:p w:rsidR="00427E53" w:rsidRPr="00B010C5" w:rsidRDefault="00427E53" w:rsidP="00427E53">
      <w:pPr>
        <w:rPr>
          <w:rFonts w:cstheme="minorHAnsi"/>
          <w:sz w:val="24"/>
          <w:szCs w:val="24"/>
        </w:rPr>
      </w:pPr>
      <w:proofErr w:type="gramStart"/>
      <w:r w:rsidRPr="00B010C5">
        <w:rPr>
          <w:rFonts w:cstheme="minorHAnsi"/>
          <w:sz w:val="24"/>
          <w:szCs w:val="24"/>
        </w:rPr>
        <w:t>Frey, N. 2007.</w:t>
      </w:r>
      <w:proofErr w:type="gramEnd"/>
      <w:r w:rsidRPr="00B010C5">
        <w:rPr>
          <w:rFonts w:cstheme="minorHAnsi"/>
          <w:sz w:val="24"/>
          <w:szCs w:val="24"/>
        </w:rPr>
        <w:t xml:space="preserve"> </w:t>
      </w:r>
      <w:proofErr w:type="gramStart"/>
      <w:r w:rsidRPr="00B010C5">
        <w:rPr>
          <w:rFonts w:cstheme="minorHAnsi"/>
          <w:sz w:val="24"/>
          <w:szCs w:val="24"/>
        </w:rPr>
        <w:t xml:space="preserve">Implementing a </w:t>
      </w:r>
      <w:proofErr w:type="spellStart"/>
      <w:r w:rsidRPr="00B010C5">
        <w:rPr>
          <w:rFonts w:cstheme="minorHAnsi"/>
          <w:sz w:val="24"/>
          <w:szCs w:val="24"/>
        </w:rPr>
        <w:t>Schoolwide</w:t>
      </w:r>
      <w:proofErr w:type="spellEnd"/>
      <w:r w:rsidRPr="00B010C5">
        <w:rPr>
          <w:rFonts w:cstheme="minorHAnsi"/>
          <w:sz w:val="24"/>
          <w:szCs w:val="24"/>
        </w:rPr>
        <w:t xml:space="preserve"> Literacy Framework.</w:t>
      </w:r>
      <w:proofErr w:type="gramEnd"/>
      <w:r w:rsidRPr="00B010C5">
        <w:rPr>
          <w:rFonts w:cstheme="minorHAnsi"/>
          <w:sz w:val="24"/>
          <w:szCs w:val="24"/>
        </w:rPr>
        <w:t xml:space="preserve"> </w:t>
      </w:r>
      <w:proofErr w:type="gramStart"/>
      <w:r w:rsidRPr="00B010C5">
        <w:rPr>
          <w:rFonts w:cstheme="minorHAnsi"/>
          <w:sz w:val="24"/>
          <w:szCs w:val="24"/>
        </w:rPr>
        <w:t>The reading Teacher.</w:t>
      </w:r>
      <w:proofErr w:type="gramEnd"/>
      <w:r w:rsidRPr="00B010C5">
        <w:rPr>
          <w:rFonts w:cstheme="minorHAnsi"/>
          <w:sz w:val="24"/>
          <w:szCs w:val="24"/>
        </w:rPr>
        <w:t xml:space="preserve"> </w:t>
      </w:r>
    </w:p>
    <w:p w:rsidR="00427E53" w:rsidRPr="00B010C5" w:rsidRDefault="00427E53" w:rsidP="00427E53">
      <w:pPr>
        <w:rPr>
          <w:rFonts w:cstheme="minorHAnsi"/>
          <w:sz w:val="24"/>
          <w:szCs w:val="24"/>
        </w:rPr>
      </w:pPr>
      <w:proofErr w:type="gramStart"/>
      <w:r w:rsidRPr="00B010C5">
        <w:rPr>
          <w:rFonts w:cstheme="minorHAnsi"/>
          <w:sz w:val="24"/>
          <w:szCs w:val="24"/>
        </w:rPr>
        <w:t>Lavers ,</w:t>
      </w:r>
      <w:proofErr w:type="gramEnd"/>
      <w:r w:rsidRPr="00B010C5">
        <w:rPr>
          <w:rFonts w:cstheme="minorHAnsi"/>
          <w:sz w:val="24"/>
          <w:szCs w:val="24"/>
        </w:rPr>
        <w:t xml:space="preserve"> F. 2008. Good practice Conference: Dynamic Learning in the Early Years. </w:t>
      </w:r>
    </w:p>
    <w:p w:rsidR="00427E53" w:rsidRPr="00B010C5" w:rsidRDefault="00427E53" w:rsidP="00427E53">
      <w:pPr>
        <w:rPr>
          <w:rFonts w:cstheme="minorHAnsi"/>
          <w:sz w:val="24"/>
          <w:szCs w:val="24"/>
        </w:rPr>
      </w:pPr>
      <w:proofErr w:type="spellStart"/>
      <w:r w:rsidRPr="00B010C5">
        <w:rPr>
          <w:rFonts w:cstheme="minorHAnsi"/>
          <w:sz w:val="24"/>
          <w:szCs w:val="24"/>
        </w:rPr>
        <w:t>Llywodraeth</w:t>
      </w:r>
      <w:proofErr w:type="spellEnd"/>
      <w:r w:rsidRPr="00B010C5">
        <w:rPr>
          <w:rFonts w:cstheme="minorHAnsi"/>
          <w:sz w:val="24"/>
          <w:szCs w:val="24"/>
        </w:rPr>
        <w:t xml:space="preserve"> Cymru.2020.  Y </w:t>
      </w:r>
      <w:proofErr w:type="spellStart"/>
      <w:r w:rsidRPr="00B010C5">
        <w:rPr>
          <w:rFonts w:cstheme="minorHAnsi"/>
          <w:sz w:val="24"/>
          <w:szCs w:val="24"/>
        </w:rPr>
        <w:t>Cwricwlwm</w:t>
      </w:r>
      <w:proofErr w:type="spellEnd"/>
      <w:r w:rsidRPr="00B010C5">
        <w:rPr>
          <w:rFonts w:cstheme="minorHAnsi"/>
          <w:sz w:val="24"/>
          <w:szCs w:val="24"/>
        </w:rPr>
        <w:t xml:space="preserve"> </w:t>
      </w:r>
      <w:proofErr w:type="spellStart"/>
      <w:r w:rsidRPr="00B010C5">
        <w:rPr>
          <w:rFonts w:cstheme="minorHAnsi"/>
          <w:sz w:val="24"/>
          <w:szCs w:val="24"/>
        </w:rPr>
        <w:t>Newydd</w:t>
      </w:r>
      <w:proofErr w:type="spellEnd"/>
      <w:r w:rsidRPr="00B010C5">
        <w:rPr>
          <w:rFonts w:cstheme="minorHAnsi"/>
          <w:sz w:val="24"/>
          <w:szCs w:val="24"/>
        </w:rPr>
        <w:t xml:space="preserve"> </w:t>
      </w:r>
      <w:proofErr w:type="spellStart"/>
      <w:r w:rsidRPr="00B010C5">
        <w:rPr>
          <w:rFonts w:cstheme="minorHAnsi"/>
          <w:sz w:val="24"/>
          <w:szCs w:val="24"/>
        </w:rPr>
        <w:t>Hwb</w:t>
      </w:r>
      <w:proofErr w:type="spellEnd"/>
      <w:r w:rsidRPr="00B010C5">
        <w:rPr>
          <w:rFonts w:cstheme="minorHAnsi"/>
          <w:sz w:val="24"/>
          <w:szCs w:val="24"/>
        </w:rPr>
        <w:t xml:space="preserve"> </w:t>
      </w:r>
    </w:p>
    <w:p w:rsidR="00427E53" w:rsidRPr="00B010C5" w:rsidRDefault="00427E53" w:rsidP="00427E53">
      <w:pPr>
        <w:rPr>
          <w:rFonts w:cstheme="minorHAnsi"/>
          <w:sz w:val="24"/>
          <w:szCs w:val="24"/>
        </w:rPr>
      </w:pPr>
    </w:p>
    <w:p w:rsidR="00427E53" w:rsidRPr="00B010C5" w:rsidRDefault="00427E53" w:rsidP="00427E53">
      <w:pPr>
        <w:rPr>
          <w:rFonts w:cstheme="minorHAnsi"/>
          <w:sz w:val="24"/>
          <w:szCs w:val="24"/>
        </w:rPr>
      </w:pPr>
      <w:proofErr w:type="spellStart"/>
      <w:proofErr w:type="gramStart"/>
      <w:r w:rsidRPr="00B010C5">
        <w:rPr>
          <w:rFonts w:cstheme="minorHAnsi"/>
          <w:sz w:val="24"/>
          <w:szCs w:val="24"/>
        </w:rPr>
        <w:t>McIntrye</w:t>
      </w:r>
      <w:proofErr w:type="spellEnd"/>
      <w:r w:rsidRPr="00B010C5">
        <w:rPr>
          <w:rFonts w:cstheme="minorHAnsi"/>
          <w:sz w:val="24"/>
          <w:szCs w:val="24"/>
        </w:rPr>
        <w:t xml:space="preserve">, D., D. </w:t>
      </w:r>
      <w:proofErr w:type="spellStart"/>
      <w:r w:rsidRPr="00B010C5">
        <w:rPr>
          <w:rFonts w:cstheme="minorHAnsi"/>
          <w:sz w:val="24"/>
          <w:szCs w:val="24"/>
        </w:rPr>
        <w:t>Pedder</w:t>
      </w:r>
      <w:proofErr w:type="spellEnd"/>
      <w:r w:rsidRPr="00B010C5">
        <w:rPr>
          <w:rFonts w:cstheme="minorHAnsi"/>
          <w:sz w:val="24"/>
          <w:szCs w:val="24"/>
        </w:rPr>
        <w:t>, and J. Ruddock.</w:t>
      </w:r>
      <w:proofErr w:type="gramEnd"/>
      <w:r w:rsidRPr="00B010C5">
        <w:rPr>
          <w:rFonts w:cstheme="minorHAnsi"/>
          <w:sz w:val="24"/>
          <w:szCs w:val="24"/>
        </w:rPr>
        <w:t xml:space="preserve"> 2005. Pupil voice: Comfortable and uncomfortable </w:t>
      </w:r>
      <w:proofErr w:type="spellStart"/>
      <w:r w:rsidRPr="00B010C5">
        <w:rPr>
          <w:rFonts w:cstheme="minorHAnsi"/>
          <w:sz w:val="24"/>
          <w:szCs w:val="24"/>
        </w:rPr>
        <w:t>learnings</w:t>
      </w:r>
      <w:proofErr w:type="spellEnd"/>
      <w:r w:rsidRPr="00B010C5">
        <w:rPr>
          <w:rFonts w:cstheme="minorHAnsi"/>
          <w:sz w:val="24"/>
          <w:szCs w:val="24"/>
        </w:rPr>
        <w:t xml:space="preserve"> for teachers. Research Papers in Education 20, no. 2: 149–68.</w:t>
      </w:r>
    </w:p>
    <w:p w:rsidR="00427E53" w:rsidRPr="00B010C5" w:rsidRDefault="00427E53" w:rsidP="00427E53">
      <w:pPr>
        <w:rPr>
          <w:rFonts w:cstheme="minorHAnsi"/>
          <w:sz w:val="24"/>
          <w:szCs w:val="24"/>
          <w:shd w:val="clear" w:color="auto" w:fill="FFFFFF"/>
        </w:rPr>
      </w:pPr>
      <w:hyperlink r:id="rId5" w:tooltip="Wai Ming Cheung" w:history="1">
        <w:r w:rsidRPr="00B010C5">
          <w:rPr>
            <w:rStyle w:val="Hyperlink"/>
            <w:rFonts w:cstheme="minorHAnsi"/>
            <w:sz w:val="24"/>
            <w:szCs w:val="24"/>
            <w:u w:val="none"/>
            <w:shd w:val="clear" w:color="auto" w:fill="FFFFFF"/>
          </w:rPr>
          <w:t>Ming Cheung, W.</w:t>
        </w:r>
      </w:hyperlink>
      <w:r w:rsidRPr="00B010C5">
        <w:rPr>
          <w:rFonts w:cstheme="minorHAnsi"/>
          <w:sz w:val="24"/>
          <w:szCs w:val="24"/>
          <w:shd w:val="clear" w:color="auto" w:fill="FFFFFF"/>
        </w:rPr>
        <w:t> and </w:t>
      </w:r>
      <w:hyperlink r:id="rId6" w:tooltip="Wing Yee Wong" w:history="1">
        <w:r w:rsidRPr="00B010C5">
          <w:rPr>
            <w:rStyle w:val="Hyperlink"/>
            <w:rFonts w:cstheme="minorHAnsi"/>
            <w:color w:val="007377"/>
            <w:sz w:val="24"/>
            <w:szCs w:val="24"/>
          </w:rPr>
          <w:t>Yee Wong, W.</w:t>
        </w:r>
      </w:hyperlink>
      <w:r w:rsidRPr="00B010C5">
        <w:rPr>
          <w:rFonts w:cstheme="minorHAnsi"/>
          <w:sz w:val="24"/>
          <w:szCs w:val="24"/>
          <w:shd w:val="clear" w:color="auto" w:fill="FFFFFF"/>
        </w:rPr>
        <w:t> (2014), "Does Lesson Study work</w:t>
      </w:r>
      <w:proofErr w:type="gramStart"/>
      <w:r w:rsidRPr="00B010C5">
        <w:rPr>
          <w:rFonts w:cstheme="minorHAnsi"/>
          <w:sz w:val="24"/>
          <w:szCs w:val="24"/>
          <w:shd w:val="clear" w:color="auto" w:fill="FFFFFF"/>
        </w:rPr>
        <w:t>? :</w:t>
      </w:r>
      <w:proofErr w:type="gramEnd"/>
      <w:r w:rsidRPr="00B010C5">
        <w:rPr>
          <w:rFonts w:cstheme="minorHAnsi"/>
          <w:sz w:val="24"/>
          <w:szCs w:val="24"/>
          <w:shd w:val="clear" w:color="auto" w:fill="FFFFFF"/>
        </w:rPr>
        <w:t xml:space="preserve"> A systematic review on the effects of Lesson Study and Learning Study on teachers and students", </w:t>
      </w:r>
      <w:hyperlink r:id="rId7" w:history="1">
        <w:r w:rsidRPr="00B010C5">
          <w:rPr>
            <w:rStyle w:val="Hyperlink"/>
            <w:rFonts w:cstheme="minorHAnsi"/>
            <w:i/>
            <w:iCs/>
            <w:color w:val="007377"/>
            <w:sz w:val="24"/>
            <w:szCs w:val="24"/>
            <w:u w:val="none"/>
          </w:rPr>
          <w:t>International Journal for Lesson and Learning Studies</w:t>
        </w:r>
      </w:hyperlink>
      <w:r w:rsidRPr="00B010C5">
        <w:rPr>
          <w:rFonts w:cstheme="minorHAnsi"/>
          <w:sz w:val="24"/>
          <w:szCs w:val="24"/>
          <w:shd w:val="clear" w:color="auto" w:fill="FFFFFF"/>
        </w:rPr>
        <w:t>, Vol. 3 No. 2, pp. 137-149.</w:t>
      </w:r>
    </w:p>
    <w:p w:rsidR="00427E53" w:rsidRPr="00B010C5" w:rsidRDefault="00427E53" w:rsidP="00427E53">
      <w:pPr>
        <w:rPr>
          <w:rFonts w:cstheme="minorHAnsi"/>
          <w:sz w:val="24"/>
          <w:szCs w:val="24"/>
        </w:rPr>
      </w:pPr>
      <w:proofErr w:type="spellStart"/>
      <w:proofErr w:type="gramStart"/>
      <w:r w:rsidRPr="00B010C5">
        <w:rPr>
          <w:rFonts w:cstheme="minorHAnsi"/>
          <w:sz w:val="24"/>
          <w:szCs w:val="24"/>
        </w:rPr>
        <w:t>Mitra</w:t>
      </w:r>
      <w:proofErr w:type="spellEnd"/>
      <w:r w:rsidRPr="00B010C5">
        <w:rPr>
          <w:rFonts w:cstheme="minorHAnsi"/>
          <w:sz w:val="24"/>
          <w:szCs w:val="24"/>
        </w:rPr>
        <w:t xml:space="preserve"> ,</w:t>
      </w:r>
      <w:proofErr w:type="gramEnd"/>
      <w:r w:rsidRPr="00B010C5">
        <w:rPr>
          <w:rFonts w:cstheme="minorHAnsi"/>
          <w:sz w:val="24"/>
          <w:szCs w:val="24"/>
        </w:rPr>
        <w:t xml:space="preserve"> D. 2001. </w:t>
      </w:r>
      <w:proofErr w:type="gramStart"/>
      <w:r w:rsidRPr="00B010C5">
        <w:rPr>
          <w:rFonts w:cstheme="minorHAnsi"/>
          <w:sz w:val="24"/>
          <w:szCs w:val="24"/>
        </w:rPr>
        <w:t xml:space="preserve">Opening the floodgates: </w:t>
      </w:r>
      <w:proofErr w:type="spellStart"/>
      <w:r w:rsidRPr="00B010C5">
        <w:rPr>
          <w:rFonts w:cstheme="minorHAnsi"/>
          <w:sz w:val="24"/>
          <w:szCs w:val="24"/>
        </w:rPr>
        <w:t>Gicing</w:t>
      </w:r>
      <w:proofErr w:type="spellEnd"/>
      <w:r w:rsidRPr="00B010C5">
        <w:rPr>
          <w:rFonts w:cstheme="minorHAnsi"/>
          <w:sz w:val="24"/>
          <w:szCs w:val="24"/>
        </w:rPr>
        <w:t xml:space="preserve"> students a voice in school reform.</w:t>
      </w:r>
      <w:proofErr w:type="gramEnd"/>
    </w:p>
    <w:p w:rsidR="00427E53" w:rsidRPr="00B010C5" w:rsidRDefault="00427E53" w:rsidP="00427E53">
      <w:pPr>
        <w:rPr>
          <w:rFonts w:cstheme="minorHAnsi"/>
          <w:sz w:val="24"/>
          <w:szCs w:val="24"/>
          <w:shd w:val="clear" w:color="auto" w:fill="FFFFFF"/>
        </w:rPr>
      </w:pPr>
    </w:p>
    <w:p w:rsidR="00427E53" w:rsidRPr="00B010C5" w:rsidRDefault="00427E53" w:rsidP="00427E53">
      <w:pPr>
        <w:rPr>
          <w:rFonts w:cstheme="minorHAnsi"/>
          <w:color w:val="000000"/>
          <w:spacing w:val="5"/>
          <w:sz w:val="24"/>
          <w:szCs w:val="24"/>
          <w:shd w:val="clear" w:color="auto" w:fill="FFFFFF"/>
        </w:rPr>
      </w:pPr>
      <w:r w:rsidRPr="00B010C5">
        <w:rPr>
          <w:rFonts w:cstheme="minorHAnsi"/>
          <w:color w:val="000000"/>
          <w:spacing w:val="5"/>
          <w:sz w:val="24"/>
          <w:szCs w:val="24"/>
          <w:shd w:val="clear" w:color="auto" w:fill="FFFFFF"/>
        </w:rPr>
        <w:t xml:space="preserve">Ruth </w:t>
      </w:r>
      <w:proofErr w:type="spellStart"/>
      <w:r w:rsidRPr="00B010C5">
        <w:rPr>
          <w:rFonts w:cstheme="minorHAnsi"/>
          <w:color w:val="000000"/>
          <w:spacing w:val="5"/>
          <w:sz w:val="24"/>
          <w:szCs w:val="24"/>
          <w:shd w:val="clear" w:color="auto" w:fill="FFFFFF"/>
        </w:rPr>
        <w:t>Dann</w:t>
      </w:r>
      <w:proofErr w:type="spellEnd"/>
      <w:r w:rsidRPr="00B010C5">
        <w:rPr>
          <w:rFonts w:cstheme="minorHAnsi"/>
          <w:color w:val="000000"/>
          <w:spacing w:val="5"/>
          <w:sz w:val="24"/>
          <w:szCs w:val="24"/>
          <w:shd w:val="clear" w:color="auto" w:fill="FFFFFF"/>
        </w:rPr>
        <w:t xml:space="preserve"> 2002 </w:t>
      </w:r>
      <w:hyperlink r:id="rId8" w:history="1">
        <w:r w:rsidRPr="00B010C5">
          <w:rPr>
            <w:rStyle w:val="Hyperlink"/>
            <w:rFonts w:cstheme="minorHAnsi"/>
            <w:spacing w:val="5"/>
            <w:sz w:val="24"/>
            <w:szCs w:val="24"/>
            <w:shd w:val="clear" w:color="auto" w:fill="FFFFFF"/>
          </w:rPr>
          <w:t>file:///C:/Users/keri/Downloads/9780203470152_previewpdf.pdf</w:t>
        </w:r>
      </w:hyperlink>
    </w:p>
    <w:p w:rsidR="00427E53" w:rsidRPr="00B010C5" w:rsidRDefault="00427E53" w:rsidP="00427E53">
      <w:pPr>
        <w:rPr>
          <w:rFonts w:cstheme="minorHAnsi"/>
          <w:sz w:val="24"/>
          <w:szCs w:val="24"/>
        </w:rPr>
      </w:pPr>
      <w:proofErr w:type="gramStart"/>
      <w:r w:rsidRPr="00B010C5">
        <w:rPr>
          <w:rFonts w:cstheme="minorHAnsi"/>
          <w:sz w:val="24"/>
          <w:szCs w:val="24"/>
        </w:rPr>
        <w:lastRenderedPageBreak/>
        <w:t xml:space="preserve">Robinson, V., </w:t>
      </w:r>
      <w:proofErr w:type="spellStart"/>
      <w:r w:rsidRPr="00B010C5">
        <w:rPr>
          <w:rFonts w:cstheme="minorHAnsi"/>
          <w:sz w:val="24"/>
          <w:szCs w:val="24"/>
        </w:rPr>
        <w:t>Hohepa</w:t>
      </w:r>
      <w:proofErr w:type="spellEnd"/>
      <w:r w:rsidRPr="00B010C5">
        <w:rPr>
          <w:rFonts w:cstheme="minorHAnsi"/>
          <w:sz w:val="24"/>
          <w:szCs w:val="24"/>
        </w:rPr>
        <w:t>, M., &amp; Lloyd, C. (2009).</w:t>
      </w:r>
      <w:proofErr w:type="gramEnd"/>
      <w:r w:rsidRPr="00B010C5">
        <w:rPr>
          <w:rFonts w:cstheme="minorHAnsi"/>
          <w:sz w:val="24"/>
          <w:szCs w:val="24"/>
        </w:rPr>
        <w:t xml:space="preserve"> School leadership and student outcomes: identifying what works and why best evidence synthesis. Auckland: New Zealand Ministry of Education.</w:t>
      </w:r>
    </w:p>
    <w:p w:rsidR="00427E53" w:rsidRDefault="00427E53" w:rsidP="4CBCA962">
      <w:pPr>
        <w:spacing w:after="200" w:line="360" w:lineRule="auto"/>
        <w:rPr>
          <w:sz w:val="24"/>
          <w:szCs w:val="24"/>
          <w:lang w:val="cy-GB"/>
        </w:rPr>
      </w:pPr>
    </w:p>
    <w:p w:rsidR="4CBCA962" w:rsidRDefault="4CBCA962" w:rsidP="4CBCA962">
      <w:pPr>
        <w:rPr>
          <w:lang w:val="cy-GB"/>
        </w:rPr>
      </w:pPr>
    </w:p>
    <w:p w:rsidR="4CBCA962" w:rsidRDefault="4CBCA962" w:rsidP="4CBCA962">
      <w:pPr>
        <w:rPr>
          <w:lang w:val="cy-GB"/>
        </w:rPr>
      </w:pPr>
    </w:p>
    <w:sectPr w:rsidR="4CBCA962" w:rsidSect="00477D3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intelligence2.xml><?xml version="1.0" encoding="utf-8"?>
<int2:intelligence xmlns:int2="http://schemas.microsoft.com/office/intelligence/2020/intelligence">
  <int2:observations>
    <int2:textHash int2:hashCode="0WHy8LBVQlhu0c" int2:id="xtwvqJ1l">
      <int2:state int2:type="LegacyProofing" int2:value="Rejected"/>
    </int2:textHash>
    <int2:textHash int2:hashCode="51grlQczGlVktj" int2:id="v3jFRP3B">
      <int2:state int2:type="LegacyProofing" int2:value="Rejected"/>
    </int2:textHash>
    <int2:textHash int2:hashCode="RUi46jgDK+uUKh" int2:id="x4jFsccB">
      <int2:state int2:type="LegacyProofing" int2:value="Rejected"/>
    </int2:textHash>
    <int2:textHash int2:hashCode="nBTWsyp0wUotqa" int2:id="mDbUdvRN">
      <int2:state int2:type="LegacyProofing" int2:value="Rejected"/>
    </int2:textHash>
  </int2:observations>
  <int2:intelligenceSettings/>
</int2:intelligenc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282C2175"/>
    <w:rsid w:val="000E6733"/>
    <w:rsid w:val="00399252"/>
    <w:rsid w:val="00427E53"/>
    <w:rsid w:val="00477D37"/>
    <w:rsid w:val="005C4413"/>
    <w:rsid w:val="006E6252"/>
    <w:rsid w:val="00A358B2"/>
    <w:rsid w:val="00E03EFA"/>
    <w:rsid w:val="00EAF487"/>
    <w:rsid w:val="01D562B3"/>
    <w:rsid w:val="02674F2A"/>
    <w:rsid w:val="03D24D38"/>
    <w:rsid w:val="03DAF974"/>
    <w:rsid w:val="065CA47A"/>
    <w:rsid w:val="07129A36"/>
    <w:rsid w:val="08AE6A97"/>
    <w:rsid w:val="08BD6851"/>
    <w:rsid w:val="094AE204"/>
    <w:rsid w:val="09B070AB"/>
    <w:rsid w:val="0A0575DF"/>
    <w:rsid w:val="0A85E13D"/>
    <w:rsid w:val="0B02D33C"/>
    <w:rsid w:val="0B9ABA7B"/>
    <w:rsid w:val="0C9EA39D"/>
    <w:rsid w:val="0D8E5BCC"/>
    <w:rsid w:val="0E8C7E5A"/>
    <w:rsid w:val="0ED8E702"/>
    <w:rsid w:val="0F1DAC1B"/>
    <w:rsid w:val="0F402A03"/>
    <w:rsid w:val="106D0841"/>
    <w:rsid w:val="1074B763"/>
    <w:rsid w:val="129CE8B2"/>
    <w:rsid w:val="14001AF8"/>
    <w:rsid w:val="1653FF2E"/>
    <w:rsid w:val="1728BE00"/>
    <w:rsid w:val="1737BBBA"/>
    <w:rsid w:val="1792F55E"/>
    <w:rsid w:val="17FB6B10"/>
    <w:rsid w:val="18AC7C6B"/>
    <w:rsid w:val="18C2AB53"/>
    <w:rsid w:val="190E0AE6"/>
    <w:rsid w:val="191417BC"/>
    <w:rsid w:val="191E8707"/>
    <w:rsid w:val="19973B71"/>
    <w:rsid w:val="19D508A8"/>
    <w:rsid w:val="19E55D8B"/>
    <w:rsid w:val="1AA9DB47"/>
    <w:rsid w:val="1AD58F91"/>
    <w:rsid w:val="1B9A5649"/>
    <w:rsid w:val="1CF27A56"/>
    <w:rsid w:val="1DE788DF"/>
    <w:rsid w:val="1E0D3053"/>
    <w:rsid w:val="1E3FD3A6"/>
    <w:rsid w:val="1EF06C8D"/>
    <w:rsid w:val="1F7D4C6A"/>
    <w:rsid w:val="206DC76C"/>
    <w:rsid w:val="2191127F"/>
    <w:rsid w:val="21A18EA0"/>
    <w:rsid w:val="21B6BAEE"/>
    <w:rsid w:val="22280D4F"/>
    <w:rsid w:val="230FD59A"/>
    <w:rsid w:val="23460B3D"/>
    <w:rsid w:val="23C3DDB0"/>
    <w:rsid w:val="24ABA5FB"/>
    <w:rsid w:val="24AF152A"/>
    <w:rsid w:val="25281032"/>
    <w:rsid w:val="255FAE11"/>
    <w:rsid w:val="263662C3"/>
    <w:rsid w:val="27020A37"/>
    <w:rsid w:val="282C2175"/>
    <w:rsid w:val="297F171E"/>
    <w:rsid w:val="2AA002EE"/>
    <w:rsid w:val="2AEF4448"/>
    <w:rsid w:val="2BBB5480"/>
    <w:rsid w:val="2C6684FF"/>
    <w:rsid w:val="300C7C4F"/>
    <w:rsid w:val="3023CF8F"/>
    <w:rsid w:val="322A9604"/>
    <w:rsid w:val="33ABB862"/>
    <w:rsid w:val="33ADEE09"/>
    <w:rsid w:val="347CFE31"/>
    <w:rsid w:val="3549BE6A"/>
    <w:rsid w:val="367AA76C"/>
    <w:rsid w:val="36DD4C4E"/>
    <w:rsid w:val="376E6A5F"/>
    <w:rsid w:val="38468B6A"/>
    <w:rsid w:val="39E25BCB"/>
    <w:rsid w:val="3A6FD57E"/>
    <w:rsid w:val="3A7344AD"/>
    <w:rsid w:val="3B92EC5D"/>
    <w:rsid w:val="3BB6CA47"/>
    <w:rsid w:val="3C4E5B94"/>
    <w:rsid w:val="3D19FC8D"/>
    <w:rsid w:val="3D529AA8"/>
    <w:rsid w:val="3F46B5D0"/>
    <w:rsid w:val="40519D4F"/>
    <w:rsid w:val="415B8139"/>
    <w:rsid w:val="4248A754"/>
    <w:rsid w:val="455F8D3D"/>
    <w:rsid w:val="45E831E3"/>
    <w:rsid w:val="462EF25C"/>
    <w:rsid w:val="47DFD8E0"/>
    <w:rsid w:val="497BA941"/>
    <w:rsid w:val="49D0597E"/>
    <w:rsid w:val="4A9155FD"/>
    <w:rsid w:val="4AAAF414"/>
    <w:rsid w:val="4BF4AF81"/>
    <w:rsid w:val="4C46C475"/>
    <w:rsid w:val="4CBCA962"/>
    <w:rsid w:val="4CC33527"/>
    <w:rsid w:val="4D0622C5"/>
    <w:rsid w:val="4D96536C"/>
    <w:rsid w:val="4DC8F6BF"/>
    <w:rsid w:val="4DD9E89A"/>
    <w:rsid w:val="4DE294D6"/>
    <w:rsid w:val="4E083D45"/>
    <w:rsid w:val="505025D8"/>
    <w:rsid w:val="51009781"/>
    <w:rsid w:val="5111895C"/>
    <w:rsid w:val="511A3598"/>
    <w:rsid w:val="512AB1B9"/>
    <w:rsid w:val="51571BE0"/>
    <w:rsid w:val="52AD59BD"/>
    <w:rsid w:val="5316CA2B"/>
    <w:rsid w:val="535F29CE"/>
    <w:rsid w:val="54F6628B"/>
    <w:rsid w:val="55FA26CD"/>
    <w:rsid w:val="5780CAE0"/>
    <w:rsid w:val="57B19D33"/>
    <w:rsid w:val="57E8D40D"/>
    <w:rsid w:val="5893CF5D"/>
    <w:rsid w:val="58F31EFC"/>
    <w:rsid w:val="591C9B41"/>
    <w:rsid w:val="5960EDC2"/>
    <w:rsid w:val="598DF935"/>
    <w:rsid w:val="59A9A5B5"/>
    <w:rsid w:val="5A2F9FBE"/>
    <w:rsid w:val="5AFCBE23"/>
    <w:rsid w:val="5C850E56"/>
    <w:rsid w:val="5CBC4530"/>
    <w:rsid w:val="5CE047FA"/>
    <w:rsid w:val="5D42C2E4"/>
    <w:rsid w:val="5DCC35F0"/>
    <w:rsid w:val="5DF8B8A0"/>
    <w:rsid w:val="5ED8F28C"/>
    <w:rsid w:val="606F2397"/>
    <w:rsid w:val="612F9AAC"/>
    <w:rsid w:val="620AF3F8"/>
    <w:rsid w:val="6245AC0F"/>
    <w:rsid w:val="626BB82A"/>
    <w:rsid w:val="632ECEA5"/>
    <w:rsid w:val="634F897E"/>
    <w:rsid w:val="659D24D8"/>
    <w:rsid w:val="65A1F1AB"/>
    <w:rsid w:val="66115CE1"/>
    <w:rsid w:val="66AC2B87"/>
    <w:rsid w:val="66C157D5"/>
    <w:rsid w:val="693AC2BC"/>
    <w:rsid w:val="6A15196E"/>
    <w:rsid w:val="6A7562CE"/>
    <w:rsid w:val="6BE9816F"/>
    <w:rsid w:val="6D4DA69F"/>
    <w:rsid w:val="6ECF6234"/>
    <w:rsid w:val="7058C4B1"/>
    <w:rsid w:val="70C0EDA6"/>
    <w:rsid w:val="72040A7C"/>
    <w:rsid w:val="72C74DB5"/>
    <w:rsid w:val="736B1713"/>
    <w:rsid w:val="73906573"/>
    <w:rsid w:val="73C4D5A9"/>
    <w:rsid w:val="7441465B"/>
    <w:rsid w:val="74A2C2C8"/>
    <w:rsid w:val="752C35D4"/>
    <w:rsid w:val="76DA7419"/>
    <w:rsid w:val="770108F7"/>
    <w:rsid w:val="7805480B"/>
    <w:rsid w:val="7876447A"/>
    <w:rsid w:val="78905946"/>
    <w:rsid w:val="791EB272"/>
    <w:rsid w:val="79F5F404"/>
    <w:rsid w:val="7A94067E"/>
    <w:rsid w:val="7AAF8962"/>
    <w:rsid w:val="7CEB15FF"/>
    <w:rsid w:val="7D630BB3"/>
    <w:rsid w:val="7E640D6E"/>
    <w:rsid w:val="7F4F242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D3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7D37"/>
    <w:rPr>
      <w:color w:val="0563C1" w:themeColor="hyperlink"/>
      <w:u w:val="single"/>
    </w:rPr>
  </w:style>
  <w:style w:type="character" w:styleId="Emphasis">
    <w:name w:val="Emphasis"/>
    <w:basedOn w:val="DefaultParagraphFont"/>
    <w:uiPriority w:val="20"/>
    <w:qFormat/>
    <w:rsid w:val="00427E53"/>
    <w:rPr>
      <w:i/>
      <w:i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eri/Downloads/9780203470152_previewpdf.pdf" TargetMode="External"/><Relationship Id="rId3" Type="http://schemas.openxmlformats.org/officeDocument/2006/relationships/webSettings" Target="webSettings.xml"/><Relationship Id="rId7" Type="http://schemas.openxmlformats.org/officeDocument/2006/relationships/hyperlink" Target="https://www.emerald.com/insight/publication/issn/2046-825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merald.com/insight/search?q=Wing%20Yee%20Wong" TargetMode="External"/><Relationship Id="rId5" Type="http://schemas.openxmlformats.org/officeDocument/2006/relationships/hyperlink" Target="https://www.emerald.com/insight/search?q=Wai%20Ming%20Cheung" TargetMode="External"/><Relationship Id="rId10" Type="http://schemas.openxmlformats.org/officeDocument/2006/relationships/theme" Target="theme/theme1.xml"/><Relationship Id="rId4" Type="http://schemas.openxmlformats.org/officeDocument/2006/relationships/hyperlink" Target="https://learningjournals.co.uk/reggio-emilia-emmi-pikler-rudolf-stein-different-approaches-learning/" TargetMode="External"/><Relationship Id="rId9" Type="http://schemas.openxmlformats.org/officeDocument/2006/relationships/fontTable" Target="fontTable.xml"/><Relationship Id="R00ab59b2ec3049f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4355</Words>
  <Characters>24828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Kelsie Andrews (1902489)</dc:creator>
  <cp:lastModifiedBy>Keri - The Liberty Group</cp:lastModifiedBy>
  <cp:revision>2</cp:revision>
  <dcterms:created xsi:type="dcterms:W3CDTF">2022-02-25T23:46:00Z</dcterms:created>
  <dcterms:modified xsi:type="dcterms:W3CDTF">2022-02-25T23:46:00Z</dcterms:modified>
</cp:coreProperties>
</file>