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jc w:val="center"/>
        <w:rPr>
          <w:b w:val="1"/>
          <w:bCs w:val="1"/>
          <w:sz w:val="40"/>
          <w:szCs w:val="40"/>
        </w:rPr>
      </w:pPr>
      <w:r w:rsidDel="00000000" w:rsidR="00000000" w:rsidRPr="00000000">
        <w:rPr>
          <w:rtl w:val="0"/>
        </w:rPr>
      </w:r>
    </w:p>
    <w:bookmarkStart w:colFirst="0" w:colLast="0" w:name="40p5xnujdnye" w:id="0"/>
    <w:bookmarkEnd w:id="0"/>
    <w:p w:rsidR="00000000" w:rsidDel="00000000" w:rsidP="00000000" w:rsidRDefault="00000000" w:rsidRPr="00000000" w14:paraId="00000003">
      <w:pPr>
        <w:spacing w:line="278.00000000000006" w:lineRule="auto"/>
        <w:ind w:left="502" w:hanging="360"/>
        <w:jc w:val="center"/>
        <w:rPr>
          <w:color w:val="1f2328"/>
        </w:rPr>
      </w:pPr>
      <w:r w:rsidDel="00000000" w:rsidR="00000000" w:rsidRPr="00000000">
        <w:rPr>
          <w:b w:val="1"/>
          <w:bCs w:val="1"/>
        </w:rPr>
        <w:drawing>
          <wp:inline distB="0" distT="0" distL="0" distR="0">
            <wp:extent cx="2238687" cy="924054"/>
            <wp:effectExtent b="0" l="0" r="0" t="0"/>
            <wp:docPr descr="A close up of a sign&#10;&#10;AI-generated content may be incorrect." id="1" name="image2.png"/>
            <a:graphic>
              <a:graphicData uri="http://schemas.openxmlformats.org/drawingml/2006/picture">
                <pic:pic>
                  <pic:nvPicPr>
                    <pic:cNvPr descr="A close up of a sign&#10;&#10;AI-generated content may be incorrect." id="0" name="image2.png"/>
                    <pic:cNvPicPr preferRelativeResize="0"/>
                  </pic:nvPicPr>
                  <pic:blipFill>
                    <a:blip r:embed="rId6"/>
                    <a:srcRect b="0" l="0" r="0" t="0"/>
                    <a:stretch>
                      <a:fillRect/>
                    </a:stretch>
                  </pic:blipFill>
                  <pic:spPr>
                    <a:xfrm>
                      <a:off x="0" y="0"/>
                      <a:ext cx="2238687" cy="924054"/>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pStyle w:val="Heading1"/>
        <w:keepNext w:val="0"/>
        <w:keepLines w:val="0"/>
        <w:spacing w:after="120" w:before="480" w:line="278.00000000000006" w:lineRule="auto"/>
        <w:ind w:left="502" w:hanging="360"/>
        <w:jc w:val="center"/>
        <w:rPr>
          <w:color w:val="1f2328"/>
          <w:sz w:val="46"/>
          <w:szCs w:val="46"/>
        </w:rPr>
      </w:pPr>
      <w:bookmarkStart w:colFirst="0" w:colLast="0" w:name="_3r29a2olp5ps" w:id="1"/>
      <w:bookmarkEnd w:id="1"/>
      <w:r w:rsidDel="00000000" w:rsidR="00000000" w:rsidRPr="00000000">
        <w:rPr>
          <w:color w:val="1f2328"/>
          <w:sz w:val="46"/>
          <w:szCs w:val="46"/>
          <w:rtl w:val="0"/>
        </w:rPr>
        <w:t xml:space="preserve">Data Security, Governance and Compliance</w:t>
      </w:r>
    </w:p>
    <w:p w:rsidR="00000000" w:rsidDel="00000000" w:rsidP="00000000" w:rsidRDefault="00000000" w:rsidRPr="00000000" w14:paraId="00000005">
      <w:pPr>
        <w:spacing w:line="278.00000000000006" w:lineRule="auto"/>
        <w:jc w:val="left"/>
        <w:rPr/>
      </w:pPr>
      <w:r w:rsidDel="00000000" w:rsidR="00000000" w:rsidRPr="00000000">
        <w:rPr>
          <w:rtl w:val="0"/>
        </w:rPr>
      </w:r>
    </w:p>
    <w:p w:rsidR="00000000" w:rsidDel="00000000" w:rsidP="00000000" w:rsidRDefault="00000000" w:rsidRPr="00000000" w14:paraId="00000006">
      <w:pPr>
        <w:spacing w:line="278.00000000000006" w:lineRule="auto"/>
        <w:jc w:val="left"/>
        <w:rPr/>
      </w:pPr>
      <w:r w:rsidDel="00000000" w:rsidR="00000000" w:rsidRPr="00000000">
        <w:rPr>
          <w:rtl w:val="0"/>
        </w:rPr>
      </w:r>
    </w:p>
    <w:p w:rsidR="00000000" w:rsidDel="00000000" w:rsidP="00000000" w:rsidRDefault="00000000" w:rsidRPr="00000000" w14:paraId="00000007">
      <w:pPr>
        <w:spacing w:line="278.00000000000006" w:lineRule="auto"/>
        <w:jc w:val="left"/>
        <w:rPr/>
      </w:pPr>
      <w:r w:rsidDel="00000000" w:rsidR="00000000" w:rsidRPr="00000000">
        <w:rPr>
          <w:rtl w:val="0"/>
        </w:rPr>
      </w:r>
    </w:p>
    <w:p w:rsidR="00000000" w:rsidDel="00000000" w:rsidP="00000000" w:rsidRDefault="00000000" w:rsidRPr="00000000" w14:paraId="00000008">
      <w:pPr>
        <w:spacing w:line="278.00000000000006" w:lineRule="auto"/>
        <w:jc w:val="left"/>
        <w:rPr/>
      </w:pPr>
      <w:r w:rsidDel="00000000" w:rsidR="00000000" w:rsidRPr="00000000">
        <w:rPr>
          <w:rtl w:val="0"/>
        </w:rPr>
      </w:r>
    </w:p>
    <w:p w:rsidR="00000000" w:rsidDel="00000000" w:rsidP="00000000" w:rsidRDefault="00000000" w:rsidRPr="00000000" w14:paraId="00000009">
      <w:pPr>
        <w:spacing w:after="0" w:line="240" w:lineRule="auto"/>
        <w:jc w:val="left"/>
        <w:rPr>
          <w:rFonts w:ascii="Arial" w:cs="Arial" w:eastAsia="Arial" w:hAnsi="Arial"/>
          <w:sz w:val="22"/>
          <w:szCs w:val="22"/>
        </w:rPr>
      </w:pPr>
      <w:r w:rsidDel="00000000" w:rsidR="00000000" w:rsidRPr="00000000">
        <w:rPr>
          <w:b w:val="1"/>
          <w:bCs w:val="1"/>
          <w:sz w:val="28"/>
          <w:szCs w:val="28"/>
          <w:rtl w:val="0"/>
        </w:rPr>
        <w:t xml:space="preserve">Programme Name: </w:t>
      </w:r>
      <w:r w:rsidDel="00000000" w:rsidR="00000000" w:rsidRPr="00000000">
        <w:rPr>
          <w:sz w:val="28"/>
          <w:szCs w:val="28"/>
          <w:rtl w:val="0"/>
        </w:rPr>
        <w:t xml:space="preserve">MSc Cybersecurity &amp; Digital Forensics</w:t>
        <w:br w:type="textWrapping"/>
      </w:r>
      <w:r w:rsidDel="00000000" w:rsidR="00000000" w:rsidRPr="00000000">
        <w:rPr>
          <w:b w:val="1"/>
          <w:bCs w:val="1"/>
          <w:sz w:val="28"/>
          <w:szCs w:val="28"/>
          <w:rtl w:val="0"/>
        </w:rPr>
        <w:t xml:space="preserve">Module Name : </w:t>
      </w:r>
      <w:r w:rsidDel="00000000" w:rsidR="00000000" w:rsidRPr="00000000">
        <w:rPr>
          <w:sz w:val="28"/>
          <w:szCs w:val="28"/>
          <w:rtl w:val="0"/>
        </w:rPr>
        <w:t xml:space="preserve">Data Security, Governance and Compliance</w:t>
        <w:br w:type="textWrapping"/>
      </w:r>
      <w:r w:rsidDel="00000000" w:rsidR="00000000" w:rsidRPr="00000000">
        <w:rPr>
          <w:b w:val="1"/>
          <w:bCs w:val="1"/>
          <w:sz w:val="28"/>
          <w:szCs w:val="28"/>
          <w:rtl w:val="0"/>
        </w:rPr>
        <w:t xml:space="preserve">Module code: </w:t>
      </w:r>
      <w:r w:rsidDel="00000000" w:rsidR="00000000" w:rsidRPr="00000000">
        <w:rPr>
          <w:sz w:val="28"/>
          <w:szCs w:val="28"/>
          <w:rtl w:val="0"/>
        </w:rPr>
        <w:t xml:space="preserve">ACCA7028</w:t>
      </w:r>
      <w:r w:rsidDel="00000000" w:rsidR="00000000" w:rsidRPr="00000000">
        <w:rPr>
          <w:b w:val="1"/>
          <w:bCs w:val="1"/>
          <w:sz w:val="28"/>
          <w:szCs w:val="28"/>
          <w:rtl w:val="0"/>
        </w:rPr>
        <w:t xml:space="preserve"> </w:t>
      </w:r>
      <w:r w:rsidDel="00000000" w:rsidR="00000000" w:rsidRPr="00000000">
        <w:rPr>
          <w:sz w:val="28"/>
          <w:szCs w:val="28"/>
          <w:rtl w:val="0"/>
        </w:rPr>
        <w:br w:type="textWrapping"/>
      </w:r>
      <w:r w:rsidDel="00000000" w:rsidR="00000000" w:rsidRPr="00000000">
        <w:rPr>
          <w:b w:val="1"/>
          <w:bCs w:val="1"/>
          <w:sz w:val="28"/>
          <w:szCs w:val="28"/>
          <w:rtl w:val="0"/>
        </w:rPr>
        <w:t xml:space="preserve">Lecturer: </w:t>
      </w:r>
      <w:r w:rsidDel="00000000" w:rsidR="00000000" w:rsidRPr="00000000">
        <w:rPr>
          <w:sz w:val="28"/>
          <w:szCs w:val="28"/>
          <w:rtl w:val="0"/>
        </w:rPr>
        <w:t xml:space="preserve">Dr DIPO DUNSIN</w:t>
      </w:r>
      <w:r w:rsidDel="00000000" w:rsidR="00000000" w:rsidRPr="00000000">
        <w:rPr>
          <w:b w:val="1"/>
          <w:bCs w:val="1"/>
          <w:sz w:val="28"/>
          <w:szCs w:val="28"/>
          <w:rtl w:val="0"/>
        </w:rPr>
        <w:br w:type="textWrapping"/>
        <w:t xml:space="preserve">Student Name: </w:t>
      </w:r>
      <w:r w:rsidDel="00000000" w:rsidR="00000000" w:rsidRPr="00000000">
        <w:rPr>
          <w:sz w:val="28"/>
          <w:szCs w:val="28"/>
          <w:rtl w:val="0"/>
        </w:rPr>
        <w:t xml:space="preserve">Patel Aryan Kamleshbhai</w:t>
      </w:r>
      <w:r w:rsidDel="00000000" w:rsidR="00000000" w:rsidRPr="00000000">
        <w:rPr>
          <w:b w:val="1"/>
          <w:bCs w:val="1"/>
          <w:sz w:val="28"/>
          <w:szCs w:val="28"/>
          <w:rtl w:val="0"/>
        </w:rPr>
        <w:br w:type="textWrapping"/>
        <w:t xml:space="preserve">Student ID: </w:t>
      </w:r>
      <w:r w:rsidDel="00000000" w:rsidR="00000000" w:rsidRPr="00000000">
        <w:rPr>
          <w:color w:val="0f0f0f"/>
          <w:sz w:val="28"/>
          <w:szCs w:val="28"/>
          <w:highlight w:val="white"/>
          <w:rtl w:val="0"/>
        </w:rPr>
        <w:t xml:space="preserve">2503854</w:t>
      </w:r>
      <w:r w:rsidDel="00000000" w:rsidR="00000000" w:rsidRPr="00000000">
        <w:rPr>
          <w:rtl w:val="0"/>
        </w:rPr>
      </w:r>
    </w:p>
    <w:p w:rsidR="00000000" w:rsidDel="00000000" w:rsidP="00000000" w:rsidRDefault="00000000" w:rsidRPr="00000000" w14:paraId="0000000A">
      <w:pPr>
        <w:jc w:val="center"/>
        <w:rPr>
          <w:b w:val="1"/>
          <w:bCs w:val="1"/>
          <w:sz w:val="40"/>
          <w:szCs w:val="40"/>
        </w:rPr>
      </w:pPr>
      <w:r w:rsidDel="00000000" w:rsidR="00000000" w:rsidRPr="00000000">
        <w:rPr>
          <w:rtl w:val="0"/>
        </w:rPr>
      </w:r>
    </w:p>
    <w:p w:rsidR="00000000" w:rsidDel="00000000" w:rsidP="00000000" w:rsidRDefault="00000000" w:rsidRPr="00000000" w14:paraId="0000000B">
      <w:pPr>
        <w:pStyle w:val="Heading1"/>
        <w:rPr/>
      </w:pPr>
      <w:bookmarkStart w:colFirst="0" w:colLast="0" w:name="_mvazkl2xhxg" w:id="2"/>
      <w:bookmarkEnd w:id="2"/>
      <w:r w:rsidDel="00000000" w:rsidR="00000000" w:rsidRPr="00000000">
        <w:br w:type="column"/>
      </w:r>
      <w:r w:rsidDel="00000000" w:rsidR="00000000" w:rsidRPr="00000000">
        <w:rPr>
          <w:rtl w:val="0"/>
        </w:rPr>
        <w:t xml:space="preserve">Abstract</w:t>
      </w:r>
    </w:p>
    <w:p w:rsidR="00000000" w:rsidDel="00000000" w:rsidP="00000000" w:rsidRDefault="00000000" w:rsidRPr="00000000" w14:paraId="0000000C">
      <w:pPr>
        <w:rPr/>
      </w:pPr>
      <w:r w:rsidDel="00000000" w:rsidR="00000000" w:rsidRPr="00000000">
        <w:rPr>
          <w:rtl w:val="0"/>
        </w:rPr>
        <w:t xml:space="preserve">The report entails a comprehensive security strategy of NatureGreen (NG), a transnational corporation with a lot of data protection problems due to its reliance on cloud-based solutions, wireless and a BYOD policy. The report addresses the ISO 27000 and ITIL models and offers recommendations on a tailored security model in an attempt to address the issue of data confidentiality, integrity and availability. Strong access controls, encryption, and incident response measures, and active risk management measures are the key recommendations. The second important concern which is also mentioned in the report is the necessity to remain in line with the regulations addressing the laws like GDPR and CCPA. Finally, it puts awareness on the need to keep the security policies and structures updated at all times so as to reduce the crumbling cybersecurity risks and business continuity.</w:t>
      </w:r>
    </w:p>
    <w:p w:rsidR="00000000" w:rsidDel="00000000" w:rsidP="00000000" w:rsidRDefault="00000000" w:rsidRPr="00000000" w14:paraId="0000000D">
      <w:pPr>
        <w:spacing w:after="0" w:line="240" w:lineRule="auto"/>
        <w:jc w:val="left"/>
        <w:rPr/>
      </w:pPr>
      <w:r w:rsidDel="00000000" w:rsidR="00000000" w:rsidRPr="00000000">
        <w:br w:type="column"/>
      </w: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32"/>
          <w:szCs w:val="32"/>
          <w:u w:val="none"/>
          <w:shd w:fill="auto" w:val="clear"/>
          <w:vertAlign w:val="baseline"/>
          <w:rtl w:val="0"/>
        </w:rPr>
        <w:t xml:space="preserve">Table of Contents</w:t>
      </w:r>
    </w:p>
    <w:sdt>
      <w:sdtPr>
        <w:id w:val="-1859252951"/>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mvazkl2xhx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Abstract</w:t>
              <w:tab/>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nigbo41pta4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r>
          </w:hyperlink>
          <w:r w:rsidDel="00000000" w:rsidR="00000000" w:rsidRPr="00000000">
            <w:rPr>
              <w:rFonts w:ascii="Calibri" w:cs="Calibri" w:eastAsia="Calibri" w:hAnsi="Calibri"/>
              <w:sz w:val="22"/>
              <w:szCs w:val="22"/>
              <w:rtl w:val="0"/>
            </w:rPr>
            <w:t xml:space="preserve">…………………………………………………………………………………………...1</w:t>
          </w:r>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gb81ra2884q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Literature Review</w:t>
              <w:tab/>
            </w:r>
          </w:hyperlink>
          <w:r w:rsidDel="00000000" w:rsidR="00000000" w:rsidRPr="00000000">
            <w:rPr>
              <w:rFonts w:ascii="Calibri" w:cs="Calibri" w:eastAsia="Calibri" w:hAnsi="Calibri"/>
              <w:sz w:val="22"/>
              <w:szCs w:val="22"/>
              <w:rtl w:val="0"/>
            </w:rPr>
            <w:t xml:space="preserve">…………………………………………………………………………………….1</w:t>
          </w:r>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1qj1l4i2cs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Security Frameworks and Models</w:t>
              <w:tab/>
            </w:r>
          </w:hyperlink>
          <w:r w:rsidDel="00000000" w:rsidR="00000000" w:rsidRPr="00000000">
            <w:rPr>
              <w:rFonts w:ascii="Calibri" w:cs="Calibri" w:eastAsia="Calibri" w:hAnsi="Calibri"/>
              <w:sz w:val="22"/>
              <w:szCs w:val="22"/>
              <w:rtl w:val="0"/>
            </w:rPr>
            <w:t xml:space="preserve">………………………………………………………………..1</w:t>
          </w: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y41svxmf1kk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Governance, Compliance, and Risk Management</w:t>
              <w:tab/>
            </w:r>
          </w:hyperlink>
          <w:r w:rsidDel="00000000" w:rsidR="00000000" w:rsidRPr="00000000">
            <w:rPr>
              <w:rFonts w:ascii="Calibri" w:cs="Calibri" w:eastAsia="Calibri" w:hAnsi="Calibri"/>
              <w:sz w:val="22"/>
              <w:szCs w:val="22"/>
              <w:rtl w:val="0"/>
            </w:rPr>
            <w:t xml:space="preserve">……………………………………………...3</w:t>
          </w:r>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3zfpgq2zpv6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Analysis of NatureGreen’s Data Security Needs</w:t>
              <w:tab/>
            </w:r>
          </w:hyperlink>
          <w:r w:rsidDel="00000000" w:rsidR="00000000" w:rsidRPr="00000000">
            <w:rPr>
              <w:rFonts w:ascii="Calibri" w:cs="Calibri" w:eastAsia="Calibri" w:hAnsi="Calibri"/>
              <w:sz w:val="22"/>
              <w:szCs w:val="22"/>
              <w:rtl w:val="0"/>
            </w:rPr>
            <w:t xml:space="preserve">…………………………………………………..4</w:t>
          </w: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l4g8yhfaowi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Current Security Challenges</w:t>
              <w:tab/>
            </w:r>
          </w:hyperlink>
          <w:r w:rsidDel="00000000" w:rsidR="00000000" w:rsidRPr="00000000">
            <w:rPr>
              <w:rFonts w:ascii="Calibri" w:cs="Calibri" w:eastAsia="Calibri" w:hAnsi="Calibri"/>
              <w:sz w:val="22"/>
              <w:szCs w:val="22"/>
              <w:rtl w:val="0"/>
            </w:rPr>
            <w:t xml:space="preserve">……………………………………………………………………...4</w:t>
          </w: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5r04wqssouj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Intellectual Property Protection</w:t>
              <w:tab/>
            </w:r>
          </w:hyperlink>
          <w:r w:rsidDel="00000000" w:rsidR="00000000" w:rsidRPr="00000000">
            <w:rPr>
              <w:rFonts w:ascii="Calibri" w:cs="Calibri" w:eastAsia="Calibri" w:hAnsi="Calibri"/>
              <w:sz w:val="22"/>
              <w:szCs w:val="22"/>
              <w:rtl w:val="0"/>
            </w:rPr>
            <w:t xml:space="preserve">…………………………………………………………………..6</w:t>
          </w: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gd11h7xr4n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Data Security for Staff and Clients</w:t>
              <w:tab/>
            </w:r>
          </w:hyperlink>
          <w:r w:rsidDel="00000000" w:rsidR="00000000" w:rsidRPr="00000000">
            <w:rPr>
              <w:rFonts w:ascii="Calibri" w:cs="Calibri" w:eastAsia="Calibri" w:hAnsi="Calibri"/>
              <w:sz w:val="22"/>
              <w:szCs w:val="22"/>
              <w:rtl w:val="0"/>
            </w:rPr>
            <w:t xml:space="preserve">………………………………………………………………6</w:t>
          </w: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fgxlv5xdjh7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Designing a Security Strategy for NatureGreen</w:t>
              <w:tab/>
            </w:r>
          </w:hyperlink>
          <w:r w:rsidDel="00000000" w:rsidR="00000000" w:rsidRPr="00000000">
            <w:rPr>
              <w:rFonts w:ascii="Calibri" w:cs="Calibri" w:eastAsia="Calibri" w:hAnsi="Calibri"/>
              <w:sz w:val="22"/>
              <w:szCs w:val="22"/>
              <w:rtl w:val="0"/>
            </w:rPr>
            <w:t xml:space="preserve">…………………………………………………...7</w:t>
          </w: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fu5iv8dszel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Proposed Security Framework</w:t>
              <w:tab/>
            </w:r>
          </w:hyperlink>
          <w:r w:rsidDel="00000000" w:rsidR="00000000" w:rsidRPr="00000000">
            <w:rPr>
              <w:rFonts w:ascii="Calibri" w:cs="Calibri" w:eastAsia="Calibri" w:hAnsi="Calibri"/>
              <w:sz w:val="22"/>
              <w:szCs w:val="22"/>
              <w:rtl w:val="0"/>
            </w:rPr>
            <w:t xml:space="preserve">……………………………………………………………………7</w:t>
          </w: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ki52zapzyje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Risk Management</w:t>
              <w:tab/>
            </w:r>
          </w:hyperlink>
          <w:r w:rsidDel="00000000" w:rsidR="00000000" w:rsidRPr="00000000">
            <w:rPr>
              <w:rFonts w:ascii="Calibri" w:cs="Calibri" w:eastAsia="Calibri" w:hAnsi="Calibri"/>
              <w:sz w:val="22"/>
              <w:szCs w:val="22"/>
              <w:rtl w:val="0"/>
            </w:rPr>
            <w:t xml:space="preserve">………………………………………………………………………………….8</w:t>
          </w: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blctlxn1ei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Compliance and Governance</w:t>
              <w:tab/>
            </w:r>
          </w:hyperlink>
          <w:r w:rsidDel="00000000" w:rsidR="00000000" w:rsidRPr="00000000">
            <w:rPr>
              <w:rFonts w:ascii="Calibri" w:cs="Calibri" w:eastAsia="Calibri" w:hAnsi="Calibri"/>
              <w:sz w:val="22"/>
              <w:szCs w:val="22"/>
              <w:rtl w:val="0"/>
            </w:rPr>
            <w:t xml:space="preserve">……………………………………………………………………..8</w:t>
          </w: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tszb7lmuriv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Security Controls and Protective Mechanisms</w:t>
              <w:tab/>
            </w:r>
          </w:hyperlink>
          <w:r w:rsidDel="00000000" w:rsidR="00000000" w:rsidRPr="00000000">
            <w:rPr>
              <w:rFonts w:ascii="Calibri" w:cs="Calibri" w:eastAsia="Calibri" w:hAnsi="Calibri"/>
              <w:sz w:val="22"/>
              <w:szCs w:val="22"/>
              <w:rtl w:val="0"/>
            </w:rPr>
            <w:t xml:space="preserve">………………………………………………….9</w:t>
          </w: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3t39kelagv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Critique of Security Regulations and Standards</w:t>
              <w:tab/>
            </w:r>
          </w:hyperlink>
          <w:r w:rsidDel="00000000" w:rsidR="00000000" w:rsidRPr="00000000">
            <w:rPr>
              <w:rFonts w:ascii="Calibri" w:cs="Calibri" w:eastAsia="Calibri" w:hAnsi="Calibri"/>
              <w:sz w:val="22"/>
              <w:szCs w:val="22"/>
              <w:rtl w:val="0"/>
            </w:rPr>
            <w:t xml:space="preserve">………………………………………………….10</w:t>
          </w: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2q7bvidibsv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Discussion on Best Practices for Security and Compliance</w:t>
              <w:tab/>
            </w:r>
          </w:hyperlink>
          <w:r w:rsidDel="00000000" w:rsidR="00000000" w:rsidRPr="00000000">
            <w:rPr>
              <w:rFonts w:ascii="Calibri" w:cs="Calibri" w:eastAsia="Calibri" w:hAnsi="Calibri"/>
              <w:sz w:val="22"/>
              <w:szCs w:val="22"/>
              <w:rtl w:val="0"/>
            </w:rPr>
            <w:t xml:space="preserve">……………………………………..11</w:t>
          </w: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vvci1yr420q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r>
          </w:hyperlink>
          <w:r w:rsidDel="00000000" w:rsidR="00000000" w:rsidRPr="00000000">
            <w:rPr>
              <w:rFonts w:ascii="Calibri" w:cs="Calibri" w:eastAsia="Calibri" w:hAnsi="Calibri"/>
              <w:sz w:val="22"/>
              <w:szCs w:val="22"/>
              <w:rtl w:val="0"/>
            </w:rPr>
            <w:t xml:space="preserve">…………………………………………………………………………………………...12</w:t>
          </w: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ve930dqqo74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r>
          </w:hyperlink>
          <w:r w:rsidDel="00000000" w:rsidR="00000000" w:rsidRPr="00000000">
            <w:rPr>
              <w:rFonts w:ascii="Calibri" w:cs="Calibri" w:eastAsia="Calibri" w:hAnsi="Calibri"/>
              <w:sz w:val="22"/>
              <w:szCs w:val="22"/>
              <w:rtl w:val="0"/>
            </w:rPr>
            <w:t xml:space="preserve">…………………………………………………………………………………………...13</w:t>
          </w: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spacing w:after="0" w:line="240" w:lineRule="auto"/>
        <w:jc w:val="left"/>
        <w:rPr/>
      </w:pPr>
      <w:r w:rsidDel="00000000" w:rsidR="00000000" w:rsidRPr="00000000">
        <w:rPr>
          <w:rtl w:val="0"/>
        </w:rPr>
      </w:r>
    </w:p>
    <w:p w:rsidR="00000000" w:rsidDel="00000000" w:rsidP="00000000" w:rsidRDefault="00000000" w:rsidRPr="00000000" w14:paraId="00000023">
      <w:pPr>
        <w:spacing w:after="0" w:line="240" w:lineRule="auto"/>
        <w:jc w:val="left"/>
        <w:rPr/>
      </w:pPr>
      <w:r w:rsidDel="00000000" w:rsidR="00000000" w:rsidRPr="00000000">
        <w:rPr>
          <w:rtl w:val="0"/>
        </w:rPr>
      </w:r>
    </w:p>
    <w:p w:rsidR="00000000" w:rsidDel="00000000" w:rsidP="00000000" w:rsidRDefault="00000000" w:rsidRPr="00000000" w14:paraId="00000024">
      <w:pPr>
        <w:keepNext w:val="1"/>
        <w:keepLines w:val="1"/>
        <w:spacing w:after="0" w:before="240" w:line="259" w:lineRule="auto"/>
        <w:jc w:val="left"/>
        <w:rPr>
          <w:b w:val="1"/>
          <w:bCs w:val="1"/>
          <w:sz w:val="32"/>
          <w:szCs w:val="32"/>
        </w:rPr>
      </w:pPr>
      <w:r w:rsidDel="00000000" w:rsidR="00000000" w:rsidRPr="00000000">
        <w:rPr>
          <w:rtl w:val="0"/>
        </w:rPr>
      </w:r>
    </w:p>
    <w:p w:rsidR="00000000" w:rsidDel="00000000" w:rsidP="00000000" w:rsidRDefault="00000000" w:rsidRPr="00000000" w14:paraId="00000025">
      <w:pPr>
        <w:keepNext w:val="1"/>
        <w:keepLines w:val="1"/>
        <w:spacing w:after="0" w:before="240" w:line="259" w:lineRule="auto"/>
        <w:jc w:val="left"/>
        <w:rPr>
          <w:b w:val="1"/>
          <w:bCs w:val="1"/>
          <w:sz w:val="32"/>
          <w:szCs w:val="32"/>
        </w:rPr>
      </w:pPr>
      <w:r w:rsidDel="00000000" w:rsidR="00000000" w:rsidRPr="00000000">
        <w:rPr>
          <w:rtl w:val="0"/>
        </w:rPr>
      </w:r>
    </w:p>
    <w:p w:rsidR="00000000" w:rsidDel="00000000" w:rsidP="00000000" w:rsidRDefault="00000000" w:rsidRPr="00000000" w14:paraId="00000026">
      <w:pPr>
        <w:keepNext w:val="1"/>
        <w:keepLines w:val="1"/>
        <w:spacing w:after="0" w:before="240" w:line="259" w:lineRule="auto"/>
        <w:jc w:val="left"/>
        <w:rPr>
          <w:b w:val="1"/>
          <w:bCs w:val="1"/>
          <w:sz w:val="32"/>
          <w:szCs w:val="32"/>
        </w:rPr>
      </w:pPr>
      <w:r w:rsidDel="00000000" w:rsidR="00000000" w:rsidRPr="00000000">
        <w:rPr>
          <w:rtl w:val="0"/>
        </w:rPr>
      </w:r>
    </w:p>
    <w:p w:rsidR="00000000" w:rsidDel="00000000" w:rsidP="00000000" w:rsidRDefault="00000000" w:rsidRPr="00000000" w14:paraId="00000027">
      <w:pPr>
        <w:keepNext w:val="1"/>
        <w:keepLines w:val="1"/>
        <w:spacing w:after="0" w:before="240" w:line="259" w:lineRule="auto"/>
        <w:jc w:val="left"/>
        <w:rPr>
          <w:b w:val="1"/>
          <w:bCs w:val="1"/>
          <w:sz w:val="32"/>
          <w:szCs w:val="32"/>
        </w:rPr>
      </w:pPr>
      <w:r w:rsidDel="00000000" w:rsidR="00000000" w:rsidRPr="00000000">
        <w:rPr>
          <w:rtl w:val="0"/>
        </w:rPr>
      </w:r>
    </w:p>
    <w:p w:rsidR="00000000" w:rsidDel="00000000" w:rsidP="00000000" w:rsidRDefault="00000000" w:rsidRPr="00000000" w14:paraId="00000028">
      <w:pPr>
        <w:keepNext w:val="1"/>
        <w:keepLines w:val="1"/>
        <w:spacing w:after="0" w:before="240" w:line="259" w:lineRule="auto"/>
        <w:jc w:val="left"/>
        <w:rPr>
          <w:b w:val="1"/>
          <w:bCs w:val="1"/>
          <w:sz w:val="32"/>
          <w:szCs w:val="32"/>
        </w:rPr>
      </w:pPr>
      <w:r w:rsidDel="00000000" w:rsidR="00000000" w:rsidRPr="00000000">
        <w:rPr>
          <w:b w:val="1"/>
          <w:bCs w:val="1"/>
          <w:sz w:val="32"/>
          <w:szCs w:val="32"/>
          <w:rtl w:val="0"/>
        </w:rPr>
        <w:t xml:space="preserve">List of Figures</w:t>
      </w:r>
    </w:p>
    <w:sdt>
      <w:sdtPr>
        <w:id w:val="-1420727763"/>
        <w:docPartObj>
          <w:docPartGallery w:val="Table of Contents"/>
          <w:docPartUnique w:val="1"/>
        </w:docPartObj>
      </w:sdtPr>
      <w:sdtContent>
        <w:p w:rsidR="00000000" w:rsidDel="00000000" w:rsidP="00000000" w:rsidRDefault="00000000" w:rsidRPr="00000000" w14:paraId="00000029">
          <w:pPr>
            <w:tabs>
              <w:tab w:val="right" w:leader="none" w:pos="9016"/>
            </w:tabs>
            <w:spacing w:after="100" w:lineRule="auto"/>
            <w:rPr>
              <w:rFonts w:ascii="Calibri" w:cs="Calibri" w:eastAsia="Calibri" w:hAnsi="Calibri"/>
              <w:sz w:val="22"/>
              <w:szCs w:val="22"/>
            </w:rPr>
          </w:pPr>
          <w:r w:rsidDel="00000000" w:rsidR="00000000" w:rsidRPr="00000000">
            <w:fldChar w:fldCharType="begin"/>
            <w:instrText xml:space="preserve"> TOC \h \u \z \t "Heading 1,1,Heading 2,2,Heading 3,3,"</w:instrText>
            <w:fldChar w:fldCharType="separate"/>
          </w:r>
          <w:r w:rsidDel="00000000" w:rsidR="00000000" w:rsidRPr="00000000">
            <w:rPr>
              <w:rtl w:val="0"/>
            </w:rPr>
            <w:t xml:space="preserve">Figure 1: CIA TRIAD </w:t>
          </w:r>
          <w:hyperlink w:anchor="_mvazkl2xhxg">
            <w:r w:rsidDel="00000000" w:rsidR="00000000" w:rsidRPr="00000000">
              <w:rPr>
                <w:rtl w:val="0"/>
              </w:rPr>
              <w:tab/>
            </w:r>
          </w:hyperlink>
          <w:r w:rsidDel="00000000" w:rsidR="00000000" w:rsidRPr="00000000">
            <w:rPr>
              <w:rFonts w:ascii="Calibri" w:cs="Calibri" w:eastAsia="Calibri" w:hAnsi="Calibri"/>
              <w:sz w:val="22"/>
              <w:szCs w:val="22"/>
              <w:rtl w:val="0"/>
            </w:rPr>
            <w:t xml:space="preserve">……………………………………………………………………………….3</w:t>
          </w:r>
        </w:p>
        <w:p w:rsidR="00000000" w:rsidDel="00000000" w:rsidP="00000000" w:rsidRDefault="00000000" w:rsidRPr="00000000" w14:paraId="0000002A">
          <w:pPr>
            <w:tabs>
              <w:tab w:val="right" w:leader="none" w:pos="9016"/>
            </w:tabs>
            <w:spacing w:after="100" w:lineRule="auto"/>
            <w:rPr>
              <w:rFonts w:ascii="Calibri" w:cs="Calibri" w:eastAsia="Calibri" w:hAnsi="Calibri"/>
              <w:sz w:val="22"/>
              <w:szCs w:val="22"/>
            </w:rPr>
          </w:pPr>
          <w:r w:rsidDel="00000000" w:rsidR="00000000" w:rsidRPr="00000000">
            <w:rPr>
              <w:rtl w:val="0"/>
            </w:rPr>
            <w:t xml:space="preserve">Figure 2: BYOD Security Challenges Infographic</w:t>
          </w:r>
          <w:hyperlink w:anchor="_nigbo41pta4g">
            <w:r w:rsidDel="00000000" w:rsidR="00000000" w:rsidRPr="00000000">
              <w:rPr>
                <w:rtl w:val="0"/>
              </w:rPr>
              <w:tab/>
            </w:r>
          </w:hyperlink>
          <w:r w:rsidDel="00000000" w:rsidR="00000000" w:rsidRPr="00000000">
            <w:rPr>
              <w:rFonts w:ascii="Calibri" w:cs="Calibri" w:eastAsia="Calibri" w:hAnsi="Calibri"/>
              <w:sz w:val="22"/>
              <w:szCs w:val="22"/>
              <w:rtl w:val="0"/>
            </w:rPr>
            <w:t xml:space="preserve">………………………………………………..6</w:t>
          </w:r>
        </w:p>
        <w:p w:rsidR="00000000" w:rsidDel="00000000" w:rsidP="00000000" w:rsidRDefault="00000000" w:rsidRPr="00000000" w14:paraId="0000002B">
          <w:pPr>
            <w:tabs>
              <w:tab w:val="right" w:leader="none" w:pos="9016"/>
            </w:tabs>
            <w:spacing w:after="100" w:lineRule="auto"/>
            <w:jc w:val="left"/>
            <w:rPr/>
          </w:pPr>
          <w:r w:rsidDel="00000000" w:rsidR="00000000" w:rsidRPr="00000000">
            <w:rPr>
              <w:rtl w:val="0"/>
            </w:rPr>
            <w:t xml:space="preserve">Figure 3: </w:t>
          </w:r>
          <w:r w:rsidDel="00000000" w:rsidR="00000000" w:rsidRPr="00000000">
            <w:rPr>
              <w:rtl w:val="0"/>
            </w:rPr>
            <w:t xml:space="preserve">Multi-Domain Network Architecture Framework </w:t>
          </w:r>
          <w:r w:rsidDel="00000000" w:rsidR="00000000" w:rsidRPr="00000000">
            <w:rPr>
              <w:rFonts w:ascii="Calibri" w:cs="Calibri" w:eastAsia="Calibri" w:hAnsi="Calibri"/>
              <w:sz w:val="22"/>
              <w:szCs w:val="22"/>
              <w:rtl w:val="0"/>
            </w:rPr>
            <w:t xml:space="preserve">……………………………………12</w:t>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C">
      <w:pPr>
        <w:spacing w:after="0" w:line="240" w:lineRule="auto"/>
        <w:jc w:val="left"/>
        <w:rPr/>
      </w:pPr>
      <w:r w:rsidDel="00000000" w:rsidR="00000000" w:rsidRPr="00000000">
        <w:rPr>
          <w:rtl w:val="0"/>
        </w:rPr>
      </w:r>
    </w:p>
    <w:p w:rsidR="00000000" w:rsidDel="00000000" w:rsidP="00000000" w:rsidRDefault="00000000" w:rsidRPr="00000000" w14:paraId="0000002D">
      <w:pPr>
        <w:keepNext w:val="1"/>
        <w:keepLines w:val="1"/>
        <w:spacing w:after="0" w:before="240" w:line="259" w:lineRule="auto"/>
        <w:jc w:val="left"/>
        <w:rPr>
          <w:b w:val="1"/>
          <w:bCs w:val="1"/>
          <w:sz w:val="32"/>
          <w:szCs w:val="32"/>
        </w:rPr>
      </w:pPr>
      <w:r w:rsidDel="00000000" w:rsidR="00000000" w:rsidRPr="00000000">
        <w:rPr>
          <w:b w:val="1"/>
          <w:bCs w:val="1"/>
          <w:sz w:val="32"/>
          <w:szCs w:val="32"/>
          <w:rtl w:val="0"/>
        </w:rPr>
        <w:t xml:space="preserve">List of Tables</w:t>
      </w:r>
    </w:p>
    <w:sdt>
      <w:sdtPr>
        <w:id w:val="-578810547"/>
        <w:docPartObj>
          <w:docPartGallery w:val="Table of Contents"/>
          <w:docPartUnique w:val="1"/>
        </w:docPartObj>
      </w:sdtPr>
      <w:sdtContent>
        <w:p w:rsidR="00000000" w:rsidDel="00000000" w:rsidP="00000000" w:rsidRDefault="00000000" w:rsidRPr="00000000" w14:paraId="0000002E">
          <w:pPr>
            <w:tabs>
              <w:tab w:val="right" w:leader="none" w:pos="9016"/>
            </w:tabs>
            <w:spacing w:after="100" w:lineRule="auto"/>
            <w:rPr>
              <w:rFonts w:ascii="Calibri" w:cs="Calibri" w:eastAsia="Calibri" w:hAnsi="Calibri"/>
              <w:sz w:val="22"/>
              <w:szCs w:val="22"/>
            </w:rPr>
          </w:pPr>
          <w:r w:rsidDel="00000000" w:rsidR="00000000" w:rsidRPr="00000000">
            <w:fldChar w:fldCharType="begin"/>
            <w:instrText xml:space="preserve"> TOC \h \u \z \t "Heading 1,1,Heading 2,2,Heading 3,3,"</w:instrText>
            <w:fldChar w:fldCharType="separate"/>
          </w:r>
          <w:r w:rsidDel="00000000" w:rsidR="00000000" w:rsidRPr="00000000">
            <w:rPr>
              <w:rtl w:val="0"/>
            </w:rPr>
            <w:t xml:space="preserve">Table 1: Comparison of Security Frameworks for NatureGreen </w:t>
          </w:r>
          <w:hyperlink w:anchor="_mvazkl2xhxg">
            <w:r w:rsidDel="00000000" w:rsidR="00000000" w:rsidRPr="00000000">
              <w:rPr>
                <w:rtl w:val="0"/>
              </w:rPr>
              <w:tab/>
            </w:r>
          </w:hyperlink>
          <w:r w:rsidDel="00000000" w:rsidR="00000000" w:rsidRPr="00000000">
            <w:rPr>
              <w:rFonts w:ascii="Calibri" w:cs="Calibri" w:eastAsia="Calibri" w:hAnsi="Calibri"/>
              <w:sz w:val="22"/>
              <w:szCs w:val="22"/>
              <w:rtl w:val="0"/>
            </w:rPr>
            <w:t xml:space="preserve">………………………………...2</w:t>
          </w:r>
        </w:p>
        <w:p w:rsidR="00000000" w:rsidDel="00000000" w:rsidP="00000000" w:rsidRDefault="00000000" w:rsidRPr="00000000" w14:paraId="0000002F">
          <w:pPr>
            <w:tabs>
              <w:tab w:val="right" w:leader="none" w:pos="9016"/>
            </w:tabs>
            <w:spacing w:after="100" w:lineRule="auto"/>
            <w:rPr>
              <w:rFonts w:ascii="Calibri" w:cs="Calibri" w:eastAsia="Calibri" w:hAnsi="Calibri"/>
              <w:sz w:val="22"/>
              <w:szCs w:val="22"/>
            </w:rPr>
          </w:pPr>
          <w:r w:rsidDel="00000000" w:rsidR="00000000" w:rsidRPr="00000000">
            <w:rPr>
              <w:rtl w:val="0"/>
            </w:rPr>
            <w:t xml:space="preserve">Table 2: NatureGreen Security Risk Assessment Matrix</w:t>
          </w:r>
          <w:hyperlink w:anchor="_nigbo41pta4g">
            <w:r w:rsidDel="00000000" w:rsidR="00000000" w:rsidRPr="00000000">
              <w:rPr>
                <w:rtl w:val="0"/>
              </w:rPr>
              <w:tab/>
            </w:r>
          </w:hyperlink>
          <w:r w:rsidDel="00000000" w:rsidR="00000000" w:rsidRPr="00000000">
            <w:rPr>
              <w:rFonts w:ascii="Calibri" w:cs="Calibri" w:eastAsia="Calibri" w:hAnsi="Calibri"/>
              <w:sz w:val="22"/>
              <w:szCs w:val="22"/>
              <w:rtl w:val="0"/>
            </w:rPr>
            <w:t xml:space="preserve">…………………………………………5</w:t>
          </w:r>
        </w:p>
        <w:p w:rsidR="00000000" w:rsidDel="00000000" w:rsidP="00000000" w:rsidRDefault="00000000" w:rsidRPr="00000000" w14:paraId="00000030">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1">
      <w:pPr>
        <w:spacing w:after="0" w:line="240" w:lineRule="auto"/>
        <w:jc w:val="left"/>
        <w:rPr/>
      </w:pPr>
      <w:r w:rsidDel="00000000" w:rsidR="00000000" w:rsidRPr="00000000">
        <w:rPr>
          <w:rtl w:val="0"/>
        </w:rPr>
      </w:r>
    </w:p>
    <w:p w:rsidR="00000000" w:rsidDel="00000000" w:rsidP="00000000" w:rsidRDefault="00000000" w:rsidRPr="00000000" w14:paraId="00000032">
      <w:pPr>
        <w:pStyle w:val="Heading1"/>
        <w:rPr/>
      </w:pPr>
      <w:bookmarkStart w:colFirst="0" w:colLast="0" w:name="_30uje3enzy71" w:id="3"/>
      <w:bookmarkEnd w:id="3"/>
      <w:r w:rsidDel="00000000" w:rsidR="00000000" w:rsidRPr="00000000">
        <w:rPr>
          <w:rtl w:val="0"/>
        </w:rPr>
      </w:r>
    </w:p>
    <w:p w:rsidR="00000000" w:rsidDel="00000000" w:rsidP="00000000" w:rsidRDefault="00000000" w:rsidRPr="00000000" w14:paraId="00000033">
      <w:pPr>
        <w:pStyle w:val="Heading1"/>
        <w:rPr/>
      </w:pPr>
      <w:bookmarkStart w:colFirst="0" w:colLast="0" w:name="_mf9pg4c8o08q" w:id="4"/>
      <w:bookmarkEnd w:id="4"/>
      <w:r w:rsidDel="00000000" w:rsidR="00000000" w:rsidRPr="00000000">
        <w:rPr>
          <w:rtl w:val="0"/>
        </w:rPr>
      </w:r>
    </w:p>
    <w:p w:rsidR="00000000" w:rsidDel="00000000" w:rsidP="00000000" w:rsidRDefault="00000000" w:rsidRPr="00000000" w14:paraId="00000034">
      <w:pPr>
        <w:pStyle w:val="Heading1"/>
        <w:rPr/>
      </w:pPr>
      <w:bookmarkStart w:colFirst="0" w:colLast="0" w:name="_h7c9rmx5e2cr" w:id="5"/>
      <w:bookmarkEnd w:id="5"/>
      <w:r w:rsidDel="00000000" w:rsidR="00000000" w:rsidRPr="00000000">
        <w:rPr>
          <w:rtl w:val="0"/>
        </w:rPr>
      </w:r>
    </w:p>
    <w:p w:rsidR="00000000" w:rsidDel="00000000" w:rsidP="00000000" w:rsidRDefault="00000000" w:rsidRPr="00000000" w14:paraId="00000035">
      <w:pPr>
        <w:pStyle w:val="Heading1"/>
        <w:rPr/>
        <w:sectPr>
          <w:pgSz w:h="16838" w:w="11906" w:orient="portrait"/>
          <w:pgMar w:bottom="1440" w:top="1440" w:left="1440" w:right="1440" w:header="720" w:footer="720"/>
          <w:pgNumType w:start="1"/>
        </w:sectPr>
      </w:pPr>
      <w:bookmarkStart w:colFirst="0" w:colLast="0" w:name="_qkdv0kt6piqu" w:id="6"/>
      <w:bookmarkEnd w:id="6"/>
      <w:r w:rsidDel="00000000" w:rsidR="00000000" w:rsidRPr="00000000">
        <w:rPr>
          <w:rtl w:val="0"/>
        </w:rPr>
      </w:r>
    </w:p>
    <w:p w:rsidR="00000000" w:rsidDel="00000000" w:rsidP="00000000" w:rsidRDefault="00000000" w:rsidRPr="00000000" w14:paraId="00000036">
      <w:pPr>
        <w:pStyle w:val="Heading1"/>
        <w:rPr/>
      </w:pPr>
      <w:bookmarkStart w:colFirst="0" w:colLast="0" w:name="_nigbo41pta4g" w:id="7"/>
      <w:bookmarkEnd w:id="7"/>
      <w:r w:rsidDel="00000000" w:rsidR="00000000" w:rsidRPr="00000000">
        <w:rPr>
          <w:rtl w:val="0"/>
        </w:rPr>
        <w:t xml:space="preserve">Introduction</w:t>
      </w:r>
    </w:p>
    <w:p w:rsidR="00000000" w:rsidDel="00000000" w:rsidP="00000000" w:rsidRDefault="00000000" w:rsidRPr="00000000" w14:paraId="00000037">
      <w:pPr>
        <w:rPr/>
      </w:pPr>
      <w:r w:rsidDel="00000000" w:rsidR="00000000" w:rsidRPr="00000000">
        <w:rPr>
          <w:rtl w:val="0"/>
        </w:rPr>
        <w:t xml:space="preserve">NatureGreen (NG) is a global brand, which is geared towards the establishment of healthy lifestyles, and it enjoys a huge representation in the international marketplaces. Cloud services contribute to the processes of the company very substantially; they contribute to IT infrastructure support as well as enable easy delivery of services to the staff and its clients around the world. In addition to that, NG uses the wireless network in virtually all its operations, which predisposes it, in particular, to most types of cyber attacks and information leaks [1], [2]. The high population of workers, wide client base and the significance of the intellectual property of the business are making a formalized data security and governance model an urgent need to protect the delicate files as well as sustain the operation of the business. Such a case demonstrates the necessity to possess the relevant security policies and effective risk management strategies as the means of securing the information of clients and staff [3], [4]. Frameworks such as the ISO 27000 and the ITIL are instrumental in ensuring that the above data protection problems are resolved by offering the standardized rules that could be employed to develop a comprehensive approach to security management. Besides that, NG has various governance and compliance issues, particularly in ensuring that it is in compliance with the international data protection laws and provisions. These issues are also aggravated by the fact that there are no formal security policies that expose NG to internal and external threats. This report aims at carrying out a study, developing and designing a tailored security model to meet the unique demands of NG and evaluation of the relevant governance and compliance frameworks [5], [6]. The character of the suggested solution will be to propose a solution that will address the existing security deficiencies of NG, but will also seize the firm into a new period of development and regulatory compliance in the future.</w:t>
      </w:r>
    </w:p>
    <w:p w:rsidR="00000000" w:rsidDel="00000000" w:rsidP="00000000" w:rsidRDefault="00000000" w:rsidRPr="00000000" w14:paraId="00000038">
      <w:pPr>
        <w:spacing w:after="0" w:line="240" w:lineRule="auto"/>
        <w:jc w:val="left"/>
        <w:rPr/>
      </w:pPr>
      <w:r w:rsidDel="00000000" w:rsidR="00000000" w:rsidRPr="00000000">
        <w:rPr>
          <w:rtl w:val="0"/>
        </w:rPr>
      </w:r>
    </w:p>
    <w:p w:rsidR="00000000" w:rsidDel="00000000" w:rsidP="00000000" w:rsidRDefault="00000000" w:rsidRPr="00000000" w14:paraId="00000039">
      <w:pPr>
        <w:pStyle w:val="Heading1"/>
        <w:rPr/>
      </w:pPr>
      <w:bookmarkStart w:colFirst="0" w:colLast="0" w:name="_gb81ra2884ql" w:id="8"/>
      <w:bookmarkEnd w:id="8"/>
      <w:r w:rsidDel="00000000" w:rsidR="00000000" w:rsidRPr="00000000">
        <w:rPr>
          <w:rtl w:val="0"/>
        </w:rPr>
        <w:t xml:space="preserve">Literature Review</w:t>
      </w:r>
    </w:p>
    <w:p w:rsidR="00000000" w:rsidDel="00000000" w:rsidP="00000000" w:rsidRDefault="00000000" w:rsidRPr="00000000" w14:paraId="0000003A">
      <w:pPr>
        <w:pStyle w:val="Heading2"/>
        <w:rPr/>
      </w:pPr>
      <w:bookmarkStart w:colFirst="0" w:colLast="0" w:name="_1qj1l4i2csj" w:id="9"/>
      <w:bookmarkEnd w:id="9"/>
      <w:r w:rsidDel="00000000" w:rsidR="00000000" w:rsidRPr="00000000">
        <w:rPr>
          <w:rtl w:val="0"/>
        </w:rPr>
        <w:t xml:space="preserve">Security Frameworks and Models</w:t>
      </w:r>
    </w:p>
    <w:p w:rsidR="00000000" w:rsidDel="00000000" w:rsidP="00000000" w:rsidRDefault="00000000" w:rsidRPr="00000000" w14:paraId="0000003B">
      <w:pPr>
        <w:rPr/>
      </w:pPr>
      <w:r w:rsidDel="00000000" w:rsidR="00000000" w:rsidRPr="00000000">
        <w:rPr>
          <w:rtl w:val="0"/>
        </w:rPr>
        <w:t xml:space="preserve">The ISO 27000 Series is an information security management systems (ISMS) framework that is developed to enable organizations to organize the management of their sensitive information in order to protect against a broad spectrum of security risks. In the most basic way, ISO 27000 is concerned with the aspects of data confidentiality, integrity, and availability, without which data security cannot take place. Confidentiality ensures that sensitive information can only be viewed by those who are authorized; integrity ensures that the data is correct and no information has been changed and lastly availability ensures that the data and services are available when required [7], [8]. In the case of NatureGreen (NG), the application of ISMS would be necessary to develop a clear set of security policies and controls that would safeguard staff and client information throughout its cloud based system and wireless networks. The framework promotes a risk-based methodology of detection and mitigation of security risks, which addresses the requirements of NG to protect its intellectual property and personal information.</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The ITIL Framework, which is rather oriented towards management of IT services, provides a well organized method of management of IT services and even how to align IT services with business requirements. ITIL places an importance on service design, service transition, and continuous service improvement, which are important in securing cloud-based IT services at NG [9]. With the introduction of ITIL, NG will be able to implement best practices in incident management, change management, and problem resolution, which would make its IT services resistant to security breaches and disruptions. ITIL framework offers NG with the mechanism to track, assess and improve the security of its IT services on a regular basis, thus reducing risk associated with its dependence on cloud providers  [10].</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There are other security models such as NIST and COBIT that are also helpful in securing IT infrastructures. NIST provides a comprehensive way of managing cybersecurity risks, including the description of identity and access management, threat detection, and incident response, which would be vital during NG operations. Similarly, the COBIT as an IT governance and management tool is also a scheme of harmonizing IT security activities with the corporate goals and regulatory requirements [11], [12]. The two systems have been observed to offer complementary approaches that can be employed to enhance the general security position of NG.</w:t>
      </w:r>
    </w:p>
    <w:p w:rsidR="00000000" w:rsidDel="00000000" w:rsidP="00000000" w:rsidRDefault="00000000" w:rsidRPr="00000000" w14:paraId="00000040">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Table 1: Comparison of Security Frameworks for NatureGreen</w:t>
      </w:r>
    </w:p>
    <w:tbl>
      <w:tblPr>
        <w:tblStyle w:val="Table1"/>
        <w:tblW w:w="9016.0" w:type="dxa"/>
        <w:jc w:val="left"/>
        <w:tblBorders>
          <w:top w:color="8eaadb" w:space="0" w:sz="4" w:val="single"/>
          <w:left w:color="8eaadb" w:space="0" w:sz="4" w:val="single"/>
          <w:bottom w:color="8eaadb" w:space="0" w:sz="4" w:val="single"/>
          <w:right w:color="8eaadb" w:space="0" w:sz="4" w:val="single"/>
          <w:insideH w:color="8eaadb" w:space="0" w:sz="4" w:val="single"/>
          <w:insideV w:color="8eaadb" w:space="0" w:sz="4" w:val="single"/>
        </w:tblBorders>
        <w:tblLayout w:type="fixed"/>
        <w:tblLook w:val="04A0"/>
      </w:tblPr>
      <w:tblGrid>
        <w:gridCol w:w="1323"/>
        <w:gridCol w:w="2358"/>
        <w:gridCol w:w="2697"/>
        <w:gridCol w:w="2638"/>
        <w:tblGridChange w:id="0">
          <w:tblGrid>
            <w:gridCol w:w="1323"/>
            <w:gridCol w:w="2358"/>
            <w:gridCol w:w="2697"/>
            <w:gridCol w:w="2638"/>
          </w:tblGrid>
        </w:tblGridChange>
      </w:tblGrid>
      <w:tr>
        <w:trPr>
          <w:cantSplit w:val="0"/>
          <w:tblHeader w:val="0"/>
        </w:trPr>
        <w:tc>
          <w:tcPr/>
          <w:p w:rsidR="00000000" w:rsidDel="00000000" w:rsidP="00000000" w:rsidRDefault="00000000" w:rsidRPr="00000000" w14:paraId="00000041">
            <w:pPr>
              <w:jc w:val="center"/>
              <w:rPr/>
            </w:pPr>
            <w:r w:rsidDel="00000000" w:rsidR="00000000" w:rsidRPr="00000000">
              <w:rPr>
                <w:b w:val="0"/>
                <w:bCs w:val="0"/>
                <w:rtl w:val="0"/>
              </w:rPr>
              <w:t xml:space="preserve">Framework</w:t>
            </w:r>
            <w:r w:rsidDel="00000000" w:rsidR="00000000" w:rsidRPr="00000000">
              <w:rPr>
                <w:rtl w:val="0"/>
              </w:rPr>
            </w:r>
          </w:p>
        </w:tc>
        <w:tc>
          <w:tcPr/>
          <w:p w:rsidR="00000000" w:rsidDel="00000000" w:rsidP="00000000" w:rsidRDefault="00000000" w:rsidRPr="00000000" w14:paraId="00000042">
            <w:pPr>
              <w:jc w:val="center"/>
              <w:rPr/>
            </w:pPr>
            <w:r w:rsidDel="00000000" w:rsidR="00000000" w:rsidRPr="00000000">
              <w:rPr>
                <w:b w:val="0"/>
                <w:bCs w:val="0"/>
                <w:rtl w:val="0"/>
              </w:rPr>
              <w:t xml:space="preserve">Primary Focus</w:t>
            </w:r>
            <w:r w:rsidDel="00000000" w:rsidR="00000000" w:rsidRPr="00000000">
              <w:rPr>
                <w:rtl w:val="0"/>
              </w:rPr>
            </w:r>
          </w:p>
        </w:tc>
        <w:tc>
          <w:tcPr/>
          <w:p w:rsidR="00000000" w:rsidDel="00000000" w:rsidP="00000000" w:rsidRDefault="00000000" w:rsidRPr="00000000" w14:paraId="00000043">
            <w:pPr>
              <w:jc w:val="center"/>
              <w:rPr/>
            </w:pPr>
            <w:r w:rsidDel="00000000" w:rsidR="00000000" w:rsidRPr="00000000">
              <w:rPr>
                <w:b w:val="0"/>
                <w:bCs w:val="0"/>
                <w:rtl w:val="0"/>
              </w:rPr>
              <w:t xml:space="preserve">Key Benefits for NG</w:t>
            </w:r>
            <w:r w:rsidDel="00000000" w:rsidR="00000000" w:rsidRPr="00000000">
              <w:rPr>
                <w:rtl w:val="0"/>
              </w:rPr>
            </w:r>
          </w:p>
        </w:tc>
        <w:tc>
          <w:tcPr/>
          <w:p w:rsidR="00000000" w:rsidDel="00000000" w:rsidP="00000000" w:rsidRDefault="00000000" w:rsidRPr="00000000" w14:paraId="00000044">
            <w:pPr>
              <w:jc w:val="center"/>
              <w:rPr/>
            </w:pPr>
            <w:r w:rsidDel="00000000" w:rsidR="00000000" w:rsidRPr="00000000">
              <w:rPr>
                <w:b w:val="0"/>
                <w:bCs w:val="0"/>
                <w:rtl w:val="0"/>
              </w:rPr>
              <w:t xml:space="preserve">Implementation Areas</w:t>
            </w:r>
            <w:r w:rsidDel="00000000" w:rsidR="00000000" w:rsidRPr="00000000">
              <w:rPr>
                <w:rtl w:val="0"/>
              </w:rPr>
            </w:r>
          </w:p>
        </w:tc>
      </w:tr>
      <w:tr>
        <w:trPr>
          <w:cantSplit w:val="0"/>
          <w:tblHeader w:val="0"/>
        </w:trPr>
        <w:tc>
          <w:tcPr/>
          <w:p w:rsidR="00000000" w:rsidDel="00000000" w:rsidP="00000000" w:rsidRDefault="00000000" w:rsidRPr="00000000" w14:paraId="00000045">
            <w:pPr>
              <w:jc w:val="left"/>
              <w:rPr/>
            </w:pPr>
            <w:r w:rsidDel="00000000" w:rsidR="00000000" w:rsidRPr="00000000">
              <w:rPr>
                <w:rtl w:val="0"/>
              </w:rPr>
              <w:t xml:space="preserve">ISO 27000</w:t>
            </w:r>
          </w:p>
        </w:tc>
        <w:tc>
          <w:tcPr/>
          <w:p w:rsidR="00000000" w:rsidDel="00000000" w:rsidP="00000000" w:rsidRDefault="00000000" w:rsidRPr="00000000" w14:paraId="00000046">
            <w:pPr>
              <w:jc w:val="left"/>
              <w:rPr/>
            </w:pPr>
            <w:r w:rsidDel="00000000" w:rsidR="00000000" w:rsidRPr="00000000">
              <w:rPr>
                <w:rtl w:val="0"/>
              </w:rPr>
              <w:t xml:space="preserve">Information Security Management Systems (ISMS)</w:t>
            </w:r>
          </w:p>
        </w:tc>
        <w:tc>
          <w:tcPr/>
          <w:p w:rsidR="00000000" w:rsidDel="00000000" w:rsidP="00000000" w:rsidRDefault="00000000" w:rsidRPr="00000000" w14:paraId="00000047">
            <w:pPr>
              <w:jc w:val="left"/>
              <w:rPr/>
            </w:pPr>
            <w:r w:rsidDel="00000000" w:rsidR="00000000" w:rsidRPr="00000000">
              <w:rPr>
                <w:rtl w:val="0"/>
              </w:rPr>
              <w:t xml:space="preserve">Ensures confidentiality, integrity, availability; risk-based methodology</w:t>
            </w:r>
          </w:p>
        </w:tc>
        <w:tc>
          <w:tcPr/>
          <w:p w:rsidR="00000000" w:rsidDel="00000000" w:rsidP="00000000" w:rsidRDefault="00000000" w:rsidRPr="00000000" w14:paraId="00000048">
            <w:pPr>
              <w:jc w:val="left"/>
              <w:rPr/>
            </w:pPr>
            <w:r w:rsidDel="00000000" w:rsidR="00000000" w:rsidRPr="00000000">
              <w:rPr>
                <w:rtl w:val="0"/>
              </w:rPr>
              <w:t xml:space="preserve">Cloud systems, wireless networks, data protection policies</w:t>
            </w:r>
          </w:p>
        </w:tc>
      </w:tr>
      <w:tr>
        <w:trPr>
          <w:cantSplit w:val="0"/>
          <w:tblHeader w:val="0"/>
        </w:trPr>
        <w:tc>
          <w:tcPr/>
          <w:p w:rsidR="00000000" w:rsidDel="00000000" w:rsidP="00000000" w:rsidRDefault="00000000" w:rsidRPr="00000000" w14:paraId="00000049">
            <w:pPr>
              <w:jc w:val="left"/>
              <w:rPr/>
            </w:pPr>
            <w:r w:rsidDel="00000000" w:rsidR="00000000" w:rsidRPr="00000000">
              <w:rPr>
                <w:rtl w:val="0"/>
              </w:rPr>
              <w:t xml:space="preserve">ITIL</w:t>
            </w:r>
          </w:p>
        </w:tc>
        <w:tc>
          <w:tcPr/>
          <w:p w:rsidR="00000000" w:rsidDel="00000000" w:rsidP="00000000" w:rsidRDefault="00000000" w:rsidRPr="00000000" w14:paraId="0000004A">
            <w:pPr>
              <w:jc w:val="left"/>
              <w:rPr/>
            </w:pPr>
            <w:r w:rsidDel="00000000" w:rsidR="00000000" w:rsidRPr="00000000">
              <w:rPr>
                <w:rtl w:val="0"/>
              </w:rPr>
              <w:t xml:space="preserve">IT Service Management</w:t>
            </w:r>
          </w:p>
        </w:tc>
        <w:tc>
          <w:tcPr/>
          <w:p w:rsidR="00000000" w:rsidDel="00000000" w:rsidP="00000000" w:rsidRDefault="00000000" w:rsidRPr="00000000" w14:paraId="0000004B">
            <w:pPr>
              <w:jc w:val="left"/>
              <w:rPr/>
            </w:pPr>
            <w:r w:rsidDel="00000000" w:rsidR="00000000" w:rsidRPr="00000000">
              <w:rPr>
                <w:rtl w:val="0"/>
              </w:rPr>
              <w:t xml:space="preserve">Service design, incident management, continuous improvement</w:t>
            </w:r>
          </w:p>
        </w:tc>
        <w:tc>
          <w:tcPr/>
          <w:p w:rsidR="00000000" w:rsidDel="00000000" w:rsidP="00000000" w:rsidRDefault="00000000" w:rsidRPr="00000000" w14:paraId="0000004C">
            <w:pPr>
              <w:jc w:val="left"/>
              <w:rPr/>
            </w:pPr>
            <w:r w:rsidDel="00000000" w:rsidR="00000000" w:rsidRPr="00000000">
              <w:rPr>
                <w:rtl w:val="0"/>
              </w:rPr>
              <w:t xml:space="preserve">Cloud-based IT services, change management, problem resolution</w:t>
            </w:r>
          </w:p>
        </w:tc>
      </w:tr>
      <w:tr>
        <w:trPr>
          <w:cantSplit w:val="0"/>
          <w:tblHeader w:val="0"/>
        </w:trPr>
        <w:tc>
          <w:tcPr/>
          <w:p w:rsidR="00000000" w:rsidDel="00000000" w:rsidP="00000000" w:rsidRDefault="00000000" w:rsidRPr="00000000" w14:paraId="0000004D">
            <w:pPr>
              <w:jc w:val="left"/>
              <w:rPr/>
            </w:pPr>
            <w:r w:rsidDel="00000000" w:rsidR="00000000" w:rsidRPr="00000000">
              <w:rPr>
                <w:rtl w:val="0"/>
              </w:rPr>
              <w:t xml:space="preserve">NIST</w:t>
            </w:r>
          </w:p>
        </w:tc>
        <w:tc>
          <w:tcPr/>
          <w:p w:rsidR="00000000" w:rsidDel="00000000" w:rsidP="00000000" w:rsidRDefault="00000000" w:rsidRPr="00000000" w14:paraId="0000004E">
            <w:pPr>
              <w:jc w:val="left"/>
              <w:rPr/>
            </w:pPr>
            <w:r w:rsidDel="00000000" w:rsidR="00000000" w:rsidRPr="00000000">
              <w:rPr>
                <w:rtl w:val="0"/>
              </w:rPr>
              <w:t xml:space="preserve">Cybersecurity Risk Management</w:t>
            </w:r>
          </w:p>
        </w:tc>
        <w:tc>
          <w:tcPr/>
          <w:p w:rsidR="00000000" w:rsidDel="00000000" w:rsidP="00000000" w:rsidRDefault="00000000" w:rsidRPr="00000000" w14:paraId="0000004F">
            <w:pPr>
              <w:jc w:val="left"/>
              <w:rPr/>
            </w:pPr>
            <w:r w:rsidDel="00000000" w:rsidR="00000000" w:rsidRPr="00000000">
              <w:rPr>
                <w:rtl w:val="0"/>
              </w:rPr>
              <w:t xml:space="preserve">Identity and access management, threat detection, incident response</w:t>
            </w:r>
          </w:p>
        </w:tc>
        <w:tc>
          <w:tcPr/>
          <w:p w:rsidR="00000000" w:rsidDel="00000000" w:rsidP="00000000" w:rsidRDefault="00000000" w:rsidRPr="00000000" w14:paraId="00000050">
            <w:pPr>
              <w:jc w:val="left"/>
              <w:rPr/>
            </w:pPr>
            <w:r w:rsidDel="00000000" w:rsidR="00000000" w:rsidRPr="00000000">
              <w:rPr>
                <w:rtl w:val="0"/>
              </w:rPr>
              <w:t xml:space="preserve">Comprehensive cybersecurity risk management</w:t>
            </w:r>
          </w:p>
        </w:tc>
      </w:tr>
      <w:tr>
        <w:trPr>
          <w:cantSplit w:val="0"/>
          <w:tblHeader w:val="0"/>
        </w:trPr>
        <w:tc>
          <w:tcPr/>
          <w:p w:rsidR="00000000" w:rsidDel="00000000" w:rsidP="00000000" w:rsidRDefault="00000000" w:rsidRPr="00000000" w14:paraId="00000051">
            <w:pPr>
              <w:jc w:val="left"/>
              <w:rPr/>
            </w:pPr>
            <w:r w:rsidDel="00000000" w:rsidR="00000000" w:rsidRPr="00000000">
              <w:rPr>
                <w:rtl w:val="0"/>
              </w:rPr>
              <w:t xml:space="preserve">COBIT</w:t>
            </w:r>
          </w:p>
        </w:tc>
        <w:tc>
          <w:tcPr/>
          <w:p w:rsidR="00000000" w:rsidDel="00000000" w:rsidP="00000000" w:rsidRDefault="00000000" w:rsidRPr="00000000" w14:paraId="00000052">
            <w:pPr>
              <w:jc w:val="left"/>
              <w:rPr/>
            </w:pPr>
            <w:r w:rsidDel="00000000" w:rsidR="00000000" w:rsidRPr="00000000">
              <w:rPr>
                <w:rtl w:val="0"/>
              </w:rPr>
              <w:t xml:space="preserve">IT Governance and Management</w:t>
            </w:r>
          </w:p>
        </w:tc>
        <w:tc>
          <w:tcPr/>
          <w:p w:rsidR="00000000" w:rsidDel="00000000" w:rsidP="00000000" w:rsidRDefault="00000000" w:rsidRPr="00000000" w14:paraId="00000053">
            <w:pPr>
              <w:jc w:val="left"/>
              <w:rPr/>
            </w:pPr>
            <w:r w:rsidDel="00000000" w:rsidR="00000000" w:rsidRPr="00000000">
              <w:rPr>
                <w:rtl w:val="0"/>
              </w:rPr>
              <w:t xml:space="preserve">Aligns IT security with business goals and regulatory requirements</w:t>
            </w:r>
          </w:p>
        </w:tc>
        <w:tc>
          <w:tcPr/>
          <w:p w:rsidR="00000000" w:rsidDel="00000000" w:rsidP="00000000" w:rsidRDefault="00000000" w:rsidRPr="00000000" w14:paraId="00000054">
            <w:pPr>
              <w:jc w:val="left"/>
              <w:rPr/>
            </w:pPr>
            <w:r w:rsidDel="00000000" w:rsidR="00000000" w:rsidRPr="00000000">
              <w:rPr>
                <w:rtl w:val="0"/>
              </w:rPr>
              <w:t xml:space="preserve">Governance structure, compliance alignment</w:t>
            </w:r>
          </w:p>
        </w:tc>
      </w:tr>
    </w:tbl>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pStyle w:val="Heading2"/>
        <w:rPr/>
      </w:pPr>
      <w:bookmarkStart w:colFirst="0" w:colLast="0" w:name="_y41svxmf1kkn" w:id="10"/>
      <w:bookmarkEnd w:id="10"/>
      <w:r w:rsidDel="00000000" w:rsidR="00000000" w:rsidRPr="00000000">
        <w:rPr>
          <w:rtl w:val="0"/>
        </w:rPr>
        <w:t xml:space="preserve">Governance, Compliance, and Risk Management</w:t>
      </w:r>
    </w:p>
    <w:p w:rsidR="00000000" w:rsidDel="00000000" w:rsidP="00000000" w:rsidRDefault="00000000" w:rsidRPr="00000000" w14:paraId="00000057">
      <w:pPr>
        <w:rPr/>
      </w:pPr>
      <w:r w:rsidDel="00000000" w:rsidR="00000000" w:rsidRPr="00000000">
        <w:rPr>
          <w:rtl w:val="0"/>
        </w:rPr>
        <w:t xml:space="preserve">IT governance is important in management of security risks as well as ensuring that the security practices are aligned with the business goals. A good governance structure is admirable in that it will define roles, responsibilities and accountability within an organization as well as in reinforcing security policies at all levels of the business. With explicit governance structures, as seen in the case of NatureGreen, the company would be able to structure security in its international business, and focus on data security. The governance models should also entail the evaluation of the security threats, implementation of security mitigation provisions and the regular evaluation of effectiveness of security measures [13], [14]. Once NG applies governance principles to its security model, it will be able to manage its risks to its security better and make all stakeholders see their efforts in preserving sensitive data.</w:t>
      </w:r>
    </w:p>
    <w:p w:rsidR="00000000" w:rsidDel="00000000" w:rsidP="00000000" w:rsidRDefault="00000000" w:rsidRPr="00000000" w14:paraId="00000058">
      <w:pPr>
        <w:keepNext w:val="1"/>
        <w:jc w:val="center"/>
        <w:rPr/>
      </w:pPr>
      <w:r w:rsidDel="00000000" w:rsidR="00000000" w:rsidRPr="00000000">
        <w:rPr/>
        <w:drawing>
          <wp:inline distB="0" distT="0" distL="0" distR="0">
            <wp:extent cx="3149175" cy="2060606"/>
            <wp:effectExtent b="0" l="0" r="0" t="0"/>
            <wp:docPr descr="A diagram of a computer&#10;&#10;AI-generated content may be incorrect." id="3" name="image4.jpg"/>
            <a:graphic>
              <a:graphicData uri="http://schemas.openxmlformats.org/drawingml/2006/picture">
                <pic:pic>
                  <pic:nvPicPr>
                    <pic:cNvPr descr="A diagram of a computer&#10;&#10;AI-generated content may be incorrect." id="0" name="image4.jpg"/>
                    <pic:cNvPicPr preferRelativeResize="0"/>
                  </pic:nvPicPr>
                  <pic:blipFill>
                    <a:blip r:embed="rId7"/>
                    <a:srcRect b="0" l="0" r="0" t="0"/>
                    <a:stretch>
                      <a:fillRect/>
                    </a:stretch>
                  </pic:blipFill>
                  <pic:spPr>
                    <a:xfrm>
                      <a:off x="0" y="0"/>
                      <a:ext cx="3149175" cy="2060606"/>
                    </a:xfrm>
                    <a:prstGeom prst="rect"/>
                    <a:ln/>
                  </pic:spPr>
                </pic:pic>
              </a:graphicData>
            </a:graphic>
          </wp:inline>
        </w:drawing>
      </w:r>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Figure 1: CIA Triad</w:t>
      </w:r>
    </w:p>
    <w:p w:rsidR="00000000" w:rsidDel="00000000" w:rsidP="00000000" w:rsidRDefault="00000000" w:rsidRPr="00000000" w14:paraId="0000005A">
      <w:pPr>
        <w:rPr/>
      </w:pPr>
      <w:r w:rsidDel="00000000" w:rsidR="00000000" w:rsidRPr="00000000">
        <w:rPr>
          <w:rtl w:val="0"/>
        </w:rPr>
        <w:t xml:space="preserve">Along with the government, compliance structures are important in making sure that the organizations comply with the pertinent legal and regulatory obligations. In the case of NG, the privacy of both the staff and the customers of the company must be preserved by adhering to the laws on data protection like General Data Protection Regulation and California Consumer Privacy Act [15]. GDPR establishes stringent rules of processing private data, including the necessity of consent of the data subject, data access rights, and data breach notification which are applicable to the operations of NG in various areas. CCPA, in its turn, grants a set of rights to the citizens of California in terms of the way their personal information is gathered, stored, and distributed. Such policies impose on NG the responsibility to have solid data protection rules, perform routine data audits, and to put measures to address the requests of data access.</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In addition, security regulations have to keep on changing with the new challenges posing a threat to cybersecurity. Ransomware, phishing attacks and insider threats are not only in a perpetual state of development, but also require frequent revision of security policy and compliance frameworks. In the case of NG, it becomes important to keep up with developments in the area of data protection legislation and implement security measures, which are responsive enough to address emerging risks. This consists of keeping the security policies in a constant improvement journey and integrating the feedback of security auditing and incident response analyses into security resiliency [14]. The frequent revision of various security regulations will help NG to predict and mitigate any new vulnerabilities to provide long-term protection against the emerging cyber threats.</w:t>
      </w:r>
    </w:p>
    <w:p w:rsidR="00000000" w:rsidDel="00000000" w:rsidP="00000000" w:rsidRDefault="00000000" w:rsidRPr="00000000" w14:paraId="0000005D">
      <w:pPr>
        <w:spacing w:after="0" w:line="240" w:lineRule="auto"/>
        <w:jc w:val="left"/>
        <w:rPr/>
      </w:pPr>
      <w:r w:rsidDel="00000000" w:rsidR="00000000" w:rsidRPr="00000000">
        <w:rPr>
          <w:rtl w:val="0"/>
        </w:rPr>
      </w:r>
    </w:p>
    <w:p w:rsidR="00000000" w:rsidDel="00000000" w:rsidP="00000000" w:rsidRDefault="00000000" w:rsidRPr="00000000" w14:paraId="0000005E">
      <w:pPr>
        <w:pStyle w:val="Heading1"/>
        <w:rPr/>
      </w:pPr>
      <w:bookmarkStart w:colFirst="0" w:colLast="0" w:name="_3zfpgq2zpv6r" w:id="11"/>
      <w:bookmarkEnd w:id="11"/>
      <w:r w:rsidDel="00000000" w:rsidR="00000000" w:rsidRPr="00000000">
        <w:rPr>
          <w:rtl w:val="0"/>
        </w:rPr>
        <w:t xml:space="preserve">Analysis of NatureGreen’s Data Security Needs</w:t>
      </w:r>
    </w:p>
    <w:p w:rsidR="00000000" w:rsidDel="00000000" w:rsidP="00000000" w:rsidRDefault="00000000" w:rsidRPr="00000000" w14:paraId="0000005F">
      <w:pPr>
        <w:pStyle w:val="Heading2"/>
        <w:rPr/>
      </w:pPr>
      <w:bookmarkStart w:colFirst="0" w:colLast="0" w:name="_l4g8yhfaowia" w:id="12"/>
      <w:bookmarkEnd w:id="12"/>
      <w:r w:rsidDel="00000000" w:rsidR="00000000" w:rsidRPr="00000000">
        <w:rPr>
          <w:rtl w:val="0"/>
        </w:rPr>
        <w:t xml:space="preserve">Current Security Challenges</w:t>
      </w:r>
    </w:p>
    <w:p w:rsidR="00000000" w:rsidDel="00000000" w:rsidP="00000000" w:rsidRDefault="00000000" w:rsidRPr="00000000" w14:paraId="00000060">
      <w:pPr>
        <w:rPr/>
      </w:pPr>
      <w:r w:rsidDel="00000000" w:rsidR="00000000" w:rsidRPr="00000000">
        <w:rPr>
          <w:rtl w:val="0"/>
        </w:rPr>
        <w:t xml:space="preserve">The current security issues of NatureGreen (NG) are connected with its BYOD (Bring Your Own Device) policy, the use of Wi-Fi networks, and the utilization of cloud-based services. By implementing BYOD policy, although flexible to the employees, it exposes the organization to a number of security vulnerabilities. The individual devices are not usually as well-protected as those provided by the companies, and they can be either malware-containing or poorly secured, which serves as a point of intrusion in a cyberattack [16]. Moreover, the dense reliance on wireless networks predisposes NG to man-in-the-middle attacks, eavesdropping, and unauthorized access because of the nature of wireless communications whereby the signal can be easily intercepted compared to having a wire connection.</w:t>
      </w:r>
    </w:p>
    <w:p w:rsidR="00000000" w:rsidDel="00000000" w:rsidP="00000000" w:rsidRDefault="00000000" w:rsidRPr="00000000" w14:paraId="00000061">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Table 2:  NatureGreen Security Risk Assessment Matrix</w:t>
      </w:r>
    </w:p>
    <w:tbl>
      <w:tblPr>
        <w:tblStyle w:val="Table2"/>
        <w:tblW w:w="9016.0" w:type="dxa"/>
        <w:jc w:val="left"/>
        <w:tblBorders>
          <w:top w:color="8eaadb" w:space="0" w:sz="4" w:val="single"/>
          <w:left w:color="8eaadb" w:space="0" w:sz="4" w:val="single"/>
          <w:bottom w:color="8eaadb" w:space="0" w:sz="4" w:val="single"/>
          <w:right w:color="8eaadb" w:space="0" w:sz="4" w:val="single"/>
          <w:insideH w:color="8eaadb" w:space="0" w:sz="4" w:val="single"/>
          <w:insideV w:color="8eaadb" w:space="0" w:sz="4" w:val="single"/>
        </w:tblBorders>
        <w:tblLayout w:type="fixed"/>
        <w:tblLook w:val="04A0"/>
      </w:tblPr>
      <w:tblGrid>
        <w:gridCol w:w="1789"/>
        <w:gridCol w:w="1030"/>
        <w:gridCol w:w="2138"/>
        <w:gridCol w:w="2496"/>
        <w:gridCol w:w="1563"/>
        <w:tblGridChange w:id="0">
          <w:tblGrid>
            <w:gridCol w:w="1789"/>
            <w:gridCol w:w="1030"/>
            <w:gridCol w:w="2138"/>
            <w:gridCol w:w="2496"/>
            <w:gridCol w:w="1563"/>
          </w:tblGrid>
        </w:tblGridChange>
      </w:tblGrid>
      <w:tr>
        <w:trPr>
          <w:cantSplit w:val="0"/>
          <w:tblHeader w:val="0"/>
        </w:trPr>
        <w:tc>
          <w:tcPr/>
          <w:p w:rsidR="00000000" w:rsidDel="00000000" w:rsidP="00000000" w:rsidRDefault="00000000" w:rsidRPr="00000000" w14:paraId="00000062">
            <w:pPr>
              <w:jc w:val="center"/>
              <w:rPr/>
            </w:pPr>
            <w:r w:rsidDel="00000000" w:rsidR="00000000" w:rsidRPr="00000000">
              <w:rPr>
                <w:b w:val="0"/>
                <w:bCs w:val="0"/>
                <w:rtl w:val="0"/>
              </w:rPr>
              <w:t xml:space="preserve">Security Challenge</w:t>
            </w:r>
            <w:r w:rsidDel="00000000" w:rsidR="00000000" w:rsidRPr="00000000">
              <w:rPr>
                <w:rtl w:val="0"/>
              </w:rPr>
            </w:r>
          </w:p>
        </w:tc>
        <w:tc>
          <w:tcPr/>
          <w:p w:rsidR="00000000" w:rsidDel="00000000" w:rsidP="00000000" w:rsidRDefault="00000000" w:rsidRPr="00000000" w14:paraId="00000063">
            <w:pPr>
              <w:jc w:val="center"/>
              <w:rPr/>
            </w:pPr>
            <w:r w:rsidDel="00000000" w:rsidR="00000000" w:rsidRPr="00000000">
              <w:rPr>
                <w:b w:val="0"/>
                <w:bCs w:val="0"/>
                <w:rtl w:val="0"/>
              </w:rPr>
              <w:t xml:space="preserve">Risk Level</w:t>
            </w:r>
            <w:r w:rsidDel="00000000" w:rsidR="00000000" w:rsidRPr="00000000">
              <w:rPr>
                <w:rtl w:val="0"/>
              </w:rPr>
            </w:r>
          </w:p>
        </w:tc>
        <w:tc>
          <w:tcPr/>
          <w:p w:rsidR="00000000" w:rsidDel="00000000" w:rsidP="00000000" w:rsidRDefault="00000000" w:rsidRPr="00000000" w14:paraId="00000064">
            <w:pPr>
              <w:jc w:val="center"/>
              <w:rPr/>
            </w:pPr>
            <w:r w:rsidDel="00000000" w:rsidR="00000000" w:rsidRPr="00000000">
              <w:rPr>
                <w:b w:val="0"/>
                <w:bCs w:val="0"/>
                <w:rtl w:val="0"/>
              </w:rPr>
              <w:t xml:space="preserve">Vulnerability Source</w:t>
            </w:r>
            <w:r w:rsidDel="00000000" w:rsidR="00000000" w:rsidRPr="00000000">
              <w:rPr>
                <w:rtl w:val="0"/>
              </w:rPr>
            </w:r>
          </w:p>
        </w:tc>
        <w:tc>
          <w:tcPr/>
          <w:p w:rsidR="00000000" w:rsidDel="00000000" w:rsidP="00000000" w:rsidRDefault="00000000" w:rsidRPr="00000000" w14:paraId="00000065">
            <w:pPr>
              <w:jc w:val="center"/>
              <w:rPr/>
            </w:pPr>
            <w:r w:rsidDel="00000000" w:rsidR="00000000" w:rsidRPr="00000000">
              <w:rPr>
                <w:b w:val="0"/>
                <w:bCs w:val="0"/>
                <w:rtl w:val="0"/>
              </w:rPr>
              <w:t xml:space="preserve">Mitigation Strategy</w:t>
            </w:r>
            <w:r w:rsidDel="00000000" w:rsidR="00000000" w:rsidRPr="00000000">
              <w:rPr>
                <w:rtl w:val="0"/>
              </w:rPr>
            </w:r>
          </w:p>
        </w:tc>
        <w:tc>
          <w:tcPr/>
          <w:p w:rsidR="00000000" w:rsidDel="00000000" w:rsidP="00000000" w:rsidRDefault="00000000" w:rsidRPr="00000000" w14:paraId="00000066">
            <w:pPr>
              <w:jc w:val="center"/>
              <w:rPr/>
            </w:pPr>
            <w:r w:rsidDel="00000000" w:rsidR="00000000" w:rsidRPr="00000000">
              <w:rPr>
                <w:b w:val="0"/>
                <w:bCs w:val="0"/>
                <w:rtl w:val="0"/>
              </w:rPr>
              <w:t xml:space="preserve">Responsible Party</w:t>
            </w:r>
            <w:r w:rsidDel="00000000" w:rsidR="00000000" w:rsidRPr="00000000">
              <w:rPr>
                <w:rtl w:val="0"/>
              </w:rPr>
            </w:r>
          </w:p>
        </w:tc>
      </w:tr>
      <w:tr>
        <w:trPr>
          <w:cantSplit w:val="0"/>
          <w:tblHeader w:val="0"/>
        </w:trPr>
        <w:tc>
          <w:tcPr/>
          <w:p w:rsidR="00000000" w:rsidDel="00000000" w:rsidP="00000000" w:rsidRDefault="00000000" w:rsidRPr="00000000" w14:paraId="00000067">
            <w:pPr>
              <w:jc w:val="left"/>
              <w:rPr/>
            </w:pPr>
            <w:r w:rsidDel="00000000" w:rsidR="00000000" w:rsidRPr="00000000">
              <w:rPr>
                <w:rtl w:val="0"/>
              </w:rPr>
              <w:t xml:space="preserve">BYOD Policy</w:t>
            </w:r>
          </w:p>
        </w:tc>
        <w:tc>
          <w:tcPr/>
          <w:p w:rsidR="00000000" w:rsidDel="00000000" w:rsidP="00000000" w:rsidRDefault="00000000" w:rsidRPr="00000000" w14:paraId="00000068">
            <w:pPr>
              <w:jc w:val="left"/>
              <w:rPr/>
            </w:pPr>
            <w:r w:rsidDel="00000000" w:rsidR="00000000" w:rsidRPr="00000000">
              <w:rPr>
                <w:rtl w:val="0"/>
              </w:rPr>
              <w:t xml:space="preserve">High</w:t>
            </w:r>
          </w:p>
        </w:tc>
        <w:tc>
          <w:tcPr/>
          <w:p w:rsidR="00000000" w:rsidDel="00000000" w:rsidP="00000000" w:rsidRDefault="00000000" w:rsidRPr="00000000" w14:paraId="00000069">
            <w:pPr>
              <w:jc w:val="left"/>
              <w:rPr/>
            </w:pPr>
            <w:r w:rsidDel="00000000" w:rsidR="00000000" w:rsidRPr="00000000">
              <w:rPr>
                <w:rtl w:val="0"/>
              </w:rPr>
              <w:t xml:space="preserve">Poorly secured personal devices, malware</w:t>
            </w:r>
          </w:p>
        </w:tc>
        <w:tc>
          <w:tcPr/>
          <w:p w:rsidR="00000000" w:rsidDel="00000000" w:rsidP="00000000" w:rsidRDefault="00000000" w:rsidRPr="00000000" w14:paraId="0000006A">
            <w:pPr>
              <w:jc w:val="left"/>
              <w:rPr/>
            </w:pPr>
            <w:r w:rsidDel="00000000" w:rsidR="00000000" w:rsidRPr="00000000">
              <w:rPr>
                <w:rtl w:val="0"/>
              </w:rPr>
              <w:t xml:space="preserve">Endpoint protection, MDM solutions, device encryption</w:t>
            </w:r>
          </w:p>
        </w:tc>
        <w:tc>
          <w:tcPr/>
          <w:p w:rsidR="00000000" w:rsidDel="00000000" w:rsidP="00000000" w:rsidRDefault="00000000" w:rsidRPr="00000000" w14:paraId="0000006B">
            <w:pPr>
              <w:jc w:val="left"/>
              <w:rPr/>
            </w:pPr>
            <w:r w:rsidDel="00000000" w:rsidR="00000000" w:rsidRPr="00000000">
              <w:rPr>
                <w:rtl w:val="0"/>
              </w:rPr>
              <w:t xml:space="preserve">Security Team</w:t>
            </w:r>
          </w:p>
        </w:tc>
      </w:tr>
      <w:tr>
        <w:trPr>
          <w:cantSplit w:val="0"/>
          <w:tblHeader w:val="0"/>
        </w:trPr>
        <w:tc>
          <w:tcPr/>
          <w:p w:rsidR="00000000" w:rsidDel="00000000" w:rsidP="00000000" w:rsidRDefault="00000000" w:rsidRPr="00000000" w14:paraId="0000006C">
            <w:pPr>
              <w:jc w:val="left"/>
              <w:rPr/>
            </w:pPr>
            <w:r w:rsidDel="00000000" w:rsidR="00000000" w:rsidRPr="00000000">
              <w:rPr>
                <w:rtl w:val="0"/>
              </w:rPr>
              <w:t xml:space="preserve">Wireless Network Exposure</w:t>
            </w:r>
          </w:p>
        </w:tc>
        <w:tc>
          <w:tcPr/>
          <w:p w:rsidR="00000000" w:rsidDel="00000000" w:rsidP="00000000" w:rsidRDefault="00000000" w:rsidRPr="00000000" w14:paraId="0000006D">
            <w:pPr>
              <w:jc w:val="left"/>
              <w:rPr/>
            </w:pPr>
            <w:r w:rsidDel="00000000" w:rsidR="00000000" w:rsidRPr="00000000">
              <w:rPr>
                <w:rtl w:val="0"/>
              </w:rPr>
              <w:t xml:space="preserve">High</w:t>
            </w:r>
          </w:p>
        </w:tc>
        <w:tc>
          <w:tcPr/>
          <w:p w:rsidR="00000000" w:rsidDel="00000000" w:rsidP="00000000" w:rsidRDefault="00000000" w:rsidRPr="00000000" w14:paraId="0000006E">
            <w:pPr>
              <w:jc w:val="left"/>
              <w:rPr/>
            </w:pPr>
            <w:r w:rsidDel="00000000" w:rsidR="00000000" w:rsidRPr="00000000">
              <w:rPr>
                <w:rtl w:val="0"/>
              </w:rPr>
              <w:t xml:space="preserve">Man-in-the-middle attacks, eavesdropping, unauthorized access</w:t>
            </w:r>
          </w:p>
        </w:tc>
        <w:tc>
          <w:tcPr/>
          <w:p w:rsidR="00000000" w:rsidDel="00000000" w:rsidP="00000000" w:rsidRDefault="00000000" w:rsidRPr="00000000" w14:paraId="0000006F">
            <w:pPr>
              <w:jc w:val="left"/>
              <w:rPr/>
            </w:pPr>
            <w:r w:rsidDel="00000000" w:rsidR="00000000" w:rsidRPr="00000000">
              <w:rPr>
                <w:rtl w:val="0"/>
              </w:rPr>
              <w:t xml:space="preserve">WPA3 encryption, VPN implementation, network segmentation</w:t>
            </w:r>
          </w:p>
        </w:tc>
        <w:tc>
          <w:tcPr/>
          <w:p w:rsidR="00000000" w:rsidDel="00000000" w:rsidP="00000000" w:rsidRDefault="00000000" w:rsidRPr="00000000" w14:paraId="00000070">
            <w:pPr>
              <w:jc w:val="left"/>
              <w:rPr/>
            </w:pPr>
            <w:r w:rsidDel="00000000" w:rsidR="00000000" w:rsidRPr="00000000">
              <w:rPr>
                <w:rtl w:val="0"/>
              </w:rPr>
              <w:t xml:space="preserve">Network Administrator</w:t>
            </w:r>
          </w:p>
        </w:tc>
      </w:tr>
      <w:tr>
        <w:trPr>
          <w:cantSplit w:val="0"/>
          <w:tblHeader w:val="0"/>
        </w:trPr>
        <w:tc>
          <w:tcPr/>
          <w:p w:rsidR="00000000" w:rsidDel="00000000" w:rsidP="00000000" w:rsidRDefault="00000000" w:rsidRPr="00000000" w14:paraId="00000071">
            <w:pPr>
              <w:jc w:val="left"/>
              <w:rPr/>
            </w:pPr>
            <w:r w:rsidDel="00000000" w:rsidR="00000000" w:rsidRPr="00000000">
              <w:rPr>
                <w:rtl w:val="0"/>
              </w:rPr>
              <w:t xml:space="preserve">Cloud Data Sovereignty</w:t>
            </w:r>
          </w:p>
        </w:tc>
        <w:tc>
          <w:tcPr/>
          <w:p w:rsidR="00000000" w:rsidDel="00000000" w:rsidP="00000000" w:rsidRDefault="00000000" w:rsidRPr="00000000" w14:paraId="00000072">
            <w:pPr>
              <w:jc w:val="left"/>
              <w:rPr/>
            </w:pPr>
            <w:r w:rsidDel="00000000" w:rsidR="00000000" w:rsidRPr="00000000">
              <w:rPr>
                <w:rtl w:val="0"/>
              </w:rPr>
              <w:t xml:space="preserve">Medium</w:t>
            </w:r>
          </w:p>
        </w:tc>
        <w:tc>
          <w:tcPr/>
          <w:p w:rsidR="00000000" w:rsidDel="00000000" w:rsidP="00000000" w:rsidRDefault="00000000" w:rsidRPr="00000000" w14:paraId="00000073">
            <w:pPr>
              <w:jc w:val="left"/>
              <w:rPr/>
            </w:pPr>
            <w:r w:rsidDel="00000000" w:rsidR="00000000" w:rsidRPr="00000000">
              <w:rPr>
                <w:rtl w:val="0"/>
              </w:rPr>
              <w:t xml:space="preserve">Third-party vendor control, data breaches, service unavailability</w:t>
            </w:r>
          </w:p>
        </w:tc>
        <w:tc>
          <w:tcPr/>
          <w:p w:rsidR="00000000" w:rsidDel="00000000" w:rsidP="00000000" w:rsidRDefault="00000000" w:rsidRPr="00000000" w14:paraId="00000074">
            <w:pPr>
              <w:jc w:val="left"/>
              <w:rPr/>
            </w:pPr>
            <w:r w:rsidDel="00000000" w:rsidR="00000000" w:rsidRPr="00000000">
              <w:rPr>
                <w:rtl w:val="0"/>
              </w:rPr>
              <w:t xml:space="preserve">Data encryption, vendor SLAs, backup systems</w:t>
            </w:r>
          </w:p>
        </w:tc>
        <w:tc>
          <w:tcPr/>
          <w:p w:rsidR="00000000" w:rsidDel="00000000" w:rsidP="00000000" w:rsidRDefault="00000000" w:rsidRPr="00000000" w14:paraId="00000075">
            <w:pPr>
              <w:jc w:val="left"/>
              <w:rPr/>
            </w:pPr>
            <w:r w:rsidDel="00000000" w:rsidR="00000000" w:rsidRPr="00000000">
              <w:rPr>
                <w:rtl w:val="0"/>
              </w:rPr>
              <w:t xml:space="preserve">CIO &amp; Cloud Vendor</w:t>
            </w:r>
          </w:p>
        </w:tc>
      </w:tr>
      <w:tr>
        <w:trPr>
          <w:cantSplit w:val="0"/>
          <w:tblHeader w:val="0"/>
        </w:trPr>
        <w:tc>
          <w:tcPr/>
          <w:p w:rsidR="00000000" w:rsidDel="00000000" w:rsidP="00000000" w:rsidRDefault="00000000" w:rsidRPr="00000000" w14:paraId="00000076">
            <w:pPr>
              <w:jc w:val="left"/>
              <w:rPr/>
            </w:pPr>
            <w:r w:rsidDel="00000000" w:rsidR="00000000" w:rsidRPr="00000000">
              <w:rPr>
                <w:rtl w:val="0"/>
              </w:rPr>
              <w:t xml:space="preserve">Lack of Formal Security Policies</w:t>
            </w:r>
          </w:p>
        </w:tc>
        <w:tc>
          <w:tcPr/>
          <w:p w:rsidR="00000000" w:rsidDel="00000000" w:rsidP="00000000" w:rsidRDefault="00000000" w:rsidRPr="00000000" w14:paraId="00000077">
            <w:pPr>
              <w:jc w:val="left"/>
              <w:rPr/>
            </w:pPr>
            <w:r w:rsidDel="00000000" w:rsidR="00000000" w:rsidRPr="00000000">
              <w:rPr>
                <w:rtl w:val="0"/>
              </w:rPr>
              <w:t xml:space="preserve">Critical</w:t>
            </w:r>
          </w:p>
        </w:tc>
        <w:tc>
          <w:tcPr/>
          <w:p w:rsidR="00000000" w:rsidDel="00000000" w:rsidP="00000000" w:rsidRDefault="00000000" w:rsidRPr="00000000" w14:paraId="00000078">
            <w:pPr>
              <w:jc w:val="left"/>
              <w:rPr/>
            </w:pPr>
            <w:r w:rsidDel="00000000" w:rsidR="00000000" w:rsidRPr="00000000">
              <w:rPr>
                <w:rtl w:val="0"/>
              </w:rPr>
              <w:t xml:space="preserve">Inconsistent security practices, uncoordinated incident response</w:t>
            </w:r>
          </w:p>
        </w:tc>
        <w:tc>
          <w:tcPr/>
          <w:p w:rsidR="00000000" w:rsidDel="00000000" w:rsidP="00000000" w:rsidRDefault="00000000" w:rsidRPr="00000000" w14:paraId="00000079">
            <w:pPr>
              <w:jc w:val="left"/>
              <w:rPr/>
            </w:pPr>
            <w:r w:rsidDel="00000000" w:rsidR="00000000" w:rsidRPr="00000000">
              <w:rPr>
                <w:rtl w:val="0"/>
              </w:rPr>
              <w:t xml:space="preserve">Develop comprehensive ISMS, regular audits, governance framework</w:t>
            </w:r>
          </w:p>
        </w:tc>
        <w:tc>
          <w:tcPr/>
          <w:p w:rsidR="00000000" w:rsidDel="00000000" w:rsidP="00000000" w:rsidRDefault="00000000" w:rsidRPr="00000000" w14:paraId="0000007A">
            <w:pPr>
              <w:jc w:val="left"/>
              <w:rPr/>
            </w:pPr>
            <w:r w:rsidDel="00000000" w:rsidR="00000000" w:rsidRPr="00000000">
              <w:rPr>
                <w:rtl w:val="0"/>
              </w:rPr>
              <w:t xml:space="preserve">CIO &amp; Compliance Officer</w:t>
            </w:r>
          </w:p>
        </w:tc>
      </w:tr>
      <w:tr>
        <w:trPr>
          <w:cantSplit w:val="0"/>
          <w:tblHeader w:val="0"/>
        </w:trPr>
        <w:tc>
          <w:tcPr/>
          <w:p w:rsidR="00000000" w:rsidDel="00000000" w:rsidP="00000000" w:rsidRDefault="00000000" w:rsidRPr="00000000" w14:paraId="0000007B">
            <w:pPr>
              <w:jc w:val="left"/>
              <w:rPr/>
            </w:pPr>
            <w:r w:rsidDel="00000000" w:rsidR="00000000" w:rsidRPr="00000000">
              <w:rPr>
                <w:rtl w:val="0"/>
              </w:rPr>
              <w:t xml:space="preserve">Intellectual Property Theft</w:t>
            </w:r>
          </w:p>
        </w:tc>
        <w:tc>
          <w:tcPr/>
          <w:p w:rsidR="00000000" w:rsidDel="00000000" w:rsidP="00000000" w:rsidRDefault="00000000" w:rsidRPr="00000000" w14:paraId="0000007C">
            <w:pPr>
              <w:jc w:val="left"/>
              <w:rPr/>
            </w:pPr>
            <w:r w:rsidDel="00000000" w:rsidR="00000000" w:rsidRPr="00000000">
              <w:rPr>
                <w:rtl w:val="0"/>
              </w:rPr>
              <w:t xml:space="preserve">High</w:t>
            </w:r>
          </w:p>
        </w:tc>
        <w:tc>
          <w:tcPr/>
          <w:p w:rsidR="00000000" w:rsidDel="00000000" w:rsidP="00000000" w:rsidRDefault="00000000" w:rsidRPr="00000000" w14:paraId="0000007D">
            <w:pPr>
              <w:jc w:val="left"/>
              <w:rPr/>
            </w:pPr>
            <w:r w:rsidDel="00000000" w:rsidR="00000000" w:rsidRPr="00000000">
              <w:rPr>
                <w:rtl w:val="0"/>
              </w:rPr>
              <w:t xml:space="preserve">Data leakage through personal devices</w:t>
            </w:r>
          </w:p>
        </w:tc>
        <w:tc>
          <w:tcPr/>
          <w:p w:rsidR="00000000" w:rsidDel="00000000" w:rsidP="00000000" w:rsidRDefault="00000000" w:rsidRPr="00000000" w14:paraId="0000007E">
            <w:pPr>
              <w:jc w:val="left"/>
              <w:rPr/>
            </w:pPr>
            <w:r w:rsidDel="00000000" w:rsidR="00000000" w:rsidRPr="00000000">
              <w:rPr>
                <w:rtl w:val="0"/>
              </w:rPr>
              <w:t xml:space="preserve">RBAC, MFA, DLP tools, data classification</w:t>
            </w:r>
          </w:p>
        </w:tc>
        <w:tc>
          <w:tcPr/>
          <w:p w:rsidR="00000000" w:rsidDel="00000000" w:rsidP="00000000" w:rsidRDefault="00000000" w:rsidRPr="00000000" w14:paraId="0000007F">
            <w:pPr>
              <w:jc w:val="left"/>
              <w:rPr/>
            </w:pPr>
            <w:r w:rsidDel="00000000" w:rsidR="00000000" w:rsidRPr="00000000">
              <w:rPr>
                <w:rtl w:val="0"/>
              </w:rPr>
              <w:t xml:space="preserve">Security Team</w:t>
            </w:r>
          </w:p>
        </w:tc>
      </w:tr>
    </w:tbl>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Also, the use of cloud-based services by NG poses the issue of data sovereignty and data control. Although cloud computing is scalable and flexible, sensitive data security is left to third-party vendors. This brings about the issue of data breaches, attack of unauthorized access as well as availability of important data in case the cloud services become unavailable. NG does not have formal security policies to manage these technologies, yet this increases its security risks. In the absence of an organized security governance paradigm, it lacks a definite structure on how it can impose security best practices or reduce risks in a systematic manner across its IT infrastructure. The lack of formal security policies exposes NG to an uneven security practice and coordination of response during security threats.</w:t>
      </w:r>
    </w:p>
    <w:p w:rsidR="00000000" w:rsidDel="00000000" w:rsidP="00000000" w:rsidRDefault="00000000" w:rsidRPr="00000000" w14:paraId="00000082">
      <w:pPr>
        <w:keepNext w:val="1"/>
        <w:jc w:val="center"/>
        <w:rPr/>
      </w:pPr>
      <w:r w:rsidDel="00000000" w:rsidR="00000000" w:rsidRPr="00000000">
        <w:rPr/>
        <w:drawing>
          <wp:inline distB="0" distT="0" distL="0" distR="0">
            <wp:extent cx="1421300" cy="2842600"/>
            <wp:effectExtent b="0" l="0" r="0" t="0"/>
            <wp:docPr descr="A screenshot of a cell phone&#10;&#10;AI-generated content may be incorrect." id="2" name="image1.jpg"/>
            <a:graphic>
              <a:graphicData uri="http://schemas.openxmlformats.org/drawingml/2006/picture">
                <pic:pic>
                  <pic:nvPicPr>
                    <pic:cNvPr descr="A screenshot of a cell phone&#10;&#10;AI-generated content may be incorrect." id="0" name="image1.jpg"/>
                    <pic:cNvPicPr preferRelativeResize="0"/>
                  </pic:nvPicPr>
                  <pic:blipFill>
                    <a:blip r:embed="rId8"/>
                    <a:srcRect b="0" l="0" r="0" t="0"/>
                    <a:stretch>
                      <a:fillRect/>
                    </a:stretch>
                  </pic:blipFill>
                  <pic:spPr>
                    <a:xfrm>
                      <a:off x="0" y="0"/>
                      <a:ext cx="1421300" cy="2842600"/>
                    </a:xfrm>
                    <a:prstGeom prst="rect"/>
                    <a:ln/>
                  </pic:spPr>
                </pic:pic>
              </a:graphicData>
            </a:graphic>
          </wp:inline>
        </w:drawing>
      </w:r>
      <w:r w:rsidDel="00000000" w:rsidR="00000000" w:rsidRPr="00000000">
        <w:rPr>
          <w:rtl w:val="0"/>
        </w:rPr>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Figure 2: BYOD Security Challenges Infographic</w:t>
      </w:r>
    </w:p>
    <w:p w:rsidR="00000000" w:rsidDel="00000000" w:rsidP="00000000" w:rsidRDefault="00000000" w:rsidRPr="00000000" w14:paraId="00000084">
      <w:pPr>
        <w:pStyle w:val="Heading2"/>
        <w:rPr/>
      </w:pPr>
      <w:bookmarkStart w:colFirst="0" w:colLast="0" w:name="_5r04wqssouj3" w:id="13"/>
      <w:bookmarkEnd w:id="13"/>
      <w:r w:rsidDel="00000000" w:rsidR="00000000" w:rsidRPr="00000000">
        <w:rPr>
          <w:rtl w:val="0"/>
        </w:rPr>
        <w:t xml:space="preserve">Intellectual Property Protection</w:t>
      </w:r>
    </w:p>
    <w:p w:rsidR="00000000" w:rsidDel="00000000" w:rsidP="00000000" w:rsidRDefault="00000000" w:rsidRPr="00000000" w14:paraId="00000085">
      <w:pPr>
        <w:rPr/>
      </w:pPr>
      <w:r w:rsidDel="00000000" w:rsidR="00000000" w:rsidRPr="00000000">
        <w:rPr>
          <w:rtl w:val="0"/>
        </w:rPr>
        <w:t xml:space="preserve">Intellectual property (IP) is one of the primary assets valued at billions, and its protection is an essential issue to NG particularly as personal devices and cloud services are brought together. The usage of personal devices poses the threat of data leakage or theft of proprietary information. NG should also initiate access control mechanisms that restrict exposure of sensitive IP to authorized individuals in order to avoid the unauthorized individuals gaining access and transferring confidential information. Another important measure of safeguarding NG IP is the data encryption. By encrypting the data stored as well as during transmission over the networks, it is certain that should the data be intercepted or tapped by an unauthorized party, it will be in an encrypted form and thus cannot be read without the relevant decryption keys [2]. Moreover, the concept of multi-factor authentication (MFA) should be implemented on any access point, especially those systems that include sensitive data. MFA provides an additional security option since it makes the user enter more than one verification option (e.g., biometric scan and password) and alleviates the consequences of unauthorized access when a password has been compromised.</w:t>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pStyle w:val="Heading2"/>
        <w:rPr/>
      </w:pPr>
      <w:bookmarkStart w:colFirst="0" w:colLast="0" w:name="_hgd11h7xr4nu" w:id="14"/>
      <w:bookmarkEnd w:id="14"/>
      <w:r w:rsidDel="00000000" w:rsidR="00000000" w:rsidRPr="00000000">
        <w:rPr>
          <w:rtl w:val="0"/>
        </w:rPr>
        <w:t xml:space="preserve">Data Security for Staff and Clients</w:t>
      </w:r>
    </w:p>
    <w:p w:rsidR="00000000" w:rsidDel="00000000" w:rsidP="00000000" w:rsidRDefault="00000000" w:rsidRPr="00000000" w14:paraId="00000088">
      <w:pPr>
        <w:rPr/>
      </w:pPr>
      <w:r w:rsidDel="00000000" w:rsidR="00000000" w:rsidRPr="00000000">
        <w:rPr>
          <w:rtl w:val="0"/>
        </w:rPr>
        <w:t xml:space="preserve">As an international company, NG should consider securing personal information of its employees and customers as the priority in according  with the international data protection regulations including the General Data Protection Regulation. GDPR requires rigid measures in privacy of personal information being collected, processed and stored. In the case of NG, that would imply making sure that not only the personal data is stored securely but also preventing any unauthorized access or misplacing [17]. Adherence to GDPR will mandate NG to have data access controls, where only authorized workers will access, or edit sensitive data, and will also offer data encryption to safeguard data even at rest or when in transit.</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As well, NG needs to be transparent with employees and customers about how their data is used and offer ways of individuals accessing, correcting, and deleting their personal data on request. Lack of compliance with these rules may lead to serious fines and loss of client confidence and hence the importance of effective governance regarding data privacy. Periodic audits, training sessions, and revision of security policies of the company will play a crucial role in making sure that there is continued adherence to new regulations on data protection.</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t xml:space="preserve">The security posture currently adopted by NatureGreen exposes it to various threats, especially in the area of BYOD policy, dependence on wireless networks, and services based on the clouds. These risks are also compounded by the fact that the company has not defined security policies and governance structures and it is therefore crucial that NG should adopt the use of robust security policies and compliance strategies to ensure that its data and intellectual property are not compromised.</w:t>
      </w:r>
    </w:p>
    <w:p w:rsidR="00000000" w:rsidDel="00000000" w:rsidP="00000000" w:rsidRDefault="00000000" w:rsidRPr="00000000" w14:paraId="0000008D">
      <w:pPr>
        <w:spacing w:after="0" w:line="240" w:lineRule="auto"/>
        <w:jc w:val="left"/>
        <w:rPr/>
      </w:pPr>
      <w:r w:rsidDel="00000000" w:rsidR="00000000" w:rsidRPr="00000000">
        <w:rPr>
          <w:rtl w:val="0"/>
        </w:rPr>
      </w:r>
    </w:p>
    <w:p w:rsidR="00000000" w:rsidDel="00000000" w:rsidP="00000000" w:rsidRDefault="00000000" w:rsidRPr="00000000" w14:paraId="0000008E">
      <w:pPr>
        <w:pStyle w:val="Heading1"/>
        <w:rPr/>
      </w:pPr>
      <w:bookmarkStart w:colFirst="0" w:colLast="0" w:name="_fgxlv5xdjh74" w:id="15"/>
      <w:bookmarkEnd w:id="15"/>
      <w:r w:rsidDel="00000000" w:rsidR="00000000" w:rsidRPr="00000000">
        <w:rPr>
          <w:rtl w:val="0"/>
        </w:rPr>
        <w:t xml:space="preserve">Designing a Security Strategy for NatureGreen</w:t>
      </w:r>
    </w:p>
    <w:p w:rsidR="00000000" w:rsidDel="00000000" w:rsidP="00000000" w:rsidRDefault="00000000" w:rsidRPr="00000000" w14:paraId="0000008F">
      <w:pPr>
        <w:rPr/>
      </w:pPr>
      <w:r w:rsidDel="00000000" w:rsidR="00000000" w:rsidRPr="00000000">
        <w:rPr>
          <w:rtl w:val="0"/>
        </w:rPr>
        <w:t xml:space="preserve">Nature green (NG) requires a cohesive security plan to address its data protection problems on the basis of the known frameworks, such as the ISO 27000 and the ITIL. These models will help ensure that cloud services, BYOD policy, and wireless network of NG are safe which will reduce the risks associated with such technologies.</w:t>
      </w:r>
    </w:p>
    <w:p w:rsidR="00000000" w:rsidDel="00000000" w:rsidP="00000000" w:rsidRDefault="00000000" w:rsidRPr="00000000" w14:paraId="00000090">
      <w:pPr>
        <w:pStyle w:val="Heading2"/>
        <w:rPr/>
      </w:pPr>
      <w:bookmarkStart w:colFirst="0" w:colLast="0" w:name="_fu5iv8dszel9" w:id="16"/>
      <w:bookmarkEnd w:id="16"/>
      <w:r w:rsidDel="00000000" w:rsidR="00000000" w:rsidRPr="00000000">
        <w:rPr>
          <w:b w:val="1"/>
          <w:bCs w:val="1"/>
          <w:rtl w:val="0"/>
        </w:rPr>
        <w:t xml:space="preserve">Proposed Security Framework</w:t>
      </w:r>
      <w:r w:rsidDel="00000000" w:rsidR="00000000" w:rsidRPr="00000000">
        <w:rPr>
          <w:rtl w:val="0"/>
        </w:rPr>
      </w:r>
    </w:p>
    <w:p w:rsidR="00000000" w:rsidDel="00000000" w:rsidP="00000000" w:rsidRDefault="00000000" w:rsidRPr="00000000" w14:paraId="00000091">
      <w:pPr>
        <w:rPr/>
      </w:pPr>
      <w:r w:rsidDel="00000000" w:rsidR="00000000" w:rsidRPr="00000000">
        <w:rPr>
          <w:rtl w:val="0"/>
        </w:rPr>
        <w:t xml:space="preserve">NG security model will be built on ISO 27000 series particularly on Information Security Management System (ISMS). This framework is targeted at ensuring that the data is confidential, intact and accessible. The primary policies it will follow are:</w:t>
      </w:r>
    </w:p>
    <w:p w:rsidR="00000000" w:rsidDel="00000000" w:rsidP="00000000" w:rsidRDefault="00000000" w:rsidRPr="00000000" w14:paraId="0000009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Data Protection Policy: It will include the information about encryption, data storage security, and access controls to provide the data protection during rest and in transit.</w:t>
      </w:r>
      <w:r w:rsidDel="00000000" w:rsidR="00000000" w:rsidRPr="00000000">
        <w:rPr>
          <w:rtl w:val="0"/>
        </w:rPr>
      </w:r>
    </w:p>
    <w:p w:rsidR="00000000" w:rsidDel="00000000" w:rsidP="00000000" w:rsidRDefault="00000000" w:rsidRPr="00000000" w14:paraId="0000009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Access Control Policy: NG would also deploy role-based access control (RBAC) and limit access to information by authorized personnel according to job roles, and all systems will have multi-factor authentication (MFA).</w:t>
      </w:r>
      <w:r w:rsidDel="00000000" w:rsidR="00000000" w:rsidRPr="00000000">
        <w:rPr>
          <w:rtl w:val="0"/>
        </w:rPr>
      </w:r>
    </w:p>
    <w:p w:rsidR="00000000" w:rsidDel="00000000" w:rsidP="00000000" w:rsidRDefault="00000000" w:rsidRPr="00000000" w14:paraId="0000009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Intellectual Property (IP) Security Policy: The establishment of the protection of the valuable intellectual property of NG will involve the classification of IP data, data classification, and integrating the data loss prevention (DLP) to monitor and control the flow of confidential information.</w:t>
      </w:r>
      <w:r w:rsidDel="00000000" w:rsidR="00000000" w:rsidRPr="00000000">
        <w:rPr>
          <w:rtl w:val="0"/>
        </w:rPr>
      </w:r>
    </w:p>
    <w:p w:rsidR="00000000" w:rsidDel="00000000" w:rsidP="00000000" w:rsidRDefault="00000000" w:rsidRPr="00000000" w14:paraId="0000009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Risk Management Policy: It will consist of periodic risk assessment, threat modelling, and security control in an attempt to eliminate the susceptibilities to be discovered through these exercises.</w:t>
      </w:r>
      <w:r w:rsidDel="00000000" w:rsidR="00000000" w:rsidRPr="00000000">
        <w:rPr>
          <w:rtl w:val="0"/>
        </w:rPr>
      </w:r>
    </w:p>
    <w:p w:rsidR="00000000" w:rsidDel="00000000" w:rsidP="00000000" w:rsidRDefault="00000000" w:rsidRPr="00000000" w14:paraId="00000096">
      <w:pPr>
        <w:rPr/>
      </w:pPr>
      <w:r w:rsidDel="00000000" w:rsidR="00000000" w:rsidRPr="00000000">
        <w:rPr>
          <w:rtl w:val="0"/>
        </w:rPr>
        <w:t xml:space="preserve">In addition, disaster recovery plans will be prepared along with incident response plans (IRP) in order to handle security breaches and business continuity. These plans will define how to detect the breaches, report and reduce them as well as provide the backup plans to counter the occurrences of disruption.</w:t>
      </w:r>
    </w:p>
    <w:p w:rsidR="00000000" w:rsidDel="00000000" w:rsidP="00000000" w:rsidRDefault="00000000" w:rsidRPr="00000000" w14:paraId="00000097">
      <w:pPr>
        <w:pStyle w:val="Heading2"/>
        <w:rPr/>
      </w:pPr>
      <w:bookmarkStart w:colFirst="0" w:colLast="0" w:name="_ki52zapzyjej" w:id="17"/>
      <w:bookmarkEnd w:id="17"/>
      <w:r w:rsidDel="00000000" w:rsidR="00000000" w:rsidRPr="00000000">
        <w:rPr>
          <w:b w:val="1"/>
          <w:bCs w:val="1"/>
          <w:rtl w:val="0"/>
        </w:rPr>
        <w:t xml:space="preserve">Risk Management</w:t>
      </w:r>
      <w:r w:rsidDel="00000000" w:rsidR="00000000" w:rsidRPr="00000000">
        <w:rPr>
          <w:rtl w:val="0"/>
        </w:rPr>
      </w:r>
    </w:p>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risk management plan of NG will be directed to the need to secure its wireless networks and cloud infrastructure:</w:t>
      </w:r>
    </w:p>
    <w:p w:rsidR="00000000" w:rsidDel="00000000" w:rsidP="00000000" w:rsidRDefault="00000000" w:rsidRPr="00000000" w14:paraId="0000009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Threat Detection NG will use intrusion detection device (IDS) and intrusion prevention device (IPS) to scan the network traffic with the aim of detecting suspicious behaviours to offer real-time threat prevention.</w:t>
      </w:r>
      <w:r w:rsidDel="00000000" w:rsidR="00000000" w:rsidRPr="00000000">
        <w:rPr>
          <w:rtl w:val="0"/>
        </w:rPr>
      </w:r>
    </w:p>
    <w:p w:rsidR="00000000" w:rsidDel="00000000" w:rsidP="00000000" w:rsidRDefault="00000000" w:rsidRPr="00000000" w14:paraId="0000009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Vulnerability Assessment: Penetration testing and vulnerability scans will occur regularly to determine the vulnerabilities in the NG infrastructure and give priority to the remediation action plan.</w:t>
      </w:r>
      <w:r w:rsidDel="00000000" w:rsidR="00000000" w:rsidRPr="00000000">
        <w:rPr>
          <w:rtl w:val="0"/>
        </w:rPr>
      </w:r>
    </w:p>
    <w:p w:rsidR="00000000" w:rsidDel="00000000" w:rsidP="00000000" w:rsidRDefault="00000000" w:rsidRPr="00000000" w14:paraId="0000009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Periodic Audits: Periodic auditing of security policies will also be performed to review the compliance with security policy and areas to improve. Such audits will play a critical role in ensuring that the company security posture is maintained in the long run.</w:t>
      </w:r>
      <w:r w:rsidDel="00000000" w:rsidR="00000000" w:rsidRPr="00000000">
        <w:rPr>
          <w:rtl w:val="0"/>
        </w:rPr>
      </w:r>
    </w:p>
    <w:p w:rsidR="00000000" w:rsidDel="00000000" w:rsidP="00000000" w:rsidRDefault="00000000" w:rsidRPr="00000000" w14:paraId="0000009C">
      <w:pPr>
        <w:pStyle w:val="Heading2"/>
        <w:rPr/>
      </w:pPr>
      <w:bookmarkStart w:colFirst="0" w:colLast="0" w:name="_blctlxn1ei5" w:id="18"/>
      <w:bookmarkEnd w:id="18"/>
      <w:r w:rsidDel="00000000" w:rsidR="00000000" w:rsidRPr="00000000">
        <w:rPr>
          <w:b w:val="1"/>
          <w:bCs w:val="1"/>
          <w:rtl w:val="0"/>
        </w:rPr>
        <w:t xml:space="preserve">Compliance and Governance</w:t>
      </w: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To ascertain that data protection laws including GDPR and CCPA are adhered to, NG will develop a compliance framework that facilitates the same. This framework will include:</w:t>
      </w:r>
    </w:p>
    <w:p w:rsidR="00000000" w:rsidDel="00000000" w:rsidP="00000000" w:rsidRDefault="00000000" w:rsidRPr="00000000" w14:paraId="0000009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Data protection impact assessment (DPIAs) to identify the threats to data privacy and confirm data privacy is managed safely and openly.</w:t>
      </w:r>
      <w:r w:rsidDel="00000000" w:rsidR="00000000" w:rsidRPr="00000000">
        <w:rPr>
          <w:rtl w:val="0"/>
        </w:rPr>
      </w:r>
    </w:p>
    <w:p w:rsidR="00000000" w:rsidDel="00000000" w:rsidP="00000000" w:rsidRDefault="00000000" w:rsidRPr="00000000" w14:paraId="0000009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Frequent data audit in order to be in compliance with privacy laws along with personal information protection.</w:t>
      </w:r>
      <w:r w:rsidDel="00000000" w:rsidR="00000000" w:rsidRPr="00000000">
        <w:rPr>
          <w:rtl w:val="0"/>
        </w:rPr>
      </w:r>
    </w:p>
    <w:p w:rsidR="00000000" w:rsidDel="00000000" w:rsidP="00000000" w:rsidRDefault="00000000" w:rsidRPr="00000000" w14:paraId="000000A0">
      <w:pPr>
        <w:rPr/>
      </w:pPr>
      <w:r w:rsidDel="00000000" w:rsidR="00000000" w:rsidRPr="00000000">
        <w:rPr>
          <w:rtl w:val="0"/>
        </w:rPr>
        <w:t xml:space="preserve">The system of security governance will be developed to control security policies of NG. Key roles will include:</w:t>
      </w:r>
    </w:p>
    <w:p w:rsidR="00000000" w:rsidDel="00000000" w:rsidP="00000000" w:rsidRDefault="00000000" w:rsidRPr="00000000" w14:paraId="000000A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CIO: This is to monitor the execution of the security strategy and to make it in line with the business objectives.</w:t>
      </w:r>
      <w:r w:rsidDel="00000000" w:rsidR="00000000" w:rsidRPr="00000000">
        <w:rPr>
          <w:rtl w:val="0"/>
        </w:rPr>
      </w:r>
    </w:p>
    <w:p w:rsidR="00000000" w:rsidDel="00000000" w:rsidP="00000000" w:rsidRDefault="00000000" w:rsidRPr="00000000" w14:paraId="000000A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Security Team: Oversight of day to day security functions e.g. monitoring and incident response.</w:t>
      </w:r>
      <w:r w:rsidDel="00000000" w:rsidR="00000000" w:rsidRPr="00000000">
        <w:rPr>
          <w:rtl w:val="0"/>
        </w:rPr>
      </w:r>
    </w:p>
    <w:p w:rsidR="00000000" w:rsidDel="00000000" w:rsidP="00000000" w:rsidRDefault="00000000" w:rsidRPr="00000000" w14:paraId="000000A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Compliance Officer: Assuring that the regulatory requirements are adhered to and auditing.</w:t>
      </w:r>
      <w:r w:rsidDel="00000000" w:rsidR="00000000" w:rsidRPr="00000000">
        <w:rPr>
          <w:rtl w:val="0"/>
        </w:rPr>
      </w:r>
    </w:p>
    <w:p w:rsidR="00000000" w:rsidDel="00000000" w:rsidP="00000000" w:rsidRDefault="00000000" w:rsidRPr="00000000" w14:paraId="000000A4">
      <w:pPr>
        <w:rPr/>
      </w:pPr>
      <w:r w:rsidDel="00000000" w:rsidR="00000000" w:rsidRPr="00000000">
        <w:rPr>
          <w:rtl w:val="0"/>
        </w:rPr>
        <w:t xml:space="preserve">Third-party vendors and cloud service providers are among the external stakeholders, and they will be integrated into the governance structure to ensure they adhere to security standards of NG.</w:t>
      </w:r>
    </w:p>
    <w:p w:rsidR="00000000" w:rsidDel="00000000" w:rsidP="00000000" w:rsidRDefault="00000000" w:rsidRPr="00000000" w14:paraId="000000A5">
      <w:pPr>
        <w:pStyle w:val="Heading2"/>
        <w:rPr/>
      </w:pPr>
      <w:bookmarkStart w:colFirst="0" w:colLast="0" w:name="_tszb7lmuriva" w:id="19"/>
      <w:bookmarkEnd w:id="19"/>
      <w:r w:rsidDel="00000000" w:rsidR="00000000" w:rsidRPr="00000000">
        <w:rPr>
          <w:b w:val="1"/>
          <w:bCs w:val="1"/>
          <w:rtl w:val="0"/>
        </w:rPr>
        <w:t xml:space="preserve">Security Controls and Protective Mechanisms</w:t>
      </w:r>
      <w:r w:rsidDel="00000000" w:rsidR="00000000" w:rsidRPr="00000000">
        <w:rPr>
          <w:rtl w:val="0"/>
        </w:rPr>
      </w:r>
    </w:p>
    <w:p w:rsidR="00000000" w:rsidDel="00000000" w:rsidP="00000000" w:rsidRDefault="00000000" w:rsidRPr="00000000" w14:paraId="000000A6">
      <w:pPr>
        <w:rPr/>
      </w:pPr>
      <w:r w:rsidDel="00000000" w:rsidR="00000000" w:rsidRPr="00000000">
        <w:rPr>
          <w:rtl w:val="0"/>
        </w:rPr>
        <w:t xml:space="preserve">NG will adopt technical security controls and organizational security controls:</w:t>
      </w:r>
    </w:p>
    <w:p w:rsidR="00000000" w:rsidDel="00000000" w:rsidP="00000000" w:rsidRDefault="00000000" w:rsidRPr="00000000" w14:paraId="000000A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Encryption: The sensitive information will be encrypted during the rest and transit of the information to ensure it is not accessed by the unauthorized persons.</w:t>
      </w:r>
      <w:r w:rsidDel="00000000" w:rsidR="00000000" w:rsidRPr="00000000">
        <w:rPr>
          <w:rtl w:val="0"/>
        </w:rPr>
      </w:r>
    </w:p>
    <w:p w:rsidR="00000000" w:rsidDel="00000000" w:rsidP="00000000" w:rsidRDefault="00000000" w:rsidRPr="00000000" w14:paraId="000000A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Firewalls: Firewalls will be implemented in strategic areas within the network of NG whereby traffic will be filtered to block unauthorized access.</w:t>
      </w:r>
      <w:r w:rsidDel="00000000" w:rsidR="00000000" w:rsidRPr="00000000">
        <w:rPr>
          <w:rtl w:val="0"/>
        </w:rPr>
      </w:r>
    </w:p>
    <w:p w:rsidR="00000000" w:rsidDel="00000000" w:rsidP="00000000" w:rsidRDefault="00000000" w:rsidRPr="00000000" w14:paraId="000000A9">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Endpoint Protection: All devices in the network of NG will be equipped with anti-malware / anti-virus software to avoid infections of malware.</w:t>
      </w:r>
      <w:r w:rsidDel="00000000" w:rsidR="00000000" w:rsidRPr="00000000">
        <w:rPr>
          <w:rtl w:val="0"/>
        </w:rPr>
      </w:r>
    </w:p>
    <w:p w:rsidR="00000000" w:rsidDel="00000000" w:rsidP="00000000" w:rsidRDefault="00000000" w:rsidRPr="00000000" w14:paraId="000000AA">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Access Control: IAM solutions will implement the RBAC and MFA, only authorized users are permitted to access sensitive data.</w:t>
      </w:r>
      <w:r w:rsidDel="00000000" w:rsidR="00000000" w:rsidRPr="00000000">
        <w:rPr>
          <w:rtl w:val="0"/>
        </w:rPr>
      </w:r>
    </w:p>
    <w:p w:rsidR="00000000" w:rsidDel="00000000" w:rsidP="00000000" w:rsidRDefault="00000000" w:rsidRPr="00000000" w14:paraId="000000AB">
      <w:pPr>
        <w:rPr/>
      </w:pPr>
      <w:r w:rsidDel="00000000" w:rsidR="00000000" w:rsidRPr="00000000">
        <w:rPr>
          <w:rtl w:val="0"/>
        </w:rPr>
        <w:t xml:space="preserve">The security awareness training of the employees will be listed as organizational measures as they will recognize and react to security hazards such as phishing and social engineering assaults.</w:t>
      </w:r>
    </w:p>
    <w:p w:rsidR="00000000" w:rsidDel="00000000" w:rsidP="00000000" w:rsidRDefault="00000000" w:rsidRPr="00000000" w14:paraId="000000AC">
      <w:pPr>
        <w:rPr/>
      </w:pPr>
      <w:r w:rsidDel="00000000" w:rsidR="00000000" w:rsidRPr="00000000">
        <w:rPr>
          <w:rtl w:val="0"/>
        </w:rPr>
        <w:t xml:space="preserve">With this elaborate security plan, NG will be less exposed to security risks, and the sensitive data and intellectual property will be secured. This will also aid in ensuring that the data protection laws are adhered to and offer the governance required in order to control security policies throughout its operations.</w:t>
      </w:r>
    </w:p>
    <w:p w:rsidR="00000000" w:rsidDel="00000000" w:rsidP="00000000" w:rsidRDefault="00000000" w:rsidRPr="00000000" w14:paraId="000000AD">
      <w:pPr>
        <w:spacing w:after="0" w:line="240" w:lineRule="auto"/>
        <w:jc w:val="left"/>
        <w:rPr/>
      </w:pPr>
      <w:r w:rsidDel="00000000" w:rsidR="00000000" w:rsidRPr="00000000">
        <w:rPr>
          <w:rtl w:val="0"/>
        </w:rPr>
      </w:r>
    </w:p>
    <w:p w:rsidR="00000000" w:rsidDel="00000000" w:rsidP="00000000" w:rsidRDefault="00000000" w:rsidRPr="00000000" w14:paraId="000000AE">
      <w:pPr>
        <w:pStyle w:val="Heading1"/>
        <w:rPr/>
      </w:pPr>
      <w:bookmarkStart w:colFirst="0" w:colLast="0" w:name="_3t39kelagvt" w:id="20"/>
      <w:bookmarkEnd w:id="20"/>
      <w:r w:rsidDel="00000000" w:rsidR="00000000" w:rsidRPr="00000000">
        <w:rPr>
          <w:rtl w:val="0"/>
        </w:rPr>
        <w:t xml:space="preserve">Critique of Security Regulations and Standards</w:t>
      </w:r>
    </w:p>
    <w:p w:rsidR="00000000" w:rsidDel="00000000" w:rsidP="00000000" w:rsidRDefault="00000000" w:rsidRPr="00000000" w14:paraId="000000AF">
      <w:pPr>
        <w:rPr/>
      </w:pPr>
      <w:r w:rsidDel="00000000" w:rsidR="00000000" w:rsidRPr="00000000">
        <w:rPr>
          <w:rtl w:val="0"/>
        </w:rPr>
        <w:t xml:space="preserve">In the current ever-changing environment of technological advancement, the need to revise security standards and policies of organizations such as NatureGreen (NG) on a regular basis is essential. With the creation of new cybersecurity threats, the change of compliance regulations, keeping old security measures might put organizations in serious danger. New threats like ransomware attacks, phishing, and insider threats need to be updated proactively to protect sensitive information. Furthermore, the shifts in regulations, e.g. the modifications in GDPR or new cybersecurity regulations, enforce that organizations update their policies to be in line with the new standards and evade fines as well as safeguard their reputation [18], [19]. The inability to adjust to these changing demands may lead to breach of data, criminal prosecution, and loss of customer confidence.</w:t>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t xml:space="preserve">Regulatory changes have a great impact on business practices. As an example, the amendments to GDPR have also established a need to ensure companies are more strict in the matters of data protection and provide improved transparency to the processing of personal data. This has observed companies putting in place a more powerful data governance system, a superior system of data access controls, and a clear system of data breach notification. Equally, the implementation of a cybersecurity policy, e.g. NIST Cybersecurity Framework in the U.S has also forced organisations to pursue more stringent risk management strategies. The active power of these rules proves that there is a need to constantly revise the policies to be up-to-date and secure [18], [20].</w:t>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t xml:space="preserve">New security regulations are also of great benefit to organizations. NG can provide a competitive advantage by frequently revising security policies to show a desire to protect data, which will increase its customer confidence. The customers will increase their trust in the brand as they are assured that their information is processed safely and according to the international laws. Governance models, like ISO 27001 or ITIL, are necessary to respond to these changes and have a systematic approach to adapting security updates to make sure that the organization is in compliance [21], [22].</w:t>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t xml:space="preserve">Some of the examples of companies that have reasonably optimized their security policies are Microsoft, which strengthened its cloud security policies due to GDPR implementation, and Facebook, which revised its privacy and data security policies after it was questioned about its user data practices. This is because the nature of their responsive governance towards regulatory changes has seen these organizations have stronger security postures and more customers who are loyal to the organization.</w:t>
      </w:r>
    </w:p>
    <w:p w:rsidR="00000000" w:rsidDel="00000000" w:rsidP="00000000" w:rsidRDefault="00000000" w:rsidRPr="00000000" w14:paraId="000000B6">
      <w:pPr>
        <w:spacing w:after="0" w:line="240" w:lineRule="auto"/>
        <w:jc w:val="left"/>
        <w:rPr/>
      </w:pPr>
      <w:r w:rsidDel="00000000" w:rsidR="00000000" w:rsidRPr="00000000">
        <w:rPr>
          <w:rtl w:val="0"/>
        </w:rPr>
      </w:r>
    </w:p>
    <w:p w:rsidR="00000000" w:rsidDel="00000000" w:rsidP="00000000" w:rsidRDefault="00000000" w:rsidRPr="00000000" w14:paraId="000000B7">
      <w:pPr>
        <w:pStyle w:val="Heading1"/>
        <w:rPr/>
      </w:pPr>
      <w:bookmarkStart w:colFirst="0" w:colLast="0" w:name="_2q7bvidibsvy" w:id="21"/>
      <w:bookmarkEnd w:id="21"/>
      <w:r w:rsidDel="00000000" w:rsidR="00000000" w:rsidRPr="00000000">
        <w:rPr>
          <w:rtl w:val="0"/>
        </w:rPr>
        <w:t xml:space="preserve">Discussion on Best Practices for Security and Compliance</w:t>
      </w:r>
    </w:p>
    <w:p w:rsidR="00000000" w:rsidDel="00000000" w:rsidP="00000000" w:rsidRDefault="00000000" w:rsidRPr="00000000" w14:paraId="000000B8">
      <w:pPr>
        <w:rPr/>
      </w:pPr>
      <w:r w:rsidDel="00000000" w:rsidR="00000000" w:rsidRPr="00000000">
        <w:rPr>
          <w:rtl w:val="0"/>
        </w:rPr>
        <w:t xml:space="preserve">It is essential that strong data security policies are implemented to protect sensitive information. A great way is the Zero-Trust security model that is built on the premise that it will never trust any device or any user as a default and it will be independent of whether the device or user is located on the network perimeter or not. This model necessitates the constant authentication and authorization of each user and device and it will greatly minimize the chance of unauthorized access. In addition to this, data is encrypted so that unauthorized information cannot be read by unauthorized parties, both in transit and at rest, which offers an added protection [14], [23]. In addition, training of employees would be critical in creating awareness on security best practices like awareness of phishing activities, and knowledge of password management. Training activities create a culture of vigilance and are important in meaning that employees know their part in keeping company data safe.</w:t>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t xml:space="preserve">The ISO 27001 standard is critical in ensuring that continuous improvement is made in the cybersecurity practices. The standard offers a broad-based model of information security management system (ISMS) aimed at evaluating risks, making policy, and reviewing security policies on a periodic basis. The adoption of ISO 27001 assists organizations to adopt a systematic approach to data security to ensure that the security practices keep changing with the threats.</w:t>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t xml:space="preserve">To comply with regulations, it is critical to be associated with such schemes as GDPR and CCPA. The best practices involve the introduction of data protection impact assessments (DPIAs) and making data minimization and user consent a priority. A frequent audit will assist the organizations in testing their adherence and discovering ways to become better, and sanctions and data breach warnings will encourage compliance with the rules and secure the trust of customers. Compliance reduces the legal risks, as well as provides a better image to the organization.</w:t>
      </w:r>
    </w:p>
    <w:p w:rsidR="00000000" w:rsidDel="00000000" w:rsidP="00000000" w:rsidRDefault="00000000" w:rsidRPr="00000000" w14:paraId="000000BD">
      <w:pPr>
        <w:spacing w:after="0" w:line="240" w:lineRule="auto"/>
        <w:jc w:val="left"/>
        <w:rPr/>
      </w:pPr>
      <w:r w:rsidDel="00000000" w:rsidR="00000000" w:rsidRPr="00000000">
        <w:rPr>
          <w:rtl w:val="0"/>
        </w:rPr>
      </w:r>
    </w:p>
    <w:p w:rsidR="00000000" w:rsidDel="00000000" w:rsidP="00000000" w:rsidRDefault="00000000" w:rsidRPr="00000000" w14:paraId="000000BE">
      <w:pPr>
        <w:pStyle w:val="Heading1"/>
        <w:rPr/>
      </w:pPr>
      <w:bookmarkStart w:colFirst="0" w:colLast="0" w:name="_vvci1yr420qt" w:id="22"/>
      <w:bookmarkEnd w:id="22"/>
      <w:r w:rsidDel="00000000" w:rsidR="00000000" w:rsidRPr="00000000">
        <w:rPr>
          <w:rtl w:val="0"/>
        </w:rPr>
        <w:t xml:space="preserve">Conclusion</w:t>
      </w:r>
    </w:p>
    <w:p w:rsidR="00000000" w:rsidDel="00000000" w:rsidP="00000000" w:rsidRDefault="00000000" w:rsidRPr="00000000" w14:paraId="000000BF">
      <w:pPr>
        <w:rPr/>
      </w:pPr>
      <w:r w:rsidDel="00000000" w:rsidR="00000000" w:rsidRPr="00000000">
        <w:rPr>
          <w:rtl w:val="0"/>
        </w:rPr>
        <w:t xml:space="preserve">This report has presented an extensive security plan of NatureGreen (NG) paying special attention to implementing the ISO 27000 and ITIL frameworks in order to overcome security issues of importance, including data protection, access control, and intellectual property security. The need to revise security laws and compliance schemes on a regular basis was noted as it seeks to reduce the trends of risk. To ensure the protection of sensitive data, NG will need to embrace a formal security policy, use ISO 27000 standards, and incorporate strong risk management tools to prevent that data from being compromised. To make sure that security practices are followed in the long term and that the operational environment of NG is secure, regular audits, employee training, and the continuous improvement of the security practices are important.</w:t>
      </w:r>
    </w:p>
    <w:p w:rsidR="00000000" w:rsidDel="00000000" w:rsidP="00000000" w:rsidRDefault="00000000" w:rsidRPr="00000000" w14:paraId="000000C0">
      <w:pPr>
        <w:pStyle w:val="Heading1"/>
        <w:jc w:val="left"/>
        <w:rPr/>
      </w:pPr>
      <w:bookmarkStart w:colFirst="0" w:colLast="0" w:name="_ve930dqqo74x" w:id="23"/>
      <w:bookmarkEnd w:id="23"/>
      <w:r w:rsidDel="00000000" w:rsidR="00000000" w:rsidRPr="00000000">
        <w:rPr>
          <w:rtl w:val="0"/>
        </w:rPr>
        <w:t xml:space="preserve">Multi-Domain Network Architecture Framework:</w:t>
      </w:r>
      <w:r w:rsidDel="00000000" w:rsidR="00000000" w:rsidRPr="00000000">
        <w:br w:type="column"/>
      </w:r>
      <w:r w:rsidDel="00000000" w:rsidR="00000000" w:rsidRPr="00000000">
        <w:rPr>
          <w:rtl w:val="0"/>
        </w:rPr>
        <w:t xml:space="preserve">References</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409575</wp:posOffset>
            </wp:positionV>
            <wp:extent cx="2557463" cy="2424098"/>
            <wp:effectExtent b="0" l="0" r="0" t="0"/>
            <wp:wrapNone/>
            <wp:docPr id="4"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2557463" cy="2424098"/>
                    </a:xfrm>
                    <a:prstGeom prst="rect"/>
                    <a:ln/>
                  </pic:spPr>
                </pic:pic>
              </a:graphicData>
            </a:graphic>
          </wp:anchor>
        </w:drawing>
      </w:r>
    </w:p>
    <w:p w:rsidR="00000000" w:rsidDel="00000000" w:rsidP="00000000" w:rsidRDefault="00000000" w:rsidRPr="00000000" w14:paraId="000000C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w:t>
        <w:tab/>
        <w:t xml:space="preserve">J. Heino, A. Hakkala, and S. Virtanen, “Study of methods for endpoint aware inspection in a next generation firewall,”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Cybersecurity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5, no. 1, p. 25, Sept. 2022, doi: 10.1186/s42400-022-00127-8.</w:t>
      </w:r>
    </w:p>
    <w:p w:rsidR="00000000" w:rsidDel="00000000" w:rsidP="00000000" w:rsidRDefault="00000000" w:rsidRPr="00000000" w14:paraId="000000C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w:t>
        <w:tab/>
        <w:t xml:space="preserve">M. A. Khatun, S. F. Memon, C. Eising, and L. L. Dhirani, “Machine Learning for Healthcare-IoT Security: A Review and Risk Mitigation,”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IEEE Access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11, pp. 145869–145896, 2023, doi: 10.1109/ACCESS.2023.3346320.</w:t>
      </w:r>
    </w:p>
    <w:p w:rsidR="00000000" w:rsidDel="00000000" w:rsidP="00000000" w:rsidRDefault="00000000" w:rsidRPr="00000000" w14:paraId="000000C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w:t>
        <w:tab/>
        <w:t xml:space="preserve">A. C Yallop and O. Aliasghar, “No business as usual: a case for data ethics and data governance in the age of coronavirus,”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Online Inf. Rev.</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44, no. 6, pp. 1217–1221, July 2020, doi: 10.1108/OIR-06-2020-0257.</w:t>
      </w:r>
    </w:p>
    <w:p w:rsidR="00000000" w:rsidDel="00000000" w:rsidP="00000000" w:rsidRDefault="00000000" w:rsidRPr="00000000" w14:paraId="000000C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w:t>
        <w:tab/>
        <w:t xml:space="preserve">G. Onwujekwe, M. Thomas, and K.-M. Osei-Bryson, “Using Robust Data Governance to Mitigate the Impact of Cybercrime,” in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Proceedings of the 2019 3rd International Conference on Information System and Data Mining</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Houston TX USA: ACM, Apr. 2019, pp. 70–79. doi: 10.1145/3325917.3325923.</w:t>
      </w:r>
    </w:p>
    <w:p w:rsidR="00000000" w:rsidDel="00000000" w:rsidP="00000000" w:rsidRDefault="00000000" w:rsidRPr="00000000" w14:paraId="000000C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w:t>
        <w:tab/>
        <w:t xml:space="preserve">Joint Task Force, “Security and Privacy Controls for Information Systems and Organizations,”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Secur. Priv. Controls Inf. Syst. Organ.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5, no. 5, 2020, doi: 10.6028/nist.sp.800-53r5.</w:t>
      </w:r>
    </w:p>
    <w:p w:rsidR="00000000" w:rsidDel="00000000" w:rsidP="00000000" w:rsidRDefault="00000000" w:rsidRPr="00000000" w14:paraId="000000C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w:t>
        <w:tab/>
        <w:t xml:space="preserve">J. Zhong, X. Wang, and T. Zhang, “Network Security Governance Policy and Risk Management: Research on Challenges and Coping Strategies,”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J. Mach. Comput.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pp. 153–169, Jan. 2024, doi: 10.53759/7669/jmc202404015.</w:t>
      </w:r>
    </w:p>
    <w:p w:rsidR="00000000" w:rsidDel="00000000" w:rsidP="00000000" w:rsidRDefault="00000000" w:rsidRPr="00000000" w14:paraId="000000C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w:t>
        <w:tab/>
        <w:t xml:space="preserve">J. Cawthra, M. Ekstrom, L. Lusty, J. Sexton, and J. Sweetnam, “Data Integrity: Identifying and Protecting Assets Against Ransomware and Other Destructive Events,” National Institute of Standards and Technology, Dec. 2020. doi: 10.6028/NIST.SP.1800-25.</w:t>
      </w:r>
    </w:p>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[8]</w:t>
        <w:tab/>
        <w:t xml:space="preserve">Q. Covert, D. Steinhagen, M. Francis, and K. Streff, “Towards a Triad for Data Privacy,” presented at the Hawaii International Conference on System Sciences, 2020. doi: 10.24251/HICSS.2020.535.</w:t>
      </w:r>
    </w:p>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[9]</w:t>
        <w:tab/>
        <w:t xml:space="preserve">B. Baptista and J. Barata, “Continuously Improving IT Service Management in the Pharmaceutical Industry,”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Procedia Comput. Sci.</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239, pp. 923–930, 2024, doi: 10.1016/j.procs.2024.06.253.</w:t>
      </w:r>
    </w:p>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[10]</w:t>
        <w:tab/>
        <w:t xml:space="preserve">A. Mohammad and Y. Abbas, “Key Challenges of Cloud Computing Resource Allocation in Small and Medium Enterprises,”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Digital</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4, no. 2, pp. 372–388, Apr. 2024, doi: 10.3390/digital4020018.</w:t>
      </w:r>
    </w:p>
    <w:p w:rsidR="00000000" w:rsidDel="00000000" w:rsidP="00000000" w:rsidRDefault="00000000" w:rsidRPr="00000000" w14:paraId="000000C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w:t>
        <w:tab/>
        <w:t xml:space="preserve">Elok Aflakhah and Benfano Soewito, “Assessing Information Security Using COBIT 2019 and ISO 27001:2013 for Developing a Mitigation Plan,”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Int. J. Eng. Trends Technol.</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71, no. 10, pp. 223–237, 2023, doi: 10.14445/22315381/ijett-v71i10p221.</w:t>
      </w:r>
    </w:p>
    <w:p w:rsidR="00000000" w:rsidDel="00000000" w:rsidP="00000000" w:rsidRDefault="00000000" w:rsidRPr="00000000" w14:paraId="000000C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[12]</w:t>
        <w:tab/>
        <w:t xml:space="preserve">Muhammad, M. P. Angin, and Aris Puji Widodo, “COBIT 2019 Framework in IT Governance: A Systematic Literature Review of Implementation Challenges and Benefits Across Various Industry Sectors,”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J. Renew. Energy Electr. Comput. Eng.</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5, no. 1, pp. 99–105, 2019, doi: 10.29103/jreece.v5i1.19501.</w:t>
      </w:r>
    </w:p>
    <w:p w:rsidR="00000000" w:rsidDel="00000000" w:rsidP="00000000" w:rsidRDefault="00000000" w:rsidRPr="00000000" w14:paraId="000000C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[13]</w:t>
        <w:tab/>
        <w:t xml:space="preserve">OECD,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OECD Policy Framework on Digital Security: Cybersecurity for Prosperity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OECD Publishing, 2022. doi: 10.1787/a69df866-en.</w:t>
      </w:r>
    </w:p>
    <w:p w:rsidR="00000000" w:rsidDel="00000000" w:rsidP="00000000" w:rsidRDefault="00000000" w:rsidRPr="00000000" w14:paraId="000000C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[14]</w:t>
        <w:tab/>
        <w:t xml:space="preserve">Pauline A. Ongadi, “A comprehensive examination of security and privacy in precision agriculture technologies,”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GSC Adv. Res. Rev.</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18, no. 1, pp. 336–363, Jan. 2024, doi: 10.30574/gscarr.2024.18.1.0026.</w:t>
      </w:r>
    </w:p>
    <w:p w:rsidR="00000000" w:rsidDel="00000000" w:rsidP="00000000" w:rsidRDefault="00000000" w:rsidRPr="00000000" w14:paraId="000000C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[15]</w:t>
        <w:tab/>
        <w:t xml:space="preserve">S. Lim and J. Oh, “Navigating Privacy: A Global Comparative Analysis of Data Protection Laws,”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IET Inf. Secur.</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2025, no. 1, p. 5536763, Jan. 2025, doi: 10.1049/ise2/5536763.</w:t>
      </w:r>
    </w:p>
    <w:p w:rsidR="00000000" w:rsidDel="00000000" w:rsidP="00000000" w:rsidRDefault="00000000" w:rsidRPr="00000000" w14:paraId="000000D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[16]</w:t>
        <w:tab/>
        <w:t xml:space="preserve">K. Downer and M. Bhattacharya, “BYOD Security: A Study of Human Dimensions,”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Informatics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9, no. 1, p. 16, Feb. 2022, doi: 10.3390/informatics9010016.</w:t>
      </w:r>
    </w:p>
    <w:p w:rsidR="00000000" w:rsidDel="00000000" w:rsidP="00000000" w:rsidRDefault="00000000" w:rsidRPr="00000000" w14:paraId="000000D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[17]</w:t>
        <w:tab/>
        <w:t xml:space="preserve">B. G. Buchanan, “Artificial intelligence in finance,” Zenodo, Mar. 2019. doi: 10.5281/ZENODO.2612537.</w:t>
      </w:r>
    </w:p>
    <w:p w:rsidR="00000000" w:rsidDel="00000000" w:rsidP="00000000" w:rsidRDefault="00000000" w:rsidRPr="00000000" w14:paraId="000000D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[18]</w:t>
        <w:tab/>
        <w:t xml:space="preserve">C. Luidold and C. Jungbauer, “Cybersecurity policy framework requirements for the establishment of highly interoperable and interconnected health data spaces,”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Front. Med.</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11, p. 1379852, May 2024, doi: 10.3389/fmed.2024.1379852.</w:t>
      </w:r>
    </w:p>
    <w:p w:rsidR="00000000" w:rsidDel="00000000" w:rsidP="00000000" w:rsidRDefault="00000000" w:rsidRPr="00000000" w14:paraId="000000D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[19]</w:t>
        <w:tab/>
        <w:t xml:space="preserve">B. Uchendu, J. R. C. Nurse, M. Bada, and S. Furnell, “Developing a cyber security culture: Current practices and future needs,”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Comput. Secur.</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109, p. 102387, Oct. 2021, doi: 10.1016/j.cose.2021.102387.</w:t>
      </w:r>
    </w:p>
    <w:p w:rsidR="00000000" w:rsidDel="00000000" w:rsidP="00000000" w:rsidRDefault="00000000" w:rsidRPr="00000000" w14:paraId="000000D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[20]</w:t>
        <w:tab/>
        <w:t xml:space="preserve">Y. Chen, “Information security management: compliance challenges and new directions,”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J. Inf. Technol. Case Appl. Res.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24, no. 4, pp. 243–249, Oct. 2022, doi: 10.1080/15228053.2022.2148979.</w:t>
      </w:r>
    </w:p>
    <w:p w:rsidR="00000000" w:rsidDel="00000000" w:rsidP="00000000" w:rsidRDefault="00000000" w:rsidRPr="00000000" w14:paraId="000000D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w:t>
        <w:tab/>
        <w:t xml:space="preserve">C. Ebert, A. Vizcaino, and A. Manjavacas, “IT Governance,”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IEEE Softw.</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37, no. 6, pp. 13–20, Nov. 2020, doi: 10.1109/MS.2020.3016099.</w:t>
      </w:r>
    </w:p>
    <w:p w:rsidR="00000000" w:rsidDel="00000000" w:rsidP="00000000" w:rsidRDefault="00000000" w:rsidRPr="00000000" w14:paraId="000000D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w:t>
        <w:tab/>
        <w:t xml:space="preserve">T. Orakzai, “COBIT, ITIL and ISO 27002 Alignment for Information Security Governance in Modern Organisations,”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SSRN Electron. J.</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2014, doi: 10.2139/ssrn.2385845.</w:t>
      </w:r>
    </w:p>
    <w:p w:rsidR="00000000" w:rsidDel="00000000" w:rsidP="00000000" w:rsidRDefault="00000000" w:rsidRPr="00000000" w14:paraId="000000D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w:t>
        <w:tab/>
        <w:t xml:space="preserve">A. Odeh, E. Abdelfattah, and W. Salameh, “Privacy-Preserving Data Sharing in Telehealth Services,”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Appl. Sci.</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14, no. 23, p. 10808, Nov. 2024, doi: 10.3390/app142310808.</w:t>
      </w:r>
    </w:p>
    <w:p w:rsidR="00000000" w:rsidDel="00000000" w:rsidP="00000000" w:rsidRDefault="00000000" w:rsidRPr="00000000" w14:paraId="000000D8">
      <w:pPr>
        <w:spacing w:line="240" w:lineRule="auto"/>
        <w:rPr/>
      </w:pPr>
      <w:r w:rsidDel="00000000" w:rsidR="00000000" w:rsidRPr="00000000">
        <w:rPr>
          <w:rtl w:val="0"/>
        </w:rPr>
      </w:r>
    </w:p>
    <w:sectPr>
      <w:footerReference r:id="rId10" w:type="default"/>
      <w:type w:val="nextPage"/>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imes New Roman"/>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D9">
    <w:pPr>
      <w:jc w:val="right"/>
      <w:rPr>
        <w:sz w:val="18"/>
        <w:szCs w:val="18"/>
      </w:rPr>
    </w:pPr>
    <w:r w:rsidDel="00000000" w:rsidR="00000000" w:rsidRPr="00000000">
      <w:rPr>
        <w:b w:val="1"/>
        <w:bCs w:val="1"/>
        <w:sz w:val="28"/>
        <w:szCs w:val="28"/>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0"/>
      <w:numFmt w:val="bullet"/>
      <w:lvlText w:val="o"/>
      <w:lvlJc w:val="left"/>
      <w:pPr>
        <w:ind w:left="1440" w:hanging="360"/>
      </w:pPr>
      <w:rPr>
        <w:rFonts w:ascii="Courier New" w:cs="Courier New" w:eastAsia="Courier New" w:hAnsi="Courier New"/>
        <w:sz w:val="20"/>
        <w:szCs w:val="20"/>
      </w:rPr>
    </w:lvl>
    <w:lvl w:ilvl="2">
      <w:start w:val="4"/>
      <w:numFmt w:val="bullet"/>
      <w:lvlText w:val="•"/>
      <w:lvlJc w:val="left"/>
      <w:pPr>
        <w:ind w:left="2160" w:hanging="360"/>
      </w:pPr>
      <w:rPr>
        <w:rFonts w:ascii="Times New Roman" w:cs="Times New Roman" w:eastAsia="Times New Roman" w:hAnsi="Times New Roman"/>
      </w:rPr>
    </w:lvl>
    <w:lvl w:ilvl="3">
      <w:start w:val="1"/>
      <w:numFmt w:val="decimal"/>
      <w:lvlText w:val="%4."/>
      <w:lvlJc w:val="left"/>
      <w:pPr>
        <w:ind w:left="2880" w:hanging="360"/>
      </w:pPr>
      <w:rPr/>
    </w:lvl>
    <w:lvl w:ilvl="4">
      <w:start w:val="0"/>
      <w:numFmt w:val="bullet"/>
      <w:lvlText w:val="▪"/>
      <w:lvlJc w:val="left"/>
      <w:pPr>
        <w:ind w:left="3600" w:hanging="360"/>
      </w:pPr>
      <w:rPr>
        <w:rFonts w:ascii="Noto Sans Symbols" w:cs="Noto Sans Symbols" w:eastAsia="Noto Sans Symbols" w:hAnsi="Noto Sans Symbols"/>
        <w:sz w:val="20"/>
        <w:szCs w:val="20"/>
      </w:rPr>
    </w:lvl>
    <w:lvl w:ilvl="5">
      <w:start w:val="0"/>
      <w:numFmt w:val="bullet"/>
      <w:lvlText w:val="▪"/>
      <w:lvlJc w:val="left"/>
      <w:pPr>
        <w:ind w:left="4320" w:hanging="360"/>
      </w:pPr>
      <w:rPr>
        <w:rFonts w:ascii="Noto Sans Symbols" w:cs="Noto Sans Symbols" w:eastAsia="Noto Sans Symbols" w:hAnsi="Noto Sans Symbols"/>
        <w:sz w:val="20"/>
        <w:szCs w:val="20"/>
      </w:rPr>
    </w:lvl>
    <w:lvl w:ilvl="6">
      <w:start w:val="0"/>
      <w:numFmt w:val="bullet"/>
      <w:lvlText w:val="▪"/>
      <w:lvlJc w:val="left"/>
      <w:pPr>
        <w:ind w:left="5040" w:hanging="360"/>
      </w:pPr>
      <w:rPr>
        <w:rFonts w:ascii="Noto Sans Symbols" w:cs="Noto Sans Symbols" w:eastAsia="Noto Sans Symbols" w:hAnsi="Noto Sans Symbols"/>
        <w:sz w:val="20"/>
        <w:szCs w:val="20"/>
      </w:rPr>
    </w:lvl>
    <w:lvl w:ilvl="7">
      <w:start w:val="0"/>
      <w:numFmt w:val="bullet"/>
      <w:lvlText w:val="▪"/>
      <w:lvlJc w:val="left"/>
      <w:pPr>
        <w:ind w:left="5760" w:hanging="360"/>
      </w:pPr>
      <w:rPr>
        <w:rFonts w:ascii="Noto Sans Symbols" w:cs="Noto Sans Symbols" w:eastAsia="Noto Sans Symbols" w:hAnsi="Noto Sans Symbols"/>
        <w:sz w:val="20"/>
        <w:szCs w:val="20"/>
      </w:rPr>
    </w:lvl>
    <w:lvl w:ilvl="8">
      <w:start w:val="0"/>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decimal"/>
      <w:lvlText w:val="%1."/>
      <w:lvlJc w:val="left"/>
      <w:pPr>
        <w:ind w:left="720" w:hanging="360"/>
      </w:pPr>
      <w:rPr>
        <w:sz w:val="20"/>
        <w:szCs w:val="20"/>
      </w:rPr>
    </w:lvl>
    <w:lvl w:ilvl="1">
      <w:start w:val="0"/>
      <w:numFmt w:val="bullet"/>
      <w:lvlText w:val="o"/>
      <w:lvlJc w:val="left"/>
      <w:pPr>
        <w:ind w:left="1440" w:hanging="360"/>
      </w:pPr>
      <w:rPr>
        <w:rFonts w:ascii="Courier New" w:cs="Courier New" w:eastAsia="Courier New" w:hAnsi="Courier New"/>
        <w:sz w:val="20"/>
        <w:szCs w:val="20"/>
      </w:rPr>
    </w:lvl>
    <w:lvl w:ilvl="2">
      <w:start w:val="4"/>
      <w:numFmt w:val="bullet"/>
      <w:lvlText w:val="•"/>
      <w:lvlJc w:val="left"/>
      <w:pPr>
        <w:ind w:left="2160" w:hanging="360"/>
      </w:pPr>
      <w:rPr>
        <w:rFonts w:ascii="Times New Roman" w:cs="Times New Roman" w:eastAsia="Times New Roman" w:hAnsi="Times New Roman"/>
      </w:rPr>
    </w:lvl>
    <w:lvl w:ilvl="3">
      <w:start w:val="1"/>
      <w:numFmt w:val="decimal"/>
      <w:lvlText w:val="%4."/>
      <w:lvlJc w:val="left"/>
      <w:pPr>
        <w:ind w:left="2880" w:hanging="360"/>
      </w:pPr>
      <w:rPr/>
    </w:lvl>
    <w:lvl w:ilvl="4">
      <w:start w:val="0"/>
      <w:numFmt w:val="bullet"/>
      <w:lvlText w:val="▪"/>
      <w:lvlJc w:val="left"/>
      <w:pPr>
        <w:ind w:left="3600" w:hanging="360"/>
      </w:pPr>
      <w:rPr>
        <w:rFonts w:ascii="Noto Sans Symbols" w:cs="Noto Sans Symbols" w:eastAsia="Noto Sans Symbols" w:hAnsi="Noto Sans Symbols"/>
        <w:sz w:val="20"/>
        <w:szCs w:val="20"/>
      </w:rPr>
    </w:lvl>
    <w:lvl w:ilvl="5">
      <w:start w:val="0"/>
      <w:numFmt w:val="bullet"/>
      <w:lvlText w:val="▪"/>
      <w:lvlJc w:val="left"/>
      <w:pPr>
        <w:ind w:left="4320" w:hanging="360"/>
      </w:pPr>
      <w:rPr>
        <w:rFonts w:ascii="Noto Sans Symbols" w:cs="Noto Sans Symbols" w:eastAsia="Noto Sans Symbols" w:hAnsi="Noto Sans Symbols"/>
        <w:sz w:val="20"/>
        <w:szCs w:val="20"/>
      </w:rPr>
    </w:lvl>
    <w:lvl w:ilvl="6">
      <w:start w:val="0"/>
      <w:numFmt w:val="bullet"/>
      <w:lvlText w:val="▪"/>
      <w:lvlJc w:val="left"/>
      <w:pPr>
        <w:ind w:left="5040" w:hanging="360"/>
      </w:pPr>
      <w:rPr>
        <w:rFonts w:ascii="Noto Sans Symbols" w:cs="Noto Sans Symbols" w:eastAsia="Noto Sans Symbols" w:hAnsi="Noto Sans Symbols"/>
        <w:sz w:val="20"/>
        <w:szCs w:val="20"/>
      </w:rPr>
    </w:lvl>
    <w:lvl w:ilvl="7">
      <w:start w:val="0"/>
      <w:numFmt w:val="bullet"/>
      <w:lvlText w:val="▪"/>
      <w:lvlJc w:val="left"/>
      <w:pPr>
        <w:ind w:left="5760" w:hanging="360"/>
      </w:pPr>
      <w:rPr>
        <w:rFonts w:ascii="Noto Sans Symbols" w:cs="Noto Sans Symbols" w:eastAsia="Noto Sans Symbols" w:hAnsi="Noto Sans Symbols"/>
        <w:sz w:val="20"/>
        <w:szCs w:val="20"/>
      </w:rPr>
    </w:lvl>
    <w:lvl w:ilvl="8">
      <w:start w:val="0"/>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sz w:val="28"/>
      <w:szCs w:val="28"/>
    </w:rPr>
  </w:style>
  <w:style w:type="paragraph" w:styleId="Heading2">
    <w:name w:val="heading 2"/>
    <w:basedOn w:val="Normal"/>
    <w:next w:val="Normal"/>
    <w:pPr>
      <w:keepNext w:val="1"/>
      <w:keepLines w:val="1"/>
      <w:spacing w:after="0" w:before="40" w:lineRule="auto"/>
    </w:pPr>
    <w:rPr>
      <w:b w:val="1"/>
      <w:bCs w:val="1"/>
    </w:rPr>
  </w:style>
  <w:style w:type="paragraph" w:styleId="Heading3">
    <w:name w:val="heading 3"/>
    <w:basedOn w:val="Normal"/>
    <w:next w:val="Normal"/>
    <w:pPr>
      <w:spacing w:line="240" w:lineRule="auto"/>
      <w:jc w:val="left"/>
    </w:pPr>
    <w:rPr>
      <w:b w:val="1"/>
      <w:bCs w:val="1"/>
      <w:i w:val="1"/>
      <w:iCs w:val="1"/>
    </w:rPr>
  </w:style>
  <w:style w:type="paragraph" w:styleId="Heading4">
    <w:name w:val="heading 4"/>
    <w:basedOn w:val="Normal"/>
    <w:next w:val="Normal"/>
    <w:pPr>
      <w:keepNext w:val="1"/>
      <w:keepLines w:val="1"/>
      <w:spacing w:after="0" w:before="40" w:lineRule="auto"/>
    </w:pPr>
    <w:rPr>
      <w:rFonts w:ascii="Calibri" w:cs="Calibri" w:eastAsia="Calibri" w:hAnsi="Calibri"/>
      <w:i w:val="1"/>
      <w:iCs w:val="1"/>
      <w:color w:val="2f5496"/>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d9e2f3" w:val="clear"/>
      </w:tcPr>
    </w:tblStylePr>
    <w:tblStylePr w:type="band1Vert">
      <w:tcPr>
        <w:shd w:fill="d9e2f3" w:val="clear"/>
      </w:tcPr>
    </w:tblStylePr>
    <w:tblStylePr w:type="firstCol">
      <w:rPr>
        <w:b w:val="1"/>
        <w:bCs w:val="1"/>
      </w:rPr>
    </w:tblStylePr>
    <w:tblStylePr w:type="firstRow">
      <w:rPr>
        <w:b w:val="1"/>
        <w:bCs w:val="1"/>
        <w:color w:val="ffffff"/>
      </w:rPr>
      <w:tcPr>
        <w:tcBorders>
          <w:top w:color="4472c4" w:space="0" w:sz="4" w:val="single"/>
          <w:left w:color="4472c4" w:space="0" w:sz="4" w:val="single"/>
          <w:bottom w:color="4472c4" w:space="0" w:sz="4" w:val="single"/>
          <w:right w:color="4472c4" w:space="0" w:sz="4" w:val="single"/>
          <w:insideH w:color="000000" w:space="0" w:sz="0" w:val="nil"/>
          <w:insideV w:color="000000" w:space="0" w:sz="0" w:val="nil"/>
        </w:tcBorders>
        <w:shd w:fill="4472c4" w:val="clear"/>
      </w:tcPr>
    </w:tblStylePr>
    <w:tblStylePr w:type="lastCol">
      <w:rPr>
        <w:b w:val="1"/>
        <w:bCs w:val="1"/>
      </w:rPr>
    </w:tblStylePr>
    <w:tblStylePr w:type="lastRow">
      <w:rPr>
        <w:b w:val="1"/>
        <w:bCs w:val="1"/>
      </w:rPr>
      <w:tcPr>
        <w:tcBorders>
          <w:top w:color="4472c4" w:space="0" w:sz="4" w:val="single"/>
        </w:tcBorders>
      </w:tcPr>
    </w:tblStyle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d9e2f3" w:val="clear"/>
      </w:tcPr>
    </w:tblStylePr>
    <w:tblStylePr w:type="band1Vert">
      <w:tcPr>
        <w:shd w:fill="d9e2f3" w:val="clear"/>
      </w:tcPr>
    </w:tblStylePr>
    <w:tblStylePr w:type="firstCol">
      <w:rPr>
        <w:b w:val="1"/>
        <w:bCs w:val="1"/>
      </w:rPr>
    </w:tblStylePr>
    <w:tblStylePr w:type="firstRow">
      <w:rPr>
        <w:b w:val="1"/>
        <w:bCs w:val="1"/>
        <w:color w:val="ffffff"/>
      </w:rPr>
      <w:tcPr>
        <w:tcBorders>
          <w:top w:color="4472c4" w:space="0" w:sz="4" w:val="single"/>
          <w:left w:color="4472c4" w:space="0" w:sz="4" w:val="single"/>
          <w:bottom w:color="4472c4" w:space="0" w:sz="4" w:val="single"/>
          <w:right w:color="4472c4" w:space="0" w:sz="4" w:val="single"/>
          <w:insideH w:color="000000" w:space="0" w:sz="0" w:val="nil"/>
          <w:insideV w:color="000000" w:space="0" w:sz="0" w:val="nil"/>
        </w:tcBorders>
        <w:shd w:fill="4472c4" w:val="clear"/>
      </w:tcPr>
    </w:tblStylePr>
    <w:tblStylePr w:type="lastCol">
      <w:rPr>
        <w:b w:val="1"/>
        <w:bCs w:val="1"/>
      </w:rPr>
    </w:tblStylePr>
    <w:tblStylePr w:type="lastRow">
      <w:rPr>
        <w:b w:val="1"/>
        <w:bCs w:val="1"/>
      </w:rPr>
      <w:tcPr>
        <w:tcBorders>
          <w:top w:color="4472c4" w:space="0" w:sz="4" w:val="single"/>
        </w:tcBorders>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image" Target="media/image3.png"/><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4.jpg"/><Relationship Id="rId8" Type="http://schemas.openxmlformats.org/officeDocument/2006/relationships/image" Target="media/image1.jp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