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41F84D" w14:textId="77777777" w:rsidR="00F21595" w:rsidRDefault="00F21595" w:rsidP="006123AA">
      <w:pPr>
        <w:spacing w:line="360" w:lineRule="auto"/>
        <w:jc w:val="center"/>
        <w:rPr>
          <w:b/>
          <w:bCs/>
          <w:lang w:val="en-IN"/>
        </w:rPr>
      </w:pPr>
      <w:r>
        <w:rPr>
          <w:b/>
          <w:bCs/>
          <w:noProof/>
          <w:lang w:val="en-IN"/>
        </w:rPr>
        <w:drawing>
          <wp:inline distT="0" distB="0" distL="0" distR="0" wp14:anchorId="0950C433" wp14:editId="7A839810">
            <wp:extent cx="1810385" cy="725170"/>
            <wp:effectExtent l="0" t="0" r="0" b="0"/>
            <wp:docPr id="1131613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7CDF47F5" w14:textId="77777777" w:rsidR="00F21595" w:rsidRDefault="00F21595" w:rsidP="006123AA">
      <w:pPr>
        <w:spacing w:line="360" w:lineRule="auto"/>
        <w:jc w:val="center"/>
        <w:rPr>
          <w:b/>
          <w:bCs/>
          <w:lang w:val="en-IN"/>
        </w:rPr>
      </w:pPr>
    </w:p>
    <w:p w14:paraId="1CD885BB" w14:textId="77777777" w:rsidR="00F21595" w:rsidRDefault="00F21595" w:rsidP="006123AA">
      <w:pPr>
        <w:spacing w:line="360" w:lineRule="auto"/>
        <w:jc w:val="center"/>
        <w:rPr>
          <w:b/>
          <w:bCs/>
          <w:lang w:val="en-IN"/>
        </w:rPr>
      </w:pPr>
    </w:p>
    <w:p w14:paraId="398F16FF" w14:textId="77777777" w:rsidR="00F21595" w:rsidRDefault="00F21595" w:rsidP="006123AA">
      <w:pPr>
        <w:spacing w:line="360" w:lineRule="auto"/>
        <w:jc w:val="center"/>
        <w:rPr>
          <w:b/>
          <w:bCs/>
          <w:lang w:val="en-IN"/>
        </w:rPr>
      </w:pPr>
    </w:p>
    <w:p w14:paraId="41721A17" w14:textId="77777777" w:rsidR="00F21595" w:rsidRPr="00ED5611" w:rsidRDefault="00F21595" w:rsidP="006123AA">
      <w:pPr>
        <w:spacing w:line="360" w:lineRule="auto"/>
        <w:jc w:val="center"/>
        <w:rPr>
          <w:rFonts w:ascii="Arial" w:hAnsi="Arial" w:cs="Arial"/>
          <w:b/>
          <w:bCs/>
          <w:sz w:val="32"/>
          <w:szCs w:val="32"/>
          <w:lang w:val="en-IN"/>
        </w:rPr>
      </w:pPr>
      <w:r w:rsidRPr="00ED5611">
        <w:rPr>
          <w:rFonts w:ascii="Arial" w:hAnsi="Arial" w:cs="Arial"/>
          <w:b/>
          <w:bCs/>
          <w:sz w:val="32"/>
          <w:szCs w:val="32"/>
          <w:lang w:val="en-IN"/>
        </w:rPr>
        <w:t>Name: Melvita Da Silva</w:t>
      </w:r>
    </w:p>
    <w:p w14:paraId="515FBBF2" w14:textId="77777777" w:rsidR="00F21595" w:rsidRPr="007968D8" w:rsidRDefault="00F21595" w:rsidP="006123AA">
      <w:pPr>
        <w:spacing w:line="360" w:lineRule="auto"/>
        <w:jc w:val="center"/>
        <w:rPr>
          <w:rFonts w:ascii="Arial" w:hAnsi="Arial" w:cs="Arial"/>
          <w:b/>
          <w:bCs/>
          <w:sz w:val="32"/>
          <w:szCs w:val="32"/>
          <w:lang w:val="en-IN"/>
        </w:rPr>
      </w:pPr>
      <w:r w:rsidRPr="00ED5611">
        <w:rPr>
          <w:rFonts w:ascii="Arial" w:hAnsi="Arial" w:cs="Arial"/>
          <w:b/>
          <w:bCs/>
          <w:sz w:val="32"/>
          <w:szCs w:val="32"/>
          <w:lang w:val="en-IN"/>
        </w:rPr>
        <w:t>Student ID: 2436452</w:t>
      </w:r>
    </w:p>
    <w:p w14:paraId="60BA19B7" w14:textId="77777777" w:rsidR="00F21595" w:rsidRPr="00ED5611" w:rsidRDefault="00F21595" w:rsidP="006123AA">
      <w:pPr>
        <w:spacing w:line="360" w:lineRule="auto"/>
        <w:jc w:val="center"/>
        <w:rPr>
          <w:rFonts w:ascii="Arial" w:hAnsi="Arial" w:cs="Arial"/>
          <w:b/>
          <w:bCs/>
          <w:sz w:val="32"/>
          <w:szCs w:val="32"/>
          <w:lang w:val="en-IN"/>
        </w:rPr>
      </w:pPr>
    </w:p>
    <w:p w14:paraId="5E796369" w14:textId="77777777" w:rsidR="00F21595" w:rsidRPr="007D09AC" w:rsidRDefault="00F21595" w:rsidP="006123AA">
      <w:pPr>
        <w:spacing w:line="360" w:lineRule="auto"/>
        <w:jc w:val="center"/>
        <w:rPr>
          <w:rFonts w:ascii="Arial" w:hAnsi="Arial" w:cs="Arial"/>
          <w:b/>
          <w:bCs/>
          <w:sz w:val="32"/>
          <w:szCs w:val="32"/>
          <w:lang w:val="en-IN"/>
        </w:rPr>
      </w:pPr>
      <w:r w:rsidRPr="00ED5611">
        <w:rPr>
          <w:rFonts w:ascii="Arial" w:hAnsi="Arial" w:cs="Arial"/>
          <w:b/>
          <w:bCs/>
          <w:sz w:val="32"/>
          <w:szCs w:val="32"/>
          <w:lang w:val="en-IN"/>
        </w:rPr>
        <w:t xml:space="preserve">Topic: </w:t>
      </w:r>
      <w:r w:rsidRPr="007D09AC">
        <w:rPr>
          <w:rFonts w:ascii="Arial" w:hAnsi="Arial" w:cs="Arial"/>
          <w:b/>
          <w:bCs/>
          <w:sz w:val="32"/>
          <w:szCs w:val="32"/>
          <w:lang w:val="en-IN"/>
        </w:rPr>
        <w:t>SERVICE IMPROVEMENT REPORT</w:t>
      </w:r>
    </w:p>
    <w:p w14:paraId="71E79C7E" w14:textId="77777777" w:rsidR="00F21595" w:rsidRPr="007968D8" w:rsidRDefault="00F21595" w:rsidP="006123AA">
      <w:pPr>
        <w:spacing w:line="360" w:lineRule="auto"/>
        <w:jc w:val="center"/>
        <w:rPr>
          <w:rFonts w:ascii="Arial" w:hAnsi="Arial" w:cs="Arial"/>
          <w:b/>
          <w:bCs/>
          <w:sz w:val="32"/>
          <w:szCs w:val="32"/>
          <w:lang w:val="en-US"/>
        </w:rPr>
      </w:pPr>
      <w:r w:rsidRPr="00ED5611">
        <w:rPr>
          <w:rFonts w:ascii="Arial" w:hAnsi="Arial" w:cs="Arial"/>
          <w:b/>
          <w:bCs/>
          <w:sz w:val="32"/>
          <w:szCs w:val="32"/>
          <w:lang w:val="en-US"/>
        </w:rPr>
        <w:t>Oxygen Supply Chain Failure and Governance Gaps: Lessons from the Gorakhpur BRD Hospital Tragedy</w:t>
      </w:r>
    </w:p>
    <w:p w14:paraId="5D6B7672" w14:textId="77777777" w:rsidR="00F21595" w:rsidRPr="007968D8" w:rsidRDefault="00F21595" w:rsidP="006123AA">
      <w:pPr>
        <w:spacing w:line="360" w:lineRule="auto"/>
        <w:jc w:val="center"/>
        <w:rPr>
          <w:rFonts w:ascii="Arial" w:hAnsi="Arial" w:cs="Arial"/>
          <w:b/>
          <w:bCs/>
          <w:sz w:val="32"/>
          <w:szCs w:val="32"/>
          <w:lang w:val="en-US"/>
        </w:rPr>
      </w:pPr>
    </w:p>
    <w:p w14:paraId="7EABEA2C" w14:textId="77777777" w:rsidR="00F21595" w:rsidRPr="00ED5611" w:rsidRDefault="00F21595" w:rsidP="006123AA">
      <w:pPr>
        <w:spacing w:line="360" w:lineRule="auto"/>
        <w:jc w:val="center"/>
        <w:rPr>
          <w:rFonts w:ascii="Arial" w:hAnsi="Arial" w:cs="Arial"/>
          <w:b/>
          <w:bCs/>
          <w:sz w:val="32"/>
          <w:szCs w:val="32"/>
          <w:lang w:val="en-IN"/>
        </w:rPr>
      </w:pPr>
    </w:p>
    <w:p w14:paraId="2443965E" w14:textId="77777777" w:rsidR="00F21595" w:rsidRPr="00ED5611" w:rsidRDefault="00F21595" w:rsidP="006123AA">
      <w:pPr>
        <w:spacing w:line="360" w:lineRule="auto"/>
        <w:jc w:val="center"/>
        <w:rPr>
          <w:rFonts w:ascii="Arial" w:hAnsi="Arial" w:cs="Arial"/>
          <w:b/>
          <w:bCs/>
          <w:sz w:val="32"/>
          <w:szCs w:val="32"/>
          <w:lang w:val="en-IN"/>
        </w:rPr>
      </w:pPr>
      <w:r w:rsidRPr="00ED5611">
        <w:rPr>
          <w:rFonts w:ascii="Arial" w:hAnsi="Arial" w:cs="Arial"/>
          <w:b/>
          <w:bCs/>
          <w:sz w:val="32"/>
          <w:szCs w:val="32"/>
          <w:lang w:val="en-IN"/>
        </w:rPr>
        <w:t>Programme: MSc Public Health and Social Care in Practice</w:t>
      </w:r>
    </w:p>
    <w:p w14:paraId="4FEC5BB4" w14:textId="77777777" w:rsidR="00F21595" w:rsidRPr="007968D8" w:rsidRDefault="00F21595" w:rsidP="006123AA">
      <w:pPr>
        <w:spacing w:before="120" w:after="120" w:line="360" w:lineRule="auto"/>
        <w:jc w:val="center"/>
        <w:rPr>
          <w:rFonts w:ascii="Arial" w:eastAsia="Arial" w:hAnsi="Arial" w:cs="Arial"/>
          <w:sz w:val="32"/>
          <w:szCs w:val="32"/>
        </w:rPr>
      </w:pPr>
      <w:r w:rsidRPr="00ED5611">
        <w:rPr>
          <w:rFonts w:ascii="Arial" w:hAnsi="Arial" w:cs="Arial"/>
          <w:b/>
          <w:bCs/>
          <w:sz w:val="32"/>
          <w:szCs w:val="32"/>
          <w:lang w:val="en-IN"/>
        </w:rPr>
        <w:t>Module Code: LCHS7006</w:t>
      </w:r>
      <w:r w:rsidRPr="007968D8">
        <w:rPr>
          <w:rFonts w:ascii="Arial" w:eastAsia="Arial" w:hAnsi="Arial" w:cs="Arial"/>
          <w:b/>
          <w:bCs/>
          <w:color w:val="000000" w:themeColor="text1"/>
          <w:sz w:val="32"/>
          <w:szCs w:val="32"/>
        </w:rPr>
        <w:t xml:space="preserve"> (Quality Assurance and Service Improvements)</w:t>
      </w:r>
    </w:p>
    <w:p w14:paraId="3986F423" w14:textId="77777777" w:rsidR="00F21595" w:rsidRPr="00ED5611" w:rsidRDefault="00F21595" w:rsidP="006123AA">
      <w:pPr>
        <w:spacing w:line="360" w:lineRule="auto"/>
        <w:jc w:val="center"/>
        <w:rPr>
          <w:rFonts w:ascii="Arial" w:hAnsi="Arial" w:cs="Arial"/>
          <w:b/>
          <w:bCs/>
          <w:sz w:val="32"/>
          <w:szCs w:val="32"/>
          <w:lang w:val="en-IN"/>
        </w:rPr>
      </w:pPr>
      <w:r w:rsidRPr="00ED5611">
        <w:rPr>
          <w:rFonts w:ascii="Arial" w:hAnsi="Arial" w:cs="Arial"/>
          <w:b/>
          <w:bCs/>
          <w:sz w:val="32"/>
          <w:szCs w:val="32"/>
          <w:lang w:val="en-IN"/>
        </w:rPr>
        <w:t>Lecturer: Dr Fahad Khan</w:t>
      </w:r>
    </w:p>
    <w:p w14:paraId="1C4B76E5" w14:textId="441BD9F7" w:rsidR="00F21595" w:rsidRDefault="00F21595" w:rsidP="006123AA">
      <w:pPr>
        <w:spacing w:line="360" w:lineRule="auto"/>
        <w:rPr>
          <w:rFonts w:ascii="Arial" w:hAnsi="Arial" w:cs="Arial"/>
          <w:b/>
          <w:bCs/>
          <w:sz w:val="22"/>
          <w:szCs w:val="22"/>
          <w:lang w:val="en-IN"/>
        </w:rPr>
      </w:pPr>
    </w:p>
    <w:p w14:paraId="7B85B9AF" w14:textId="77777777" w:rsidR="00F21595" w:rsidRDefault="00F21595" w:rsidP="006123AA">
      <w:pPr>
        <w:spacing w:line="360" w:lineRule="auto"/>
        <w:rPr>
          <w:rFonts w:ascii="Arial" w:hAnsi="Arial" w:cs="Arial"/>
          <w:b/>
          <w:bCs/>
          <w:sz w:val="22"/>
          <w:szCs w:val="22"/>
          <w:lang w:val="en-IN"/>
        </w:rPr>
      </w:pPr>
      <w:r>
        <w:rPr>
          <w:rFonts w:ascii="Arial" w:hAnsi="Arial" w:cs="Arial"/>
          <w:b/>
          <w:bCs/>
          <w:sz w:val="22"/>
          <w:szCs w:val="22"/>
          <w:lang w:val="en-IN"/>
        </w:rPr>
        <w:br w:type="page"/>
      </w:r>
    </w:p>
    <w:sdt>
      <w:sdtPr>
        <w:id w:val="-864205546"/>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eastAsia="en-GB"/>
          <w14:ligatures w14:val="standardContextual"/>
        </w:rPr>
      </w:sdtEndPr>
      <w:sdtContent>
        <w:p w14:paraId="16D940D5" w14:textId="785EC1D6" w:rsidR="001E6A9A" w:rsidRDefault="001E6A9A">
          <w:pPr>
            <w:pStyle w:val="TOCHeading"/>
          </w:pPr>
          <w:r>
            <w:t>Contents</w:t>
          </w:r>
        </w:p>
        <w:p w14:paraId="409B1BA7" w14:textId="6D36BDAE" w:rsidR="001E6A9A" w:rsidRDefault="001E6A9A">
          <w:pPr>
            <w:pStyle w:val="TOC1"/>
            <w:tabs>
              <w:tab w:val="left" w:pos="480"/>
              <w:tab w:val="right" w:leader="dot" w:pos="9016"/>
            </w:tabs>
            <w:rPr>
              <w:noProof/>
            </w:rPr>
          </w:pPr>
          <w:r>
            <w:fldChar w:fldCharType="begin"/>
          </w:r>
          <w:r>
            <w:instrText xml:space="preserve"> TOC \o "1-3" \h \z \u </w:instrText>
          </w:r>
          <w:r>
            <w:fldChar w:fldCharType="separate"/>
          </w:r>
          <w:hyperlink w:anchor="_Toc226008587" w:history="1">
            <w:r w:rsidRPr="00E249EC">
              <w:rPr>
                <w:rStyle w:val="Hyperlink"/>
                <w:noProof/>
                <w:lang w:val="en-IN"/>
              </w:rPr>
              <w:t>1.</w:t>
            </w:r>
            <w:r>
              <w:rPr>
                <w:noProof/>
              </w:rPr>
              <w:tab/>
            </w:r>
            <w:r w:rsidRPr="00E249EC">
              <w:rPr>
                <w:rStyle w:val="Hyperlink"/>
                <w:noProof/>
                <w:lang w:val="en-IN"/>
              </w:rPr>
              <w:t>Introduction</w:t>
            </w:r>
            <w:r>
              <w:rPr>
                <w:noProof/>
                <w:webHidden/>
              </w:rPr>
              <w:tab/>
            </w:r>
            <w:r>
              <w:rPr>
                <w:noProof/>
                <w:webHidden/>
              </w:rPr>
              <w:fldChar w:fldCharType="begin"/>
            </w:r>
            <w:r>
              <w:rPr>
                <w:noProof/>
                <w:webHidden/>
              </w:rPr>
              <w:instrText xml:space="preserve"> PAGEREF _Toc226008587 \h </w:instrText>
            </w:r>
            <w:r>
              <w:rPr>
                <w:noProof/>
                <w:webHidden/>
              </w:rPr>
            </w:r>
            <w:r>
              <w:rPr>
                <w:noProof/>
                <w:webHidden/>
              </w:rPr>
              <w:fldChar w:fldCharType="separate"/>
            </w:r>
            <w:r>
              <w:rPr>
                <w:noProof/>
                <w:webHidden/>
              </w:rPr>
              <w:t>3</w:t>
            </w:r>
            <w:r>
              <w:rPr>
                <w:noProof/>
                <w:webHidden/>
              </w:rPr>
              <w:fldChar w:fldCharType="end"/>
            </w:r>
          </w:hyperlink>
        </w:p>
        <w:p w14:paraId="1980A339" w14:textId="6D0C5539" w:rsidR="001E6A9A" w:rsidRDefault="001E6A9A">
          <w:pPr>
            <w:pStyle w:val="TOC1"/>
            <w:tabs>
              <w:tab w:val="left" w:pos="480"/>
              <w:tab w:val="right" w:leader="dot" w:pos="9016"/>
            </w:tabs>
            <w:rPr>
              <w:noProof/>
            </w:rPr>
          </w:pPr>
          <w:hyperlink w:anchor="_Toc226008588" w:history="1">
            <w:r w:rsidRPr="00E249EC">
              <w:rPr>
                <w:rStyle w:val="Hyperlink"/>
                <w:noProof/>
                <w:lang w:val="en-IN"/>
              </w:rPr>
              <w:t>2.</w:t>
            </w:r>
            <w:r>
              <w:rPr>
                <w:noProof/>
              </w:rPr>
              <w:tab/>
            </w:r>
            <w:r w:rsidRPr="00E249EC">
              <w:rPr>
                <w:rStyle w:val="Hyperlink"/>
                <w:noProof/>
                <w:lang w:val="en-IN"/>
              </w:rPr>
              <w:t>Critical Analysis of Quality Failure Using Theoretical Frameworks</w:t>
            </w:r>
            <w:r>
              <w:rPr>
                <w:noProof/>
                <w:webHidden/>
              </w:rPr>
              <w:tab/>
            </w:r>
            <w:r>
              <w:rPr>
                <w:noProof/>
                <w:webHidden/>
              </w:rPr>
              <w:fldChar w:fldCharType="begin"/>
            </w:r>
            <w:r>
              <w:rPr>
                <w:noProof/>
                <w:webHidden/>
              </w:rPr>
              <w:instrText xml:space="preserve"> PAGEREF _Toc226008588 \h </w:instrText>
            </w:r>
            <w:r>
              <w:rPr>
                <w:noProof/>
                <w:webHidden/>
              </w:rPr>
            </w:r>
            <w:r>
              <w:rPr>
                <w:noProof/>
                <w:webHidden/>
              </w:rPr>
              <w:fldChar w:fldCharType="separate"/>
            </w:r>
            <w:r>
              <w:rPr>
                <w:noProof/>
                <w:webHidden/>
              </w:rPr>
              <w:t>4</w:t>
            </w:r>
            <w:r>
              <w:rPr>
                <w:noProof/>
                <w:webHidden/>
              </w:rPr>
              <w:fldChar w:fldCharType="end"/>
            </w:r>
          </w:hyperlink>
        </w:p>
        <w:p w14:paraId="7702751B" w14:textId="44D56AAC" w:rsidR="001E6A9A" w:rsidRDefault="001E6A9A">
          <w:pPr>
            <w:pStyle w:val="TOC1"/>
            <w:tabs>
              <w:tab w:val="left" w:pos="480"/>
              <w:tab w:val="right" w:leader="dot" w:pos="9016"/>
            </w:tabs>
            <w:rPr>
              <w:noProof/>
            </w:rPr>
          </w:pPr>
          <w:hyperlink w:anchor="_Toc226008589" w:history="1">
            <w:r w:rsidRPr="00E249EC">
              <w:rPr>
                <w:rStyle w:val="Hyperlink"/>
                <w:noProof/>
                <w:lang w:val="en-IN"/>
              </w:rPr>
              <w:t>3.</w:t>
            </w:r>
            <w:r>
              <w:rPr>
                <w:noProof/>
              </w:rPr>
              <w:tab/>
            </w:r>
            <w:r w:rsidRPr="00E249EC">
              <w:rPr>
                <w:rStyle w:val="Hyperlink"/>
                <w:noProof/>
                <w:lang w:val="en-IN"/>
              </w:rPr>
              <w:t>Recommendations</w:t>
            </w:r>
            <w:r>
              <w:rPr>
                <w:noProof/>
                <w:webHidden/>
              </w:rPr>
              <w:tab/>
            </w:r>
            <w:r>
              <w:rPr>
                <w:noProof/>
                <w:webHidden/>
              </w:rPr>
              <w:fldChar w:fldCharType="begin"/>
            </w:r>
            <w:r>
              <w:rPr>
                <w:noProof/>
                <w:webHidden/>
              </w:rPr>
              <w:instrText xml:space="preserve"> PAGEREF _Toc226008589 \h </w:instrText>
            </w:r>
            <w:r>
              <w:rPr>
                <w:noProof/>
                <w:webHidden/>
              </w:rPr>
            </w:r>
            <w:r>
              <w:rPr>
                <w:noProof/>
                <w:webHidden/>
              </w:rPr>
              <w:fldChar w:fldCharType="separate"/>
            </w:r>
            <w:r>
              <w:rPr>
                <w:noProof/>
                <w:webHidden/>
              </w:rPr>
              <w:t>11</w:t>
            </w:r>
            <w:r>
              <w:rPr>
                <w:noProof/>
                <w:webHidden/>
              </w:rPr>
              <w:fldChar w:fldCharType="end"/>
            </w:r>
          </w:hyperlink>
        </w:p>
        <w:p w14:paraId="34537DE0" w14:textId="622CD8EC" w:rsidR="001E6A9A" w:rsidRDefault="001E6A9A">
          <w:pPr>
            <w:pStyle w:val="TOC1"/>
            <w:tabs>
              <w:tab w:val="left" w:pos="480"/>
              <w:tab w:val="right" w:leader="dot" w:pos="9016"/>
            </w:tabs>
            <w:rPr>
              <w:noProof/>
            </w:rPr>
          </w:pPr>
          <w:hyperlink w:anchor="_Toc226008590" w:history="1">
            <w:r w:rsidRPr="00E249EC">
              <w:rPr>
                <w:rStyle w:val="Hyperlink"/>
                <w:noProof/>
                <w:lang w:val="en-IN"/>
              </w:rPr>
              <w:t>4.</w:t>
            </w:r>
            <w:r>
              <w:rPr>
                <w:noProof/>
              </w:rPr>
              <w:tab/>
            </w:r>
            <w:r w:rsidRPr="00E249EC">
              <w:rPr>
                <w:rStyle w:val="Hyperlink"/>
                <w:noProof/>
                <w:lang w:val="en-IN"/>
              </w:rPr>
              <w:t>Conclusion</w:t>
            </w:r>
            <w:r>
              <w:rPr>
                <w:noProof/>
                <w:webHidden/>
              </w:rPr>
              <w:tab/>
            </w:r>
            <w:r>
              <w:rPr>
                <w:noProof/>
                <w:webHidden/>
              </w:rPr>
              <w:fldChar w:fldCharType="begin"/>
            </w:r>
            <w:r>
              <w:rPr>
                <w:noProof/>
                <w:webHidden/>
              </w:rPr>
              <w:instrText xml:space="preserve"> PAGEREF _Toc226008590 \h </w:instrText>
            </w:r>
            <w:r>
              <w:rPr>
                <w:noProof/>
                <w:webHidden/>
              </w:rPr>
            </w:r>
            <w:r>
              <w:rPr>
                <w:noProof/>
                <w:webHidden/>
              </w:rPr>
              <w:fldChar w:fldCharType="separate"/>
            </w:r>
            <w:r>
              <w:rPr>
                <w:noProof/>
                <w:webHidden/>
              </w:rPr>
              <w:t>15</w:t>
            </w:r>
            <w:r>
              <w:rPr>
                <w:noProof/>
                <w:webHidden/>
              </w:rPr>
              <w:fldChar w:fldCharType="end"/>
            </w:r>
          </w:hyperlink>
        </w:p>
        <w:p w14:paraId="0210D7F7" w14:textId="7D674198" w:rsidR="001E6A9A" w:rsidRDefault="001E6A9A">
          <w:pPr>
            <w:pStyle w:val="TOC1"/>
            <w:tabs>
              <w:tab w:val="left" w:pos="480"/>
              <w:tab w:val="right" w:leader="dot" w:pos="9016"/>
            </w:tabs>
            <w:rPr>
              <w:noProof/>
            </w:rPr>
          </w:pPr>
          <w:hyperlink w:anchor="_Toc226008591" w:history="1">
            <w:r w:rsidRPr="00E249EC">
              <w:rPr>
                <w:rStyle w:val="Hyperlink"/>
                <w:noProof/>
                <w:lang w:val="en-IN"/>
              </w:rPr>
              <w:t>5.</w:t>
            </w:r>
            <w:r>
              <w:rPr>
                <w:noProof/>
              </w:rPr>
              <w:tab/>
            </w:r>
            <w:r w:rsidRPr="00E249EC">
              <w:rPr>
                <w:rStyle w:val="Hyperlink"/>
                <w:noProof/>
                <w:lang w:val="en-IN"/>
              </w:rPr>
              <w:t>REFERENCES</w:t>
            </w:r>
            <w:r>
              <w:rPr>
                <w:noProof/>
                <w:webHidden/>
              </w:rPr>
              <w:tab/>
            </w:r>
            <w:r>
              <w:rPr>
                <w:noProof/>
                <w:webHidden/>
              </w:rPr>
              <w:fldChar w:fldCharType="begin"/>
            </w:r>
            <w:r>
              <w:rPr>
                <w:noProof/>
                <w:webHidden/>
              </w:rPr>
              <w:instrText xml:space="preserve"> PAGEREF _Toc226008591 \h </w:instrText>
            </w:r>
            <w:r>
              <w:rPr>
                <w:noProof/>
                <w:webHidden/>
              </w:rPr>
            </w:r>
            <w:r>
              <w:rPr>
                <w:noProof/>
                <w:webHidden/>
              </w:rPr>
              <w:fldChar w:fldCharType="separate"/>
            </w:r>
            <w:r>
              <w:rPr>
                <w:noProof/>
                <w:webHidden/>
              </w:rPr>
              <w:t>17</w:t>
            </w:r>
            <w:r>
              <w:rPr>
                <w:noProof/>
                <w:webHidden/>
              </w:rPr>
              <w:fldChar w:fldCharType="end"/>
            </w:r>
          </w:hyperlink>
        </w:p>
        <w:p w14:paraId="2798FACE" w14:textId="7D4C6F82" w:rsidR="001E6A9A" w:rsidRDefault="001E6A9A">
          <w:r>
            <w:rPr>
              <w:b/>
              <w:bCs/>
              <w:noProof/>
            </w:rPr>
            <w:fldChar w:fldCharType="end"/>
          </w:r>
        </w:p>
      </w:sdtContent>
    </w:sdt>
    <w:p w14:paraId="4002BD10" w14:textId="77777777" w:rsidR="00F21595" w:rsidRDefault="00F21595" w:rsidP="006123AA">
      <w:pPr>
        <w:spacing w:line="360" w:lineRule="auto"/>
        <w:rPr>
          <w:rFonts w:ascii="Arial" w:hAnsi="Arial" w:cs="Arial"/>
          <w:b/>
          <w:bCs/>
          <w:sz w:val="22"/>
          <w:szCs w:val="22"/>
          <w:lang w:val="en-IN"/>
        </w:rPr>
      </w:pPr>
    </w:p>
    <w:p w14:paraId="17C46FC5" w14:textId="77777777" w:rsidR="00F21595" w:rsidRDefault="00F21595" w:rsidP="006123AA">
      <w:pPr>
        <w:spacing w:line="360" w:lineRule="auto"/>
        <w:rPr>
          <w:rFonts w:ascii="Arial" w:hAnsi="Arial" w:cs="Arial"/>
          <w:b/>
          <w:bCs/>
          <w:sz w:val="22"/>
          <w:szCs w:val="22"/>
          <w:lang w:val="en-IN"/>
        </w:rPr>
      </w:pPr>
    </w:p>
    <w:p w14:paraId="3DAA77F0" w14:textId="77777777" w:rsidR="00F21595" w:rsidRDefault="00F21595" w:rsidP="006123AA">
      <w:pPr>
        <w:spacing w:line="360" w:lineRule="auto"/>
        <w:rPr>
          <w:rFonts w:ascii="Arial" w:hAnsi="Arial" w:cs="Arial"/>
          <w:b/>
          <w:bCs/>
          <w:sz w:val="22"/>
          <w:szCs w:val="22"/>
          <w:lang w:val="en-IN"/>
        </w:rPr>
      </w:pPr>
    </w:p>
    <w:p w14:paraId="45D33920" w14:textId="77777777" w:rsidR="00F21595" w:rsidRDefault="00F21595" w:rsidP="006123AA">
      <w:pPr>
        <w:spacing w:line="360" w:lineRule="auto"/>
        <w:rPr>
          <w:rFonts w:ascii="Arial" w:hAnsi="Arial" w:cs="Arial"/>
          <w:b/>
          <w:bCs/>
          <w:sz w:val="22"/>
          <w:szCs w:val="22"/>
          <w:lang w:val="en-IN"/>
        </w:rPr>
      </w:pPr>
    </w:p>
    <w:p w14:paraId="58010F46" w14:textId="77777777" w:rsidR="00F21595" w:rsidRDefault="00F21595" w:rsidP="006123AA">
      <w:pPr>
        <w:spacing w:line="360" w:lineRule="auto"/>
        <w:rPr>
          <w:rFonts w:ascii="Arial" w:hAnsi="Arial" w:cs="Arial"/>
          <w:b/>
          <w:bCs/>
          <w:sz w:val="22"/>
          <w:szCs w:val="22"/>
          <w:lang w:val="en-IN"/>
        </w:rPr>
      </w:pPr>
    </w:p>
    <w:p w14:paraId="7EADC4D8" w14:textId="77777777" w:rsidR="00F21595" w:rsidRDefault="00F21595" w:rsidP="006123AA">
      <w:pPr>
        <w:spacing w:line="360" w:lineRule="auto"/>
        <w:rPr>
          <w:rFonts w:ascii="Arial" w:hAnsi="Arial" w:cs="Arial"/>
          <w:b/>
          <w:bCs/>
          <w:sz w:val="22"/>
          <w:szCs w:val="22"/>
          <w:lang w:val="en-IN"/>
        </w:rPr>
      </w:pPr>
    </w:p>
    <w:p w14:paraId="2FECE282" w14:textId="77777777" w:rsidR="00F21595" w:rsidRDefault="00F21595" w:rsidP="006123AA">
      <w:pPr>
        <w:spacing w:line="360" w:lineRule="auto"/>
        <w:rPr>
          <w:rFonts w:ascii="Arial" w:hAnsi="Arial" w:cs="Arial"/>
          <w:b/>
          <w:bCs/>
          <w:sz w:val="22"/>
          <w:szCs w:val="22"/>
          <w:lang w:val="en-IN"/>
        </w:rPr>
      </w:pPr>
    </w:p>
    <w:p w14:paraId="64D92A1F" w14:textId="77777777" w:rsidR="00F21595" w:rsidRDefault="00F21595" w:rsidP="006123AA">
      <w:pPr>
        <w:spacing w:line="360" w:lineRule="auto"/>
        <w:rPr>
          <w:rFonts w:ascii="Arial" w:hAnsi="Arial" w:cs="Arial"/>
          <w:b/>
          <w:bCs/>
          <w:sz w:val="22"/>
          <w:szCs w:val="22"/>
          <w:lang w:val="en-IN"/>
        </w:rPr>
      </w:pPr>
    </w:p>
    <w:p w14:paraId="6419F979" w14:textId="77777777" w:rsidR="00F21595" w:rsidRDefault="00F21595" w:rsidP="006123AA">
      <w:pPr>
        <w:spacing w:line="360" w:lineRule="auto"/>
        <w:rPr>
          <w:rFonts w:ascii="Arial" w:hAnsi="Arial" w:cs="Arial"/>
          <w:b/>
          <w:bCs/>
          <w:sz w:val="22"/>
          <w:szCs w:val="22"/>
          <w:lang w:val="en-IN"/>
        </w:rPr>
      </w:pPr>
    </w:p>
    <w:p w14:paraId="1FD8DAE1" w14:textId="77777777" w:rsidR="00F21595" w:rsidRDefault="00F21595" w:rsidP="006123AA">
      <w:pPr>
        <w:spacing w:line="360" w:lineRule="auto"/>
        <w:rPr>
          <w:rFonts w:ascii="Arial" w:hAnsi="Arial" w:cs="Arial"/>
          <w:b/>
          <w:bCs/>
          <w:sz w:val="22"/>
          <w:szCs w:val="22"/>
          <w:lang w:val="en-IN"/>
        </w:rPr>
      </w:pPr>
    </w:p>
    <w:p w14:paraId="2330A8CE" w14:textId="77777777" w:rsidR="00F21595" w:rsidRDefault="00F21595" w:rsidP="006123AA">
      <w:pPr>
        <w:spacing w:line="360" w:lineRule="auto"/>
        <w:rPr>
          <w:rFonts w:ascii="Arial" w:hAnsi="Arial" w:cs="Arial"/>
          <w:b/>
          <w:bCs/>
          <w:sz w:val="22"/>
          <w:szCs w:val="22"/>
          <w:lang w:val="en-IN"/>
        </w:rPr>
      </w:pPr>
    </w:p>
    <w:p w14:paraId="583930B2" w14:textId="77777777" w:rsidR="00F21595" w:rsidRDefault="00F21595" w:rsidP="006123AA">
      <w:pPr>
        <w:spacing w:line="360" w:lineRule="auto"/>
        <w:rPr>
          <w:rFonts w:ascii="Arial" w:hAnsi="Arial" w:cs="Arial"/>
          <w:b/>
          <w:bCs/>
          <w:sz w:val="22"/>
          <w:szCs w:val="22"/>
          <w:lang w:val="en-IN"/>
        </w:rPr>
      </w:pPr>
    </w:p>
    <w:p w14:paraId="278D984F" w14:textId="77777777" w:rsidR="00F21595" w:rsidRDefault="00F21595" w:rsidP="006123AA">
      <w:pPr>
        <w:spacing w:line="360" w:lineRule="auto"/>
        <w:rPr>
          <w:rFonts w:ascii="Arial" w:hAnsi="Arial" w:cs="Arial"/>
          <w:b/>
          <w:bCs/>
          <w:sz w:val="22"/>
          <w:szCs w:val="22"/>
          <w:lang w:val="en-IN"/>
        </w:rPr>
      </w:pPr>
    </w:p>
    <w:p w14:paraId="184DF978" w14:textId="77777777" w:rsidR="00F21595" w:rsidRDefault="00F21595" w:rsidP="006123AA">
      <w:pPr>
        <w:spacing w:line="360" w:lineRule="auto"/>
        <w:rPr>
          <w:rFonts w:ascii="Arial" w:hAnsi="Arial" w:cs="Arial"/>
          <w:b/>
          <w:bCs/>
          <w:sz w:val="22"/>
          <w:szCs w:val="22"/>
          <w:lang w:val="en-IN"/>
        </w:rPr>
      </w:pPr>
    </w:p>
    <w:p w14:paraId="71A1082C" w14:textId="77777777" w:rsidR="00F21595" w:rsidRDefault="00F21595" w:rsidP="006123AA">
      <w:pPr>
        <w:spacing w:line="360" w:lineRule="auto"/>
        <w:rPr>
          <w:rFonts w:ascii="Arial" w:hAnsi="Arial" w:cs="Arial"/>
          <w:b/>
          <w:bCs/>
          <w:sz w:val="22"/>
          <w:szCs w:val="22"/>
          <w:lang w:val="en-IN"/>
        </w:rPr>
      </w:pPr>
    </w:p>
    <w:p w14:paraId="6A30F018" w14:textId="77777777" w:rsidR="00F21595" w:rsidRDefault="00F21595" w:rsidP="006123AA">
      <w:pPr>
        <w:spacing w:line="360" w:lineRule="auto"/>
        <w:rPr>
          <w:rFonts w:ascii="Arial" w:hAnsi="Arial" w:cs="Arial"/>
          <w:b/>
          <w:bCs/>
          <w:sz w:val="22"/>
          <w:szCs w:val="22"/>
          <w:lang w:val="en-IN"/>
        </w:rPr>
      </w:pPr>
    </w:p>
    <w:p w14:paraId="7877F67F" w14:textId="77777777" w:rsidR="00F21595" w:rsidRDefault="00F21595" w:rsidP="006123AA">
      <w:pPr>
        <w:spacing w:line="360" w:lineRule="auto"/>
        <w:rPr>
          <w:rFonts w:ascii="Arial" w:hAnsi="Arial" w:cs="Arial"/>
          <w:b/>
          <w:bCs/>
          <w:sz w:val="22"/>
          <w:szCs w:val="22"/>
          <w:lang w:val="en-IN"/>
        </w:rPr>
      </w:pPr>
    </w:p>
    <w:p w14:paraId="69199993" w14:textId="77777777" w:rsidR="00F21595" w:rsidRDefault="00F21595" w:rsidP="006123AA">
      <w:pPr>
        <w:spacing w:line="360" w:lineRule="auto"/>
        <w:rPr>
          <w:rFonts w:ascii="Arial" w:hAnsi="Arial" w:cs="Arial"/>
          <w:b/>
          <w:bCs/>
          <w:sz w:val="22"/>
          <w:szCs w:val="22"/>
          <w:lang w:val="en-IN"/>
        </w:rPr>
      </w:pPr>
    </w:p>
    <w:p w14:paraId="3694D5EE" w14:textId="77777777" w:rsidR="00F21595" w:rsidRDefault="00F21595" w:rsidP="006123AA">
      <w:pPr>
        <w:spacing w:line="360" w:lineRule="auto"/>
        <w:rPr>
          <w:rFonts w:ascii="Arial" w:hAnsi="Arial" w:cs="Arial"/>
          <w:b/>
          <w:bCs/>
          <w:sz w:val="22"/>
          <w:szCs w:val="22"/>
          <w:lang w:val="en-IN"/>
        </w:rPr>
      </w:pPr>
    </w:p>
    <w:p w14:paraId="0BB6EA3C" w14:textId="77777777" w:rsidR="00F21595" w:rsidRDefault="00F21595" w:rsidP="006123AA">
      <w:pPr>
        <w:spacing w:line="360" w:lineRule="auto"/>
        <w:rPr>
          <w:rFonts w:ascii="Arial" w:hAnsi="Arial" w:cs="Arial"/>
          <w:b/>
          <w:bCs/>
          <w:sz w:val="22"/>
          <w:szCs w:val="22"/>
          <w:lang w:val="en-IN"/>
        </w:rPr>
      </w:pPr>
    </w:p>
    <w:p w14:paraId="02FC19E5" w14:textId="632B2AEF" w:rsidR="00F21595" w:rsidRPr="007D09AC" w:rsidRDefault="00F21595" w:rsidP="00805664">
      <w:pPr>
        <w:pStyle w:val="Heading1"/>
        <w:spacing w:line="360" w:lineRule="auto"/>
        <w:rPr>
          <w:lang w:val="en-IN"/>
        </w:rPr>
      </w:pPr>
      <w:bookmarkStart w:id="0" w:name="_Toc226008587"/>
      <w:r w:rsidRPr="007D09AC">
        <w:rPr>
          <w:lang w:val="en-IN"/>
        </w:rPr>
        <w:lastRenderedPageBreak/>
        <w:t>Introduction</w:t>
      </w:r>
      <w:bookmarkEnd w:id="0"/>
      <w:r w:rsidRPr="007D09AC">
        <w:rPr>
          <w:lang w:val="en-IN"/>
        </w:rPr>
        <w:t xml:space="preserve"> </w:t>
      </w:r>
    </w:p>
    <w:p w14:paraId="1C7A127A" w14:textId="77777777" w:rsidR="00F21595" w:rsidRPr="007D09AC" w:rsidRDefault="00F21595" w:rsidP="006123AA">
      <w:pPr>
        <w:spacing w:line="360" w:lineRule="auto"/>
        <w:rPr>
          <w:rFonts w:ascii="Arial" w:hAnsi="Arial" w:cs="Arial"/>
          <w:sz w:val="22"/>
          <w:szCs w:val="22"/>
          <w:lang w:val="en-IN"/>
        </w:rPr>
      </w:pPr>
      <w:r w:rsidRPr="007D09AC">
        <w:rPr>
          <w:rFonts w:ascii="Arial" w:hAnsi="Arial" w:cs="Arial"/>
          <w:sz w:val="22"/>
          <w:szCs w:val="22"/>
          <w:lang w:val="en-IN"/>
        </w:rPr>
        <w:t>The delivery of high-quality healthcare services is underpinned by effective governance, resilient infrastructure, and the reliable availability of essential medical resources. Among these, medical oxygen represents a fundamental component of acute and critical care, particularly in paediatric and neonatal settings, where interruptions in supply can lead to immediate mortality (World Health Organization, 2020). Consequently, failures in oxygen delivery systems are widely regarded as sentinel events reflecting broader systemic weaknesses in healthcare provision.</w:t>
      </w:r>
    </w:p>
    <w:p w14:paraId="12239337" w14:textId="77777777" w:rsidR="00F21595" w:rsidRPr="007D09AC" w:rsidRDefault="00F21595" w:rsidP="006123AA">
      <w:pPr>
        <w:spacing w:line="360" w:lineRule="auto"/>
        <w:rPr>
          <w:rFonts w:ascii="Arial" w:hAnsi="Arial" w:cs="Arial"/>
          <w:sz w:val="22"/>
          <w:szCs w:val="22"/>
          <w:lang w:val="en-IN"/>
        </w:rPr>
      </w:pPr>
      <w:r w:rsidRPr="007D09AC">
        <w:rPr>
          <w:rFonts w:ascii="Arial" w:hAnsi="Arial" w:cs="Arial"/>
          <w:sz w:val="22"/>
          <w:szCs w:val="22"/>
          <w:lang w:val="en-IN"/>
        </w:rPr>
        <w:t>The Gorakhpur BRD Medical College hospital tragedy of August 2017 provides a critical case study of such systemic failure. Over a short period, more than 80 patients, predominantly children suffering from Acute Encephalitis Syndrome (AES), died following a disruption in oxygen supply (Indian Journal of Medical Ethics, 2018; Khan, 2018). While initial narratives framed the incident as an isolated supply chain disruption, subsequent analyses revealed a complex interplay of governance failures, financial mismanagement, workforce shortages, and infrastructural inadequacies (The Lancet, 2018).</w:t>
      </w:r>
    </w:p>
    <w:p w14:paraId="79D354A2" w14:textId="77777777" w:rsidR="00F21595" w:rsidRPr="007D09AC" w:rsidRDefault="00F21595" w:rsidP="006123AA">
      <w:pPr>
        <w:spacing w:line="360" w:lineRule="auto"/>
        <w:rPr>
          <w:rFonts w:ascii="Arial" w:hAnsi="Arial" w:cs="Arial"/>
          <w:sz w:val="22"/>
          <w:szCs w:val="22"/>
          <w:lang w:val="en-IN"/>
        </w:rPr>
      </w:pPr>
      <w:r w:rsidRPr="007D09AC">
        <w:rPr>
          <w:rFonts w:ascii="Arial" w:hAnsi="Arial" w:cs="Arial"/>
          <w:sz w:val="22"/>
          <w:szCs w:val="22"/>
          <w:lang w:val="en-IN"/>
        </w:rPr>
        <w:t>Critically, this incident highlights a key tension within global health systems: the prioritisation of service access over service quality. While India has made significant strides in expanding healthcare access, the Gorakhpur tragedy illustrates that access without quality assurance mechanisms can produce adverse outcomes (World Health Organization, 2018). This aligns with broader critiques in public health literature, which argue that weak governance structures and fragmented accountability frameworks are primary determinants of healthcare system failure, particularly in low- and middle-income countries (LMICs) (Transparency International, 2019).</w:t>
      </w:r>
    </w:p>
    <w:p w14:paraId="3B62B8C6" w14:textId="77777777" w:rsidR="00F21595" w:rsidRPr="007D09AC" w:rsidRDefault="00F21595" w:rsidP="006123AA">
      <w:pPr>
        <w:spacing w:line="360" w:lineRule="auto"/>
        <w:rPr>
          <w:rFonts w:ascii="Arial" w:hAnsi="Arial" w:cs="Arial"/>
          <w:sz w:val="22"/>
          <w:szCs w:val="22"/>
          <w:lang w:val="en-IN"/>
        </w:rPr>
      </w:pPr>
      <w:r w:rsidRPr="007D09AC">
        <w:rPr>
          <w:rFonts w:ascii="Arial" w:hAnsi="Arial" w:cs="Arial"/>
          <w:sz w:val="22"/>
          <w:szCs w:val="22"/>
          <w:lang w:val="en-IN"/>
        </w:rPr>
        <w:t>From a theoretical perspective, healthcare failures are increasingly understood through systems-based approaches rather than individual blame models. Frameworks such as the Swiss Cheese Model (Reason, 2000) and Donabedian’s Structure–Process–Outcome model (Donabedian, 1988) emphasise that adverse events emerge from cumulative system vulnerabilities. However, critics argue that such models may oversimplify complex socio-political dynamics, necessitating a more integrated analytical approach (Dixon-Woods, 2014).</w:t>
      </w:r>
    </w:p>
    <w:p w14:paraId="55574963" w14:textId="77777777" w:rsidR="00F21595" w:rsidRPr="007D09AC" w:rsidRDefault="00F21595" w:rsidP="006123AA">
      <w:pPr>
        <w:spacing w:line="360" w:lineRule="auto"/>
        <w:rPr>
          <w:rFonts w:ascii="Arial" w:hAnsi="Arial" w:cs="Arial"/>
          <w:sz w:val="22"/>
          <w:szCs w:val="22"/>
          <w:lang w:val="en-IN"/>
        </w:rPr>
      </w:pPr>
      <w:r w:rsidRPr="007D09AC">
        <w:rPr>
          <w:rFonts w:ascii="Arial" w:hAnsi="Arial" w:cs="Arial"/>
          <w:sz w:val="22"/>
          <w:szCs w:val="22"/>
          <w:lang w:val="en-IN"/>
        </w:rPr>
        <w:t xml:space="preserve">This report critically analyses the Gorakhpur tragedy using multiple theoretical frameworks, including the Swiss Cheese Model, Fishbone Diagram, 5 Whys analysis, and Donabedian Model, to identify root causes of failure. In addition, a SWOT analysis is applied to evaluate organisational performance within a broader strategic context. The report further explores </w:t>
      </w:r>
      <w:r w:rsidRPr="007D09AC">
        <w:rPr>
          <w:rFonts w:ascii="Arial" w:hAnsi="Arial" w:cs="Arial"/>
          <w:sz w:val="22"/>
          <w:szCs w:val="22"/>
          <w:lang w:val="en-IN"/>
        </w:rPr>
        <w:lastRenderedPageBreak/>
        <w:t>the role of policy and governance in shaping healthcare quality outcomes and proposes evidence-based recommendations using quality improvement methodologies such as PDSA and Lean.</w:t>
      </w:r>
    </w:p>
    <w:p w14:paraId="461AF4EF" w14:textId="17C0437C" w:rsidR="00F21595" w:rsidRPr="00D01E5C" w:rsidRDefault="00F21595" w:rsidP="006123AA">
      <w:pPr>
        <w:spacing w:line="360" w:lineRule="auto"/>
        <w:rPr>
          <w:rFonts w:ascii="Arial" w:hAnsi="Arial" w:cs="Arial"/>
          <w:sz w:val="22"/>
          <w:szCs w:val="22"/>
          <w:lang w:val="en-IN"/>
        </w:rPr>
      </w:pPr>
      <w:r w:rsidRPr="007D09AC">
        <w:rPr>
          <w:rFonts w:ascii="Arial" w:hAnsi="Arial" w:cs="Arial"/>
          <w:sz w:val="22"/>
          <w:szCs w:val="22"/>
          <w:lang w:val="en-IN"/>
        </w:rPr>
        <w:t>By integrating theoretical insight with practical application, this report aims to demonstrate how systemic failures can be addressed through structured service improvement strategies, thereby contributing to safer, more resilient healthcare systems.</w:t>
      </w:r>
    </w:p>
    <w:p w14:paraId="7A46D062" w14:textId="593C1108" w:rsidR="00FD2AC7" w:rsidRPr="00FD2AC7" w:rsidRDefault="00FD2AC7" w:rsidP="00805664">
      <w:pPr>
        <w:pStyle w:val="Heading1"/>
        <w:spacing w:line="360" w:lineRule="auto"/>
        <w:rPr>
          <w:lang w:val="en-IN"/>
        </w:rPr>
      </w:pPr>
      <w:bookmarkStart w:id="1" w:name="_Toc226008588"/>
      <w:r w:rsidRPr="00FD2AC7">
        <w:rPr>
          <w:lang w:val="en-IN"/>
        </w:rPr>
        <w:t>Critical Analysis of Quality Failure Using Theoretical Frameworks</w:t>
      </w:r>
      <w:bookmarkEnd w:id="1"/>
    </w:p>
    <w:p w14:paraId="7F5428AD" w14:textId="32E877D3" w:rsidR="00FD2AC7" w:rsidRPr="007B29AB" w:rsidRDefault="00FD2AC7" w:rsidP="006123AA">
      <w:pPr>
        <w:spacing w:line="360" w:lineRule="auto"/>
        <w:rPr>
          <w:rFonts w:ascii="Arial" w:hAnsi="Arial" w:cs="Arial"/>
          <w:b/>
          <w:bCs/>
          <w:sz w:val="22"/>
          <w:szCs w:val="22"/>
          <w:lang w:val="en-IN"/>
        </w:rPr>
      </w:pPr>
      <w:r w:rsidRPr="00FD2AC7">
        <w:rPr>
          <w:rFonts w:ascii="Arial" w:hAnsi="Arial" w:cs="Arial"/>
          <w:b/>
          <w:bCs/>
          <w:sz w:val="22"/>
          <w:szCs w:val="22"/>
          <w:lang w:val="en-IN"/>
        </w:rPr>
        <w:t>Root Cause Analysis of the Oxygen Supply Crisis</w:t>
      </w:r>
    </w:p>
    <w:p w14:paraId="04A1EE45" w14:textId="77777777" w:rsidR="00FD2AC7" w:rsidRPr="00FD2AC7"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The Gorakhpur BRD Medical College tragedy was a significant failure in healthcare quality and governance. The deaths were caused by a combination of systemic failings, including supply chain breakdowns, financial mismanagement, workforce shortages, and inadequate crisis planning. Over the course of 48 hours, 81 deaths were reported, with many being attributed to disruptions in oxygen supply in paediatric and neonatal units (Indian Journal of Medical Ethics, 2018).</w:t>
      </w:r>
      <w:r w:rsidRPr="00FD2AC7">
        <w:rPr>
          <w:rFonts w:ascii="Arial" w:hAnsi="Arial" w:cs="Arial"/>
          <w:sz w:val="22"/>
          <w:szCs w:val="22"/>
          <w:lang w:val="en-IN"/>
        </w:rPr>
        <w:br/>
      </w:r>
      <w:r w:rsidRPr="00FD2AC7">
        <w:rPr>
          <w:rFonts w:ascii="Arial" w:hAnsi="Arial" w:cs="Arial"/>
          <w:sz w:val="22"/>
          <w:szCs w:val="22"/>
          <w:lang w:val="en-IN"/>
        </w:rPr>
        <w:br/>
        <w:t>Root Cause Analysis (RCA) identifies underlying failures rather than assigning blame to individuals. RCA is commonly used in healthcare quality improvement to discover hidden system flaws (</w:t>
      </w:r>
      <w:proofErr w:type="spellStart"/>
      <w:r w:rsidRPr="00FD2AC7">
        <w:rPr>
          <w:rFonts w:ascii="Arial" w:hAnsi="Arial" w:cs="Arial"/>
          <w:sz w:val="22"/>
          <w:szCs w:val="22"/>
          <w:lang w:val="en-IN"/>
        </w:rPr>
        <w:t>Percarpio</w:t>
      </w:r>
      <w:proofErr w:type="spellEnd"/>
      <w:r w:rsidRPr="00FD2AC7">
        <w:rPr>
          <w:rFonts w:ascii="Arial" w:hAnsi="Arial" w:cs="Arial"/>
          <w:sz w:val="22"/>
          <w:szCs w:val="22"/>
          <w:lang w:val="en-IN"/>
        </w:rPr>
        <w:t>, Watts, &amp; Weeks, 2008). In this case, the primary causes were procurement errors, governance gaps, infrastructure restrictions, and a lack of contingency preparation.</w:t>
      </w:r>
    </w:p>
    <w:p w14:paraId="687B273E" w14:textId="77777777" w:rsidR="00D01E5C" w:rsidRDefault="00D01E5C" w:rsidP="006123AA">
      <w:pPr>
        <w:spacing w:line="360" w:lineRule="auto"/>
        <w:rPr>
          <w:rFonts w:ascii="Arial" w:hAnsi="Arial" w:cs="Arial"/>
          <w:b/>
          <w:bCs/>
          <w:sz w:val="22"/>
          <w:szCs w:val="22"/>
          <w:lang w:val="en-IN"/>
        </w:rPr>
      </w:pPr>
    </w:p>
    <w:p w14:paraId="7C57DE32" w14:textId="51F40EF0" w:rsidR="006123AA" w:rsidRDefault="00FD2AC7" w:rsidP="006123AA">
      <w:pPr>
        <w:spacing w:line="360" w:lineRule="auto"/>
        <w:rPr>
          <w:rFonts w:ascii="Arial" w:hAnsi="Arial" w:cs="Arial"/>
          <w:sz w:val="22"/>
          <w:szCs w:val="22"/>
          <w:lang w:val="en-IN"/>
        </w:rPr>
      </w:pPr>
      <w:r w:rsidRPr="00FD2AC7">
        <w:rPr>
          <w:rFonts w:ascii="Arial" w:hAnsi="Arial" w:cs="Arial"/>
          <w:b/>
          <w:bCs/>
          <w:sz w:val="22"/>
          <w:szCs w:val="22"/>
          <w:lang w:val="en-IN"/>
        </w:rPr>
        <w:t>Oxygen Supply Chain Failure</w:t>
      </w:r>
    </w:p>
    <w:p w14:paraId="7E4A84CF" w14:textId="386B02D1" w:rsidR="00FD2AC7" w:rsidRPr="007B29AB"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One of the key causes of the problem was the disruption of liquid oxygen delivery due to delayed payments to the provider. According to reports, the supplier frequently notified hospital authorities about overdue dues before terminating supplies (Indian Express, 2017). Furthermore, the hospital had just a small number of backup cylinders, which were insufficient to meet demand.</w:t>
      </w:r>
      <w:r w:rsidRPr="00FD2AC7">
        <w:rPr>
          <w:rFonts w:ascii="Arial" w:hAnsi="Arial" w:cs="Arial"/>
          <w:sz w:val="22"/>
          <w:szCs w:val="22"/>
          <w:lang w:val="en-IN"/>
        </w:rPr>
        <w:br/>
      </w:r>
      <w:r w:rsidRPr="00FD2AC7">
        <w:rPr>
          <w:rFonts w:ascii="Arial" w:hAnsi="Arial" w:cs="Arial"/>
          <w:sz w:val="22"/>
          <w:szCs w:val="22"/>
          <w:lang w:val="en-IN"/>
        </w:rPr>
        <w:br/>
        <w:t xml:space="preserve">Healthcare supply chains are vital for sustaining essential services. Failures in procurement and logistics have a direct impact on patient safety. To avoid delays, hospitals serving </w:t>
      </w:r>
      <w:r w:rsidRPr="00FD2AC7">
        <w:rPr>
          <w:rFonts w:ascii="Arial" w:hAnsi="Arial" w:cs="Arial"/>
          <w:sz w:val="22"/>
          <w:szCs w:val="22"/>
          <w:lang w:val="en-IN"/>
        </w:rPr>
        <w:lastRenderedPageBreak/>
        <w:t>critically sick patients must have redundant oxygen delivery systems and emergency reserves, according to World Health Organization guidelines (WHO, 2020). The lack of such measures in Gorakhpur indicates insufficient operational planning.</w:t>
      </w:r>
    </w:p>
    <w:p w14:paraId="38953EE5" w14:textId="77777777" w:rsidR="00FD2AC7" w:rsidRPr="00FD2AC7"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Furthermore, the distance between the supplier and the hospital delayed emergency replenishment. This demonstrates poor risk assessment processes and a lack of supplier diversity. According to studies, relying on a single provider increases the risk of service disruption, especially in public healthcare systems (Pittet et al., 2019). As a result, the oxygen crisis was not merely logistical, but also a failure of strategic planning.</w:t>
      </w:r>
    </w:p>
    <w:p w14:paraId="1E448C29" w14:textId="77777777" w:rsidR="006123AA" w:rsidRDefault="00FD2AC7" w:rsidP="006123AA">
      <w:pPr>
        <w:spacing w:line="360" w:lineRule="auto"/>
        <w:rPr>
          <w:rFonts w:ascii="Arial" w:hAnsi="Arial" w:cs="Arial"/>
          <w:b/>
          <w:bCs/>
          <w:sz w:val="22"/>
          <w:szCs w:val="22"/>
          <w:lang w:val="en-IN"/>
        </w:rPr>
      </w:pPr>
      <w:r w:rsidRPr="00FD2AC7">
        <w:rPr>
          <w:rFonts w:ascii="Arial" w:hAnsi="Arial" w:cs="Arial"/>
          <w:b/>
          <w:bCs/>
          <w:sz w:val="22"/>
          <w:szCs w:val="22"/>
          <w:lang w:val="en-IN"/>
        </w:rPr>
        <w:t>Financial Mismanagement and Governance Failure</w:t>
      </w:r>
    </w:p>
    <w:p w14:paraId="5A99CC1C" w14:textId="77777777" w:rsidR="006123AA"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Financial governance also played an important part in the incident. Despite the availability of government funding, payments to the oxygen supplier were delayed, resulting in a halt of supply. This suggests deficiencies in financial responsibility and budgeting mechanisms.</w:t>
      </w:r>
    </w:p>
    <w:p w14:paraId="4E9F6F20" w14:textId="77777777" w:rsidR="006123AA"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Effective financial governance is critical for providing quality healthcare. Poor budgeting and delayed payments can disrupt critical services and jeopardise patient safety (Kaplan &amp; Porter, 2011). In the Gorakhpur case, monies were not prioritised for crucial life-support infrastructure such as oxygen delivery.</w:t>
      </w:r>
    </w:p>
    <w:p w14:paraId="22453B46" w14:textId="579D6DDB" w:rsidR="006123AA"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This reflects greater systemic issues in public healthcare systems, where bureaucratic processes impede decision-making. Such inefficiencies might lead to avoidable deaths, especially in emergency situations. According to Berwick (2016), leadership and governance failures are primary causes of healthcare quality breakdowns.</w:t>
      </w:r>
    </w:p>
    <w:p w14:paraId="1D44DF65" w14:textId="77777777" w:rsidR="00D01E5C" w:rsidRPr="00FD2AC7" w:rsidRDefault="00D01E5C" w:rsidP="006123AA">
      <w:pPr>
        <w:spacing w:line="360" w:lineRule="auto"/>
        <w:rPr>
          <w:rFonts w:ascii="Arial" w:hAnsi="Arial" w:cs="Arial"/>
          <w:sz w:val="22"/>
          <w:szCs w:val="22"/>
          <w:lang w:val="en-IN"/>
        </w:rPr>
      </w:pPr>
    </w:p>
    <w:p w14:paraId="643D2351" w14:textId="77777777" w:rsidR="006123AA" w:rsidRDefault="00FD2AC7" w:rsidP="006123AA">
      <w:pPr>
        <w:spacing w:line="360" w:lineRule="auto"/>
        <w:rPr>
          <w:rFonts w:ascii="Arial" w:hAnsi="Arial" w:cs="Arial"/>
          <w:sz w:val="22"/>
          <w:szCs w:val="22"/>
          <w:lang w:val="en-IN"/>
        </w:rPr>
      </w:pPr>
      <w:r w:rsidRPr="00FD2AC7">
        <w:rPr>
          <w:rFonts w:ascii="Arial" w:hAnsi="Arial" w:cs="Arial"/>
          <w:b/>
          <w:bCs/>
          <w:sz w:val="22"/>
          <w:szCs w:val="22"/>
          <w:lang w:val="en-IN"/>
        </w:rPr>
        <w:t>Staffing shortages and Clinical Management Failures</w:t>
      </w:r>
    </w:p>
    <w:p w14:paraId="6C2D170F" w14:textId="1D623CF0" w:rsidR="00FD2AC7" w:rsidRPr="00FD2AC7"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The hospital experienced serious workforce constraints, including a lack of trained neonatal nurses and senior resident doctors. Staff shortages might impair monitoring capacity and cause delays in responding to clinical worsening.</w:t>
      </w:r>
      <w:r w:rsidRPr="00FD2AC7">
        <w:rPr>
          <w:rFonts w:ascii="Arial" w:hAnsi="Arial" w:cs="Arial"/>
          <w:sz w:val="22"/>
          <w:szCs w:val="22"/>
          <w:lang w:val="en-IN"/>
        </w:rPr>
        <w:br/>
        <w:t>Human resource capacity is a significant predictor of healthcare quality. The Donabedian model highlights staffing levels as part of the structure that influences patient outcomes (Donabedian, 1988). Inadequate staffing undermines care delivery, particularly in intensive care units.</w:t>
      </w:r>
      <w:r w:rsidRPr="00FD2AC7">
        <w:rPr>
          <w:rFonts w:ascii="Arial" w:hAnsi="Arial" w:cs="Arial"/>
          <w:sz w:val="22"/>
          <w:szCs w:val="22"/>
          <w:lang w:val="en-IN"/>
        </w:rPr>
        <w:br/>
        <w:t>Furthermore, inadequate record keeping and a lack of monitoring systems contributed to the delayed detection of oxygen depletion. Effective clinical governance necessitates systematic documentation and escalation procedures. Without these, early warning indicators may be overlooked.</w:t>
      </w:r>
    </w:p>
    <w:p w14:paraId="43C5D174" w14:textId="77777777" w:rsidR="00FD2AC7" w:rsidRPr="00FD2AC7"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lastRenderedPageBreak/>
        <w:t>According to research, hospitals with poor communication systems are more likely to have bad consequences during emergencies (Vincent, 2010). The Gorakhpur instance demonstrates a breakdown in communication lines between clinical teams and hospital management.</w:t>
      </w:r>
    </w:p>
    <w:p w14:paraId="0045DC22" w14:textId="77777777" w:rsidR="006123AA" w:rsidRDefault="00FD2AC7" w:rsidP="006123AA">
      <w:pPr>
        <w:spacing w:line="360" w:lineRule="auto"/>
        <w:rPr>
          <w:rFonts w:ascii="Arial" w:hAnsi="Arial" w:cs="Arial"/>
          <w:sz w:val="22"/>
          <w:szCs w:val="22"/>
          <w:lang w:val="en-IN"/>
        </w:rPr>
      </w:pPr>
      <w:r w:rsidRPr="00FD2AC7">
        <w:rPr>
          <w:rFonts w:ascii="Arial" w:hAnsi="Arial" w:cs="Arial"/>
          <w:b/>
          <w:bCs/>
          <w:sz w:val="22"/>
          <w:szCs w:val="22"/>
          <w:lang w:val="en-IN"/>
        </w:rPr>
        <w:t>Infrastructure and Capacity Limitations</w:t>
      </w:r>
    </w:p>
    <w:p w14:paraId="297FDF32" w14:textId="584C4026" w:rsidR="00FD2AC7" w:rsidRPr="00FD2AC7"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The situation was worsened by overcrowding in paediatric and neonatal units. The hospital serviced a huge population affected by acute encephalitis syndrome, resulting in a high patient volume. Overcrowding lowers staff-patient ratios and increases dependency on oxygen therapy.</w:t>
      </w:r>
      <w:r w:rsidRPr="00FD2AC7">
        <w:rPr>
          <w:rFonts w:ascii="Arial" w:hAnsi="Arial" w:cs="Arial"/>
          <w:sz w:val="22"/>
          <w:szCs w:val="22"/>
          <w:lang w:val="en-IN"/>
        </w:rPr>
        <w:br/>
      </w:r>
      <w:r w:rsidRPr="00FD2AC7">
        <w:rPr>
          <w:rFonts w:ascii="Arial" w:hAnsi="Arial" w:cs="Arial"/>
          <w:sz w:val="22"/>
          <w:szCs w:val="22"/>
          <w:lang w:val="en-IN"/>
        </w:rPr>
        <w:br/>
        <w:t>Healthcare infrastructure must be in line with population needs. Under-resourced facilities are more susceptible to service disruptions (Kruk et al., 2018). The absence of operable backup oxygen pipelines increased the problem.</w:t>
      </w:r>
      <w:r w:rsidRPr="00FD2AC7">
        <w:rPr>
          <w:rFonts w:ascii="Arial" w:hAnsi="Arial" w:cs="Arial"/>
          <w:sz w:val="22"/>
          <w:szCs w:val="22"/>
          <w:lang w:val="en-IN"/>
        </w:rPr>
        <w:br/>
      </w:r>
      <w:r w:rsidRPr="00FD2AC7">
        <w:rPr>
          <w:rFonts w:ascii="Arial" w:hAnsi="Arial" w:cs="Arial"/>
          <w:sz w:val="22"/>
          <w:szCs w:val="22"/>
          <w:lang w:val="en-IN"/>
        </w:rPr>
        <w:br/>
        <w:t>This highlights a structural quality issue. According to Donabedian, inadequate structural capability leads to process failures and negative results. In this situation, poor infrastructure combined with a high patient load resulted in dangerous conditions.</w:t>
      </w:r>
    </w:p>
    <w:p w14:paraId="61BF37C9" w14:textId="77777777" w:rsidR="006123AA" w:rsidRDefault="00FD2AC7" w:rsidP="006123AA">
      <w:pPr>
        <w:spacing w:line="360" w:lineRule="auto"/>
        <w:rPr>
          <w:rFonts w:ascii="Arial" w:hAnsi="Arial" w:cs="Arial"/>
          <w:b/>
          <w:bCs/>
          <w:sz w:val="22"/>
          <w:szCs w:val="22"/>
          <w:lang w:val="en-IN"/>
        </w:rPr>
      </w:pPr>
      <w:r w:rsidRPr="00FD2AC7">
        <w:rPr>
          <w:rFonts w:ascii="Arial" w:hAnsi="Arial" w:cs="Arial"/>
          <w:b/>
          <w:bCs/>
          <w:sz w:val="22"/>
          <w:szCs w:val="22"/>
          <w:lang w:val="en-IN"/>
        </w:rPr>
        <w:t>Crisis Management and Emergency Preparedness</w:t>
      </w:r>
    </w:p>
    <w:p w14:paraId="02C70662" w14:textId="493718CC" w:rsidR="00FD2AC7"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Another big shortcoming was a lack of contingency preparation. Hospitals must create emergency preparation strategies for vital services. However, there was no such strategy for a halt in oxygen supply.</w:t>
      </w:r>
      <w:r w:rsidRPr="00FD2AC7">
        <w:rPr>
          <w:rFonts w:ascii="Arial" w:hAnsi="Arial" w:cs="Arial"/>
          <w:sz w:val="22"/>
          <w:szCs w:val="22"/>
          <w:lang w:val="en-IN"/>
        </w:rPr>
        <w:br/>
      </w:r>
      <w:r w:rsidRPr="00FD2AC7">
        <w:rPr>
          <w:rFonts w:ascii="Arial" w:hAnsi="Arial" w:cs="Arial"/>
          <w:sz w:val="22"/>
          <w:szCs w:val="22"/>
          <w:lang w:val="en-IN"/>
        </w:rPr>
        <w:br/>
        <w:t>Quality improvement frameworks prioritise risk management and emergency preparedness. According to the Institute for Healthcare Improvement (IHI, 2017), healthcare institutions must plan for anticipated failures and apply mitigation methods. The lack of preparedness in Gorakhpur demonstrates governmental shortcomings.</w:t>
      </w:r>
      <w:r w:rsidRPr="00FD2AC7">
        <w:rPr>
          <w:rFonts w:ascii="Arial" w:hAnsi="Arial" w:cs="Arial"/>
          <w:sz w:val="22"/>
          <w:szCs w:val="22"/>
          <w:lang w:val="en-IN"/>
        </w:rPr>
        <w:br/>
      </w:r>
      <w:r w:rsidRPr="00FD2AC7">
        <w:rPr>
          <w:rFonts w:ascii="Arial" w:hAnsi="Arial" w:cs="Arial"/>
          <w:sz w:val="22"/>
          <w:szCs w:val="22"/>
          <w:lang w:val="en-IN"/>
        </w:rPr>
        <w:br/>
        <w:t>Delayed cylinder reallocation and a slow administrative reaction exacerbated the problem. This suggests a lack of clear crisis leadership. Effective emergency management necessitates clear roles, prompt communication, and escalation mechanisms.</w:t>
      </w:r>
    </w:p>
    <w:p w14:paraId="3C55DEAE" w14:textId="77777777" w:rsidR="00D01E5C" w:rsidRDefault="00D01E5C" w:rsidP="006123AA">
      <w:pPr>
        <w:spacing w:line="360" w:lineRule="auto"/>
        <w:rPr>
          <w:rFonts w:ascii="Arial" w:hAnsi="Arial" w:cs="Arial"/>
          <w:sz w:val="22"/>
          <w:szCs w:val="22"/>
          <w:lang w:val="en-IN"/>
        </w:rPr>
      </w:pPr>
    </w:p>
    <w:p w14:paraId="231FE903" w14:textId="77777777" w:rsidR="00D01E5C" w:rsidRDefault="00D01E5C" w:rsidP="006123AA">
      <w:pPr>
        <w:spacing w:line="360" w:lineRule="auto"/>
        <w:rPr>
          <w:rFonts w:ascii="Arial" w:hAnsi="Arial" w:cs="Arial"/>
          <w:sz w:val="22"/>
          <w:szCs w:val="22"/>
          <w:lang w:val="en-IN"/>
        </w:rPr>
      </w:pPr>
    </w:p>
    <w:p w14:paraId="6001846B" w14:textId="77777777" w:rsidR="00D01E5C" w:rsidRPr="00FD2AC7" w:rsidRDefault="00D01E5C" w:rsidP="006123AA">
      <w:pPr>
        <w:spacing w:line="360" w:lineRule="auto"/>
        <w:rPr>
          <w:rFonts w:ascii="Arial" w:hAnsi="Arial" w:cs="Arial"/>
          <w:sz w:val="22"/>
          <w:szCs w:val="22"/>
          <w:lang w:val="en-IN"/>
        </w:rPr>
      </w:pPr>
    </w:p>
    <w:p w14:paraId="1CACAB55" w14:textId="44C6CE1D" w:rsidR="00FD2AC7" w:rsidRDefault="00FD2AC7" w:rsidP="006123AA">
      <w:pPr>
        <w:spacing w:line="360" w:lineRule="auto"/>
        <w:rPr>
          <w:rFonts w:ascii="Arial" w:hAnsi="Arial" w:cs="Arial"/>
          <w:b/>
          <w:bCs/>
          <w:sz w:val="22"/>
          <w:szCs w:val="22"/>
          <w:lang w:val="en-IN"/>
        </w:rPr>
      </w:pPr>
      <w:r w:rsidRPr="00D01E5C">
        <w:rPr>
          <w:rFonts w:ascii="Arial" w:hAnsi="Arial" w:cs="Arial"/>
          <w:b/>
          <w:bCs/>
          <w:sz w:val="22"/>
          <w:szCs w:val="22"/>
          <w:lang w:val="en-IN"/>
        </w:rPr>
        <w:lastRenderedPageBreak/>
        <w:t>Fishbone</w:t>
      </w:r>
      <w:r w:rsidR="00197DDB">
        <w:rPr>
          <w:rFonts w:ascii="Arial" w:hAnsi="Arial" w:cs="Arial"/>
          <w:b/>
          <w:bCs/>
          <w:sz w:val="22"/>
          <w:szCs w:val="22"/>
          <w:lang w:val="en-IN"/>
        </w:rPr>
        <w:t xml:space="preserve"> </w:t>
      </w:r>
      <w:r w:rsidRPr="00D01E5C">
        <w:rPr>
          <w:rFonts w:ascii="Arial" w:hAnsi="Arial" w:cs="Arial"/>
          <w:b/>
          <w:bCs/>
          <w:sz w:val="22"/>
          <w:szCs w:val="22"/>
          <w:lang w:val="en-IN"/>
        </w:rPr>
        <w:t>Model</w:t>
      </w:r>
    </w:p>
    <w:p w14:paraId="78837F0F" w14:textId="06286CEB" w:rsidR="00197DDB" w:rsidRPr="00D01E5C" w:rsidRDefault="00197DDB" w:rsidP="006123AA">
      <w:pPr>
        <w:spacing w:line="360" w:lineRule="auto"/>
        <w:rPr>
          <w:rFonts w:ascii="Arial" w:hAnsi="Arial" w:cs="Arial"/>
          <w:b/>
          <w:bCs/>
          <w:sz w:val="22"/>
          <w:szCs w:val="22"/>
          <w:lang w:val="en-IN"/>
        </w:rPr>
      </w:pPr>
      <w:r>
        <w:rPr>
          <w:rFonts w:ascii="Segoe UI Emoji" w:hAnsi="Segoe UI Emoji" w:cs="Segoe UI Emoji"/>
          <w:b/>
          <w:bCs/>
          <w:noProof/>
          <w:lang w:val="en-IN"/>
        </w:rPr>
        <w:drawing>
          <wp:inline distT="0" distB="0" distL="0" distR="0" wp14:anchorId="62B4F68C" wp14:editId="5ED73BEA">
            <wp:extent cx="5722620" cy="3810000"/>
            <wp:effectExtent l="0" t="0" r="0" b="0"/>
            <wp:docPr id="1268520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2620" cy="3810000"/>
                    </a:xfrm>
                    <a:prstGeom prst="rect">
                      <a:avLst/>
                    </a:prstGeom>
                    <a:noFill/>
                    <a:ln>
                      <a:noFill/>
                    </a:ln>
                  </pic:spPr>
                </pic:pic>
              </a:graphicData>
            </a:graphic>
          </wp:inline>
        </w:drawing>
      </w:r>
    </w:p>
    <w:p w14:paraId="5C22E979" w14:textId="21794F06" w:rsidR="00197DDB" w:rsidRPr="00197DDB" w:rsidRDefault="00197DDB" w:rsidP="00197DDB">
      <w:pPr>
        <w:spacing w:line="360" w:lineRule="auto"/>
        <w:jc w:val="center"/>
        <w:rPr>
          <w:rFonts w:ascii="Arial" w:hAnsi="Arial" w:cs="Arial"/>
          <w:sz w:val="16"/>
          <w:szCs w:val="16"/>
          <w:lang w:val="en-IN"/>
        </w:rPr>
      </w:pPr>
      <w:r w:rsidRPr="00197DDB">
        <w:rPr>
          <w:rFonts w:ascii="Arial" w:hAnsi="Arial" w:cs="Arial"/>
          <w:sz w:val="16"/>
          <w:szCs w:val="16"/>
          <w:lang w:val="en-IN"/>
        </w:rPr>
        <w:t>Diagram 1. Source: Created by author</w:t>
      </w:r>
    </w:p>
    <w:p w14:paraId="4E86EBCE" w14:textId="57E73681" w:rsidR="00D01E5C" w:rsidRPr="007B29AB" w:rsidRDefault="00FD2AC7" w:rsidP="006123AA">
      <w:pPr>
        <w:spacing w:line="360" w:lineRule="auto"/>
        <w:rPr>
          <w:rFonts w:ascii="Arial" w:hAnsi="Arial" w:cs="Arial"/>
          <w:sz w:val="22"/>
          <w:szCs w:val="22"/>
          <w:lang w:val="en-IN"/>
        </w:rPr>
      </w:pPr>
      <w:r w:rsidRPr="007B29AB">
        <w:rPr>
          <w:rFonts w:ascii="Arial" w:hAnsi="Arial" w:cs="Arial"/>
          <w:sz w:val="22"/>
          <w:szCs w:val="22"/>
          <w:lang w:val="en-IN"/>
        </w:rPr>
        <w:t>The Fishbone diagram helps categorise causes of system failure. In the Gorakhpur case, causes can be grouped into five domains.</w:t>
      </w:r>
    </w:p>
    <w:p w14:paraId="2C83A2C3" w14:textId="77777777" w:rsidR="00FD2AC7" w:rsidRPr="007B29AB" w:rsidRDefault="00FD2AC7" w:rsidP="006123AA">
      <w:pPr>
        <w:spacing w:line="360" w:lineRule="auto"/>
        <w:rPr>
          <w:rFonts w:ascii="Arial" w:hAnsi="Arial" w:cs="Arial"/>
          <w:b/>
          <w:bCs/>
          <w:sz w:val="22"/>
          <w:szCs w:val="22"/>
          <w:lang w:val="en-IN"/>
        </w:rPr>
      </w:pPr>
      <w:r w:rsidRPr="007B29AB">
        <w:rPr>
          <w:rFonts w:ascii="Arial" w:hAnsi="Arial" w:cs="Arial"/>
          <w:b/>
          <w:bCs/>
          <w:sz w:val="22"/>
          <w:szCs w:val="22"/>
          <w:lang w:val="en-IN"/>
        </w:rPr>
        <w:t>People</w:t>
      </w:r>
    </w:p>
    <w:p w14:paraId="5107DF91" w14:textId="77777777" w:rsidR="00FD2AC7" w:rsidRPr="007B29AB" w:rsidRDefault="00FD2AC7" w:rsidP="006123AA">
      <w:pPr>
        <w:pStyle w:val="ListParagraph"/>
        <w:numPr>
          <w:ilvl w:val="0"/>
          <w:numId w:val="14"/>
        </w:numPr>
        <w:spacing w:line="360" w:lineRule="auto"/>
        <w:rPr>
          <w:rFonts w:ascii="Arial" w:hAnsi="Arial" w:cs="Arial"/>
          <w:sz w:val="22"/>
          <w:szCs w:val="22"/>
          <w:lang w:val="en-IN"/>
        </w:rPr>
      </w:pPr>
      <w:r w:rsidRPr="007B29AB">
        <w:rPr>
          <w:rFonts w:ascii="Arial" w:hAnsi="Arial" w:cs="Arial"/>
          <w:sz w:val="22"/>
          <w:szCs w:val="22"/>
          <w:lang w:val="en-IN"/>
        </w:rPr>
        <w:t>Shortage of trained staff</w:t>
      </w:r>
    </w:p>
    <w:p w14:paraId="36189784" w14:textId="77777777" w:rsidR="00FD2AC7" w:rsidRPr="007B29AB" w:rsidRDefault="00FD2AC7" w:rsidP="006123AA">
      <w:pPr>
        <w:pStyle w:val="ListParagraph"/>
        <w:numPr>
          <w:ilvl w:val="0"/>
          <w:numId w:val="14"/>
        </w:numPr>
        <w:spacing w:line="360" w:lineRule="auto"/>
        <w:rPr>
          <w:rFonts w:ascii="Arial" w:hAnsi="Arial" w:cs="Arial"/>
          <w:sz w:val="22"/>
          <w:szCs w:val="22"/>
          <w:lang w:val="en-IN"/>
        </w:rPr>
      </w:pPr>
      <w:r w:rsidRPr="007B29AB">
        <w:rPr>
          <w:rFonts w:ascii="Arial" w:hAnsi="Arial" w:cs="Arial"/>
          <w:sz w:val="22"/>
          <w:szCs w:val="22"/>
          <w:lang w:val="en-IN"/>
        </w:rPr>
        <w:t>Limited neonatal expertise</w:t>
      </w:r>
    </w:p>
    <w:p w14:paraId="167BF784" w14:textId="32DF9251" w:rsidR="00FD2AC7" w:rsidRPr="00D01E5C" w:rsidRDefault="00FD2AC7" w:rsidP="006123AA">
      <w:pPr>
        <w:pStyle w:val="ListParagraph"/>
        <w:numPr>
          <w:ilvl w:val="0"/>
          <w:numId w:val="14"/>
        </w:numPr>
        <w:spacing w:line="360" w:lineRule="auto"/>
        <w:rPr>
          <w:rFonts w:ascii="Arial" w:hAnsi="Arial" w:cs="Arial"/>
          <w:sz w:val="22"/>
          <w:szCs w:val="22"/>
          <w:lang w:val="en-IN"/>
        </w:rPr>
      </w:pPr>
      <w:r w:rsidRPr="007B29AB">
        <w:rPr>
          <w:rFonts w:ascii="Arial" w:hAnsi="Arial" w:cs="Arial"/>
          <w:sz w:val="22"/>
          <w:szCs w:val="22"/>
          <w:lang w:val="en-IN"/>
        </w:rPr>
        <w:t>Poor leadership response</w:t>
      </w:r>
    </w:p>
    <w:p w14:paraId="41DE1D77" w14:textId="45FD04DE" w:rsidR="00FD2AC7" w:rsidRPr="007B29AB" w:rsidRDefault="00FD2AC7" w:rsidP="006123AA">
      <w:pPr>
        <w:spacing w:line="360" w:lineRule="auto"/>
        <w:rPr>
          <w:rFonts w:ascii="Arial" w:hAnsi="Arial" w:cs="Arial"/>
          <w:sz w:val="22"/>
          <w:szCs w:val="22"/>
          <w:lang w:val="en-IN"/>
        </w:rPr>
      </w:pPr>
      <w:r w:rsidRPr="007B29AB">
        <w:rPr>
          <w:rFonts w:ascii="Arial" w:hAnsi="Arial" w:cs="Arial"/>
          <w:sz w:val="22"/>
          <w:szCs w:val="22"/>
          <w:lang w:val="en-IN"/>
        </w:rPr>
        <w:t>Staffing shortages reduced monitoring and delayed crisis recognition. Workforce capacity is strongly associated with patient safety outcomes (Aiken et al., 2014).</w:t>
      </w:r>
    </w:p>
    <w:p w14:paraId="011D2A36" w14:textId="77777777" w:rsidR="00FD2AC7" w:rsidRPr="007B29AB" w:rsidRDefault="00FD2AC7" w:rsidP="006123AA">
      <w:pPr>
        <w:spacing w:line="360" w:lineRule="auto"/>
        <w:rPr>
          <w:rFonts w:ascii="Arial" w:hAnsi="Arial" w:cs="Arial"/>
          <w:b/>
          <w:bCs/>
          <w:sz w:val="22"/>
          <w:szCs w:val="22"/>
          <w:lang w:val="en-IN"/>
        </w:rPr>
      </w:pPr>
      <w:r w:rsidRPr="007B29AB">
        <w:rPr>
          <w:rFonts w:ascii="Arial" w:hAnsi="Arial" w:cs="Arial"/>
          <w:b/>
          <w:bCs/>
          <w:sz w:val="22"/>
          <w:szCs w:val="22"/>
          <w:lang w:val="en-IN"/>
        </w:rPr>
        <w:t>Process</w:t>
      </w:r>
    </w:p>
    <w:p w14:paraId="0A5B336D" w14:textId="77777777" w:rsidR="00FD2AC7" w:rsidRPr="007B29AB" w:rsidRDefault="00FD2AC7" w:rsidP="006123AA">
      <w:pPr>
        <w:pStyle w:val="ListParagraph"/>
        <w:numPr>
          <w:ilvl w:val="0"/>
          <w:numId w:val="15"/>
        </w:numPr>
        <w:spacing w:line="360" w:lineRule="auto"/>
        <w:rPr>
          <w:rFonts w:ascii="Arial" w:hAnsi="Arial" w:cs="Arial"/>
          <w:sz w:val="22"/>
          <w:szCs w:val="22"/>
          <w:lang w:val="en-IN"/>
        </w:rPr>
      </w:pPr>
      <w:r w:rsidRPr="007B29AB">
        <w:rPr>
          <w:rFonts w:ascii="Arial" w:hAnsi="Arial" w:cs="Arial"/>
          <w:sz w:val="22"/>
          <w:szCs w:val="22"/>
          <w:lang w:val="en-IN"/>
        </w:rPr>
        <w:t>Poor procurement system</w:t>
      </w:r>
    </w:p>
    <w:p w14:paraId="7D500C34" w14:textId="77777777" w:rsidR="00FD2AC7" w:rsidRPr="007B29AB" w:rsidRDefault="00FD2AC7" w:rsidP="006123AA">
      <w:pPr>
        <w:pStyle w:val="ListParagraph"/>
        <w:numPr>
          <w:ilvl w:val="0"/>
          <w:numId w:val="15"/>
        </w:numPr>
        <w:spacing w:line="360" w:lineRule="auto"/>
        <w:rPr>
          <w:rFonts w:ascii="Arial" w:hAnsi="Arial" w:cs="Arial"/>
          <w:sz w:val="22"/>
          <w:szCs w:val="22"/>
          <w:lang w:val="en-IN"/>
        </w:rPr>
      </w:pPr>
      <w:r w:rsidRPr="007B29AB">
        <w:rPr>
          <w:rFonts w:ascii="Arial" w:hAnsi="Arial" w:cs="Arial"/>
          <w:sz w:val="22"/>
          <w:szCs w:val="22"/>
          <w:lang w:val="en-IN"/>
        </w:rPr>
        <w:t>Lack of payment tracking</w:t>
      </w:r>
    </w:p>
    <w:p w14:paraId="3D7A7C58" w14:textId="4545B188" w:rsidR="00FD2AC7" w:rsidRPr="00D01E5C" w:rsidRDefault="00FD2AC7" w:rsidP="006123AA">
      <w:pPr>
        <w:pStyle w:val="ListParagraph"/>
        <w:numPr>
          <w:ilvl w:val="0"/>
          <w:numId w:val="15"/>
        </w:numPr>
        <w:spacing w:line="360" w:lineRule="auto"/>
        <w:rPr>
          <w:rFonts w:ascii="Arial" w:hAnsi="Arial" w:cs="Arial"/>
          <w:sz w:val="22"/>
          <w:szCs w:val="22"/>
          <w:lang w:val="en-IN"/>
        </w:rPr>
      </w:pPr>
      <w:r w:rsidRPr="007B29AB">
        <w:rPr>
          <w:rFonts w:ascii="Arial" w:hAnsi="Arial" w:cs="Arial"/>
          <w:sz w:val="22"/>
          <w:szCs w:val="22"/>
          <w:lang w:val="en-IN"/>
        </w:rPr>
        <w:t>Weak escalation procedures</w:t>
      </w:r>
    </w:p>
    <w:p w14:paraId="328B1668" w14:textId="1F010540" w:rsidR="00FD2AC7" w:rsidRPr="007B29AB" w:rsidRDefault="00FD2AC7" w:rsidP="006123AA">
      <w:pPr>
        <w:spacing w:line="360" w:lineRule="auto"/>
        <w:rPr>
          <w:rFonts w:ascii="Arial" w:hAnsi="Arial" w:cs="Arial"/>
          <w:sz w:val="22"/>
          <w:szCs w:val="22"/>
          <w:lang w:val="en-IN"/>
        </w:rPr>
      </w:pPr>
      <w:r w:rsidRPr="007B29AB">
        <w:rPr>
          <w:rFonts w:ascii="Arial" w:hAnsi="Arial" w:cs="Arial"/>
          <w:sz w:val="22"/>
          <w:szCs w:val="22"/>
          <w:lang w:val="en-IN"/>
        </w:rPr>
        <w:t>These process failures prevented early intervention. Inefficient processes often lead to operational breakdown in healthcare systems.</w:t>
      </w:r>
    </w:p>
    <w:p w14:paraId="60FBA603" w14:textId="77777777" w:rsidR="00FD2AC7" w:rsidRPr="00FD2AC7" w:rsidRDefault="00FD2AC7" w:rsidP="006123AA">
      <w:pPr>
        <w:spacing w:line="360" w:lineRule="auto"/>
        <w:rPr>
          <w:rFonts w:ascii="Arial" w:hAnsi="Arial" w:cs="Arial"/>
          <w:b/>
          <w:bCs/>
          <w:sz w:val="22"/>
          <w:szCs w:val="22"/>
          <w:lang w:val="en-IN"/>
        </w:rPr>
      </w:pPr>
      <w:r w:rsidRPr="00FD2AC7">
        <w:rPr>
          <w:rFonts w:ascii="Arial" w:hAnsi="Arial" w:cs="Arial"/>
          <w:b/>
          <w:bCs/>
          <w:sz w:val="22"/>
          <w:szCs w:val="22"/>
          <w:lang w:val="en-IN"/>
        </w:rPr>
        <w:lastRenderedPageBreak/>
        <w:t>Equipment</w:t>
      </w:r>
    </w:p>
    <w:p w14:paraId="792E2C7D" w14:textId="77777777" w:rsidR="00FD2AC7" w:rsidRPr="007B29AB" w:rsidRDefault="00FD2AC7" w:rsidP="006123AA">
      <w:pPr>
        <w:pStyle w:val="ListParagraph"/>
        <w:numPr>
          <w:ilvl w:val="0"/>
          <w:numId w:val="18"/>
        </w:numPr>
        <w:spacing w:line="360" w:lineRule="auto"/>
        <w:rPr>
          <w:rFonts w:ascii="Arial" w:hAnsi="Arial" w:cs="Arial"/>
          <w:sz w:val="22"/>
          <w:szCs w:val="22"/>
          <w:lang w:val="en-IN"/>
        </w:rPr>
      </w:pPr>
      <w:r w:rsidRPr="007B29AB">
        <w:rPr>
          <w:rFonts w:ascii="Arial" w:hAnsi="Arial" w:cs="Arial"/>
          <w:sz w:val="22"/>
          <w:szCs w:val="22"/>
          <w:lang w:val="en-IN"/>
        </w:rPr>
        <w:t xml:space="preserve">Insufficient oxygen cylinders </w:t>
      </w:r>
    </w:p>
    <w:p w14:paraId="78296C0B" w14:textId="77777777" w:rsidR="00FD2AC7" w:rsidRPr="007B29AB" w:rsidRDefault="00FD2AC7" w:rsidP="006123AA">
      <w:pPr>
        <w:pStyle w:val="ListParagraph"/>
        <w:numPr>
          <w:ilvl w:val="0"/>
          <w:numId w:val="18"/>
        </w:numPr>
        <w:spacing w:line="360" w:lineRule="auto"/>
        <w:rPr>
          <w:rFonts w:ascii="Arial" w:hAnsi="Arial" w:cs="Arial"/>
          <w:sz w:val="22"/>
          <w:szCs w:val="22"/>
          <w:lang w:val="en-IN"/>
        </w:rPr>
      </w:pPr>
      <w:r w:rsidRPr="007B29AB">
        <w:rPr>
          <w:rFonts w:ascii="Arial" w:hAnsi="Arial" w:cs="Arial"/>
          <w:sz w:val="22"/>
          <w:szCs w:val="22"/>
          <w:lang w:val="en-IN"/>
        </w:rPr>
        <w:t xml:space="preserve">Non-functional backup systems </w:t>
      </w:r>
    </w:p>
    <w:p w14:paraId="0B7593E2" w14:textId="09D980A8" w:rsidR="00FD2AC7" w:rsidRPr="007B29AB" w:rsidRDefault="00FD2AC7" w:rsidP="006123AA">
      <w:pPr>
        <w:pStyle w:val="ListParagraph"/>
        <w:numPr>
          <w:ilvl w:val="0"/>
          <w:numId w:val="18"/>
        </w:numPr>
        <w:spacing w:line="360" w:lineRule="auto"/>
        <w:rPr>
          <w:rFonts w:ascii="Arial" w:hAnsi="Arial" w:cs="Arial"/>
          <w:sz w:val="22"/>
          <w:szCs w:val="22"/>
          <w:lang w:val="en-IN"/>
        </w:rPr>
      </w:pPr>
      <w:r w:rsidRPr="007B29AB">
        <w:rPr>
          <w:rFonts w:ascii="Arial" w:hAnsi="Arial" w:cs="Arial"/>
          <w:sz w:val="22"/>
          <w:szCs w:val="22"/>
          <w:lang w:val="en-IN"/>
        </w:rPr>
        <w:t xml:space="preserve">Poor maintenance </w:t>
      </w:r>
    </w:p>
    <w:p w14:paraId="01D91870" w14:textId="2911192D" w:rsidR="00D01E5C" w:rsidRPr="00FD2AC7"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Equipment failures are common contributors to adverse events. Proper maintenance systems reduce risk of equipment-related harm.</w:t>
      </w:r>
    </w:p>
    <w:p w14:paraId="5DD87E08" w14:textId="77777777" w:rsidR="00FD2AC7" w:rsidRPr="00FD2AC7" w:rsidRDefault="00FD2AC7" w:rsidP="006123AA">
      <w:pPr>
        <w:spacing w:line="360" w:lineRule="auto"/>
        <w:rPr>
          <w:rFonts w:ascii="Arial" w:hAnsi="Arial" w:cs="Arial"/>
          <w:b/>
          <w:bCs/>
          <w:sz w:val="22"/>
          <w:szCs w:val="22"/>
          <w:lang w:val="en-IN"/>
        </w:rPr>
      </w:pPr>
      <w:r w:rsidRPr="00FD2AC7">
        <w:rPr>
          <w:rFonts w:ascii="Arial" w:hAnsi="Arial" w:cs="Arial"/>
          <w:b/>
          <w:bCs/>
          <w:sz w:val="22"/>
          <w:szCs w:val="22"/>
          <w:lang w:val="en-IN"/>
        </w:rPr>
        <w:t>Environment</w:t>
      </w:r>
    </w:p>
    <w:p w14:paraId="23F91ACB" w14:textId="77777777" w:rsidR="00FD2AC7" w:rsidRPr="007B29AB" w:rsidRDefault="00FD2AC7" w:rsidP="006123AA">
      <w:pPr>
        <w:pStyle w:val="ListParagraph"/>
        <w:numPr>
          <w:ilvl w:val="0"/>
          <w:numId w:val="19"/>
        </w:numPr>
        <w:spacing w:line="360" w:lineRule="auto"/>
        <w:rPr>
          <w:rFonts w:ascii="Arial" w:hAnsi="Arial" w:cs="Arial"/>
          <w:sz w:val="22"/>
          <w:szCs w:val="22"/>
          <w:lang w:val="en-IN"/>
        </w:rPr>
      </w:pPr>
      <w:r w:rsidRPr="007B29AB">
        <w:rPr>
          <w:rFonts w:ascii="Arial" w:hAnsi="Arial" w:cs="Arial"/>
          <w:sz w:val="22"/>
          <w:szCs w:val="22"/>
          <w:lang w:val="en-IN"/>
        </w:rPr>
        <w:t xml:space="preserve">Overcrowded wards </w:t>
      </w:r>
    </w:p>
    <w:p w14:paraId="527F6DAD" w14:textId="77777777" w:rsidR="00FD2AC7" w:rsidRPr="007B29AB" w:rsidRDefault="00FD2AC7" w:rsidP="006123AA">
      <w:pPr>
        <w:pStyle w:val="ListParagraph"/>
        <w:numPr>
          <w:ilvl w:val="0"/>
          <w:numId w:val="19"/>
        </w:numPr>
        <w:spacing w:line="360" w:lineRule="auto"/>
        <w:rPr>
          <w:rFonts w:ascii="Arial" w:hAnsi="Arial" w:cs="Arial"/>
          <w:sz w:val="22"/>
          <w:szCs w:val="22"/>
          <w:lang w:val="en-IN"/>
        </w:rPr>
      </w:pPr>
      <w:r w:rsidRPr="007B29AB">
        <w:rPr>
          <w:rFonts w:ascii="Arial" w:hAnsi="Arial" w:cs="Arial"/>
          <w:sz w:val="22"/>
          <w:szCs w:val="22"/>
          <w:lang w:val="en-IN"/>
        </w:rPr>
        <w:t xml:space="preserve">High seasonal disease burden </w:t>
      </w:r>
    </w:p>
    <w:p w14:paraId="762DE3B4" w14:textId="51F581BF" w:rsidR="00FD2AC7" w:rsidRPr="007B29AB" w:rsidRDefault="00FD2AC7" w:rsidP="006123AA">
      <w:pPr>
        <w:pStyle w:val="ListParagraph"/>
        <w:numPr>
          <w:ilvl w:val="0"/>
          <w:numId w:val="19"/>
        </w:numPr>
        <w:spacing w:line="360" w:lineRule="auto"/>
        <w:rPr>
          <w:rFonts w:ascii="Arial" w:hAnsi="Arial" w:cs="Arial"/>
          <w:sz w:val="22"/>
          <w:szCs w:val="22"/>
          <w:lang w:val="en-IN"/>
        </w:rPr>
      </w:pPr>
      <w:r w:rsidRPr="007B29AB">
        <w:rPr>
          <w:rFonts w:ascii="Arial" w:hAnsi="Arial" w:cs="Arial"/>
          <w:sz w:val="22"/>
          <w:szCs w:val="22"/>
          <w:lang w:val="en-IN"/>
        </w:rPr>
        <w:t xml:space="preserve">Resource constraints </w:t>
      </w:r>
    </w:p>
    <w:p w14:paraId="598571CA" w14:textId="77777777" w:rsidR="00FD2AC7" w:rsidRPr="007B29AB"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Environmental pressures increase risk during emergencies.</w:t>
      </w:r>
    </w:p>
    <w:p w14:paraId="665D843E" w14:textId="77777777" w:rsidR="00FD2AC7" w:rsidRPr="00FD2AC7" w:rsidRDefault="00FD2AC7" w:rsidP="006123AA">
      <w:pPr>
        <w:spacing w:line="360" w:lineRule="auto"/>
        <w:rPr>
          <w:rFonts w:ascii="Arial" w:hAnsi="Arial" w:cs="Arial"/>
          <w:b/>
          <w:bCs/>
          <w:sz w:val="22"/>
          <w:szCs w:val="22"/>
          <w:lang w:val="en-IN"/>
        </w:rPr>
      </w:pPr>
      <w:r w:rsidRPr="00FD2AC7">
        <w:rPr>
          <w:rFonts w:ascii="Arial" w:hAnsi="Arial" w:cs="Arial"/>
          <w:b/>
          <w:bCs/>
          <w:sz w:val="22"/>
          <w:szCs w:val="22"/>
          <w:lang w:val="en-IN"/>
        </w:rPr>
        <w:t>Management</w:t>
      </w:r>
    </w:p>
    <w:p w14:paraId="43C8CBEA" w14:textId="77777777" w:rsidR="00FD2AC7" w:rsidRPr="007B29AB" w:rsidRDefault="00FD2AC7" w:rsidP="006123AA">
      <w:pPr>
        <w:pStyle w:val="ListParagraph"/>
        <w:numPr>
          <w:ilvl w:val="0"/>
          <w:numId w:val="21"/>
        </w:numPr>
        <w:spacing w:line="360" w:lineRule="auto"/>
        <w:rPr>
          <w:rFonts w:ascii="Arial" w:hAnsi="Arial" w:cs="Arial"/>
          <w:sz w:val="22"/>
          <w:szCs w:val="22"/>
          <w:lang w:val="en-IN"/>
        </w:rPr>
      </w:pPr>
      <w:r w:rsidRPr="007B29AB">
        <w:rPr>
          <w:rFonts w:ascii="Arial" w:hAnsi="Arial" w:cs="Arial"/>
          <w:sz w:val="22"/>
          <w:szCs w:val="22"/>
          <w:lang w:val="en-IN"/>
        </w:rPr>
        <w:t xml:space="preserve">Weak governance </w:t>
      </w:r>
    </w:p>
    <w:p w14:paraId="087A72F1" w14:textId="77777777" w:rsidR="00FD2AC7" w:rsidRPr="007B29AB" w:rsidRDefault="00FD2AC7" w:rsidP="006123AA">
      <w:pPr>
        <w:pStyle w:val="ListParagraph"/>
        <w:numPr>
          <w:ilvl w:val="0"/>
          <w:numId w:val="21"/>
        </w:numPr>
        <w:spacing w:line="360" w:lineRule="auto"/>
        <w:rPr>
          <w:rFonts w:ascii="Arial" w:hAnsi="Arial" w:cs="Arial"/>
          <w:sz w:val="22"/>
          <w:szCs w:val="22"/>
          <w:lang w:val="en-IN"/>
        </w:rPr>
      </w:pPr>
      <w:r w:rsidRPr="007B29AB">
        <w:rPr>
          <w:rFonts w:ascii="Arial" w:hAnsi="Arial" w:cs="Arial"/>
          <w:sz w:val="22"/>
          <w:szCs w:val="22"/>
          <w:lang w:val="en-IN"/>
        </w:rPr>
        <w:t xml:space="preserve">Bureaucratic delays </w:t>
      </w:r>
    </w:p>
    <w:p w14:paraId="3B9FA5E9" w14:textId="214C558B" w:rsidR="00FD2AC7" w:rsidRPr="007B29AB" w:rsidRDefault="00FD2AC7" w:rsidP="006123AA">
      <w:pPr>
        <w:pStyle w:val="ListParagraph"/>
        <w:numPr>
          <w:ilvl w:val="0"/>
          <w:numId w:val="21"/>
        </w:numPr>
        <w:spacing w:line="360" w:lineRule="auto"/>
        <w:rPr>
          <w:rFonts w:ascii="Arial" w:hAnsi="Arial" w:cs="Arial"/>
          <w:sz w:val="22"/>
          <w:szCs w:val="22"/>
          <w:lang w:val="en-IN"/>
        </w:rPr>
      </w:pPr>
      <w:r w:rsidRPr="007B29AB">
        <w:rPr>
          <w:rFonts w:ascii="Arial" w:hAnsi="Arial" w:cs="Arial"/>
          <w:sz w:val="22"/>
          <w:szCs w:val="22"/>
          <w:lang w:val="en-IN"/>
        </w:rPr>
        <w:t xml:space="preserve">Lack of accountability </w:t>
      </w:r>
    </w:p>
    <w:p w14:paraId="68DF3C08" w14:textId="3D99CA77" w:rsidR="00D01E5C" w:rsidRPr="00FD2AC7"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Leadership failures contributed significantly to the crisis. Studies show that organisational culture and leadership influence healthcare quality outcomes (West et al., 2015).</w:t>
      </w:r>
    </w:p>
    <w:p w14:paraId="0DB3924A" w14:textId="19AB67B1" w:rsidR="00FD2AC7" w:rsidRPr="00FD2AC7" w:rsidRDefault="00FD2AC7" w:rsidP="006123AA">
      <w:pPr>
        <w:spacing w:line="360" w:lineRule="auto"/>
        <w:rPr>
          <w:rFonts w:ascii="Arial" w:hAnsi="Arial" w:cs="Arial"/>
          <w:b/>
          <w:bCs/>
          <w:sz w:val="22"/>
          <w:szCs w:val="22"/>
          <w:lang w:val="en-IN"/>
        </w:rPr>
      </w:pPr>
      <w:r w:rsidRPr="00FD2AC7">
        <w:rPr>
          <w:rFonts w:ascii="Arial" w:hAnsi="Arial" w:cs="Arial"/>
          <w:b/>
          <w:bCs/>
          <w:sz w:val="22"/>
          <w:szCs w:val="22"/>
          <w:lang w:val="en-IN"/>
        </w:rPr>
        <w:t>Donabedian Model Analysis</w:t>
      </w:r>
    </w:p>
    <w:p w14:paraId="3CFFCC91" w14:textId="77777777" w:rsidR="00FD2AC7" w:rsidRPr="00FD2AC7"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The Donabedian model evaluates healthcare quality using Structure, Process, and Outcome.</w:t>
      </w:r>
    </w:p>
    <w:p w14:paraId="3C57AC8B" w14:textId="77777777" w:rsidR="00FD2AC7" w:rsidRPr="00FD2AC7" w:rsidRDefault="00FD2AC7" w:rsidP="006123AA">
      <w:pPr>
        <w:spacing w:line="360" w:lineRule="auto"/>
        <w:rPr>
          <w:rFonts w:ascii="Arial" w:hAnsi="Arial" w:cs="Arial"/>
          <w:b/>
          <w:bCs/>
          <w:sz w:val="22"/>
          <w:szCs w:val="22"/>
          <w:lang w:val="en-IN"/>
        </w:rPr>
      </w:pPr>
      <w:r w:rsidRPr="00FD2AC7">
        <w:rPr>
          <w:rFonts w:ascii="Arial" w:hAnsi="Arial" w:cs="Arial"/>
          <w:b/>
          <w:bCs/>
          <w:sz w:val="22"/>
          <w:szCs w:val="22"/>
          <w:lang w:val="en-IN"/>
        </w:rPr>
        <w:t>Structure</w:t>
      </w:r>
    </w:p>
    <w:p w14:paraId="0A83307C" w14:textId="77777777" w:rsidR="00FD2AC7" w:rsidRPr="00FD2AC7"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Structural weaknesses included:</w:t>
      </w:r>
    </w:p>
    <w:p w14:paraId="3DEDE21C" w14:textId="77777777" w:rsidR="00FD2AC7" w:rsidRPr="007B29AB" w:rsidRDefault="00FD2AC7" w:rsidP="006123AA">
      <w:pPr>
        <w:pStyle w:val="ListParagraph"/>
        <w:numPr>
          <w:ilvl w:val="0"/>
          <w:numId w:val="29"/>
        </w:numPr>
        <w:spacing w:line="360" w:lineRule="auto"/>
        <w:rPr>
          <w:rFonts w:ascii="Arial" w:hAnsi="Arial" w:cs="Arial"/>
          <w:sz w:val="22"/>
          <w:szCs w:val="22"/>
          <w:lang w:val="en-IN"/>
        </w:rPr>
      </w:pPr>
      <w:r w:rsidRPr="007B29AB">
        <w:rPr>
          <w:rFonts w:ascii="Arial" w:hAnsi="Arial" w:cs="Arial"/>
          <w:sz w:val="22"/>
          <w:szCs w:val="22"/>
          <w:lang w:val="en-IN"/>
        </w:rPr>
        <w:t xml:space="preserve">Limited oxygen infrastructure </w:t>
      </w:r>
    </w:p>
    <w:p w14:paraId="03783E48" w14:textId="77777777" w:rsidR="00FD2AC7" w:rsidRPr="007B29AB" w:rsidRDefault="00FD2AC7" w:rsidP="006123AA">
      <w:pPr>
        <w:pStyle w:val="ListParagraph"/>
        <w:numPr>
          <w:ilvl w:val="0"/>
          <w:numId w:val="29"/>
        </w:numPr>
        <w:spacing w:line="360" w:lineRule="auto"/>
        <w:rPr>
          <w:rFonts w:ascii="Arial" w:hAnsi="Arial" w:cs="Arial"/>
          <w:sz w:val="22"/>
          <w:szCs w:val="22"/>
          <w:lang w:val="en-IN"/>
        </w:rPr>
      </w:pPr>
      <w:r w:rsidRPr="007B29AB">
        <w:rPr>
          <w:rFonts w:ascii="Arial" w:hAnsi="Arial" w:cs="Arial"/>
          <w:sz w:val="22"/>
          <w:szCs w:val="22"/>
          <w:lang w:val="en-IN"/>
        </w:rPr>
        <w:t xml:space="preserve">Staff shortages </w:t>
      </w:r>
    </w:p>
    <w:p w14:paraId="3B9CE058" w14:textId="77777777" w:rsidR="00FD2AC7" w:rsidRPr="007B29AB" w:rsidRDefault="00FD2AC7" w:rsidP="006123AA">
      <w:pPr>
        <w:pStyle w:val="ListParagraph"/>
        <w:numPr>
          <w:ilvl w:val="0"/>
          <w:numId w:val="29"/>
        </w:numPr>
        <w:spacing w:line="360" w:lineRule="auto"/>
        <w:rPr>
          <w:rFonts w:ascii="Arial" w:hAnsi="Arial" w:cs="Arial"/>
          <w:sz w:val="22"/>
          <w:szCs w:val="22"/>
          <w:lang w:val="en-IN"/>
        </w:rPr>
      </w:pPr>
      <w:r w:rsidRPr="007B29AB">
        <w:rPr>
          <w:rFonts w:ascii="Arial" w:hAnsi="Arial" w:cs="Arial"/>
          <w:sz w:val="22"/>
          <w:szCs w:val="22"/>
          <w:lang w:val="en-IN"/>
        </w:rPr>
        <w:t>I</w:t>
      </w:r>
      <w:r w:rsidRPr="007B29AB">
        <w:rPr>
          <w:rFonts w:ascii="Arial" w:hAnsi="Arial" w:cs="Arial"/>
          <w:sz w:val="22"/>
          <w:szCs w:val="22"/>
          <w:lang w:val="en-IN"/>
        </w:rPr>
        <w:t xml:space="preserve">nadequate ICU capacity </w:t>
      </w:r>
    </w:p>
    <w:p w14:paraId="20B7752B" w14:textId="5F863B46" w:rsidR="00FD2AC7" w:rsidRPr="007B29AB" w:rsidRDefault="00FD2AC7" w:rsidP="006123AA">
      <w:pPr>
        <w:pStyle w:val="ListParagraph"/>
        <w:numPr>
          <w:ilvl w:val="0"/>
          <w:numId w:val="29"/>
        </w:numPr>
        <w:spacing w:line="360" w:lineRule="auto"/>
        <w:rPr>
          <w:rFonts w:ascii="Arial" w:hAnsi="Arial" w:cs="Arial"/>
          <w:sz w:val="22"/>
          <w:szCs w:val="22"/>
          <w:lang w:val="en-IN"/>
        </w:rPr>
      </w:pPr>
      <w:r w:rsidRPr="007B29AB">
        <w:rPr>
          <w:rFonts w:ascii="Arial" w:hAnsi="Arial" w:cs="Arial"/>
          <w:sz w:val="22"/>
          <w:szCs w:val="22"/>
          <w:lang w:val="en-IN"/>
        </w:rPr>
        <w:t xml:space="preserve">poor financial systems </w:t>
      </w:r>
    </w:p>
    <w:p w14:paraId="3916BD07" w14:textId="77777777" w:rsidR="00FD2AC7"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These structural deficiencies created unsafe conditions. Structural quality influences service delivery capability.</w:t>
      </w:r>
    </w:p>
    <w:p w14:paraId="3C811927" w14:textId="77777777" w:rsidR="00197DDB" w:rsidRPr="00FD2AC7" w:rsidRDefault="00197DDB" w:rsidP="006123AA">
      <w:pPr>
        <w:spacing w:line="360" w:lineRule="auto"/>
        <w:rPr>
          <w:rFonts w:ascii="Arial" w:hAnsi="Arial" w:cs="Arial"/>
          <w:sz w:val="22"/>
          <w:szCs w:val="22"/>
          <w:lang w:val="en-IN"/>
        </w:rPr>
      </w:pPr>
    </w:p>
    <w:p w14:paraId="385E772E" w14:textId="77777777" w:rsidR="00FD2AC7" w:rsidRPr="00FD2AC7" w:rsidRDefault="00FD2AC7" w:rsidP="006123AA">
      <w:pPr>
        <w:spacing w:line="360" w:lineRule="auto"/>
        <w:rPr>
          <w:rFonts w:ascii="Arial" w:hAnsi="Arial" w:cs="Arial"/>
          <w:b/>
          <w:bCs/>
          <w:sz w:val="22"/>
          <w:szCs w:val="22"/>
          <w:lang w:val="en-IN"/>
        </w:rPr>
      </w:pPr>
      <w:r w:rsidRPr="00FD2AC7">
        <w:rPr>
          <w:rFonts w:ascii="Arial" w:hAnsi="Arial" w:cs="Arial"/>
          <w:b/>
          <w:bCs/>
          <w:sz w:val="22"/>
          <w:szCs w:val="22"/>
          <w:lang w:val="en-IN"/>
        </w:rPr>
        <w:lastRenderedPageBreak/>
        <w:t>Process</w:t>
      </w:r>
    </w:p>
    <w:p w14:paraId="1B0EFE0C" w14:textId="77777777" w:rsidR="00FD2AC7" w:rsidRPr="00FD2AC7"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Process failures included:</w:t>
      </w:r>
    </w:p>
    <w:p w14:paraId="53F83048" w14:textId="77777777" w:rsidR="00FD2AC7" w:rsidRPr="007B29AB" w:rsidRDefault="00FD2AC7" w:rsidP="006123AA">
      <w:pPr>
        <w:pStyle w:val="ListParagraph"/>
        <w:numPr>
          <w:ilvl w:val="0"/>
          <w:numId w:val="30"/>
        </w:numPr>
        <w:spacing w:line="360" w:lineRule="auto"/>
        <w:rPr>
          <w:rFonts w:ascii="Arial" w:hAnsi="Arial" w:cs="Arial"/>
          <w:sz w:val="22"/>
          <w:szCs w:val="22"/>
          <w:lang w:val="en-IN"/>
        </w:rPr>
      </w:pPr>
      <w:r w:rsidRPr="007B29AB">
        <w:rPr>
          <w:rFonts w:ascii="Arial" w:hAnsi="Arial" w:cs="Arial"/>
          <w:sz w:val="22"/>
          <w:szCs w:val="22"/>
          <w:lang w:val="en-IN"/>
        </w:rPr>
        <w:t xml:space="preserve">delayed payment to suppliers </w:t>
      </w:r>
    </w:p>
    <w:p w14:paraId="1B3F1EC8" w14:textId="77777777" w:rsidR="00FD2AC7" w:rsidRPr="007B29AB" w:rsidRDefault="00FD2AC7" w:rsidP="006123AA">
      <w:pPr>
        <w:pStyle w:val="ListParagraph"/>
        <w:numPr>
          <w:ilvl w:val="0"/>
          <w:numId w:val="30"/>
        </w:numPr>
        <w:spacing w:line="360" w:lineRule="auto"/>
        <w:rPr>
          <w:rFonts w:ascii="Arial" w:hAnsi="Arial" w:cs="Arial"/>
          <w:sz w:val="22"/>
          <w:szCs w:val="22"/>
          <w:lang w:val="en-IN"/>
        </w:rPr>
      </w:pPr>
      <w:r w:rsidRPr="007B29AB">
        <w:rPr>
          <w:rFonts w:ascii="Arial" w:hAnsi="Arial" w:cs="Arial"/>
          <w:sz w:val="22"/>
          <w:szCs w:val="22"/>
          <w:lang w:val="en-IN"/>
        </w:rPr>
        <w:t xml:space="preserve">poor monitoring of oxygen levels </w:t>
      </w:r>
    </w:p>
    <w:p w14:paraId="071510FD" w14:textId="77777777" w:rsidR="00FD2AC7" w:rsidRPr="007B29AB" w:rsidRDefault="00FD2AC7" w:rsidP="006123AA">
      <w:pPr>
        <w:pStyle w:val="ListParagraph"/>
        <w:numPr>
          <w:ilvl w:val="0"/>
          <w:numId w:val="30"/>
        </w:numPr>
        <w:spacing w:line="360" w:lineRule="auto"/>
        <w:rPr>
          <w:rFonts w:ascii="Arial" w:hAnsi="Arial" w:cs="Arial"/>
          <w:sz w:val="22"/>
          <w:szCs w:val="22"/>
          <w:lang w:val="en-IN"/>
        </w:rPr>
      </w:pPr>
      <w:r w:rsidRPr="007B29AB">
        <w:rPr>
          <w:rFonts w:ascii="Arial" w:hAnsi="Arial" w:cs="Arial"/>
          <w:sz w:val="22"/>
          <w:szCs w:val="22"/>
          <w:lang w:val="en-IN"/>
        </w:rPr>
        <w:t xml:space="preserve">delayed escalation </w:t>
      </w:r>
    </w:p>
    <w:p w14:paraId="7BC83FF3" w14:textId="2B12B0CA" w:rsidR="00FD2AC7" w:rsidRPr="007B29AB" w:rsidRDefault="00FD2AC7" w:rsidP="006123AA">
      <w:pPr>
        <w:pStyle w:val="ListParagraph"/>
        <w:numPr>
          <w:ilvl w:val="0"/>
          <w:numId w:val="30"/>
        </w:numPr>
        <w:spacing w:line="360" w:lineRule="auto"/>
        <w:rPr>
          <w:rFonts w:ascii="Arial" w:hAnsi="Arial" w:cs="Arial"/>
          <w:sz w:val="22"/>
          <w:szCs w:val="22"/>
          <w:lang w:val="en-IN"/>
        </w:rPr>
      </w:pPr>
      <w:r w:rsidRPr="007B29AB">
        <w:rPr>
          <w:rFonts w:ascii="Arial" w:hAnsi="Arial" w:cs="Arial"/>
          <w:sz w:val="22"/>
          <w:szCs w:val="22"/>
          <w:lang w:val="en-IN"/>
        </w:rPr>
        <w:t xml:space="preserve">lack of emergency planning </w:t>
      </w:r>
    </w:p>
    <w:p w14:paraId="4C4A36ED" w14:textId="77777777" w:rsidR="00FD2AC7" w:rsidRPr="00FD2AC7"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These process failures prevented timely intervention.</w:t>
      </w:r>
    </w:p>
    <w:p w14:paraId="562A006E" w14:textId="77777777" w:rsidR="00FD2AC7" w:rsidRPr="00FD2AC7" w:rsidRDefault="00FD2AC7" w:rsidP="006123AA">
      <w:pPr>
        <w:spacing w:line="360" w:lineRule="auto"/>
        <w:rPr>
          <w:rFonts w:ascii="Arial" w:hAnsi="Arial" w:cs="Arial"/>
          <w:b/>
          <w:bCs/>
          <w:sz w:val="22"/>
          <w:szCs w:val="22"/>
          <w:lang w:val="en-IN"/>
        </w:rPr>
      </w:pPr>
      <w:r w:rsidRPr="00FD2AC7">
        <w:rPr>
          <w:rFonts w:ascii="Arial" w:hAnsi="Arial" w:cs="Arial"/>
          <w:b/>
          <w:bCs/>
          <w:sz w:val="22"/>
          <w:szCs w:val="22"/>
          <w:lang w:val="en-IN"/>
        </w:rPr>
        <w:t>Outcome</w:t>
      </w:r>
    </w:p>
    <w:p w14:paraId="245F701A" w14:textId="77777777" w:rsidR="00FD2AC7" w:rsidRPr="00FD2AC7"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The outcome was:</w:t>
      </w:r>
    </w:p>
    <w:p w14:paraId="290365AF" w14:textId="77777777" w:rsidR="00FD2AC7" w:rsidRPr="007B29AB" w:rsidRDefault="00FD2AC7" w:rsidP="006123AA">
      <w:pPr>
        <w:pStyle w:val="ListParagraph"/>
        <w:numPr>
          <w:ilvl w:val="0"/>
          <w:numId w:val="31"/>
        </w:numPr>
        <w:spacing w:line="360" w:lineRule="auto"/>
        <w:rPr>
          <w:rFonts w:ascii="Arial" w:hAnsi="Arial" w:cs="Arial"/>
          <w:sz w:val="22"/>
          <w:szCs w:val="22"/>
          <w:lang w:val="en-IN"/>
        </w:rPr>
      </w:pPr>
      <w:r w:rsidRPr="007B29AB">
        <w:rPr>
          <w:rFonts w:ascii="Arial" w:hAnsi="Arial" w:cs="Arial"/>
          <w:sz w:val="22"/>
          <w:szCs w:val="22"/>
          <w:lang w:val="en-IN"/>
        </w:rPr>
        <w:t xml:space="preserve">interruption of oxygen supply </w:t>
      </w:r>
    </w:p>
    <w:p w14:paraId="1B97C416" w14:textId="77777777" w:rsidR="00FD2AC7" w:rsidRPr="007B29AB" w:rsidRDefault="00FD2AC7" w:rsidP="006123AA">
      <w:pPr>
        <w:pStyle w:val="ListParagraph"/>
        <w:numPr>
          <w:ilvl w:val="0"/>
          <w:numId w:val="31"/>
        </w:numPr>
        <w:spacing w:line="360" w:lineRule="auto"/>
        <w:rPr>
          <w:rFonts w:ascii="Arial" w:hAnsi="Arial" w:cs="Arial"/>
          <w:sz w:val="22"/>
          <w:szCs w:val="22"/>
          <w:lang w:val="en-IN"/>
        </w:rPr>
      </w:pPr>
      <w:r w:rsidRPr="007B29AB">
        <w:rPr>
          <w:rFonts w:ascii="Arial" w:hAnsi="Arial" w:cs="Arial"/>
          <w:sz w:val="22"/>
          <w:szCs w:val="22"/>
          <w:lang w:val="en-IN"/>
        </w:rPr>
        <w:t xml:space="preserve">critical deterioration of patients </w:t>
      </w:r>
    </w:p>
    <w:p w14:paraId="60AB07C6" w14:textId="076728E0" w:rsidR="00FD2AC7" w:rsidRPr="007B29AB" w:rsidRDefault="00FD2AC7" w:rsidP="006123AA">
      <w:pPr>
        <w:pStyle w:val="ListParagraph"/>
        <w:numPr>
          <w:ilvl w:val="0"/>
          <w:numId w:val="31"/>
        </w:numPr>
        <w:spacing w:line="360" w:lineRule="auto"/>
        <w:rPr>
          <w:rFonts w:ascii="Arial" w:hAnsi="Arial" w:cs="Arial"/>
          <w:sz w:val="22"/>
          <w:szCs w:val="22"/>
          <w:lang w:val="en-IN"/>
        </w:rPr>
      </w:pPr>
      <w:r w:rsidRPr="007B29AB">
        <w:rPr>
          <w:rFonts w:ascii="Arial" w:hAnsi="Arial" w:cs="Arial"/>
          <w:sz w:val="22"/>
          <w:szCs w:val="22"/>
          <w:lang w:val="en-IN"/>
        </w:rPr>
        <w:t xml:space="preserve">preventable deaths </w:t>
      </w:r>
    </w:p>
    <w:p w14:paraId="1C5620A8" w14:textId="77777777" w:rsidR="00FD2AC7" w:rsidRPr="00FD2AC7"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This demonstrates a direct relationship between structure, process, and patient outcomes.</w:t>
      </w:r>
    </w:p>
    <w:p w14:paraId="4E13D95F" w14:textId="692E8CDA" w:rsidR="00FD2AC7"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Donabedian argues that improved structure and processes lead to better outcomes. The Gorakhpur tragedy illustrates the consequences of failing across all three dimensions.</w:t>
      </w:r>
    </w:p>
    <w:p w14:paraId="6A86E26F" w14:textId="2EA8B0A3" w:rsidR="00FD2AC7" w:rsidRPr="00FD2AC7" w:rsidRDefault="00FD2AC7" w:rsidP="006123AA">
      <w:pPr>
        <w:spacing w:line="360" w:lineRule="auto"/>
        <w:rPr>
          <w:rFonts w:ascii="Arial" w:hAnsi="Arial" w:cs="Arial"/>
          <w:b/>
          <w:bCs/>
          <w:sz w:val="22"/>
          <w:szCs w:val="22"/>
          <w:lang w:val="en-IN"/>
        </w:rPr>
      </w:pPr>
      <w:r w:rsidRPr="00FD2AC7">
        <w:rPr>
          <w:rFonts w:ascii="Arial" w:hAnsi="Arial" w:cs="Arial"/>
          <w:b/>
          <w:bCs/>
          <w:sz w:val="22"/>
          <w:szCs w:val="22"/>
          <w:lang w:val="en-IN"/>
        </w:rPr>
        <w:t>SWOT Analysis</w:t>
      </w:r>
    </w:p>
    <w:p w14:paraId="53A99CC2" w14:textId="77777777" w:rsidR="00FD2AC7" w:rsidRPr="00FD2AC7"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Strategic analysis further explains organisational weaknesses.</w:t>
      </w:r>
    </w:p>
    <w:p w14:paraId="2CEF8F8D" w14:textId="77777777" w:rsidR="00FD2AC7" w:rsidRPr="00FD2AC7" w:rsidRDefault="00FD2AC7" w:rsidP="006123AA">
      <w:pPr>
        <w:spacing w:line="360" w:lineRule="auto"/>
        <w:rPr>
          <w:rFonts w:ascii="Arial" w:hAnsi="Arial" w:cs="Arial"/>
          <w:b/>
          <w:bCs/>
          <w:sz w:val="22"/>
          <w:szCs w:val="22"/>
          <w:lang w:val="en-IN"/>
        </w:rPr>
      </w:pPr>
      <w:r w:rsidRPr="00FD2AC7">
        <w:rPr>
          <w:rFonts w:ascii="Arial" w:hAnsi="Arial" w:cs="Arial"/>
          <w:b/>
          <w:bCs/>
          <w:sz w:val="22"/>
          <w:szCs w:val="22"/>
          <w:lang w:val="en-IN"/>
        </w:rPr>
        <w:t>Strengths</w:t>
      </w:r>
    </w:p>
    <w:p w14:paraId="5B7AD790" w14:textId="77777777" w:rsidR="00FD2AC7" w:rsidRPr="007B29AB" w:rsidRDefault="00FD2AC7" w:rsidP="006123AA">
      <w:pPr>
        <w:pStyle w:val="ListParagraph"/>
        <w:numPr>
          <w:ilvl w:val="0"/>
          <w:numId w:val="32"/>
        </w:numPr>
        <w:spacing w:line="360" w:lineRule="auto"/>
        <w:rPr>
          <w:rFonts w:ascii="Arial" w:hAnsi="Arial" w:cs="Arial"/>
          <w:sz w:val="22"/>
          <w:szCs w:val="22"/>
          <w:lang w:val="en-IN"/>
        </w:rPr>
      </w:pPr>
      <w:r w:rsidRPr="007B29AB">
        <w:rPr>
          <w:rFonts w:ascii="Arial" w:hAnsi="Arial" w:cs="Arial"/>
          <w:sz w:val="22"/>
          <w:szCs w:val="22"/>
          <w:lang w:val="en-IN"/>
        </w:rPr>
        <w:t xml:space="preserve">Large tertiary care facility </w:t>
      </w:r>
    </w:p>
    <w:p w14:paraId="61437E33" w14:textId="77777777" w:rsidR="00FD2AC7" w:rsidRPr="007B29AB" w:rsidRDefault="00FD2AC7" w:rsidP="006123AA">
      <w:pPr>
        <w:pStyle w:val="ListParagraph"/>
        <w:numPr>
          <w:ilvl w:val="0"/>
          <w:numId w:val="32"/>
        </w:numPr>
        <w:spacing w:line="360" w:lineRule="auto"/>
        <w:rPr>
          <w:rFonts w:ascii="Arial" w:hAnsi="Arial" w:cs="Arial"/>
          <w:sz w:val="22"/>
          <w:szCs w:val="22"/>
          <w:lang w:val="en-IN"/>
        </w:rPr>
      </w:pPr>
      <w:r w:rsidRPr="007B29AB">
        <w:rPr>
          <w:rFonts w:ascii="Arial" w:hAnsi="Arial" w:cs="Arial"/>
          <w:sz w:val="22"/>
          <w:szCs w:val="22"/>
          <w:lang w:val="en-IN"/>
        </w:rPr>
        <w:t xml:space="preserve">experienced clinicians </w:t>
      </w:r>
    </w:p>
    <w:p w14:paraId="3ABCD576" w14:textId="7F2C4AEE" w:rsidR="00FD2AC7" w:rsidRPr="007B29AB" w:rsidRDefault="00FD2AC7" w:rsidP="006123AA">
      <w:pPr>
        <w:pStyle w:val="ListParagraph"/>
        <w:numPr>
          <w:ilvl w:val="0"/>
          <w:numId w:val="32"/>
        </w:numPr>
        <w:spacing w:line="360" w:lineRule="auto"/>
        <w:rPr>
          <w:rFonts w:ascii="Arial" w:hAnsi="Arial" w:cs="Arial"/>
          <w:sz w:val="22"/>
          <w:szCs w:val="22"/>
          <w:lang w:val="en-IN"/>
        </w:rPr>
      </w:pPr>
      <w:r w:rsidRPr="007B29AB">
        <w:rPr>
          <w:rFonts w:ascii="Arial" w:hAnsi="Arial" w:cs="Arial"/>
          <w:sz w:val="22"/>
          <w:szCs w:val="22"/>
          <w:lang w:val="en-IN"/>
        </w:rPr>
        <w:t xml:space="preserve">government funding availability </w:t>
      </w:r>
    </w:p>
    <w:p w14:paraId="7955D1A7" w14:textId="77777777" w:rsidR="00FD2AC7" w:rsidRPr="00FD2AC7"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Despite these strengths, operational failures limited effectiveness.</w:t>
      </w:r>
    </w:p>
    <w:p w14:paraId="6C58DFF0" w14:textId="77777777" w:rsidR="00FD2AC7" w:rsidRPr="00FD2AC7" w:rsidRDefault="00FD2AC7" w:rsidP="006123AA">
      <w:pPr>
        <w:spacing w:line="360" w:lineRule="auto"/>
        <w:rPr>
          <w:rFonts w:ascii="Arial" w:hAnsi="Arial" w:cs="Arial"/>
          <w:b/>
          <w:bCs/>
          <w:sz w:val="22"/>
          <w:szCs w:val="22"/>
          <w:lang w:val="en-IN"/>
        </w:rPr>
      </w:pPr>
      <w:r w:rsidRPr="00FD2AC7">
        <w:rPr>
          <w:rFonts w:ascii="Arial" w:hAnsi="Arial" w:cs="Arial"/>
          <w:b/>
          <w:bCs/>
          <w:sz w:val="22"/>
          <w:szCs w:val="22"/>
          <w:lang w:val="en-IN"/>
        </w:rPr>
        <w:t>Weaknesses</w:t>
      </w:r>
    </w:p>
    <w:p w14:paraId="40CA62BA" w14:textId="77777777" w:rsidR="00FD2AC7" w:rsidRPr="007B29AB" w:rsidRDefault="00FD2AC7" w:rsidP="006123AA">
      <w:pPr>
        <w:pStyle w:val="ListParagraph"/>
        <w:numPr>
          <w:ilvl w:val="0"/>
          <w:numId w:val="33"/>
        </w:numPr>
        <w:spacing w:line="360" w:lineRule="auto"/>
        <w:rPr>
          <w:rFonts w:ascii="Arial" w:hAnsi="Arial" w:cs="Arial"/>
          <w:sz w:val="22"/>
          <w:szCs w:val="22"/>
          <w:lang w:val="en-IN"/>
        </w:rPr>
      </w:pPr>
      <w:r w:rsidRPr="007B29AB">
        <w:rPr>
          <w:rFonts w:ascii="Arial" w:hAnsi="Arial" w:cs="Arial"/>
          <w:sz w:val="22"/>
          <w:szCs w:val="22"/>
          <w:lang w:val="en-IN"/>
        </w:rPr>
        <w:t xml:space="preserve">Poor governance </w:t>
      </w:r>
    </w:p>
    <w:p w14:paraId="24525810" w14:textId="77777777" w:rsidR="00FD2AC7" w:rsidRPr="007B29AB" w:rsidRDefault="00FD2AC7" w:rsidP="006123AA">
      <w:pPr>
        <w:pStyle w:val="ListParagraph"/>
        <w:numPr>
          <w:ilvl w:val="0"/>
          <w:numId w:val="33"/>
        </w:numPr>
        <w:spacing w:line="360" w:lineRule="auto"/>
        <w:rPr>
          <w:rFonts w:ascii="Arial" w:hAnsi="Arial" w:cs="Arial"/>
          <w:sz w:val="22"/>
          <w:szCs w:val="22"/>
          <w:lang w:val="en-IN"/>
        </w:rPr>
      </w:pPr>
      <w:r w:rsidRPr="007B29AB">
        <w:rPr>
          <w:rFonts w:ascii="Arial" w:hAnsi="Arial" w:cs="Arial"/>
          <w:sz w:val="22"/>
          <w:szCs w:val="22"/>
          <w:lang w:val="en-IN"/>
        </w:rPr>
        <w:t xml:space="preserve">inadequate supply chain management </w:t>
      </w:r>
    </w:p>
    <w:p w14:paraId="3D754B4C" w14:textId="77777777" w:rsidR="00FD2AC7" w:rsidRPr="007B29AB" w:rsidRDefault="00FD2AC7" w:rsidP="006123AA">
      <w:pPr>
        <w:pStyle w:val="ListParagraph"/>
        <w:numPr>
          <w:ilvl w:val="0"/>
          <w:numId w:val="33"/>
        </w:numPr>
        <w:spacing w:line="360" w:lineRule="auto"/>
        <w:rPr>
          <w:rFonts w:ascii="Arial" w:hAnsi="Arial" w:cs="Arial"/>
          <w:sz w:val="22"/>
          <w:szCs w:val="22"/>
          <w:lang w:val="en-IN"/>
        </w:rPr>
      </w:pPr>
      <w:r w:rsidRPr="007B29AB">
        <w:rPr>
          <w:rFonts w:ascii="Arial" w:hAnsi="Arial" w:cs="Arial"/>
          <w:sz w:val="22"/>
          <w:szCs w:val="22"/>
          <w:lang w:val="en-IN"/>
        </w:rPr>
        <w:t xml:space="preserve">staff shortages </w:t>
      </w:r>
    </w:p>
    <w:p w14:paraId="40E512B2" w14:textId="37DD3CE1" w:rsidR="00FD2AC7" w:rsidRPr="007B29AB" w:rsidRDefault="00FD2AC7" w:rsidP="006123AA">
      <w:pPr>
        <w:pStyle w:val="ListParagraph"/>
        <w:numPr>
          <w:ilvl w:val="0"/>
          <w:numId w:val="33"/>
        </w:numPr>
        <w:spacing w:line="360" w:lineRule="auto"/>
        <w:rPr>
          <w:rFonts w:ascii="Arial" w:hAnsi="Arial" w:cs="Arial"/>
          <w:sz w:val="22"/>
          <w:szCs w:val="22"/>
          <w:lang w:val="en-IN"/>
        </w:rPr>
      </w:pPr>
      <w:r w:rsidRPr="007B29AB">
        <w:rPr>
          <w:rFonts w:ascii="Arial" w:hAnsi="Arial" w:cs="Arial"/>
          <w:sz w:val="22"/>
          <w:szCs w:val="22"/>
          <w:lang w:val="en-IN"/>
        </w:rPr>
        <w:t xml:space="preserve">lack of contingency planning </w:t>
      </w:r>
    </w:p>
    <w:p w14:paraId="2F0B20EA" w14:textId="77777777" w:rsidR="00FD2AC7"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These weaknesses contributed directly to the crisis.</w:t>
      </w:r>
    </w:p>
    <w:p w14:paraId="2D5ABD51" w14:textId="77777777" w:rsidR="00197DDB" w:rsidRPr="00FD2AC7" w:rsidRDefault="00197DDB" w:rsidP="006123AA">
      <w:pPr>
        <w:spacing w:line="360" w:lineRule="auto"/>
        <w:rPr>
          <w:rFonts w:ascii="Arial" w:hAnsi="Arial" w:cs="Arial"/>
          <w:sz w:val="22"/>
          <w:szCs w:val="22"/>
          <w:lang w:val="en-IN"/>
        </w:rPr>
      </w:pPr>
    </w:p>
    <w:p w14:paraId="58FA7A36" w14:textId="77777777" w:rsidR="00FD2AC7" w:rsidRPr="00FD2AC7" w:rsidRDefault="00FD2AC7" w:rsidP="006123AA">
      <w:pPr>
        <w:spacing w:line="360" w:lineRule="auto"/>
        <w:rPr>
          <w:rFonts w:ascii="Arial" w:hAnsi="Arial" w:cs="Arial"/>
          <w:b/>
          <w:bCs/>
          <w:sz w:val="22"/>
          <w:szCs w:val="22"/>
          <w:lang w:val="en-IN"/>
        </w:rPr>
      </w:pPr>
      <w:r w:rsidRPr="00FD2AC7">
        <w:rPr>
          <w:rFonts w:ascii="Arial" w:hAnsi="Arial" w:cs="Arial"/>
          <w:b/>
          <w:bCs/>
          <w:sz w:val="22"/>
          <w:szCs w:val="22"/>
          <w:lang w:val="en-IN"/>
        </w:rPr>
        <w:lastRenderedPageBreak/>
        <w:t>Opportunities</w:t>
      </w:r>
    </w:p>
    <w:p w14:paraId="13B40EB2" w14:textId="77777777" w:rsidR="00FD2AC7" w:rsidRPr="007B29AB" w:rsidRDefault="00FD2AC7" w:rsidP="006123AA">
      <w:pPr>
        <w:pStyle w:val="ListParagraph"/>
        <w:numPr>
          <w:ilvl w:val="0"/>
          <w:numId w:val="34"/>
        </w:numPr>
        <w:spacing w:line="360" w:lineRule="auto"/>
        <w:rPr>
          <w:rFonts w:ascii="Arial" w:hAnsi="Arial" w:cs="Arial"/>
          <w:sz w:val="22"/>
          <w:szCs w:val="22"/>
          <w:lang w:val="en-IN"/>
        </w:rPr>
      </w:pPr>
      <w:r w:rsidRPr="007B29AB">
        <w:rPr>
          <w:rFonts w:ascii="Arial" w:hAnsi="Arial" w:cs="Arial"/>
          <w:sz w:val="22"/>
          <w:szCs w:val="22"/>
          <w:lang w:val="en-IN"/>
        </w:rPr>
        <w:t xml:space="preserve">policy reform after incident </w:t>
      </w:r>
    </w:p>
    <w:p w14:paraId="4052750B" w14:textId="77777777" w:rsidR="00FD2AC7" w:rsidRPr="007B29AB" w:rsidRDefault="00FD2AC7" w:rsidP="006123AA">
      <w:pPr>
        <w:pStyle w:val="ListParagraph"/>
        <w:numPr>
          <w:ilvl w:val="0"/>
          <w:numId w:val="34"/>
        </w:numPr>
        <w:spacing w:line="360" w:lineRule="auto"/>
        <w:rPr>
          <w:rFonts w:ascii="Arial" w:hAnsi="Arial" w:cs="Arial"/>
          <w:sz w:val="22"/>
          <w:szCs w:val="22"/>
          <w:lang w:val="en-IN"/>
        </w:rPr>
      </w:pPr>
      <w:r w:rsidRPr="007B29AB">
        <w:rPr>
          <w:rFonts w:ascii="Arial" w:hAnsi="Arial" w:cs="Arial"/>
          <w:sz w:val="22"/>
          <w:szCs w:val="22"/>
          <w:lang w:val="en-IN"/>
        </w:rPr>
        <w:t xml:space="preserve">improved oxygen monitoring systems </w:t>
      </w:r>
    </w:p>
    <w:p w14:paraId="7D221539" w14:textId="77777777" w:rsidR="00FD2AC7" w:rsidRPr="007B29AB" w:rsidRDefault="00FD2AC7" w:rsidP="006123AA">
      <w:pPr>
        <w:pStyle w:val="ListParagraph"/>
        <w:numPr>
          <w:ilvl w:val="0"/>
          <w:numId w:val="34"/>
        </w:numPr>
        <w:spacing w:line="360" w:lineRule="auto"/>
        <w:rPr>
          <w:rFonts w:ascii="Arial" w:hAnsi="Arial" w:cs="Arial"/>
          <w:sz w:val="22"/>
          <w:szCs w:val="22"/>
          <w:lang w:val="en-IN"/>
        </w:rPr>
      </w:pPr>
      <w:r w:rsidRPr="007B29AB">
        <w:rPr>
          <w:rFonts w:ascii="Arial" w:hAnsi="Arial" w:cs="Arial"/>
          <w:sz w:val="22"/>
          <w:szCs w:val="22"/>
          <w:lang w:val="en-IN"/>
        </w:rPr>
        <w:t xml:space="preserve">workforce training </w:t>
      </w:r>
    </w:p>
    <w:p w14:paraId="72E234F0" w14:textId="2206E23D" w:rsidR="00FD2AC7" w:rsidRPr="007B29AB" w:rsidRDefault="00FD2AC7" w:rsidP="006123AA">
      <w:pPr>
        <w:pStyle w:val="ListParagraph"/>
        <w:numPr>
          <w:ilvl w:val="0"/>
          <w:numId w:val="34"/>
        </w:numPr>
        <w:spacing w:line="360" w:lineRule="auto"/>
        <w:rPr>
          <w:rFonts w:ascii="Arial" w:hAnsi="Arial" w:cs="Arial"/>
          <w:sz w:val="22"/>
          <w:szCs w:val="22"/>
          <w:lang w:val="en-IN"/>
        </w:rPr>
      </w:pPr>
      <w:r w:rsidRPr="007B29AB">
        <w:rPr>
          <w:rFonts w:ascii="Arial" w:hAnsi="Arial" w:cs="Arial"/>
          <w:sz w:val="22"/>
          <w:szCs w:val="22"/>
          <w:lang w:val="en-IN"/>
        </w:rPr>
        <w:t xml:space="preserve">digital procurement systems </w:t>
      </w:r>
    </w:p>
    <w:p w14:paraId="79F9631D" w14:textId="675F040F" w:rsidR="00D01E5C" w:rsidRPr="00FD2AC7"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These opportunities can support service improvement.</w:t>
      </w:r>
    </w:p>
    <w:p w14:paraId="3FD94526" w14:textId="77777777" w:rsidR="00FD2AC7" w:rsidRPr="00FD2AC7" w:rsidRDefault="00FD2AC7" w:rsidP="006123AA">
      <w:pPr>
        <w:spacing w:line="360" w:lineRule="auto"/>
        <w:rPr>
          <w:rFonts w:ascii="Arial" w:hAnsi="Arial" w:cs="Arial"/>
          <w:b/>
          <w:bCs/>
          <w:sz w:val="22"/>
          <w:szCs w:val="22"/>
          <w:lang w:val="en-IN"/>
        </w:rPr>
      </w:pPr>
      <w:r w:rsidRPr="00FD2AC7">
        <w:rPr>
          <w:rFonts w:ascii="Arial" w:hAnsi="Arial" w:cs="Arial"/>
          <w:b/>
          <w:bCs/>
          <w:sz w:val="22"/>
          <w:szCs w:val="22"/>
          <w:lang w:val="en-IN"/>
        </w:rPr>
        <w:t>Threats</w:t>
      </w:r>
    </w:p>
    <w:p w14:paraId="39964AC9" w14:textId="77777777" w:rsidR="00FD2AC7" w:rsidRPr="007B29AB" w:rsidRDefault="00FD2AC7" w:rsidP="006123AA">
      <w:pPr>
        <w:pStyle w:val="ListParagraph"/>
        <w:numPr>
          <w:ilvl w:val="0"/>
          <w:numId w:val="35"/>
        </w:numPr>
        <w:spacing w:line="360" w:lineRule="auto"/>
        <w:rPr>
          <w:rFonts w:ascii="Arial" w:hAnsi="Arial" w:cs="Arial"/>
          <w:sz w:val="22"/>
          <w:szCs w:val="22"/>
          <w:lang w:val="en-IN"/>
        </w:rPr>
      </w:pPr>
      <w:r w:rsidRPr="007B29AB">
        <w:rPr>
          <w:rFonts w:ascii="Arial" w:hAnsi="Arial" w:cs="Arial"/>
          <w:sz w:val="22"/>
          <w:szCs w:val="22"/>
          <w:lang w:val="en-IN"/>
        </w:rPr>
        <w:t xml:space="preserve">high patient demand </w:t>
      </w:r>
    </w:p>
    <w:p w14:paraId="2B4A5710" w14:textId="77777777" w:rsidR="00FD2AC7" w:rsidRPr="007B29AB" w:rsidRDefault="00FD2AC7" w:rsidP="006123AA">
      <w:pPr>
        <w:pStyle w:val="ListParagraph"/>
        <w:numPr>
          <w:ilvl w:val="0"/>
          <w:numId w:val="35"/>
        </w:numPr>
        <w:spacing w:line="360" w:lineRule="auto"/>
        <w:rPr>
          <w:rFonts w:ascii="Arial" w:hAnsi="Arial" w:cs="Arial"/>
          <w:sz w:val="22"/>
          <w:szCs w:val="22"/>
          <w:lang w:val="en-IN"/>
        </w:rPr>
      </w:pPr>
      <w:r w:rsidRPr="007B29AB">
        <w:rPr>
          <w:rFonts w:ascii="Arial" w:hAnsi="Arial" w:cs="Arial"/>
          <w:sz w:val="22"/>
          <w:szCs w:val="22"/>
          <w:lang w:val="en-IN"/>
        </w:rPr>
        <w:t xml:space="preserve">bureaucratic delays </w:t>
      </w:r>
    </w:p>
    <w:p w14:paraId="75330C4D" w14:textId="77777777" w:rsidR="00FD2AC7" w:rsidRPr="007B29AB" w:rsidRDefault="00FD2AC7" w:rsidP="006123AA">
      <w:pPr>
        <w:pStyle w:val="ListParagraph"/>
        <w:numPr>
          <w:ilvl w:val="0"/>
          <w:numId w:val="35"/>
        </w:numPr>
        <w:spacing w:line="360" w:lineRule="auto"/>
        <w:rPr>
          <w:rFonts w:ascii="Arial" w:hAnsi="Arial" w:cs="Arial"/>
          <w:sz w:val="22"/>
          <w:szCs w:val="22"/>
          <w:lang w:val="en-IN"/>
        </w:rPr>
      </w:pPr>
      <w:r w:rsidRPr="007B29AB">
        <w:rPr>
          <w:rFonts w:ascii="Arial" w:hAnsi="Arial" w:cs="Arial"/>
          <w:sz w:val="22"/>
          <w:szCs w:val="22"/>
          <w:lang w:val="en-IN"/>
        </w:rPr>
        <w:t xml:space="preserve">funding constraints </w:t>
      </w:r>
    </w:p>
    <w:p w14:paraId="41CF59AE" w14:textId="52DFF7D2" w:rsidR="00FD2AC7" w:rsidRPr="007B29AB" w:rsidRDefault="00FD2AC7" w:rsidP="006123AA">
      <w:pPr>
        <w:pStyle w:val="ListParagraph"/>
        <w:numPr>
          <w:ilvl w:val="0"/>
          <w:numId w:val="35"/>
        </w:numPr>
        <w:spacing w:line="360" w:lineRule="auto"/>
        <w:rPr>
          <w:rFonts w:ascii="Arial" w:hAnsi="Arial" w:cs="Arial"/>
          <w:sz w:val="22"/>
          <w:szCs w:val="22"/>
          <w:lang w:val="en-IN"/>
        </w:rPr>
      </w:pPr>
      <w:r w:rsidRPr="007B29AB">
        <w:rPr>
          <w:rFonts w:ascii="Arial" w:hAnsi="Arial" w:cs="Arial"/>
          <w:sz w:val="22"/>
          <w:szCs w:val="22"/>
          <w:lang w:val="en-IN"/>
        </w:rPr>
        <w:t xml:space="preserve">seasonal outbreaks </w:t>
      </w:r>
    </w:p>
    <w:p w14:paraId="4AB042A6" w14:textId="77777777" w:rsidR="00FD2AC7" w:rsidRPr="00FD2AC7"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These threats increase risk of recurrence if improvements are not implemented.</w:t>
      </w:r>
    </w:p>
    <w:p w14:paraId="47D3A0C6" w14:textId="4FF91125" w:rsidR="00D01E5C" w:rsidRPr="00FD2AC7"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SWOT analysis highlights the need for strategic planning to strengthen organisational resilience.</w:t>
      </w:r>
    </w:p>
    <w:p w14:paraId="382AAD07" w14:textId="3C1352E3" w:rsidR="00D01E5C" w:rsidRDefault="00FD2AC7" w:rsidP="006123AA">
      <w:pPr>
        <w:spacing w:line="360" w:lineRule="auto"/>
        <w:rPr>
          <w:rFonts w:ascii="Arial" w:hAnsi="Arial" w:cs="Arial"/>
          <w:b/>
          <w:bCs/>
          <w:sz w:val="22"/>
          <w:szCs w:val="22"/>
          <w:lang w:val="en-IN"/>
        </w:rPr>
      </w:pPr>
      <w:r w:rsidRPr="00FD2AC7">
        <w:rPr>
          <w:rFonts w:ascii="Arial" w:hAnsi="Arial" w:cs="Arial"/>
          <w:b/>
          <w:bCs/>
          <w:sz w:val="22"/>
          <w:szCs w:val="22"/>
          <w:lang w:val="en-IN"/>
        </w:rPr>
        <w:t>The System Theory Perspectiv</w:t>
      </w:r>
      <w:r w:rsidR="00D01E5C">
        <w:rPr>
          <w:rFonts w:ascii="Arial" w:hAnsi="Arial" w:cs="Arial"/>
          <w:b/>
          <w:bCs/>
          <w:sz w:val="22"/>
          <w:szCs w:val="22"/>
          <w:lang w:val="en-IN"/>
        </w:rPr>
        <w:t>e</w:t>
      </w:r>
    </w:p>
    <w:p w14:paraId="04950682" w14:textId="77777777" w:rsidR="00197DDB"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Systems theory shows how little failures lead to catastrophic calamities. Healthcare organisations operate as complex systems in which components interact. Failure in one area has far-reaching consequences.</w:t>
      </w:r>
    </w:p>
    <w:p w14:paraId="34B7049D" w14:textId="57247FA7" w:rsidR="00FD2AC7" w:rsidRPr="007B29AB"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Regarding the Gorakhpur case:</w:t>
      </w:r>
      <w:r w:rsidRPr="00FD2AC7">
        <w:rPr>
          <w:rFonts w:ascii="Arial" w:hAnsi="Arial" w:cs="Arial"/>
          <w:sz w:val="22"/>
          <w:szCs w:val="22"/>
          <w:lang w:val="en-IN"/>
        </w:rPr>
        <w:br/>
        <w:t>Financial delays can lead to supply interruptions, oxygen shortages, clinical deterioration, and death.</w:t>
      </w:r>
      <w:r w:rsidR="00197DDB">
        <w:rPr>
          <w:rFonts w:ascii="Arial" w:hAnsi="Arial" w:cs="Arial"/>
          <w:sz w:val="22"/>
          <w:szCs w:val="22"/>
          <w:lang w:val="en-IN"/>
        </w:rPr>
        <w:t xml:space="preserve"> </w:t>
      </w:r>
      <w:r w:rsidRPr="00FD2AC7">
        <w:rPr>
          <w:rFonts w:ascii="Arial" w:hAnsi="Arial" w:cs="Arial"/>
          <w:sz w:val="22"/>
          <w:szCs w:val="22"/>
          <w:lang w:val="en-IN"/>
        </w:rPr>
        <w:t>This cascading failure highlights interdependence. Senge (2006) asserts that systems thinking is vital for improving healthcare quality.</w:t>
      </w:r>
    </w:p>
    <w:p w14:paraId="70D0A130" w14:textId="38067DB4" w:rsidR="00FD2AC7" w:rsidRPr="00FD2AC7" w:rsidRDefault="00FD2AC7" w:rsidP="006123AA">
      <w:pPr>
        <w:spacing w:line="360" w:lineRule="auto"/>
        <w:rPr>
          <w:rFonts w:ascii="Arial" w:hAnsi="Arial" w:cs="Arial"/>
          <w:b/>
          <w:bCs/>
          <w:sz w:val="22"/>
          <w:szCs w:val="22"/>
          <w:lang w:val="en-IN"/>
        </w:rPr>
      </w:pPr>
      <w:r w:rsidRPr="00FD2AC7">
        <w:rPr>
          <w:rFonts w:ascii="Arial" w:hAnsi="Arial" w:cs="Arial"/>
          <w:b/>
          <w:bCs/>
          <w:sz w:val="22"/>
          <w:szCs w:val="22"/>
          <w:lang w:val="en-IN"/>
        </w:rPr>
        <w:t>Policy and Governance Implications</w:t>
      </w:r>
    </w:p>
    <w:p w14:paraId="0EC49877" w14:textId="77777777" w:rsidR="00FD2AC7" w:rsidRPr="00FD2AC7"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The incident also highlights broader policy issues. Public healthcare systems often face resource limitations, bureaucratic delays, and governance gaps.</w:t>
      </w:r>
    </w:p>
    <w:p w14:paraId="2719C19B" w14:textId="77777777" w:rsidR="00FD2AC7" w:rsidRPr="00FD2AC7"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t>National healthcare policy must ensure:</w:t>
      </w:r>
    </w:p>
    <w:p w14:paraId="4ED7E6BF" w14:textId="77777777" w:rsidR="00FD2AC7" w:rsidRPr="007B29AB" w:rsidRDefault="00FD2AC7" w:rsidP="006123AA">
      <w:pPr>
        <w:pStyle w:val="ListParagraph"/>
        <w:numPr>
          <w:ilvl w:val="0"/>
          <w:numId w:val="37"/>
        </w:numPr>
        <w:spacing w:line="360" w:lineRule="auto"/>
        <w:rPr>
          <w:rFonts w:ascii="Arial" w:hAnsi="Arial" w:cs="Arial"/>
          <w:sz w:val="22"/>
          <w:szCs w:val="22"/>
          <w:lang w:val="en-IN"/>
        </w:rPr>
      </w:pPr>
      <w:r w:rsidRPr="007B29AB">
        <w:rPr>
          <w:rFonts w:ascii="Arial" w:hAnsi="Arial" w:cs="Arial"/>
          <w:sz w:val="22"/>
          <w:szCs w:val="22"/>
          <w:lang w:val="en-IN"/>
        </w:rPr>
        <w:t xml:space="preserve">timely funding </w:t>
      </w:r>
    </w:p>
    <w:p w14:paraId="5BF526D1" w14:textId="77777777" w:rsidR="00FD2AC7" w:rsidRPr="007B29AB" w:rsidRDefault="00FD2AC7" w:rsidP="006123AA">
      <w:pPr>
        <w:pStyle w:val="ListParagraph"/>
        <w:numPr>
          <w:ilvl w:val="0"/>
          <w:numId w:val="37"/>
        </w:numPr>
        <w:spacing w:line="360" w:lineRule="auto"/>
        <w:rPr>
          <w:rFonts w:ascii="Arial" w:hAnsi="Arial" w:cs="Arial"/>
          <w:sz w:val="22"/>
          <w:szCs w:val="22"/>
          <w:lang w:val="en-IN"/>
        </w:rPr>
      </w:pPr>
      <w:r w:rsidRPr="007B29AB">
        <w:rPr>
          <w:rFonts w:ascii="Arial" w:hAnsi="Arial" w:cs="Arial"/>
          <w:sz w:val="22"/>
          <w:szCs w:val="22"/>
          <w:lang w:val="en-IN"/>
        </w:rPr>
        <w:t xml:space="preserve">infrastructure investment </w:t>
      </w:r>
    </w:p>
    <w:p w14:paraId="5F22DA97" w14:textId="77777777" w:rsidR="00FD2AC7" w:rsidRPr="007B29AB" w:rsidRDefault="00FD2AC7" w:rsidP="006123AA">
      <w:pPr>
        <w:pStyle w:val="ListParagraph"/>
        <w:numPr>
          <w:ilvl w:val="0"/>
          <w:numId w:val="37"/>
        </w:numPr>
        <w:spacing w:line="360" w:lineRule="auto"/>
        <w:rPr>
          <w:rFonts w:ascii="Arial" w:hAnsi="Arial" w:cs="Arial"/>
          <w:sz w:val="22"/>
          <w:szCs w:val="22"/>
          <w:lang w:val="en-IN"/>
        </w:rPr>
      </w:pPr>
      <w:r w:rsidRPr="007B29AB">
        <w:rPr>
          <w:rFonts w:ascii="Arial" w:hAnsi="Arial" w:cs="Arial"/>
          <w:sz w:val="22"/>
          <w:szCs w:val="22"/>
          <w:lang w:val="en-IN"/>
        </w:rPr>
        <w:t xml:space="preserve">workforce planning </w:t>
      </w:r>
    </w:p>
    <w:p w14:paraId="218D8DE6" w14:textId="2C62A363" w:rsidR="00FD2AC7" w:rsidRPr="007B29AB" w:rsidRDefault="00FD2AC7" w:rsidP="006123AA">
      <w:pPr>
        <w:pStyle w:val="ListParagraph"/>
        <w:numPr>
          <w:ilvl w:val="0"/>
          <w:numId w:val="37"/>
        </w:numPr>
        <w:spacing w:line="360" w:lineRule="auto"/>
        <w:rPr>
          <w:rFonts w:ascii="Arial" w:hAnsi="Arial" w:cs="Arial"/>
          <w:sz w:val="22"/>
          <w:szCs w:val="22"/>
          <w:lang w:val="en-IN"/>
        </w:rPr>
      </w:pPr>
      <w:r w:rsidRPr="007B29AB">
        <w:rPr>
          <w:rFonts w:ascii="Arial" w:hAnsi="Arial" w:cs="Arial"/>
          <w:sz w:val="22"/>
          <w:szCs w:val="22"/>
          <w:lang w:val="en-IN"/>
        </w:rPr>
        <w:t xml:space="preserve">supply chain monitoring </w:t>
      </w:r>
    </w:p>
    <w:p w14:paraId="4FAE0B12" w14:textId="06B1A7E7" w:rsidR="00D01E5C" w:rsidRDefault="00FD2AC7" w:rsidP="006123AA">
      <w:pPr>
        <w:spacing w:line="360" w:lineRule="auto"/>
        <w:rPr>
          <w:rFonts w:ascii="Arial" w:hAnsi="Arial" w:cs="Arial"/>
          <w:sz w:val="22"/>
          <w:szCs w:val="22"/>
          <w:lang w:val="en-IN"/>
        </w:rPr>
      </w:pPr>
      <w:r w:rsidRPr="00FD2AC7">
        <w:rPr>
          <w:rFonts w:ascii="Arial" w:hAnsi="Arial" w:cs="Arial"/>
          <w:sz w:val="22"/>
          <w:szCs w:val="22"/>
          <w:lang w:val="en-IN"/>
        </w:rPr>
        <w:lastRenderedPageBreak/>
        <w:t>Poor policy implementation can compromise service delivery. The tragedy therefore reflects both organisational and system-level failures.</w:t>
      </w:r>
    </w:p>
    <w:p w14:paraId="41F7F9BB" w14:textId="77777777" w:rsidR="00D01E5C" w:rsidRPr="007B29AB" w:rsidRDefault="00D01E5C" w:rsidP="006123AA">
      <w:pPr>
        <w:spacing w:line="360" w:lineRule="auto"/>
        <w:rPr>
          <w:rFonts w:ascii="Arial" w:hAnsi="Arial" w:cs="Arial"/>
          <w:sz w:val="22"/>
          <w:szCs w:val="22"/>
          <w:lang w:val="en-IN"/>
        </w:rPr>
      </w:pPr>
    </w:p>
    <w:p w14:paraId="705F9E07" w14:textId="65070F51" w:rsidR="00FD2AC7" w:rsidRPr="00D01E5C" w:rsidRDefault="00D01E5C" w:rsidP="00805664">
      <w:pPr>
        <w:pStyle w:val="Heading1"/>
        <w:rPr>
          <w:lang w:val="en-IN"/>
        </w:rPr>
      </w:pPr>
      <w:bookmarkStart w:id="2" w:name="_Toc226008589"/>
      <w:r w:rsidRPr="00D01E5C">
        <w:rPr>
          <w:lang w:val="en-IN"/>
        </w:rPr>
        <w:t>Recommendations</w:t>
      </w:r>
      <w:bookmarkEnd w:id="2"/>
    </w:p>
    <w:p w14:paraId="0B1220A0" w14:textId="517A4C67" w:rsidR="00D01E5C" w:rsidRPr="00D01E5C" w:rsidRDefault="008F1531" w:rsidP="00D01E5C">
      <w:pPr>
        <w:spacing w:line="360" w:lineRule="auto"/>
        <w:rPr>
          <w:rFonts w:ascii="Arial" w:hAnsi="Arial" w:cs="Arial"/>
          <w:b/>
          <w:bCs/>
          <w:sz w:val="22"/>
          <w:szCs w:val="22"/>
          <w:lang w:val="en-IN"/>
        </w:rPr>
      </w:pPr>
      <w:r w:rsidRPr="00D01E5C">
        <w:rPr>
          <w:rFonts w:ascii="Arial" w:hAnsi="Arial" w:cs="Arial"/>
          <w:b/>
          <w:bCs/>
          <w:sz w:val="22"/>
          <w:szCs w:val="22"/>
          <w:lang w:val="en-IN"/>
        </w:rPr>
        <w:t>Improved Oxygen Supply Chain Management.</w:t>
      </w:r>
    </w:p>
    <w:p w14:paraId="31210D76" w14:textId="251970B0" w:rsidR="008F1531" w:rsidRPr="00D01E5C" w:rsidRDefault="008F1531" w:rsidP="00D01E5C">
      <w:pPr>
        <w:spacing w:line="360" w:lineRule="auto"/>
        <w:rPr>
          <w:rFonts w:ascii="Arial" w:hAnsi="Arial" w:cs="Arial"/>
          <w:sz w:val="22"/>
          <w:szCs w:val="22"/>
          <w:lang w:val="en-IN"/>
        </w:rPr>
      </w:pPr>
      <w:r w:rsidRPr="00D01E5C">
        <w:rPr>
          <w:rFonts w:ascii="Arial" w:hAnsi="Arial" w:cs="Arial"/>
          <w:sz w:val="22"/>
          <w:szCs w:val="22"/>
          <w:lang w:val="en-IN"/>
        </w:rPr>
        <w:t>The major recommendation is to create a durable oxygen supply management system. The Gorakhpur tragedy illustrated how reliance on a single supplier and a lack of emergency supplies may lead to disastrous patient outcomes. Critical care hospitals must have backup supply systems in place and monitor oxygen availability in real time.</w:t>
      </w:r>
      <w:r w:rsidRPr="00D01E5C">
        <w:rPr>
          <w:rFonts w:ascii="Arial" w:hAnsi="Arial" w:cs="Arial"/>
          <w:sz w:val="22"/>
          <w:szCs w:val="22"/>
          <w:lang w:val="en-IN"/>
        </w:rPr>
        <w:br/>
        <w:t>Healthcare organisations should implement:</w:t>
      </w:r>
    </w:p>
    <w:p w14:paraId="3D6D5A59" w14:textId="77777777" w:rsidR="008F1531" w:rsidRPr="007B29AB" w:rsidRDefault="008F1531" w:rsidP="006123AA">
      <w:pPr>
        <w:pStyle w:val="ListParagraph"/>
        <w:numPr>
          <w:ilvl w:val="0"/>
          <w:numId w:val="39"/>
        </w:numPr>
        <w:spacing w:line="360" w:lineRule="auto"/>
        <w:rPr>
          <w:rFonts w:ascii="Arial" w:hAnsi="Arial" w:cs="Arial"/>
          <w:sz w:val="22"/>
          <w:szCs w:val="22"/>
          <w:lang w:val="en-IN"/>
        </w:rPr>
      </w:pPr>
      <w:r w:rsidRPr="007B29AB">
        <w:rPr>
          <w:rFonts w:ascii="Arial" w:hAnsi="Arial" w:cs="Arial"/>
          <w:sz w:val="22"/>
          <w:szCs w:val="22"/>
          <w:lang w:val="en-IN"/>
        </w:rPr>
        <w:t>Multiple oxygen suppliers</w:t>
      </w:r>
    </w:p>
    <w:p w14:paraId="6A00AA3E" w14:textId="77777777" w:rsidR="008F1531" w:rsidRPr="007B29AB" w:rsidRDefault="008F1531" w:rsidP="006123AA">
      <w:pPr>
        <w:pStyle w:val="ListParagraph"/>
        <w:numPr>
          <w:ilvl w:val="0"/>
          <w:numId w:val="39"/>
        </w:numPr>
        <w:spacing w:line="360" w:lineRule="auto"/>
        <w:rPr>
          <w:rFonts w:ascii="Arial" w:hAnsi="Arial" w:cs="Arial"/>
          <w:sz w:val="22"/>
          <w:szCs w:val="22"/>
          <w:lang w:val="en-IN"/>
        </w:rPr>
      </w:pPr>
      <w:r w:rsidRPr="007B29AB">
        <w:rPr>
          <w:rFonts w:ascii="Arial" w:hAnsi="Arial" w:cs="Arial"/>
          <w:sz w:val="22"/>
          <w:szCs w:val="22"/>
          <w:lang w:val="en-IN"/>
        </w:rPr>
        <w:t>Minimum emergency stock levels.</w:t>
      </w:r>
    </w:p>
    <w:p w14:paraId="7FDB1E5D" w14:textId="77777777" w:rsidR="008F1531" w:rsidRPr="007B29AB" w:rsidRDefault="008F1531" w:rsidP="006123AA">
      <w:pPr>
        <w:pStyle w:val="ListParagraph"/>
        <w:numPr>
          <w:ilvl w:val="0"/>
          <w:numId w:val="39"/>
        </w:numPr>
        <w:spacing w:line="360" w:lineRule="auto"/>
        <w:rPr>
          <w:rFonts w:ascii="Arial" w:hAnsi="Arial" w:cs="Arial"/>
          <w:sz w:val="22"/>
          <w:szCs w:val="22"/>
          <w:lang w:val="en-IN"/>
        </w:rPr>
      </w:pPr>
      <w:r w:rsidRPr="007B29AB">
        <w:rPr>
          <w:rFonts w:ascii="Arial" w:hAnsi="Arial" w:cs="Arial"/>
          <w:sz w:val="22"/>
          <w:szCs w:val="22"/>
          <w:lang w:val="en-IN"/>
        </w:rPr>
        <w:t>Automated oxygen monitoring systems.</w:t>
      </w:r>
    </w:p>
    <w:p w14:paraId="0E6080DE" w14:textId="77777777" w:rsidR="008F1531" w:rsidRPr="007B29AB" w:rsidRDefault="008F1531" w:rsidP="006123AA">
      <w:pPr>
        <w:pStyle w:val="ListParagraph"/>
        <w:numPr>
          <w:ilvl w:val="0"/>
          <w:numId w:val="39"/>
        </w:numPr>
        <w:spacing w:line="360" w:lineRule="auto"/>
        <w:rPr>
          <w:rFonts w:ascii="Arial" w:hAnsi="Arial" w:cs="Arial"/>
          <w:sz w:val="22"/>
          <w:szCs w:val="22"/>
          <w:lang w:val="en-IN"/>
        </w:rPr>
      </w:pPr>
      <w:r w:rsidRPr="007B29AB">
        <w:rPr>
          <w:rFonts w:ascii="Arial" w:hAnsi="Arial" w:cs="Arial"/>
          <w:sz w:val="22"/>
          <w:szCs w:val="22"/>
          <w:lang w:val="en-IN"/>
        </w:rPr>
        <w:t>Preventive maintenance schedules.</w:t>
      </w:r>
    </w:p>
    <w:p w14:paraId="7595B692" w14:textId="61B91736" w:rsidR="00FD2AC7" w:rsidRPr="007B29AB" w:rsidRDefault="008F1531" w:rsidP="006123AA">
      <w:pPr>
        <w:pStyle w:val="ListParagraph"/>
        <w:numPr>
          <w:ilvl w:val="0"/>
          <w:numId w:val="39"/>
        </w:numPr>
        <w:spacing w:line="360" w:lineRule="auto"/>
        <w:rPr>
          <w:rFonts w:ascii="Arial" w:hAnsi="Arial" w:cs="Arial"/>
          <w:sz w:val="22"/>
          <w:szCs w:val="22"/>
          <w:lang w:val="en-IN"/>
        </w:rPr>
      </w:pPr>
      <w:r w:rsidRPr="007B29AB">
        <w:rPr>
          <w:rFonts w:ascii="Arial" w:hAnsi="Arial" w:cs="Arial"/>
          <w:sz w:val="22"/>
          <w:szCs w:val="22"/>
          <w:lang w:val="en-IN"/>
        </w:rPr>
        <w:t>Centralised procurement oversight</w:t>
      </w:r>
    </w:p>
    <w:p w14:paraId="09306E32" w14:textId="77777777" w:rsidR="008F1531" w:rsidRPr="008F1531" w:rsidRDefault="008F1531" w:rsidP="006123AA">
      <w:pPr>
        <w:spacing w:line="360" w:lineRule="auto"/>
        <w:rPr>
          <w:rFonts w:ascii="Arial" w:hAnsi="Arial" w:cs="Arial"/>
          <w:sz w:val="22"/>
          <w:szCs w:val="22"/>
          <w:lang w:val="en-IN"/>
        </w:rPr>
      </w:pPr>
      <w:r w:rsidRPr="008F1531">
        <w:rPr>
          <w:rFonts w:ascii="Arial" w:hAnsi="Arial" w:cs="Arial"/>
          <w:sz w:val="22"/>
          <w:szCs w:val="22"/>
          <w:lang w:val="en-IN"/>
        </w:rPr>
        <w:t>To avoid service delays, healthcare facilities must maintain buffer oxygen stores and diversify their procurement routes, according to the World Health Organization. Similarly, research indicates that resilient supply chains increase healthcare system responsiveness and lower mortality risk during emergencies (Ivanov &amp; Dolgui, 2020).</w:t>
      </w:r>
    </w:p>
    <w:p w14:paraId="78582DB3" w14:textId="77777777" w:rsidR="00D01E5C" w:rsidRDefault="008F1531" w:rsidP="006123AA">
      <w:pPr>
        <w:spacing w:line="360" w:lineRule="auto"/>
        <w:rPr>
          <w:rFonts w:ascii="Arial" w:hAnsi="Arial" w:cs="Arial"/>
          <w:b/>
          <w:bCs/>
          <w:sz w:val="22"/>
          <w:szCs w:val="22"/>
          <w:lang w:val="en-IN"/>
        </w:rPr>
      </w:pPr>
      <w:r w:rsidRPr="008F1531">
        <w:rPr>
          <w:rFonts w:ascii="Arial" w:hAnsi="Arial" w:cs="Arial"/>
          <w:sz w:val="22"/>
          <w:szCs w:val="22"/>
          <w:lang w:val="en-IN"/>
        </w:rPr>
        <w:t>Lean supply chain principles can be used to reduce waste and increase efficiency. Lean methodology focuses on optimising workflow and reducing delays in procurement systems. Implementing Lean-based stock control systems enables hospitals to monitor oxygen consumption and automatically reorder when stock levels fall below predetermined levels (Toussaint &amp; Berry 2013).</w:t>
      </w:r>
      <w:r w:rsidRPr="008F1531">
        <w:rPr>
          <w:rFonts w:ascii="Arial" w:hAnsi="Arial" w:cs="Arial"/>
          <w:sz w:val="22"/>
          <w:szCs w:val="22"/>
          <w:lang w:val="en-IN"/>
        </w:rPr>
        <w:br/>
      </w:r>
      <w:r w:rsidRPr="008F1531">
        <w:rPr>
          <w:rFonts w:ascii="Arial" w:hAnsi="Arial" w:cs="Arial"/>
          <w:sz w:val="22"/>
          <w:szCs w:val="22"/>
          <w:lang w:val="en-IN"/>
        </w:rPr>
        <w:br/>
      </w:r>
      <w:r w:rsidRPr="008F1531">
        <w:rPr>
          <w:rFonts w:ascii="Arial" w:hAnsi="Arial" w:cs="Arial"/>
          <w:b/>
          <w:bCs/>
          <w:sz w:val="22"/>
          <w:szCs w:val="22"/>
          <w:lang w:val="en-IN"/>
        </w:rPr>
        <w:t>Financial Governance and Procurement Reforms</w:t>
      </w:r>
    </w:p>
    <w:p w14:paraId="3A97161A" w14:textId="2707FBEB" w:rsidR="008F1531" w:rsidRPr="007B29AB" w:rsidRDefault="008F1531" w:rsidP="006123AA">
      <w:pPr>
        <w:spacing w:line="360" w:lineRule="auto"/>
        <w:rPr>
          <w:rFonts w:ascii="Arial" w:hAnsi="Arial" w:cs="Arial"/>
          <w:sz w:val="22"/>
          <w:szCs w:val="22"/>
          <w:lang w:val="en-IN"/>
        </w:rPr>
      </w:pPr>
      <w:r w:rsidRPr="008F1531">
        <w:rPr>
          <w:rFonts w:ascii="Arial" w:hAnsi="Arial" w:cs="Arial"/>
          <w:sz w:val="22"/>
          <w:szCs w:val="22"/>
          <w:lang w:val="en-IN"/>
        </w:rPr>
        <w:t>Financial mismanagement was a significant contributor to the oxygen shortage. As a result, healthcare organisations must implement transparent financial governance systems to ensure prompt supplier payments and priority of lifesaving resources.</w:t>
      </w:r>
      <w:r w:rsidRPr="008F1531">
        <w:rPr>
          <w:rFonts w:ascii="Arial" w:hAnsi="Arial" w:cs="Arial"/>
          <w:sz w:val="22"/>
          <w:szCs w:val="22"/>
          <w:lang w:val="en-IN"/>
        </w:rPr>
        <w:br/>
      </w:r>
      <w:r w:rsidRPr="008F1531">
        <w:rPr>
          <w:rFonts w:ascii="Arial" w:hAnsi="Arial" w:cs="Arial"/>
          <w:sz w:val="22"/>
          <w:szCs w:val="22"/>
          <w:lang w:val="en-IN"/>
        </w:rPr>
        <w:br/>
        <w:t>Key strategies include:</w:t>
      </w:r>
    </w:p>
    <w:p w14:paraId="333D56E3" w14:textId="77777777" w:rsidR="008F1531" w:rsidRPr="007B29AB" w:rsidRDefault="008F1531" w:rsidP="006123AA">
      <w:pPr>
        <w:pStyle w:val="ListParagraph"/>
        <w:numPr>
          <w:ilvl w:val="0"/>
          <w:numId w:val="40"/>
        </w:numPr>
        <w:spacing w:line="360" w:lineRule="auto"/>
        <w:rPr>
          <w:rFonts w:ascii="Arial" w:hAnsi="Arial" w:cs="Arial"/>
          <w:sz w:val="22"/>
          <w:szCs w:val="22"/>
          <w:lang w:val="en-IN"/>
        </w:rPr>
      </w:pPr>
      <w:r w:rsidRPr="007B29AB">
        <w:rPr>
          <w:rFonts w:ascii="Arial" w:hAnsi="Arial" w:cs="Arial"/>
          <w:sz w:val="22"/>
          <w:szCs w:val="22"/>
          <w:lang w:val="en-IN"/>
        </w:rPr>
        <w:t xml:space="preserve">Dedicated budget for essential medical supplies </w:t>
      </w:r>
    </w:p>
    <w:p w14:paraId="07989BAE" w14:textId="77777777" w:rsidR="008F1531" w:rsidRPr="007B29AB" w:rsidRDefault="008F1531" w:rsidP="006123AA">
      <w:pPr>
        <w:pStyle w:val="ListParagraph"/>
        <w:numPr>
          <w:ilvl w:val="0"/>
          <w:numId w:val="40"/>
        </w:numPr>
        <w:spacing w:line="360" w:lineRule="auto"/>
        <w:rPr>
          <w:rFonts w:ascii="Arial" w:hAnsi="Arial" w:cs="Arial"/>
          <w:sz w:val="22"/>
          <w:szCs w:val="22"/>
          <w:lang w:val="en-IN"/>
        </w:rPr>
      </w:pPr>
      <w:r w:rsidRPr="007B29AB">
        <w:rPr>
          <w:rFonts w:ascii="Arial" w:hAnsi="Arial" w:cs="Arial"/>
          <w:sz w:val="22"/>
          <w:szCs w:val="22"/>
          <w:lang w:val="en-IN"/>
        </w:rPr>
        <w:lastRenderedPageBreak/>
        <w:t xml:space="preserve">Automated payment tracking systems </w:t>
      </w:r>
    </w:p>
    <w:p w14:paraId="7572DF4A" w14:textId="77777777" w:rsidR="008F1531" w:rsidRPr="007B29AB" w:rsidRDefault="008F1531" w:rsidP="006123AA">
      <w:pPr>
        <w:pStyle w:val="ListParagraph"/>
        <w:numPr>
          <w:ilvl w:val="0"/>
          <w:numId w:val="40"/>
        </w:numPr>
        <w:spacing w:line="360" w:lineRule="auto"/>
        <w:rPr>
          <w:rFonts w:ascii="Arial" w:hAnsi="Arial" w:cs="Arial"/>
          <w:sz w:val="22"/>
          <w:szCs w:val="22"/>
          <w:lang w:val="en-IN"/>
        </w:rPr>
      </w:pPr>
      <w:r w:rsidRPr="007B29AB">
        <w:rPr>
          <w:rFonts w:ascii="Arial" w:hAnsi="Arial" w:cs="Arial"/>
          <w:sz w:val="22"/>
          <w:szCs w:val="22"/>
          <w:lang w:val="en-IN"/>
        </w:rPr>
        <w:t xml:space="preserve">Procurement accountability frameworks </w:t>
      </w:r>
    </w:p>
    <w:p w14:paraId="718B167F" w14:textId="77777777" w:rsidR="008F1531" w:rsidRPr="007B29AB" w:rsidRDefault="008F1531" w:rsidP="006123AA">
      <w:pPr>
        <w:pStyle w:val="ListParagraph"/>
        <w:numPr>
          <w:ilvl w:val="0"/>
          <w:numId w:val="40"/>
        </w:numPr>
        <w:spacing w:line="360" w:lineRule="auto"/>
        <w:rPr>
          <w:rFonts w:ascii="Arial" w:hAnsi="Arial" w:cs="Arial"/>
          <w:sz w:val="22"/>
          <w:szCs w:val="22"/>
          <w:lang w:val="en-IN"/>
        </w:rPr>
      </w:pPr>
      <w:r w:rsidRPr="007B29AB">
        <w:rPr>
          <w:rFonts w:ascii="Arial" w:hAnsi="Arial" w:cs="Arial"/>
          <w:sz w:val="22"/>
          <w:szCs w:val="22"/>
          <w:lang w:val="en-IN"/>
        </w:rPr>
        <w:t xml:space="preserve">Real-time financial monitoring dashboards </w:t>
      </w:r>
    </w:p>
    <w:p w14:paraId="76109CEB" w14:textId="77777777" w:rsidR="00D01E5C" w:rsidRDefault="008F1531" w:rsidP="006123AA">
      <w:pPr>
        <w:pStyle w:val="ListParagraph"/>
        <w:numPr>
          <w:ilvl w:val="0"/>
          <w:numId w:val="40"/>
        </w:numPr>
        <w:spacing w:line="360" w:lineRule="auto"/>
        <w:rPr>
          <w:rFonts w:ascii="Arial" w:hAnsi="Arial" w:cs="Arial"/>
          <w:sz w:val="22"/>
          <w:szCs w:val="22"/>
          <w:lang w:val="en-IN"/>
        </w:rPr>
      </w:pPr>
      <w:r w:rsidRPr="007B29AB">
        <w:rPr>
          <w:rFonts w:ascii="Arial" w:hAnsi="Arial" w:cs="Arial"/>
          <w:sz w:val="22"/>
          <w:szCs w:val="22"/>
          <w:lang w:val="en-IN"/>
        </w:rPr>
        <w:t>Supplier contract management systems</w:t>
      </w:r>
    </w:p>
    <w:p w14:paraId="773FD218" w14:textId="12FC59E0" w:rsidR="008F1531" w:rsidRPr="00D01E5C" w:rsidRDefault="008F1531" w:rsidP="00D01E5C">
      <w:pPr>
        <w:spacing w:line="360" w:lineRule="auto"/>
        <w:rPr>
          <w:rFonts w:ascii="Arial" w:hAnsi="Arial" w:cs="Arial"/>
          <w:sz w:val="22"/>
          <w:szCs w:val="22"/>
          <w:lang w:val="en-IN"/>
        </w:rPr>
      </w:pPr>
      <w:r w:rsidRPr="00D01E5C">
        <w:rPr>
          <w:rFonts w:ascii="Arial" w:hAnsi="Arial" w:cs="Arial"/>
          <w:sz w:val="22"/>
          <w:szCs w:val="22"/>
          <w:lang w:val="en-IN"/>
        </w:rPr>
        <w:t>Strong financial governance increases service reliability and patient safety. According to Kaplan and Porter (2011), healthcare finance systems must prioritise value-based resource allocation to ensure patient continuity of treatment. Payment delays can disrupt important services and cause preventable harm.</w:t>
      </w:r>
      <w:r w:rsidRPr="00D01E5C">
        <w:rPr>
          <w:rFonts w:ascii="Arial" w:hAnsi="Arial" w:cs="Arial"/>
          <w:sz w:val="22"/>
          <w:szCs w:val="22"/>
          <w:lang w:val="en-IN"/>
        </w:rPr>
        <w:br/>
      </w:r>
      <w:r w:rsidRPr="00D01E5C">
        <w:rPr>
          <w:rFonts w:ascii="Arial" w:hAnsi="Arial" w:cs="Arial"/>
          <w:sz w:val="22"/>
          <w:szCs w:val="22"/>
          <w:lang w:val="en-IN"/>
        </w:rPr>
        <w:br/>
        <w:t>The PDCA (Plan-Do-Check-Act) cycle can help with continual improvement in financial management.</w:t>
      </w:r>
      <w:r w:rsidRPr="00D01E5C">
        <w:rPr>
          <w:rFonts w:ascii="Arial" w:hAnsi="Arial" w:cs="Arial"/>
          <w:sz w:val="22"/>
          <w:szCs w:val="22"/>
          <w:lang w:val="en-IN"/>
        </w:rPr>
        <w:br/>
      </w:r>
      <w:r w:rsidRPr="00D01E5C">
        <w:rPr>
          <w:rFonts w:ascii="Arial" w:hAnsi="Arial" w:cs="Arial"/>
          <w:sz w:val="22"/>
          <w:szCs w:val="22"/>
          <w:lang w:val="en-IN"/>
        </w:rPr>
        <w:br/>
      </w:r>
      <w:r w:rsidRPr="00D01E5C">
        <w:rPr>
          <w:rFonts w:ascii="Arial" w:hAnsi="Arial" w:cs="Arial"/>
          <w:b/>
          <w:bCs/>
          <w:sz w:val="22"/>
          <w:szCs w:val="22"/>
          <w:lang w:val="en-IN"/>
        </w:rPr>
        <w:t>Plan</w:t>
      </w:r>
      <w:r w:rsidRPr="00D01E5C">
        <w:rPr>
          <w:rFonts w:ascii="Arial" w:hAnsi="Arial" w:cs="Arial"/>
          <w:b/>
          <w:bCs/>
          <w:sz w:val="22"/>
          <w:szCs w:val="22"/>
          <w:lang w:val="en-IN"/>
        </w:rPr>
        <w:t>:</w:t>
      </w:r>
      <w:r w:rsidRPr="00D01E5C">
        <w:rPr>
          <w:rFonts w:ascii="Arial" w:hAnsi="Arial" w:cs="Arial"/>
          <w:sz w:val="22"/>
          <w:szCs w:val="22"/>
          <w:lang w:val="en-IN"/>
        </w:rPr>
        <w:t xml:space="preserve"> identify delays in procurement and payment systems.</w:t>
      </w:r>
      <w:r w:rsidRPr="00D01E5C">
        <w:rPr>
          <w:rFonts w:ascii="Arial" w:hAnsi="Arial" w:cs="Arial"/>
          <w:sz w:val="22"/>
          <w:szCs w:val="22"/>
          <w:lang w:val="en-IN"/>
        </w:rPr>
        <w:br/>
      </w:r>
      <w:r w:rsidRPr="00D01E5C">
        <w:rPr>
          <w:rFonts w:ascii="Arial" w:hAnsi="Arial" w:cs="Arial"/>
          <w:b/>
          <w:bCs/>
          <w:sz w:val="22"/>
          <w:szCs w:val="22"/>
          <w:lang w:val="en-IN"/>
        </w:rPr>
        <w:t>Do:</w:t>
      </w:r>
      <w:r w:rsidRPr="00D01E5C">
        <w:rPr>
          <w:rFonts w:ascii="Arial" w:hAnsi="Arial" w:cs="Arial"/>
          <w:sz w:val="22"/>
          <w:szCs w:val="22"/>
          <w:lang w:val="en-IN"/>
        </w:rPr>
        <w:t xml:space="preserve"> Implement automatic financial tracking.</w:t>
      </w:r>
      <w:r w:rsidRPr="00D01E5C">
        <w:rPr>
          <w:rFonts w:ascii="Arial" w:hAnsi="Arial" w:cs="Arial"/>
          <w:sz w:val="22"/>
          <w:szCs w:val="22"/>
          <w:lang w:val="en-IN"/>
        </w:rPr>
        <w:br/>
      </w:r>
      <w:r w:rsidRPr="00D01E5C">
        <w:rPr>
          <w:rFonts w:ascii="Arial" w:hAnsi="Arial" w:cs="Arial"/>
          <w:b/>
          <w:bCs/>
          <w:sz w:val="22"/>
          <w:szCs w:val="22"/>
          <w:lang w:val="en-IN"/>
        </w:rPr>
        <w:t>Check:</w:t>
      </w:r>
      <w:r w:rsidRPr="00D01E5C">
        <w:rPr>
          <w:rFonts w:ascii="Arial" w:hAnsi="Arial" w:cs="Arial"/>
          <w:sz w:val="22"/>
          <w:szCs w:val="22"/>
          <w:lang w:val="en-IN"/>
        </w:rPr>
        <w:t xml:space="preserve"> Monitor supplier payment timelines.</w:t>
      </w:r>
      <w:r w:rsidRPr="00D01E5C">
        <w:rPr>
          <w:rFonts w:ascii="Arial" w:hAnsi="Arial" w:cs="Arial"/>
          <w:sz w:val="22"/>
          <w:szCs w:val="22"/>
          <w:lang w:val="en-IN"/>
        </w:rPr>
        <w:br/>
      </w:r>
      <w:r w:rsidRPr="00D01E5C">
        <w:rPr>
          <w:rFonts w:ascii="Arial" w:hAnsi="Arial" w:cs="Arial"/>
          <w:b/>
          <w:bCs/>
          <w:sz w:val="22"/>
          <w:szCs w:val="22"/>
          <w:lang w:val="en-IN"/>
        </w:rPr>
        <w:t>Act:</w:t>
      </w:r>
      <w:r w:rsidRPr="00D01E5C">
        <w:rPr>
          <w:rFonts w:ascii="Arial" w:hAnsi="Arial" w:cs="Arial"/>
          <w:sz w:val="22"/>
          <w:szCs w:val="22"/>
          <w:lang w:val="en-IN"/>
        </w:rPr>
        <w:t xml:space="preserve"> Adjust budgeting and procurement procedures.</w:t>
      </w:r>
      <w:r w:rsidRPr="00D01E5C">
        <w:rPr>
          <w:rFonts w:ascii="Arial" w:hAnsi="Arial" w:cs="Arial"/>
          <w:sz w:val="22"/>
          <w:szCs w:val="22"/>
          <w:lang w:val="en-IN"/>
        </w:rPr>
        <w:br/>
      </w:r>
      <w:r w:rsidRPr="00D01E5C">
        <w:rPr>
          <w:rFonts w:ascii="Arial" w:hAnsi="Arial" w:cs="Arial"/>
          <w:sz w:val="22"/>
          <w:szCs w:val="22"/>
          <w:lang w:val="en-IN"/>
        </w:rPr>
        <w:br/>
        <w:t>This recurrent cycle ensures long-term improvements in financial governance.</w:t>
      </w:r>
    </w:p>
    <w:p w14:paraId="1D0D1289" w14:textId="198CD150" w:rsidR="00D01E5C" w:rsidRPr="00D01E5C" w:rsidRDefault="008F1531" w:rsidP="00D01E5C">
      <w:pPr>
        <w:spacing w:line="360" w:lineRule="auto"/>
        <w:rPr>
          <w:rFonts w:ascii="Arial" w:hAnsi="Arial" w:cs="Arial"/>
          <w:b/>
          <w:bCs/>
          <w:sz w:val="22"/>
          <w:szCs w:val="22"/>
          <w:lang w:val="en-IN"/>
        </w:rPr>
      </w:pPr>
      <w:r w:rsidRPr="00D01E5C">
        <w:rPr>
          <w:rFonts w:ascii="Arial" w:hAnsi="Arial" w:cs="Arial"/>
          <w:b/>
          <w:bCs/>
          <w:sz w:val="22"/>
          <w:szCs w:val="22"/>
          <w:lang w:val="en-IN"/>
        </w:rPr>
        <w:t>Workforce Capacity and Training Improvement</w:t>
      </w:r>
    </w:p>
    <w:p w14:paraId="23EAD28D" w14:textId="67F42A71" w:rsidR="008F1531" w:rsidRPr="00D01E5C" w:rsidRDefault="008F1531" w:rsidP="00D01E5C">
      <w:pPr>
        <w:spacing w:line="360" w:lineRule="auto"/>
        <w:rPr>
          <w:rFonts w:ascii="Arial" w:hAnsi="Arial" w:cs="Arial"/>
          <w:sz w:val="22"/>
          <w:szCs w:val="22"/>
          <w:lang w:val="en-IN"/>
        </w:rPr>
      </w:pPr>
      <w:r w:rsidRPr="00D01E5C">
        <w:rPr>
          <w:rFonts w:ascii="Arial" w:hAnsi="Arial" w:cs="Arial"/>
          <w:sz w:val="22"/>
          <w:szCs w:val="22"/>
          <w:lang w:val="en-IN"/>
        </w:rPr>
        <w:t>During the crisis, staff shortages and a lack of knowledge slowed reaction times. Thus, staff development is critical to increasing healthcare quality and patient safety.</w:t>
      </w:r>
      <w:r w:rsidRPr="00D01E5C">
        <w:rPr>
          <w:rFonts w:ascii="Arial" w:hAnsi="Arial" w:cs="Arial"/>
          <w:sz w:val="22"/>
          <w:szCs w:val="22"/>
          <w:lang w:val="en-IN"/>
        </w:rPr>
        <w:br/>
      </w:r>
      <w:r w:rsidRPr="00D01E5C">
        <w:rPr>
          <w:rFonts w:ascii="Arial" w:hAnsi="Arial" w:cs="Arial"/>
          <w:sz w:val="22"/>
          <w:szCs w:val="22"/>
          <w:lang w:val="en-IN"/>
        </w:rPr>
        <w:br/>
        <w:t>Recommended actions include:</w:t>
      </w:r>
    </w:p>
    <w:p w14:paraId="409C5776" w14:textId="77777777" w:rsidR="008F1531" w:rsidRPr="007B29AB" w:rsidRDefault="008F1531" w:rsidP="006123AA">
      <w:pPr>
        <w:pStyle w:val="ListParagraph"/>
        <w:numPr>
          <w:ilvl w:val="0"/>
          <w:numId w:val="41"/>
        </w:numPr>
        <w:spacing w:line="360" w:lineRule="auto"/>
        <w:rPr>
          <w:rFonts w:ascii="Arial" w:hAnsi="Arial" w:cs="Arial"/>
          <w:sz w:val="22"/>
          <w:szCs w:val="22"/>
          <w:lang w:val="en-IN"/>
        </w:rPr>
      </w:pPr>
      <w:r w:rsidRPr="007B29AB">
        <w:rPr>
          <w:rFonts w:ascii="Arial" w:hAnsi="Arial" w:cs="Arial"/>
          <w:sz w:val="22"/>
          <w:szCs w:val="22"/>
          <w:lang w:val="en-IN"/>
        </w:rPr>
        <w:t xml:space="preserve">Recruitment of specialised neonatal and paediatric staff </w:t>
      </w:r>
    </w:p>
    <w:p w14:paraId="5A51A966" w14:textId="77777777" w:rsidR="008F1531" w:rsidRPr="007B29AB" w:rsidRDefault="008F1531" w:rsidP="006123AA">
      <w:pPr>
        <w:pStyle w:val="ListParagraph"/>
        <w:numPr>
          <w:ilvl w:val="0"/>
          <w:numId w:val="41"/>
        </w:numPr>
        <w:spacing w:line="360" w:lineRule="auto"/>
        <w:rPr>
          <w:rFonts w:ascii="Arial" w:hAnsi="Arial" w:cs="Arial"/>
          <w:sz w:val="22"/>
          <w:szCs w:val="22"/>
          <w:lang w:val="en-IN"/>
        </w:rPr>
      </w:pPr>
      <w:r w:rsidRPr="007B29AB">
        <w:rPr>
          <w:rFonts w:ascii="Arial" w:hAnsi="Arial" w:cs="Arial"/>
          <w:sz w:val="22"/>
          <w:szCs w:val="22"/>
          <w:lang w:val="en-IN"/>
        </w:rPr>
        <w:t xml:space="preserve">Training in emergency oxygen management </w:t>
      </w:r>
    </w:p>
    <w:p w14:paraId="6EB912F8" w14:textId="77777777" w:rsidR="008F1531" w:rsidRPr="007B29AB" w:rsidRDefault="008F1531" w:rsidP="006123AA">
      <w:pPr>
        <w:pStyle w:val="ListParagraph"/>
        <w:numPr>
          <w:ilvl w:val="0"/>
          <w:numId w:val="41"/>
        </w:numPr>
        <w:spacing w:line="360" w:lineRule="auto"/>
        <w:rPr>
          <w:rFonts w:ascii="Arial" w:hAnsi="Arial" w:cs="Arial"/>
          <w:sz w:val="22"/>
          <w:szCs w:val="22"/>
          <w:lang w:val="en-IN"/>
        </w:rPr>
      </w:pPr>
      <w:r w:rsidRPr="007B29AB">
        <w:rPr>
          <w:rFonts w:ascii="Arial" w:hAnsi="Arial" w:cs="Arial"/>
          <w:sz w:val="22"/>
          <w:szCs w:val="22"/>
          <w:lang w:val="en-IN"/>
        </w:rPr>
        <w:t xml:space="preserve">Clinical governance training </w:t>
      </w:r>
    </w:p>
    <w:p w14:paraId="0A06ECF7" w14:textId="77777777" w:rsidR="008F1531" w:rsidRPr="007B29AB" w:rsidRDefault="008F1531" w:rsidP="006123AA">
      <w:pPr>
        <w:pStyle w:val="ListParagraph"/>
        <w:numPr>
          <w:ilvl w:val="0"/>
          <w:numId w:val="41"/>
        </w:numPr>
        <w:spacing w:line="360" w:lineRule="auto"/>
        <w:rPr>
          <w:rFonts w:ascii="Arial" w:hAnsi="Arial" w:cs="Arial"/>
          <w:sz w:val="22"/>
          <w:szCs w:val="22"/>
          <w:lang w:val="en-IN"/>
        </w:rPr>
      </w:pPr>
      <w:r w:rsidRPr="007B29AB">
        <w:rPr>
          <w:rFonts w:ascii="Arial" w:hAnsi="Arial" w:cs="Arial"/>
          <w:sz w:val="22"/>
          <w:szCs w:val="22"/>
          <w:lang w:val="en-IN"/>
        </w:rPr>
        <w:t xml:space="preserve">Incident escalation training </w:t>
      </w:r>
    </w:p>
    <w:p w14:paraId="4F7E6E70" w14:textId="2A399CAE" w:rsidR="00FD2AC7" w:rsidRPr="00D01E5C" w:rsidRDefault="008F1531" w:rsidP="006123AA">
      <w:pPr>
        <w:pStyle w:val="ListParagraph"/>
        <w:numPr>
          <w:ilvl w:val="0"/>
          <w:numId w:val="41"/>
        </w:numPr>
        <w:spacing w:line="360" w:lineRule="auto"/>
        <w:rPr>
          <w:rFonts w:ascii="Arial" w:hAnsi="Arial" w:cs="Arial"/>
          <w:sz w:val="22"/>
          <w:szCs w:val="22"/>
          <w:lang w:val="en-IN"/>
        </w:rPr>
      </w:pPr>
      <w:r w:rsidRPr="007B29AB">
        <w:rPr>
          <w:rFonts w:ascii="Arial" w:hAnsi="Arial" w:cs="Arial"/>
          <w:sz w:val="22"/>
          <w:szCs w:val="22"/>
          <w:lang w:val="en-IN"/>
        </w:rPr>
        <w:t>Interdisciplinary teamwork development</w:t>
      </w:r>
    </w:p>
    <w:p w14:paraId="6F6B4A08" w14:textId="38AF5FD1" w:rsidR="00197DDB" w:rsidRDefault="007B29AB" w:rsidP="006123AA">
      <w:pPr>
        <w:spacing w:line="360" w:lineRule="auto"/>
        <w:rPr>
          <w:rFonts w:ascii="Arial" w:hAnsi="Arial" w:cs="Arial"/>
          <w:b/>
          <w:bCs/>
          <w:sz w:val="22"/>
          <w:szCs w:val="22"/>
          <w:lang w:val="en-IN"/>
        </w:rPr>
      </w:pPr>
      <w:r w:rsidRPr="007B29AB">
        <w:rPr>
          <w:rFonts w:ascii="Arial" w:hAnsi="Arial" w:cs="Arial"/>
          <w:sz w:val="22"/>
          <w:szCs w:val="22"/>
          <w:lang w:val="en-IN"/>
        </w:rPr>
        <w:t>Staffing numbers are closely related to patient outcomes. According to research, hospitals with appropriate staffing have reduced death rates and better patient safety (Aiken et al., 2014). Training also enhances crisis response and reduces decision-making time.</w:t>
      </w:r>
      <w:r w:rsidRPr="007B29AB">
        <w:rPr>
          <w:rFonts w:ascii="Arial" w:hAnsi="Arial" w:cs="Arial"/>
          <w:sz w:val="22"/>
          <w:szCs w:val="22"/>
          <w:lang w:val="en-IN"/>
        </w:rPr>
        <w:br/>
      </w:r>
      <w:r w:rsidRPr="007B29AB">
        <w:rPr>
          <w:rFonts w:ascii="Arial" w:hAnsi="Arial" w:cs="Arial"/>
          <w:sz w:val="22"/>
          <w:szCs w:val="22"/>
          <w:lang w:val="en-IN"/>
        </w:rPr>
        <w:br/>
        <w:t xml:space="preserve">Six Sigma approach can help to reduce errors in clinical monitoring. Six Sigma aims to reduce variation and improve process reliability. Using Six Sigma in oxygen monitoring </w:t>
      </w:r>
      <w:r w:rsidRPr="007B29AB">
        <w:rPr>
          <w:rFonts w:ascii="Arial" w:hAnsi="Arial" w:cs="Arial"/>
          <w:sz w:val="22"/>
          <w:szCs w:val="22"/>
          <w:lang w:val="en-IN"/>
        </w:rPr>
        <w:lastRenderedPageBreak/>
        <w:t>systems can enable consistent tracking and early detection of shortages (Antony et al., 2018).</w:t>
      </w:r>
      <w:r w:rsidRPr="007B29AB">
        <w:rPr>
          <w:rFonts w:ascii="Arial" w:hAnsi="Arial" w:cs="Arial"/>
          <w:sz w:val="22"/>
          <w:szCs w:val="22"/>
          <w:lang w:val="en-IN"/>
        </w:rPr>
        <w:br/>
        <w:t>The DMAIC framework can be used in:</w:t>
      </w:r>
    </w:p>
    <w:p w14:paraId="3F020DDB" w14:textId="2DB0B70D" w:rsidR="007B29AB" w:rsidRPr="007B29AB" w:rsidRDefault="007B29AB" w:rsidP="006123AA">
      <w:pPr>
        <w:spacing w:line="360" w:lineRule="auto"/>
        <w:rPr>
          <w:rFonts w:ascii="Arial" w:hAnsi="Arial" w:cs="Arial"/>
          <w:sz w:val="22"/>
          <w:szCs w:val="22"/>
          <w:lang w:val="en-IN"/>
        </w:rPr>
      </w:pPr>
      <w:r w:rsidRPr="007B29AB">
        <w:rPr>
          <w:rFonts w:ascii="Arial" w:hAnsi="Arial" w:cs="Arial"/>
          <w:b/>
          <w:bCs/>
          <w:sz w:val="22"/>
          <w:szCs w:val="22"/>
          <w:lang w:val="en-IN"/>
        </w:rPr>
        <w:t>Define:</w:t>
      </w:r>
      <w:r w:rsidRPr="007B29AB">
        <w:rPr>
          <w:rFonts w:ascii="Arial" w:hAnsi="Arial" w:cs="Arial"/>
          <w:sz w:val="22"/>
          <w:szCs w:val="22"/>
          <w:lang w:val="en-IN"/>
        </w:rPr>
        <w:t xml:space="preserve"> Identify oxygen monitoring gaps.</w:t>
      </w:r>
      <w:r w:rsidRPr="007B29AB">
        <w:rPr>
          <w:rFonts w:ascii="Arial" w:hAnsi="Arial" w:cs="Arial"/>
          <w:sz w:val="22"/>
          <w:szCs w:val="22"/>
          <w:lang w:val="en-IN"/>
        </w:rPr>
        <w:br/>
      </w:r>
      <w:r w:rsidRPr="007B29AB">
        <w:rPr>
          <w:rFonts w:ascii="Arial" w:hAnsi="Arial" w:cs="Arial"/>
          <w:b/>
          <w:bCs/>
          <w:sz w:val="22"/>
          <w:szCs w:val="22"/>
          <w:lang w:val="en-IN"/>
        </w:rPr>
        <w:t>Measure</w:t>
      </w:r>
      <w:r w:rsidRPr="007B29AB">
        <w:rPr>
          <w:rFonts w:ascii="Arial" w:hAnsi="Arial" w:cs="Arial"/>
          <w:b/>
          <w:bCs/>
          <w:sz w:val="22"/>
          <w:szCs w:val="22"/>
          <w:lang w:val="en-IN"/>
        </w:rPr>
        <w:t>:</w:t>
      </w:r>
      <w:r w:rsidRPr="007B29AB">
        <w:rPr>
          <w:rFonts w:ascii="Arial" w:hAnsi="Arial" w:cs="Arial"/>
          <w:sz w:val="22"/>
          <w:szCs w:val="22"/>
          <w:lang w:val="en-IN"/>
        </w:rPr>
        <w:t xml:space="preserve"> assess oxygen usage and staff response times</w:t>
      </w:r>
      <w:r w:rsidRPr="007B29AB">
        <w:rPr>
          <w:rFonts w:ascii="Arial" w:hAnsi="Arial" w:cs="Arial"/>
          <w:sz w:val="22"/>
          <w:szCs w:val="22"/>
          <w:lang w:val="en-IN"/>
        </w:rPr>
        <w:br/>
      </w:r>
      <w:r w:rsidRPr="007B29AB">
        <w:rPr>
          <w:rFonts w:ascii="Arial" w:hAnsi="Arial" w:cs="Arial"/>
          <w:b/>
          <w:bCs/>
          <w:sz w:val="22"/>
          <w:szCs w:val="22"/>
          <w:lang w:val="en-IN"/>
        </w:rPr>
        <w:t>Analyse:</w:t>
      </w:r>
      <w:r w:rsidRPr="007B29AB">
        <w:rPr>
          <w:rFonts w:ascii="Arial" w:hAnsi="Arial" w:cs="Arial"/>
          <w:sz w:val="22"/>
          <w:szCs w:val="22"/>
          <w:lang w:val="en-IN"/>
        </w:rPr>
        <w:t xml:space="preserve"> determine the causes of delay.</w:t>
      </w:r>
      <w:r w:rsidRPr="007B29AB">
        <w:rPr>
          <w:rFonts w:ascii="Arial" w:hAnsi="Arial" w:cs="Arial"/>
          <w:sz w:val="22"/>
          <w:szCs w:val="22"/>
          <w:lang w:val="en-IN"/>
        </w:rPr>
        <w:br/>
      </w:r>
      <w:r w:rsidRPr="007B29AB">
        <w:rPr>
          <w:rFonts w:ascii="Arial" w:hAnsi="Arial" w:cs="Arial"/>
          <w:b/>
          <w:bCs/>
          <w:sz w:val="22"/>
          <w:szCs w:val="22"/>
          <w:lang w:val="en-IN"/>
        </w:rPr>
        <w:t>Improve:</w:t>
      </w:r>
      <w:r w:rsidRPr="007B29AB">
        <w:rPr>
          <w:rFonts w:ascii="Arial" w:hAnsi="Arial" w:cs="Arial"/>
          <w:sz w:val="22"/>
          <w:szCs w:val="22"/>
          <w:lang w:val="en-IN"/>
        </w:rPr>
        <w:t xml:space="preserve"> Implement training and monitoring tools.</w:t>
      </w:r>
      <w:r w:rsidRPr="007B29AB">
        <w:rPr>
          <w:rFonts w:ascii="Arial" w:hAnsi="Arial" w:cs="Arial"/>
          <w:sz w:val="22"/>
          <w:szCs w:val="22"/>
          <w:lang w:val="en-IN"/>
        </w:rPr>
        <w:br/>
      </w:r>
      <w:r w:rsidRPr="007B29AB">
        <w:rPr>
          <w:rFonts w:ascii="Arial" w:hAnsi="Arial" w:cs="Arial"/>
          <w:b/>
          <w:bCs/>
          <w:sz w:val="22"/>
          <w:szCs w:val="22"/>
          <w:lang w:val="en-IN"/>
        </w:rPr>
        <w:t>Control:</w:t>
      </w:r>
      <w:r w:rsidRPr="007B29AB">
        <w:rPr>
          <w:rFonts w:ascii="Arial" w:hAnsi="Arial" w:cs="Arial"/>
          <w:sz w:val="22"/>
          <w:szCs w:val="22"/>
          <w:lang w:val="en-IN"/>
        </w:rPr>
        <w:t xml:space="preserve"> Establish performance indicators.</w:t>
      </w:r>
    </w:p>
    <w:p w14:paraId="2F50A2FD" w14:textId="028F4738" w:rsidR="007B29AB" w:rsidRPr="007B29AB" w:rsidRDefault="007B29AB" w:rsidP="006123AA">
      <w:pPr>
        <w:spacing w:line="360" w:lineRule="auto"/>
        <w:rPr>
          <w:rFonts w:ascii="Arial" w:hAnsi="Arial" w:cs="Arial"/>
          <w:sz w:val="22"/>
          <w:szCs w:val="22"/>
        </w:rPr>
      </w:pPr>
      <w:r w:rsidRPr="007B29AB">
        <w:rPr>
          <w:rFonts w:ascii="Arial" w:hAnsi="Arial" w:cs="Arial"/>
          <w:sz w:val="22"/>
          <w:szCs w:val="22"/>
        </w:rPr>
        <w:t>This structured approach improves clinical safety and operational performance.</w:t>
      </w:r>
    </w:p>
    <w:p w14:paraId="4C54F1EE" w14:textId="77777777" w:rsidR="00197DDB" w:rsidRDefault="007B29AB" w:rsidP="006123AA">
      <w:pPr>
        <w:spacing w:line="360" w:lineRule="auto"/>
        <w:rPr>
          <w:rFonts w:ascii="Arial" w:hAnsi="Arial" w:cs="Arial"/>
          <w:b/>
          <w:bCs/>
          <w:sz w:val="22"/>
          <w:szCs w:val="22"/>
          <w:lang w:val="en-IN"/>
        </w:rPr>
      </w:pPr>
      <w:r w:rsidRPr="007B29AB">
        <w:rPr>
          <w:rFonts w:ascii="Arial" w:hAnsi="Arial" w:cs="Arial"/>
          <w:b/>
          <w:bCs/>
          <w:sz w:val="22"/>
          <w:szCs w:val="22"/>
          <w:lang w:val="en-IN"/>
        </w:rPr>
        <w:t>Infrastructure and Equipment Improvements</w:t>
      </w:r>
    </w:p>
    <w:p w14:paraId="7E2556DE" w14:textId="3649E7F8" w:rsidR="007B29AB" w:rsidRPr="007B29AB" w:rsidRDefault="007B29AB" w:rsidP="006123AA">
      <w:pPr>
        <w:spacing w:line="360" w:lineRule="auto"/>
        <w:rPr>
          <w:rFonts w:ascii="Arial" w:hAnsi="Arial" w:cs="Arial"/>
          <w:sz w:val="22"/>
          <w:szCs w:val="22"/>
          <w:lang w:val="en-IN"/>
        </w:rPr>
      </w:pPr>
      <w:r w:rsidRPr="007B29AB">
        <w:rPr>
          <w:rFonts w:ascii="Arial" w:hAnsi="Arial" w:cs="Arial"/>
          <w:sz w:val="22"/>
          <w:szCs w:val="22"/>
          <w:lang w:val="en-IN"/>
        </w:rPr>
        <w:t>The Gorakhpur case exposed poor oxygen infrastructure and backup mechanisms. Healthcare facilities must invest in a strong infrastructure to ensure continuity of care.</w:t>
      </w:r>
      <w:r w:rsidRPr="007B29AB">
        <w:rPr>
          <w:rFonts w:ascii="Arial" w:hAnsi="Arial" w:cs="Arial"/>
          <w:sz w:val="22"/>
          <w:szCs w:val="22"/>
          <w:lang w:val="en-IN"/>
        </w:rPr>
        <w:br/>
      </w:r>
      <w:r w:rsidRPr="007B29AB">
        <w:rPr>
          <w:rFonts w:ascii="Arial" w:hAnsi="Arial" w:cs="Arial"/>
          <w:sz w:val="22"/>
          <w:szCs w:val="22"/>
          <w:lang w:val="en-IN"/>
        </w:rPr>
        <w:br/>
        <w:t>Recommended improvements include:</w:t>
      </w:r>
    </w:p>
    <w:p w14:paraId="13909AA6" w14:textId="2222D0F3" w:rsidR="007B29AB" w:rsidRPr="007B29AB" w:rsidRDefault="007B29AB" w:rsidP="006123AA">
      <w:pPr>
        <w:pStyle w:val="ListParagraph"/>
        <w:numPr>
          <w:ilvl w:val="0"/>
          <w:numId w:val="43"/>
        </w:numPr>
        <w:spacing w:line="360" w:lineRule="auto"/>
        <w:rPr>
          <w:rFonts w:ascii="Arial" w:hAnsi="Arial" w:cs="Arial"/>
          <w:sz w:val="22"/>
          <w:szCs w:val="22"/>
          <w:lang w:val="en-IN"/>
        </w:rPr>
      </w:pPr>
      <w:r w:rsidRPr="007B29AB">
        <w:rPr>
          <w:rFonts w:ascii="Arial" w:hAnsi="Arial" w:cs="Arial"/>
          <w:sz w:val="22"/>
          <w:szCs w:val="22"/>
          <w:lang w:val="en-IN"/>
        </w:rPr>
        <w:t xml:space="preserve">Installation of central oxygen monitoring systems </w:t>
      </w:r>
    </w:p>
    <w:p w14:paraId="2D899884" w14:textId="4F6165ED" w:rsidR="007B29AB" w:rsidRPr="007B29AB" w:rsidRDefault="007B29AB" w:rsidP="006123AA">
      <w:pPr>
        <w:pStyle w:val="ListParagraph"/>
        <w:numPr>
          <w:ilvl w:val="0"/>
          <w:numId w:val="43"/>
        </w:numPr>
        <w:spacing w:line="360" w:lineRule="auto"/>
        <w:rPr>
          <w:rFonts w:ascii="Arial" w:hAnsi="Arial" w:cs="Arial"/>
          <w:sz w:val="22"/>
          <w:szCs w:val="22"/>
          <w:lang w:val="en-IN"/>
        </w:rPr>
      </w:pPr>
      <w:r w:rsidRPr="007B29AB">
        <w:rPr>
          <w:rFonts w:ascii="Arial" w:hAnsi="Arial" w:cs="Arial"/>
          <w:sz w:val="22"/>
          <w:szCs w:val="22"/>
          <w:lang w:val="en-IN"/>
        </w:rPr>
        <w:t xml:space="preserve">Backup oxygen pipelines </w:t>
      </w:r>
    </w:p>
    <w:p w14:paraId="12ACBB00" w14:textId="65ECC01B" w:rsidR="007B29AB" w:rsidRPr="007B29AB" w:rsidRDefault="007B29AB" w:rsidP="006123AA">
      <w:pPr>
        <w:pStyle w:val="ListParagraph"/>
        <w:numPr>
          <w:ilvl w:val="0"/>
          <w:numId w:val="43"/>
        </w:numPr>
        <w:spacing w:line="360" w:lineRule="auto"/>
        <w:rPr>
          <w:rFonts w:ascii="Arial" w:hAnsi="Arial" w:cs="Arial"/>
          <w:sz w:val="22"/>
          <w:szCs w:val="22"/>
          <w:lang w:val="en-IN"/>
        </w:rPr>
      </w:pPr>
      <w:r w:rsidRPr="007B29AB">
        <w:rPr>
          <w:rFonts w:ascii="Arial" w:hAnsi="Arial" w:cs="Arial"/>
          <w:sz w:val="22"/>
          <w:szCs w:val="22"/>
          <w:lang w:val="en-IN"/>
        </w:rPr>
        <w:t xml:space="preserve">High-capacity oxygen storage tanks </w:t>
      </w:r>
    </w:p>
    <w:p w14:paraId="078EA793" w14:textId="622A869D" w:rsidR="007B29AB" w:rsidRPr="007B29AB" w:rsidRDefault="007B29AB" w:rsidP="006123AA">
      <w:pPr>
        <w:pStyle w:val="ListParagraph"/>
        <w:numPr>
          <w:ilvl w:val="0"/>
          <w:numId w:val="43"/>
        </w:numPr>
        <w:spacing w:line="360" w:lineRule="auto"/>
        <w:rPr>
          <w:rFonts w:ascii="Arial" w:hAnsi="Arial" w:cs="Arial"/>
          <w:sz w:val="22"/>
          <w:szCs w:val="22"/>
          <w:lang w:val="en-IN"/>
        </w:rPr>
      </w:pPr>
      <w:r w:rsidRPr="007B29AB">
        <w:rPr>
          <w:rFonts w:ascii="Arial" w:hAnsi="Arial" w:cs="Arial"/>
          <w:sz w:val="22"/>
          <w:szCs w:val="22"/>
          <w:lang w:val="en-IN"/>
        </w:rPr>
        <w:t xml:space="preserve">Portable oxygen cylinder reserves </w:t>
      </w:r>
    </w:p>
    <w:p w14:paraId="731D84C5" w14:textId="435488A0" w:rsidR="007B29AB" w:rsidRPr="007B29AB" w:rsidRDefault="007B29AB" w:rsidP="006123AA">
      <w:pPr>
        <w:pStyle w:val="ListParagraph"/>
        <w:numPr>
          <w:ilvl w:val="0"/>
          <w:numId w:val="43"/>
        </w:numPr>
        <w:spacing w:line="360" w:lineRule="auto"/>
        <w:rPr>
          <w:rFonts w:ascii="Arial" w:hAnsi="Arial" w:cs="Arial"/>
          <w:sz w:val="22"/>
          <w:szCs w:val="22"/>
          <w:lang w:val="en-IN"/>
        </w:rPr>
      </w:pPr>
      <w:r w:rsidRPr="007B29AB">
        <w:rPr>
          <w:rFonts w:ascii="Arial" w:hAnsi="Arial" w:cs="Arial"/>
          <w:sz w:val="22"/>
          <w:szCs w:val="22"/>
          <w:lang w:val="en-IN"/>
        </w:rPr>
        <w:t>Preventive maintenance programs</w:t>
      </w:r>
    </w:p>
    <w:p w14:paraId="5237644E" w14:textId="77777777" w:rsidR="00197DDB" w:rsidRDefault="007B29AB" w:rsidP="006123AA">
      <w:pPr>
        <w:spacing w:line="360" w:lineRule="auto"/>
        <w:rPr>
          <w:rFonts w:ascii="Arial" w:hAnsi="Arial" w:cs="Arial"/>
          <w:b/>
          <w:bCs/>
          <w:sz w:val="22"/>
          <w:szCs w:val="22"/>
          <w:lang w:val="en-IN"/>
        </w:rPr>
      </w:pPr>
      <w:r w:rsidRPr="007B29AB">
        <w:rPr>
          <w:rFonts w:ascii="Arial" w:hAnsi="Arial" w:cs="Arial"/>
          <w:sz w:val="22"/>
          <w:szCs w:val="22"/>
          <w:lang w:val="en-IN"/>
        </w:rPr>
        <w:t>Infrastructure investment increases healthcare resiliency. According to Kruk et al. (2018), insufficient infrastructure is a key cause of unnecessary deaths in low-resource healthcare facilities. Strengthening physical resources improves service capacity and patient safety.</w:t>
      </w:r>
      <w:r w:rsidRPr="007B29AB">
        <w:rPr>
          <w:rFonts w:ascii="Arial" w:hAnsi="Arial" w:cs="Arial"/>
          <w:sz w:val="22"/>
          <w:szCs w:val="22"/>
          <w:lang w:val="en-IN"/>
        </w:rPr>
        <w:br/>
      </w:r>
      <w:r w:rsidRPr="007B29AB">
        <w:rPr>
          <w:rFonts w:ascii="Arial" w:hAnsi="Arial" w:cs="Arial"/>
          <w:sz w:val="22"/>
          <w:szCs w:val="22"/>
          <w:lang w:val="en-IN"/>
        </w:rPr>
        <w:br/>
        <w:t>Lean principles can also aid in equipment management. Standardised maintenance schedules decrease equipment breakdowns and assure preparedness in an emergency.</w:t>
      </w:r>
      <w:r w:rsidRPr="007B29AB">
        <w:rPr>
          <w:rFonts w:ascii="Arial" w:hAnsi="Arial" w:cs="Arial"/>
          <w:sz w:val="22"/>
          <w:szCs w:val="22"/>
          <w:lang w:val="en-IN"/>
        </w:rPr>
        <w:br/>
      </w:r>
      <w:r w:rsidRPr="007B29AB">
        <w:rPr>
          <w:rFonts w:ascii="Arial" w:hAnsi="Arial" w:cs="Arial"/>
          <w:sz w:val="22"/>
          <w:szCs w:val="22"/>
          <w:lang w:val="en-IN"/>
        </w:rPr>
        <w:br/>
      </w:r>
      <w:r w:rsidRPr="007B29AB">
        <w:rPr>
          <w:rFonts w:ascii="Arial" w:hAnsi="Arial" w:cs="Arial"/>
          <w:b/>
          <w:bCs/>
          <w:sz w:val="22"/>
          <w:szCs w:val="22"/>
          <w:lang w:val="en-IN"/>
        </w:rPr>
        <w:t>Emergency preparedness and risk management.</w:t>
      </w:r>
    </w:p>
    <w:p w14:paraId="0C772671" w14:textId="320FDBA1" w:rsidR="007B29AB" w:rsidRPr="007B29AB" w:rsidRDefault="007B29AB" w:rsidP="006123AA">
      <w:pPr>
        <w:spacing w:line="360" w:lineRule="auto"/>
        <w:rPr>
          <w:rFonts w:ascii="Arial" w:hAnsi="Arial" w:cs="Arial"/>
          <w:sz w:val="22"/>
          <w:szCs w:val="22"/>
          <w:lang w:val="en-IN"/>
        </w:rPr>
      </w:pPr>
      <w:r w:rsidRPr="007B29AB">
        <w:rPr>
          <w:rFonts w:ascii="Arial" w:hAnsi="Arial" w:cs="Arial"/>
          <w:sz w:val="22"/>
          <w:szCs w:val="22"/>
          <w:lang w:val="en-IN"/>
        </w:rPr>
        <w:t>The lack of contingency planning severely exacerbated the disaster. Hospitals must establish emergency preparedness frameworks in order to successfully respond to service disruptions.</w:t>
      </w:r>
      <w:r w:rsidRPr="007B29AB">
        <w:rPr>
          <w:rFonts w:ascii="Arial" w:hAnsi="Arial" w:cs="Arial"/>
          <w:sz w:val="22"/>
          <w:szCs w:val="22"/>
          <w:lang w:val="en-IN"/>
        </w:rPr>
        <w:br/>
        <w:t>Key strategies include:</w:t>
      </w:r>
    </w:p>
    <w:p w14:paraId="7F174E53" w14:textId="4E749DE5" w:rsidR="007B29AB" w:rsidRPr="007B29AB" w:rsidRDefault="007B29AB" w:rsidP="006123AA">
      <w:pPr>
        <w:pStyle w:val="ListParagraph"/>
        <w:numPr>
          <w:ilvl w:val="0"/>
          <w:numId w:val="45"/>
        </w:numPr>
        <w:spacing w:line="360" w:lineRule="auto"/>
        <w:rPr>
          <w:rFonts w:ascii="Arial" w:hAnsi="Arial" w:cs="Arial"/>
          <w:sz w:val="22"/>
          <w:szCs w:val="22"/>
          <w:lang w:val="en-IN"/>
        </w:rPr>
      </w:pPr>
      <w:r w:rsidRPr="007B29AB">
        <w:rPr>
          <w:rFonts w:ascii="Arial" w:hAnsi="Arial" w:cs="Arial"/>
          <w:sz w:val="22"/>
          <w:szCs w:val="22"/>
          <w:lang w:val="en-IN"/>
        </w:rPr>
        <w:t xml:space="preserve">Oxygen shortage contingency plans </w:t>
      </w:r>
    </w:p>
    <w:p w14:paraId="3C24BFC3" w14:textId="67622E8E" w:rsidR="007B29AB" w:rsidRPr="007B29AB" w:rsidRDefault="007B29AB" w:rsidP="006123AA">
      <w:pPr>
        <w:pStyle w:val="ListParagraph"/>
        <w:numPr>
          <w:ilvl w:val="0"/>
          <w:numId w:val="45"/>
        </w:numPr>
        <w:spacing w:line="360" w:lineRule="auto"/>
        <w:rPr>
          <w:rFonts w:ascii="Arial" w:hAnsi="Arial" w:cs="Arial"/>
          <w:sz w:val="22"/>
          <w:szCs w:val="22"/>
          <w:lang w:val="en-IN"/>
        </w:rPr>
      </w:pPr>
      <w:r w:rsidRPr="007B29AB">
        <w:rPr>
          <w:rFonts w:ascii="Arial" w:hAnsi="Arial" w:cs="Arial"/>
          <w:sz w:val="22"/>
          <w:szCs w:val="22"/>
          <w:lang w:val="en-IN"/>
        </w:rPr>
        <w:t xml:space="preserve">Emergency response protocols </w:t>
      </w:r>
    </w:p>
    <w:p w14:paraId="68DD6E2F" w14:textId="50B3AF85" w:rsidR="007B29AB" w:rsidRPr="007B29AB" w:rsidRDefault="007B29AB" w:rsidP="006123AA">
      <w:pPr>
        <w:pStyle w:val="ListParagraph"/>
        <w:numPr>
          <w:ilvl w:val="0"/>
          <w:numId w:val="45"/>
        </w:numPr>
        <w:spacing w:line="360" w:lineRule="auto"/>
        <w:rPr>
          <w:rFonts w:ascii="Arial" w:hAnsi="Arial" w:cs="Arial"/>
          <w:sz w:val="22"/>
          <w:szCs w:val="22"/>
          <w:lang w:val="en-IN"/>
        </w:rPr>
      </w:pPr>
      <w:r w:rsidRPr="007B29AB">
        <w:rPr>
          <w:rFonts w:ascii="Arial" w:hAnsi="Arial" w:cs="Arial"/>
          <w:sz w:val="22"/>
          <w:szCs w:val="22"/>
          <w:lang w:val="en-IN"/>
        </w:rPr>
        <w:lastRenderedPageBreak/>
        <w:t xml:space="preserve">Rapid escalation systems </w:t>
      </w:r>
    </w:p>
    <w:p w14:paraId="11D8F2D2" w14:textId="5265C6A4" w:rsidR="007B29AB" w:rsidRPr="007B29AB" w:rsidRDefault="007B29AB" w:rsidP="006123AA">
      <w:pPr>
        <w:pStyle w:val="ListParagraph"/>
        <w:numPr>
          <w:ilvl w:val="0"/>
          <w:numId w:val="45"/>
        </w:numPr>
        <w:spacing w:line="360" w:lineRule="auto"/>
        <w:rPr>
          <w:rFonts w:ascii="Arial" w:hAnsi="Arial" w:cs="Arial"/>
          <w:sz w:val="22"/>
          <w:szCs w:val="22"/>
          <w:lang w:val="en-IN"/>
        </w:rPr>
      </w:pPr>
      <w:r w:rsidRPr="007B29AB">
        <w:rPr>
          <w:rFonts w:ascii="Arial" w:hAnsi="Arial" w:cs="Arial"/>
          <w:sz w:val="22"/>
          <w:szCs w:val="22"/>
          <w:lang w:val="en-IN"/>
        </w:rPr>
        <w:t xml:space="preserve">Crisis leadership roles </w:t>
      </w:r>
    </w:p>
    <w:p w14:paraId="32247E61" w14:textId="77777777" w:rsidR="00197DDB" w:rsidRDefault="007B29AB" w:rsidP="006123AA">
      <w:pPr>
        <w:pStyle w:val="ListParagraph"/>
        <w:numPr>
          <w:ilvl w:val="0"/>
          <w:numId w:val="45"/>
        </w:numPr>
        <w:spacing w:line="360" w:lineRule="auto"/>
        <w:rPr>
          <w:rFonts w:ascii="Arial" w:hAnsi="Arial" w:cs="Arial"/>
          <w:sz w:val="22"/>
          <w:szCs w:val="22"/>
          <w:lang w:val="en-IN"/>
        </w:rPr>
      </w:pPr>
      <w:r w:rsidRPr="007B29AB">
        <w:rPr>
          <w:rFonts w:ascii="Arial" w:hAnsi="Arial" w:cs="Arial"/>
          <w:sz w:val="22"/>
          <w:szCs w:val="22"/>
          <w:lang w:val="en-IN"/>
        </w:rPr>
        <w:t>Simulation-based emergency training</w:t>
      </w:r>
    </w:p>
    <w:p w14:paraId="1595BE19" w14:textId="0E2D31C9" w:rsidR="00197DDB" w:rsidRDefault="007B29AB" w:rsidP="00197DDB">
      <w:pPr>
        <w:spacing w:line="360" w:lineRule="auto"/>
        <w:rPr>
          <w:rFonts w:ascii="Arial" w:hAnsi="Arial" w:cs="Arial"/>
          <w:sz w:val="22"/>
          <w:szCs w:val="22"/>
          <w:lang w:val="en-IN"/>
        </w:rPr>
      </w:pPr>
      <w:r w:rsidRPr="00197DDB">
        <w:rPr>
          <w:rFonts w:ascii="Arial" w:hAnsi="Arial" w:cs="Arial"/>
          <w:sz w:val="22"/>
          <w:szCs w:val="22"/>
          <w:lang w:val="en-IN"/>
        </w:rPr>
        <w:t>The Institute for Healthcare Improvement views proactive risk management and contingency planning as critical components of patient safety (IHI, 2017). Emergency preparedness boosts organisational resilience and decreases negative consequences.</w:t>
      </w:r>
      <w:r w:rsidRPr="00197DDB">
        <w:rPr>
          <w:rFonts w:ascii="Arial" w:hAnsi="Arial" w:cs="Arial"/>
          <w:sz w:val="22"/>
          <w:szCs w:val="22"/>
          <w:lang w:val="en-IN"/>
        </w:rPr>
        <w:br/>
        <w:t>The PDSA cycle can be used in emergency planning.</w:t>
      </w:r>
      <w:r w:rsidRPr="00197DDB">
        <w:rPr>
          <w:rFonts w:ascii="Arial" w:hAnsi="Arial" w:cs="Arial"/>
          <w:sz w:val="22"/>
          <w:szCs w:val="22"/>
          <w:lang w:val="en-IN"/>
        </w:rPr>
        <w:br/>
      </w:r>
      <w:r w:rsidRPr="00197DDB">
        <w:rPr>
          <w:rFonts w:ascii="Arial" w:hAnsi="Arial" w:cs="Arial"/>
          <w:sz w:val="22"/>
          <w:szCs w:val="22"/>
          <w:lang w:val="en-IN"/>
        </w:rPr>
        <w:br/>
        <w:t>Plan: Develop an oxygen shortage response plan.</w:t>
      </w:r>
      <w:r w:rsidRPr="00197DDB">
        <w:rPr>
          <w:rFonts w:ascii="Arial" w:hAnsi="Arial" w:cs="Arial"/>
          <w:sz w:val="22"/>
          <w:szCs w:val="22"/>
          <w:lang w:val="en-IN"/>
        </w:rPr>
        <w:br/>
        <w:t>Do: Implement simulation exercises.</w:t>
      </w:r>
      <w:r w:rsidRPr="00197DDB">
        <w:rPr>
          <w:rFonts w:ascii="Arial" w:hAnsi="Arial" w:cs="Arial"/>
          <w:sz w:val="22"/>
          <w:szCs w:val="22"/>
          <w:lang w:val="en-IN"/>
        </w:rPr>
        <w:br/>
        <w:t>Study: Evaluate response efficacy.</w:t>
      </w:r>
      <w:r w:rsidRPr="00197DDB">
        <w:rPr>
          <w:rFonts w:ascii="Arial" w:hAnsi="Arial" w:cs="Arial"/>
          <w:sz w:val="22"/>
          <w:szCs w:val="22"/>
          <w:lang w:val="en-IN"/>
        </w:rPr>
        <w:br/>
        <w:t>Act: refine emergency procedures.</w:t>
      </w:r>
      <w:r w:rsidRPr="00197DDB">
        <w:rPr>
          <w:rFonts w:ascii="Arial" w:hAnsi="Arial" w:cs="Arial"/>
          <w:sz w:val="22"/>
          <w:szCs w:val="22"/>
          <w:lang w:val="en-IN"/>
        </w:rPr>
        <w:br/>
        <w:t>Continuous PDSA cycles enable businesses to test and enhance their crisis management techniques.</w:t>
      </w:r>
      <w:r w:rsidRPr="00197DDB">
        <w:rPr>
          <w:rFonts w:ascii="Arial" w:hAnsi="Arial" w:cs="Arial"/>
          <w:sz w:val="22"/>
          <w:szCs w:val="22"/>
          <w:lang w:val="en-IN"/>
        </w:rPr>
        <w:br/>
      </w:r>
    </w:p>
    <w:p w14:paraId="0D197F0F" w14:textId="77777777" w:rsidR="00197DDB" w:rsidRDefault="007B29AB" w:rsidP="00197DDB">
      <w:pPr>
        <w:spacing w:line="360" w:lineRule="auto"/>
        <w:rPr>
          <w:rFonts w:ascii="Arial" w:hAnsi="Arial" w:cs="Arial"/>
          <w:b/>
          <w:bCs/>
          <w:sz w:val="22"/>
          <w:szCs w:val="22"/>
          <w:lang w:val="en-IN"/>
        </w:rPr>
      </w:pPr>
      <w:r w:rsidRPr="00197DDB">
        <w:rPr>
          <w:rFonts w:ascii="Arial" w:hAnsi="Arial" w:cs="Arial"/>
          <w:b/>
          <w:bCs/>
          <w:sz w:val="22"/>
          <w:szCs w:val="22"/>
          <w:lang w:val="en-IN"/>
        </w:rPr>
        <w:t>Enhanced Governance and Leadership</w:t>
      </w:r>
    </w:p>
    <w:p w14:paraId="3848F859" w14:textId="62630DE9" w:rsidR="007B29AB" w:rsidRPr="00197DDB" w:rsidRDefault="007B29AB" w:rsidP="00197DDB">
      <w:pPr>
        <w:spacing w:line="360" w:lineRule="auto"/>
        <w:rPr>
          <w:rFonts w:ascii="Arial" w:hAnsi="Arial" w:cs="Arial"/>
          <w:sz w:val="22"/>
          <w:szCs w:val="22"/>
          <w:lang w:val="en-IN"/>
        </w:rPr>
      </w:pPr>
      <w:r w:rsidRPr="00197DDB">
        <w:rPr>
          <w:rFonts w:ascii="Arial" w:hAnsi="Arial" w:cs="Arial"/>
          <w:sz w:val="22"/>
          <w:szCs w:val="22"/>
          <w:lang w:val="en-IN"/>
        </w:rPr>
        <w:t>Weak administrative control contributed to the delay in decision-making. Effective governance is critical to quality improvement and accountability.</w:t>
      </w:r>
    </w:p>
    <w:p w14:paraId="09436C41" w14:textId="77777777" w:rsidR="007B29AB" w:rsidRPr="007B29AB" w:rsidRDefault="007B29AB" w:rsidP="006123AA">
      <w:pPr>
        <w:spacing w:line="360" w:lineRule="auto"/>
        <w:rPr>
          <w:rFonts w:ascii="Arial" w:hAnsi="Arial" w:cs="Arial"/>
          <w:sz w:val="22"/>
          <w:szCs w:val="22"/>
          <w:lang w:val="en-IN"/>
        </w:rPr>
      </w:pPr>
      <w:r w:rsidRPr="007B29AB">
        <w:rPr>
          <w:rFonts w:ascii="Arial" w:hAnsi="Arial" w:cs="Arial"/>
          <w:sz w:val="22"/>
          <w:szCs w:val="22"/>
          <w:lang w:val="en-IN"/>
        </w:rPr>
        <w:t>Recommended governance reforms include:</w:t>
      </w:r>
    </w:p>
    <w:p w14:paraId="11133F3F" w14:textId="77777777" w:rsidR="007B29AB" w:rsidRPr="007B29AB" w:rsidRDefault="007B29AB" w:rsidP="006123AA">
      <w:pPr>
        <w:pStyle w:val="ListParagraph"/>
        <w:numPr>
          <w:ilvl w:val="0"/>
          <w:numId w:val="49"/>
        </w:numPr>
        <w:spacing w:line="360" w:lineRule="auto"/>
        <w:rPr>
          <w:rFonts w:ascii="Arial" w:hAnsi="Arial" w:cs="Arial"/>
          <w:sz w:val="22"/>
          <w:szCs w:val="22"/>
          <w:lang w:val="en-IN"/>
        </w:rPr>
      </w:pPr>
      <w:r w:rsidRPr="007B29AB">
        <w:rPr>
          <w:rFonts w:ascii="Arial" w:hAnsi="Arial" w:cs="Arial"/>
          <w:sz w:val="22"/>
          <w:szCs w:val="22"/>
          <w:lang w:val="en-IN"/>
        </w:rPr>
        <w:t xml:space="preserve">Clear accountability structures </w:t>
      </w:r>
    </w:p>
    <w:p w14:paraId="03FD4813" w14:textId="77777777" w:rsidR="007B29AB" w:rsidRPr="007B29AB" w:rsidRDefault="007B29AB" w:rsidP="006123AA">
      <w:pPr>
        <w:pStyle w:val="ListParagraph"/>
        <w:numPr>
          <w:ilvl w:val="0"/>
          <w:numId w:val="49"/>
        </w:numPr>
        <w:spacing w:line="360" w:lineRule="auto"/>
        <w:rPr>
          <w:rFonts w:ascii="Arial" w:hAnsi="Arial" w:cs="Arial"/>
          <w:sz w:val="22"/>
          <w:szCs w:val="22"/>
          <w:lang w:val="en-IN"/>
        </w:rPr>
      </w:pPr>
      <w:r w:rsidRPr="007B29AB">
        <w:rPr>
          <w:rFonts w:ascii="Arial" w:hAnsi="Arial" w:cs="Arial"/>
          <w:sz w:val="22"/>
          <w:szCs w:val="22"/>
          <w:lang w:val="en-IN"/>
        </w:rPr>
        <w:t xml:space="preserve">Quality assurance committees </w:t>
      </w:r>
    </w:p>
    <w:p w14:paraId="4E3953D4" w14:textId="77777777" w:rsidR="007B29AB" w:rsidRPr="007B29AB" w:rsidRDefault="007B29AB" w:rsidP="006123AA">
      <w:pPr>
        <w:pStyle w:val="ListParagraph"/>
        <w:numPr>
          <w:ilvl w:val="0"/>
          <w:numId w:val="49"/>
        </w:numPr>
        <w:spacing w:line="360" w:lineRule="auto"/>
        <w:rPr>
          <w:rFonts w:ascii="Arial" w:hAnsi="Arial" w:cs="Arial"/>
          <w:sz w:val="22"/>
          <w:szCs w:val="22"/>
          <w:lang w:val="en-IN"/>
        </w:rPr>
      </w:pPr>
      <w:r w:rsidRPr="007B29AB">
        <w:rPr>
          <w:rFonts w:ascii="Arial" w:hAnsi="Arial" w:cs="Arial"/>
          <w:sz w:val="22"/>
          <w:szCs w:val="22"/>
          <w:lang w:val="en-IN"/>
        </w:rPr>
        <w:t xml:space="preserve">Risk management teams </w:t>
      </w:r>
    </w:p>
    <w:p w14:paraId="7573B878" w14:textId="77777777" w:rsidR="007B29AB" w:rsidRPr="007B29AB" w:rsidRDefault="007B29AB" w:rsidP="006123AA">
      <w:pPr>
        <w:pStyle w:val="ListParagraph"/>
        <w:numPr>
          <w:ilvl w:val="0"/>
          <w:numId w:val="49"/>
        </w:numPr>
        <w:spacing w:line="360" w:lineRule="auto"/>
        <w:rPr>
          <w:rFonts w:ascii="Arial" w:hAnsi="Arial" w:cs="Arial"/>
          <w:sz w:val="22"/>
          <w:szCs w:val="22"/>
          <w:lang w:val="en-IN"/>
        </w:rPr>
      </w:pPr>
      <w:r w:rsidRPr="007B29AB">
        <w:rPr>
          <w:rFonts w:ascii="Arial" w:hAnsi="Arial" w:cs="Arial"/>
          <w:sz w:val="22"/>
          <w:szCs w:val="22"/>
          <w:lang w:val="en-IN"/>
        </w:rPr>
        <w:t xml:space="preserve">Incident reporting systems </w:t>
      </w:r>
    </w:p>
    <w:p w14:paraId="303BE7BC" w14:textId="79A2CBDC" w:rsidR="007B29AB" w:rsidRPr="007B29AB" w:rsidRDefault="007B29AB" w:rsidP="006123AA">
      <w:pPr>
        <w:pStyle w:val="ListParagraph"/>
        <w:numPr>
          <w:ilvl w:val="0"/>
          <w:numId w:val="49"/>
        </w:numPr>
        <w:spacing w:line="360" w:lineRule="auto"/>
        <w:rPr>
          <w:rFonts w:ascii="Arial" w:hAnsi="Arial" w:cs="Arial"/>
          <w:sz w:val="22"/>
          <w:szCs w:val="22"/>
          <w:lang w:val="en-IN"/>
        </w:rPr>
      </w:pPr>
      <w:r w:rsidRPr="007B29AB">
        <w:rPr>
          <w:rFonts w:ascii="Arial" w:hAnsi="Arial" w:cs="Arial"/>
          <w:sz w:val="22"/>
          <w:szCs w:val="22"/>
          <w:lang w:val="en-IN"/>
        </w:rPr>
        <w:t>Leadership training programs</w:t>
      </w:r>
    </w:p>
    <w:p w14:paraId="7271943A" w14:textId="3AFBAF71" w:rsidR="007B29AB" w:rsidRPr="007B29AB" w:rsidRDefault="007B29AB" w:rsidP="006123AA">
      <w:pPr>
        <w:spacing w:after="0" w:line="360" w:lineRule="auto"/>
        <w:rPr>
          <w:rFonts w:ascii="Arial" w:eastAsia="Times New Roman" w:hAnsi="Arial" w:cs="Arial"/>
          <w:kern w:val="0"/>
          <w:sz w:val="22"/>
          <w:szCs w:val="22"/>
          <w:lang w:val="en-IN" w:eastAsia="en-IN"/>
          <w14:ligatures w14:val="none"/>
        </w:rPr>
      </w:pPr>
      <w:r w:rsidRPr="007B29AB">
        <w:rPr>
          <w:rFonts w:ascii="Arial" w:eastAsia="Times New Roman" w:hAnsi="Arial" w:cs="Arial"/>
          <w:kern w:val="0"/>
          <w:sz w:val="22"/>
          <w:szCs w:val="22"/>
          <w:lang w:val="en-IN" w:eastAsia="en-IN"/>
          <w14:ligatures w14:val="none"/>
        </w:rPr>
        <w:t>Strong leadership enhances both healthcare outcomes and organisational performance. According to research, increased leadership participation is directly related to improved patient safety.</w:t>
      </w:r>
      <w:r w:rsidRPr="007B29AB">
        <w:rPr>
          <w:rFonts w:ascii="Arial" w:eastAsia="Times New Roman" w:hAnsi="Arial" w:cs="Arial"/>
          <w:kern w:val="0"/>
          <w:sz w:val="22"/>
          <w:szCs w:val="22"/>
          <w:lang w:val="en-IN" w:eastAsia="en-IN"/>
          <w14:ligatures w14:val="none"/>
        </w:rPr>
        <w:br/>
        <w:t>Clinical governance systems should be created to monitor quality indicators, such as:</w:t>
      </w:r>
    </w:p>
    <w:p w14:paraId="56A9EA2D" w14:textId="77777777" w:rsidR="007B29AB" w:rsidRPr="007B29AB" w:rsidRDefault="007B29AB" w:rsidP="006123AA">
      <w:pPr>
        <w:pStyle w:val="ListParagraph"/>
        <w:numPr>
          <w:ilvl w:val="0"/>
          <w:numId w:val="51"/>
        </w:numPr>
        <w:spacing w:after="0" w:line="360" w:lineRule="auto"/>
        <w:rPr>
          <w:rFonts w:ascii="Arial" w:eastAsia="Times New Roman" w:hAnsi="Arial" w:cs="Arial"/>
          <w:kern w:val="0"/>
          <w:sz w:val="22"/>
          <w:szCs w:val="22"/>
          <w:lang w:val="en-IN" w:eastAsia="en-IN"/>
          <w14:ligatures w14:val="none"/>
        </w:rPr>
      </w:pPr>
      <w:r w:rsidRPr="007B29AB">
        <w:rPr>
          <w:rFonts w:ascii="Arial" w:hAnsi="Arial" w:cs="Arial"/>
          <w:sz w:val="22"/>
          <w:szCs w:val="22"/>
          <w:lang w:val="en-IN"/>
        </w:rPr>
        <w:t xml:space="preserve">oxygen availability </w:t>
      </w:r>
    </w:p>
    <w:p w14:paraId="40061024" w14:textId="77777777" w:rsidR="007B29AB" w:rsidRPr="007B29AB" w:rsidRDefault="007B29AB" w:rsidP="006123AA">
      <w:pPr>
        <w:pStyle w:val="ListParagraph"/>
        <w:numPr>
          <w:ilvl w:val="0"/>
          <w:numId w:val="51"/>
        </w:numPr>
        <w:spacing w:after="0" w:line="360" w:lineRule="auto"/>
        <w:rPr>
          <w:rFonts w:ascii="Arial" w:eastAsia="Times New Roman" w:hAnsi="Arial" w:cs="Arial"/>
          <w:kern w:val="0"/>
          <w:sz w:val="22"/>
          <w:szCs w:val="22"/>
          <w:lang w:val="en-IN" w:eastAsia="en-IN"/>
          <w14:ligatures w14:val="none"/>
        </w:rPr>
      </w:pPr>
      <w:r w:rsidRPr="007B29AB">
        <w:rPr>
          <w:rFonts w:ascii="Arial" w:hAnsi="Arial" w:cs="Arial"/>
          <w:sz w:val="22"/>
          <w:szCs w:val="22"/>
          <w:lang w:val="en-IN"/>
        </w:rPr>
        <w:t xml:space="preserve">patient mortality rates </w:t>
      </w:r>
    </w:p>
    <w:p w14:paraId="2DCCABA3" w14:textId="77777777" w:rsidR="007B29AB" w:rsidRPr="007B29AB" w:rsidRDefault="007B29AB" w:rsidP="006123AA">
      <w:pPr>
        <w:pStyle w:val="ListParagraph"/>
        <w:numPr>
          <w:ilvl w:val="0"/>
          <w:numId w:val="51"/>
        </w:numPr>
        <w:spacing w:after="0" w:line="360" w:lineRule="auto"/>
        <w:rPr>
          <w:rFonts w:ascii="Arial" w:eastAsia="Times New Roman" w:hAnsi="Arial" w:cs="Arial"/>
          <w:kern w:val="0"/>
          <w:sz w:val="22"/>
          <w:szCs w:val="22"/>
          <w:lang w:val="en-IN" w:eastAsia="en-IN"/>
          <w14:ligatures w14:val="none"/>
        </w:rPr>
      </w:pPr>
      <w:r w:rsidRPr="007B29AB">
        <w:rPr>
          <w:rFonts w:ascii="Arial" w:hAnsi="Arial" w:cs="Arial"/>
          <w:sz w:val="22"/>
          <w:szCs w:val="22"/>
          <w:lang w:val="en-IN"/>
        </w:rPr>
        <w:t xml:space="preserve">staffing levels </w:t>
      </w:r>
    </w:p>
    <w:p w14:paraId="5302BDF7" w14:textId="0DBD2F4F" w:rsidR="007B29AB" w:rsidRPr="007B29AB" w:rsidRDefault="007B29AB" w:rsidP="006123AA">
      <w:pPr>
        <w:pStyle w:val="ListParagraph"/>
        <w:numPr>
          <w:ilvl w:val="0"/>
          <w:numId w:val="51"/>
        </w:numPr>
        <w:spacing w:after="0" w:line="360" w:lineRule="auto"/>
        <w:rPr>
          <w:rFonts w:ascii="Arial" w:eastAsia="Times New Roman" w:hAnsi="Arial" w:cs="Arial"/>
          <w:kern w:val="0"/>
          <w:sz w:val="22"/>
          <w:szCs w:val="22"/>
          <w:lang w:val="en-IN" w:eastAsia="en-IN"/>
          <w14:ligatures w14:val="none"/>
        </w:rPr>
      </w:pPr>
      <w:r w:rsidRPr="007B29AB">
        <w:rPr>
          <w:rFonts w:ascii="Arial" w:hAnsi="Arial" w:cs="Arial"/>
          <w:sz w:val="22"/>
          <w:szCs w:val="22"/>
          <w:lang w:val="en-IN"/>
        </w:rPr>
        <w:t xml:space="preserve">emergency response times </w:t>
      </w:r>
    </w:p>
    <w:p w14:paraId="65850A9D" w14:textId="77777777" w:rsidR="00197DDB" w:rsidRDefault="007B29AB" w:rsidP="006123AA">
      <w:pPr>
        <w:spacing w:line="360" w:lineRule="auto"/>
        <w:rPr>
          <w:rFonts w:ascii="Arial" w:hAnsi="Arial" w:cs="Arial"/>
          <w:sz w:val="22"/>
          <w:szCs w:val="22"/>
          <w:lang w:val="en-IN"/>
        </w:rPr>
      </w:pPr>
      <w:r w:rsidRPr="007B29AB">
        <w:rPr>
          <w:rFonts w:ascii="Arial" w:hAnsi="Arial" w:cs="Arial"/>
          <w:sz w:val="22"/>
          <w:szCs w:val="22"/>
          <w:lang w:val="en-IN"/>
        </w:rPr>
        <w:t>Regular audits ensure continuous improvement.</w:t>
      </w:r>
    </w:p>
    <w:p w14:paraId="16D6F061" w14:textId="61466B08" w:rsidR="007B29AB" w:rsidRPr="007B29AB" w:rsidRDefault="007B29AB" w:rsidP="006123AA">
      <w:pPr>
        <w:spacing w:line="360" w:lineRule="auto"/>
        <w:rPr>
          <w:rFonts w:ascii="Arial" w:hAnsi="Arial" w:cs="Arial"/>
          <w:sz w:val="22"/>
          <w:szCs w:val="22"/>
          <w:lang w:val="en-IN"/>
        </w:rPr>
      </w:pPr>
      <w:r w:rsidRPr="007B29AB">
        <w:rPr>
          <w:rFonts w:ascii="Arial" w:hAnsi="Arial" w:cs="Arial"/>
          <w:b/>
          <w:bCs/>
          <w:sz w:val="22"/>
          <w:szCs w:val="22"/>
          <w:lang w:val="en-IN"/>
        </w:rPr>
        <w:lastRenderedPageBreak/>
        <w:t>Policy-Level Recommendations</w:t>
      </w:r>
    </w:p>
    <w:p w14:paraId="4ED072DC" w14:textId="77777777" w:rsidR="007B29AB" w:rsidRPr="007B29AB" w:rsidRDefault="007B29AB" w:rsidP="006123AA">
      <w:pPr>
        <w:spacing w:line="360" w:lineRule="auto"/>
        <w:rPr>
          <w:rFonts w:ascii="Arial" w:hAnsi="Arial" w:cs="Arial"/>
          <w:sz w:val="22"/>
          <w:szCs w:val="22"/>
          <w:lang w:val="en-IN"/>
        </w:rPr>
      </w:pPr>
      <w:r w:rsidRPr="007B29AB">
        <w:rPr>
          <w:rFonts w:ascii="Arial" w:hAnsi="Arial" w:cs="Arial"/>
          <w:sz w:val="22"/>
          <w:szCs w:val="22"/>
          <w:lang w:val="en-IN"/>
        </w:rPr>
        <w:t>Healthcare policymakers must also implement system-level improvements.</w:t>
      </w:r>
    </w:p>
    <w:p w14:paraId="2DD32F8D" w14:textId="77777777" w:rsidR="007B29AB" w:rsidRPr="007B29AB" w:rsidRDefault="007B29AB" w:rsidP="006123AA">
      <w:pPr>
        <w:spacing w:line="360" w:lineRule="auto"/>
        <w:rPr>
          <w:rFonts w:ascii="Arial" w:hAnsi="Arial" w:cs="Arial"/>
          <w:sz w:val="22"/>
          <w:szCs w:val="22"/>
          <w:lang w:val="en-IN"/>
        </w:rPr>
      </w:pPr>
      <w:r w:rsidRPr="007B29AB">
        <w:rPr>
          <w:rFonts w:ascii="Arial" w:hAnsi="Arial" w:cs="Arial"/>
          <w:sz w:val="22"/>
          <w:szCs w:val="22"/>
          <w:lang w:val="en-IN"/>
        </w:rPr>
        <w:t>These include:</w:t>
      </w:r>
    </w:p>
    <w:p w14:paraId="2163A57D" w14:textId="77777777" w:rsidR="007B29AB" w:rsidRPr="007B29AB" w:rsidRDefault="007B29AB" w:rsidP="006123AA">
      <w:pPr>
        <w:pStyle w:val="ListParagraph"/>
        <w:numPr>
          <w:ilvl w:val="0"/>
          <w:numId w:val="53"/>
        </w:numPr>
        <w:spacing w:line="360" w:lineRule="auto"/>
        <w:rPr>
          <w:rFonts w:ascii="Arial" w:hAnsi="Arial" w:cs="Arial"/>
          <w:sz w:val="22"/>
          <w:szCs w:val="22"/>
          <w:lang w:val="en-IN"/>
        </w:rPr>
      </w:pPr>
      <w:r w:rsidRPr="007B29AB">
        <w:rPr>
          <w:rFonts w:ascii="Arial" w:hAnsi="Arial" w:cs="Arial"/>
          <w:sz w:val="22"/>
          <w:szCs w:val="22"/>
          <w:lang w:val="en-IN"/>
        </w:rPr>
        <w:t xml:space="preserve">National oxygen supply standards </w:t>
      </w:r>
    </w:p>
    <w:p w14:paraId="48D9579F" w14:textId="77777777" w:rsidR="007B29AB" w:rsidRPr="007B29AB" w:rsidRDefault="007B29AB" w:rsidP="006123AA">
      <w:pPr>
        <w:pStyle w:val="ListParagraph"/>
        <w:numPr>
          <w:ilvl w:val="0"/>
          <w:numId w:val="53"/>
        </w:numPr>
        <w:spacing w:line="360" w:lineRule="auto"/>
        <w:rPr>
          <w:rFonts w:ascii="Arial" w:hAnsi="Arial" w:cs="Arial"/>
          <w:sz w:val="22"/>
          <w:szCs w:val="22"/>
          <w:lang w:val="en-IN"/>
        </w:rPr>
      </w:pPr>
      <w:r w:rsidRPr="007B29AB">
        <w:rPr>
          <w:rFonts w:ascii="Arial" w:hAnsi="Arial" w:cs="Arial"/>
          <w:sz w:val="22"/>
          <w:szCs w:val="22"/>
          <w:lang w:val="en-IN"/>
        </w:rPr>
        <w:t xml:space="preserve">mandatory emergency reserves </w:t>
      </w:r>
    </w:p>
    <w:p w14:paraId="419A7321" w14:textId="77777777" w:rsidR="007B29AB" w:rsidRPr="007B29AB" w:rsidRDefault="007B29AB" w:rsidP="006123AA">
      <w:pPr>
        <w:pStyle w:val="ListParagraph"/>
        <w:numPr>
          <w:ilvl w:val="0"/>
          <w:numId w:val="53"/>
        </w:numPr>
        <w:spacing w:line="360" w:lineRule="auto"/>
        <w:rPr>
          <w:rFonts w:ascii="Arial" w:hAnsi="Arial" w:cs="Arial"/>
          <w:sz w:val="22"/>
          <w:szCs w:val="22"/>
          <w:lang w:val="en-IN"/>
        </w:rPr>
      </w:pPr>
      <w:r w:rsidRPr="007B29AB">
        <w:rPr>
          <w:rFonts w:ascii="Arial" w:hAnsi="Arial" w:cs="Arial"/>
          <w:sz w:val="22"/>
          <w:szCs w:val="22"/>
          <w:lang w:val="en-IN"/>
        </w:rPr>
        <w:t xml:space="preserve">healthcare infrastructure funding </w:t>
      </w:r>
    </w:p>
    <w:p w14:paraId="04034336" w14:textId="77777777" w:rsidR="007B29AB" w:rsidRPr="007B29AB" w:rsidRDefault="007B29AB" w:rsidP="006123AA">
      <w:pPr>
        <w:pStyle w:val="ListParagraph"/>
        <w:numPr>
          <w:ilvl w:val="0"/>
          <w:numId w:val="53"/>
        </w:numPr>
        <w:spacing w:line="360" w:lineRule="auto"/>
        <w:rPr>
          <w:rFonts w:ascii="Arial" w:hAnsi="Arial" w:cs="Arial"/>
          <w:sz w:val="22"/>
          <w:szCs w:val="22"/>
          <w:lang w:val="en-IN"/>
        </w:rPr>
      </w:pPr>
      <w:r w:rsidRPr="007B29AB">
        <w:rPr>
          <w:rFonts w:ascii="Arial" w:hAnsi="Arial" w:cs="Arial"/>
          <w:sz w:val="22"/>
          <w:szCs w:val="22"/>
          <w:lang w:val="en-IN"/>
        </w:rPr>
        <w:t xml:space="preserve">workforce planning policies </w:t>
      </w:r>
    </w:p>
    <w:p w14:paraId="723DC2A6" w14:textId="1AE5FC0D" w:rsidR="007B29AB" w:rsidRPr="007B29AB" w:rsidRDefault="007B29AB" w:rsidP="006123AA">
      <w:pPr>
        <w:pStyle w:val="ListParagraph"/>
        <w:numPr>
          <w:ilvl w:val="0"/>
          <w:numId w:val="53"/>
        </w:numPr>
        <w:spacing w:line="360" w:lineRule="auto"/>
        <w:rPr>
          <w:rFonts w:ascii="Arial" w:hAnsi="Arial" w:cs="Arial"/>
          <w:sz w:val="22"/>
          <w:szCs w:val="22"/>
          <w:lang w:val="en-IN"/>
        </w:rPr>
      </w:pPr>
      <w:r w:rsidRPr="007B29AB">
        <w:rPr>
          <w:rFonts w:ascii="Arial" w:hAnsi="Arial" w:cs="Arial"/>
          <w:sz w:val="22"/>
          <w:szCs w:val="22"/>
          <w:lang w:val="en-IN"/>
        </w:rPr>
        <w:t xml:space="preserve">digital supply chain systems </w:t>
      </w:r>
    </w:p>
    <w:p w14:paraId="1B2A2819" w14:textId="4DFA10BF" w:rsidR="007B29AB" w:rsidRDefault="007B29AB" w:rsidP="006123AA">
      <w:pPr>
        <w:spacing w:line="360" w:lineRule="auto"/>
        <w:rPr>
          <w:rFonts w:ascii="Arial" w:hAnsi="Arial" w:cs="Arial"/>
          <w:sz w:val="22"/>
          <w:szCs w:val="22"/>
          <w:lang w:val="en-IN"/>
        </w:rPr>
      </w:pPr>
      <w:r w:rsidRPr="007B29AB">
        <w:rPr>
          <w:rFonts w:ascii="Arial" w:hAnsi="Arial" w:cs="Arial"/>
          <w:sz w:val="22"/>
          <w:szCs w:val="22"/>
          <w:lang w:val="en-IN"/>
        </w:rPr>
        <w:t>Policy reform is necessary to prevent recurrence. High-quality health systems require coordinated investment, governance, and monitoring mechanisms (Kruk et al., 2018).</w:t>
      </w:r>
    </w:p>
    <w:p w14:paraId="681509CF" w14:textId="77777777" w:rsidR="00D01E5C" w:rsidRDefault="00D01E5C" w:rsidP="006123AA">
      <w:pPr>
        <w:spacing w:line="360" w:lineRule="auto"/>
        <w:rPr>
          <w:rFonts w:ascii="Arial" w:hAnsi="Arial" w:cs="Arial"/>
          <w:sz w:val="22"/>
          <w:szCs w:val="22"/>
          <w:lang w:val="en-IN"/>
        </w:rPr>
      </w:pPr>
    </w:p>
    <w:p w14:paraId="4AAD498C" w14:textId="77777777" w:rsidR="00D01E5C" w:rsidRPr="00805664" w:rsidRDefault="00F21595" w:rsidP="00805664">
      <w:pPr>
        <w:spacing w:line="360" w:lineRule="auto"/>
        <w:rPr>
          <w:rStyle w:val="Heading1Char"/>
          <w:lang w:val="en-IN"/>
        </w:rPr>
      </w:pPr>
      <w:bookmarkStart w:id="3" w:name="_Toc226008590"/>
      <w:r w:rsidRPr="00805664">
        <w:rPr>
          <w:rStyle w:val="Heading1Char"/>
          <w:lang w:val="en-IN"/>
        </w:rPr>
        <w:t>Conclusion</w:t>
      </w:r>
      <w:bookmarkEnd w:id="3"/>
      <w:r w:rsidRPr="00805664">
        <w:rPr>
          <w:rStyle w:val="Heading1Char"/>
          <w:lang w:val="en-IN"/>
        </w:rPr>
        <w:t xml:space="preserve"> </w:t>
      </w:r>
    </w:p>
    <w:p w14:paraId="3B18898A" w14:textId="4D8A38AE" w:rsidR="00F21595" w:rsidRPr="00D01E5C" w:rsidRDefault="00F21595" w:rsidP="00D01E5C">
      <w:pPr>
        <w:spacing w:line="360" w:lineRule="auto"/>
        <w:rPr>
          <w:rFonts w:ascii="Arial" w:hAnsi="Arial" w:cs="Arial"/>
          <w:sz w:val="22"/>
          <w:szCs w:val="22"/>
          <w:lang w:val="en-IN"/>
        </w:rPr>
      </w:pPr>
      <w:r w:rsidRPr="00D01E5C">
        <w:rPr>
          <w:rFonts w:ascii="Arial" w:hAnsi="Arial" w:cs="Arial"/>
          <w:sz w:val="22"/>
          <w:szCs w:val="22"/>
          <w:lang w:val="en-IN"/>
        </w:rPr>
        <w:t>The Gorakhpur BRD Medical College oxygen supply issue is a major failure in healthcare quality, governance, and service delivery. The tragedy highlighted how systemic flaws in supply chain management, financial governance, staffing, infrastructure, and emergency readiness can all contribute to devastating patient outcomes. The disruption of oxygen supply, along with delayed administrative response and insufficient contingency planning, resulted in avoidable deaths, showing flaws in both organisational and policy-level healthcare systems (Indian Journal of Medical Ethics, 2018).</w:t>
      </w:r>
      <w:r w:rsidRPr="00D01E5C">
        <w:rPr>
          <w:rFonts w:ascii="Arial" w:hAnsi="Arial" w:cs="Arial"/>
          <w:sz w:val="22"/>
          <w:szCs w:val="22"/>
          <w:lang w:val="en-IN"/>
        </w:rPr>
        <w:br/>
      </w:r>
      <w:r w:rsidRPr="00D01E5C">
        <w:rPr>
          <w:rFonts w:ascii="Arial" w:hAnsi="Arial" w:cs="Arial"/>
          <w:sz w:val="22"/>
          <w:szCs w:val="22"/>
          <w:lang w:val="en-IN"/>
        </w:rPr>
        <w:br/>
        <w:t>Using quality improvement frameworks such as Root Cause investigation, Fishbone Diagram, and Donabedian Model, the investigation discovered shortcomings in structural, process, and outcome dimensions. Inadequate oxygen infrastructure, insufficient staffing, and a limited ICU capacity were among the structural shortcomings.</w:t>
      </w:r>
      <w:r w:rsidRPr="00D01E5C">
        <w:rPr>
          <w:rFonts w:ascii="Arial" w:hAnsi="Arial" w:cs="Arial"/>
          <w:sz w:val="22"/>
          <w:szCs w:val="22"/>
          <w:lang w:val="en-IN"/>
        </w:rPr>
        <w:t xml:space="preserve"> </w:t>
      </w:r>
      <w:r w:rsidRPr="00D01E5C">
        <w:rPr>
          <w:rFonts w:ascii="Arial" w:hAnsi="Arial" w:cs="Arial"/>
          <w:sz w:val="22"/>
          <w:szCs w:val="22"/>
          <w:lang w:val="en-IN"/>
        </w:rPr>
        <w:t>Delays in supplier payments, weak monitoring systems, and ineffective escalation procedures were all examples of process failures. These shortcomings eventually led to negative consequences, such as worsening of critically ill patients and increased death (Donabedian, 1988).</w:t>
      </w:r>
      <w:r w:rsidRPr="00D01E5C">
        <w:rPr>
          <w:rFonts w:ascii="Arial" w:hAnsi="Arial" w:cs="Arial"/>
          <w:sz w:val="22"/>
          <w:szCs w:val="22"/>
          <w:lang w:val="en-IN"/>
        </w:rPr>
        <w:br/>
      </w:r>
      <w:r w:rsidRPr="00D01E5C">
        <w:rPr>
          <w:rFonts w:ascii="Arial" w:hAnsi="Arial" w:cs="Arial"/>
          <w:sz w:val="22"/>
          <w:szCs w:val="22"/>
          <w:lang w:val="en-IN"/>
        </w:rPr>
        <w:br/>
        <w:t xml:space="preserve">The case also emphasises the value of systems thinking in healthcare quality improvement. The crisis unfolded as a series of failures, starting with financial delays and progressing to supply disruption, resource shortages, and delayed clinical action. This chain reaction demonstrates how inadequacies in one component of healthcare systems can have a rapid impact on entire service delivery (Senge, 2006). Furthermore, weak governance and </w:t>
      </w:r>
      <w:r w:rsidRPr="00D01E5C">
        <w:rPr>
          <w:rFonts w:ascii="Arial" w:hAnsi="Arial" w:cs="Arial"/>
          <w:sz w:val="22"/>
          <w:szCs w:val="22"/>
          <w:lang w:val="en-IN"/>
        </w:rPr>
        <w:lastRenderedPageBreak/>
        <w:t>leadership contributed to sluggish decision-making and a lack of responsibility, emphasising the importance of robust clinical governance frameworks and risk management techniques (West et al., 2015).</w:t>
      </w:r>
    </w:p>
    <w:p w14:paraId="4FE910B3" w14:textId="77777777" w:rsidR="00F21595" w:rsidRPr="00F21595" w:rsidRDefault="00F21595" w:rsidP="006123AA">
      <w:pPr>
        <w:spacing w:line="360" w:lineRule="auto"/>
        <w:rPr>
          <w:rFonts w:ascii="Arial" w:hAnsi="Arial" w:cs="Arial"/>
          <w:sz w:val="22"/>
          <w:szCs w:val="22"/>
          <w:lang w:val="en-IN"/>
        </w:rPr>
      </w:pPr>
      <w:r w:rsidRPr="00F21595">
        <w:rPr>
          <w:rFonts w:ascii="Arial" w:hAnsi="Arial" w:cs="Arial"/>
          <w:sz w:val="22"/>
          <w:szCs w:val="22"/>
          <w:lang w:val="en-IN"/>
        </w:rPr>
        <w:t>The report's recommendations prioritise building oxygen supply resilience, improving financial oversight, increasing staff capacity, investing in infrastructure, and creating emergency preparedness frameworks. Quality improvement tools like PDSA, PDCA, Lean, and Six Sigma offer organised approaches for delivering long-term service changes. These actions are consistent with global healthcare quality standards that emphasise patient safety, the reliability of critical services, and ongoing monitoring (WHO, 2020).</w:t>
      </w:r>
      <w:r w:rsidRPr="00F21595">
        <w:rPr>
          <w:rFonts w:ascii="Arial" w:hAnsi="Arial" w:cs="Arial"/>
          <w:sz w:val="22"/>
          <w:szCs w:val="22"/>
          <w:lang w:val="en-IN"/>
        </w:rPr>
        <w:br/>
      </w:r>
      <w:r w:rsidRPr="00F21595">
        <w:rPr>
          <w:rFonts w:ascii="Arial" w:hAnsi="Arial" w:cs="Arial"/>
          <w:sz w:val="22"/>
          <w:szCs w:val="22"/>
          <w:lang w:val="en-IN"/>
        </w:rPr>
        <w:br/>
        <w:t>Finally, the Gorakhpur tragedy emphasises the critical need for integrated hospital quality management systems underpinned by strong governance, strategic planning, and continual improvement. Addressing these systemic flaws is critical to preventing recurrence and ensuring safe, efficient, and equitable healthcare delivery.</w:t>
      </w:r>
    </w:p>
    <w:p w14:paraId="022ACE9B" w14:textId="37615943" w:rsidR="00F21595" w:rsidRPr="00F21595" w:rsidRDefault="00F21595" w:rsidP="006123AA">
      <w:pPr>
        <w:spacing w:line="360" w:lineRule="auto"/>
        <w:rPr>
          <w:rFonts w:ascii="Arial" w:hAnsi="Arial" w:cs="Arial"/>
          <w:sz w:val="22"/>
          <w:szCs w:val="22"/>
          <w:lang w:val="en-IN"/>
        </w:rPr>
      </w:pPr>
    </w:p>
    <w:p w14:paraId="2F32B465" w14:textId="77777777" w:rsidR="007B29AB" w:rsidRPr="007B29AB" w:rsidRDefault="007B29AB" w:rsidP="006123AA">
      <w:pPr>
        <w:spacing w:line="360" w:lineRule="auto"/>
        <w:rPr>
          <w:rFonts w:ascii="Arial" w:hAnsi="Arial" w:cs="Arial"/>
          <w:sz w:val="22"/>
          <w:szCs w:val="22"/>
          <w:lang w:val="en-IN"/>
        </w:rPr>
      </w:pPr>
    </w:p>
    <w:p w14:paraId="68A20AAE" w14:textId="77777777" w:rsidR="007B29AB" w:rsidRDefault="007B29AB" w:rsidP="006123AA">
      <w:pPr>
        <w:spacing w:line="360" w:lineRule="auto"/>
        <w:rPr>
          <w:rFonts w:ascii="Arial" w:hAnsi="Arial" w:cs="Arial"/>
          <w:sz w:val="22"/>
          <w:szCs w:val="22"/>
        </w:rPr>
      </w:pPr>
    </w:p>
    <w:p w14:paraId="2F067DBC" w14:textId="77777777" w:rsidR="00FD2AC7" w:rsidRDefault="00FD2AC7" w:rsidP="006123AA">
      <w:pPr>
        <w:spacing w:line="360" w:lineRule="auto"/>
        <w:rPr>
          <w:rFonts w:ascii="Arial" w:hAnsi="Arial" w:cs="Arial"/>
          <w:sz w:val="22"/>
          <w:szCs w:val="22"/>
        </w:rPr>
      </w:pPr>
    </w:p>
    <w:p w14:paraId="04929931" w14:textId="77777777" w:rsidR="00FD2AC7" w:rsidRDefault="00FD2AC7" w:rsidP="006123AA">
      <w:pPr>
        <w:spacing w:line="360" w:lineRule="auto"/>
        <w:rPr>
          <w:rFonts w:ascii="Arial" w:hAnsi="Arial" w:cs="Arial"/>
          <w:sz w:val="22"/>
          <w:szCs w:val="22"/>
        </w:rPr>
      </w:pPr>
    </w:p>
    <w:p w14:paraId="62336AEE" w14:textId="77777777" w:rsidR="00FD2AC7" w:rsidRDefault="00FD2AC7" w:rsidP="006123AA">
      <w:pPr>
        <w:spacing w:line="360" w:lineRule="auto"/>
        <w:rPr>
          <w:rFonts w:ascii="Arial" w:hAnsi="Arial" w:cs="Arial"/>
          <w:sz w:val="22"/>
          <w:szCs w:val="22"/>
        </w:rPr>
      </w:pPr>
    </w:p>
    <w:p w14:paraId="59A7D354" w14:textId="77777777" w:rsidR="00FD2AC7" w:rsidRDefault="00FD2AC7" w:rsidP="006123AA">
      <w:pPr>
        <w:spacing w:line="360" w:lineRule="auto"/>
        <w:rPr>
          <w:rFonts w:ascii="Arial" w:hAnsi="Arial" w:cs="Arial"/>
          <w:sz w:val="22"/>
          <w:szCs w:val="22"/>
        </w:rPr>
      </w:pPr>
    </w:p>
    <w:p w14:paraId="71C61843" w14:textId="77777777" w:rsidR="00FD2AC7" w:rsidRDefault="00FD2AC7" w:rsidP="006123AA">
      <w:pPr>
        <w:spacing w:line="360" w:lineRule="auto"/>
        <w:rPr>
          <w:rFonts w:ascii="Arial" w:hAnsi="Arial" w:cs="Arial"/>
          <w:sz w:val="22"/>
          <w:szCs w:val="22"/>
        </w:rPr>
      </w:pPr>
    </w:p>
    <w:p w14:paraId="5AB01B12" w14:textId="77777777" w:rsidR="00FD2AC7" w:rsidRDefault="00FD2AC7" w:rsidP="006123AA">
      <w:pPr>
        <w:spacing w:line="360" w:lineRule="auto"/>
        <w:rPr>
          <w:rFonts w:ascii="Arial" w:hAnsi="Arial" w:cs="Arial"/>
          <w:sz w:val="22"/>
          <w:szCs w:val="22"/>
        </w:rPr>
      </w:pPr>
    </w:p>
    <w:p w14:paraId="1B029252" w14:textId="77777777" w:rsidR="00FD2AC7" w:rsidRDefault="00FD2AC7" w:rsidP="006123AA">
      <w:pPr>
        <w:spacing w:line="360" w:lineRule="auto"/>
        <w:rPr>
          <w:rFonts w:ascii="Arial" w:hAnsi="Arial" w:cs="Arial"/>
          <w:sz w:val="22"/>
          <w:szCs w:val="22"/>
        </w:rPr>
      </w:pPr>
    </w:p>
    <w:p w14:paraId="6DB3C3E7" w14:textId="77777777" w:rsidR="00D01E5C" w:rsidRDefault="00D01E5C" w:rsidP="006123AA">
      <w:pPr>
        <w:spacing w:line="360" w:lineRule="auto"/>
        <w:rPr>
          <w:rFonts w:ascii="Arial" w:hAnsi="Arial" w:cs="Arial"/>
          <w:sz w:val="22"/>
          <w:szCs w:val="22"/>
        </w:rPr>
      </w:pPr>
    </w:p>
    <w:p w14:paraId="0D09EC1E" w14:textId="77777777" w:rsidR="00197DDB" w:rsidRDefault="00197DDB" w:rsidP="006123AA">
      <w:pPr>
        <w:spacing w:line="360" w:lineRule="auto"/>
        <w:rPr>
          <w:rFonts w:ascii="Arial" w:hAnsi="Arial" w:cs="Arial"/>
          <w:sz w:val="22"/>
          <w:szCs w:val="22"/>
        </w:rPr>
      </w:pPr>
    </w:p>
    <w:p w14:paraId="4CBC22ED" w14:textId="77777777" w:rsidR="00D01E5C" w:rsidRPr="00D01E5C" w:rsidRDefault="00FD2AC7" w:rsidP="00805664">
      <w:pPr>
        <w:pStyle w:val="Heading1"/>
        <w:ind w:left="360"/>
        <w:rPr>
          <w:lang w:val="en-IN"/>
        </w:rPr>
      </w:pPr>
      <w:bookmarkStart w:id="4" w:name="_Toc226008591"/>
      <w:r w:rsidRPr="00D01E5C">
        <w:rPr>
          <w:lang w:val="en-IN"/>
        </w:rPr>
        <w:lastRenderedPageBreak/>
        <w:t>REFERENCES</w:t>
      </w:r>
      <w:bookmarkEnd w:id="4"/>
      <w:r w:rsidRPr="00D01E5C">
        <w:rPr>
          <w:lang w:val="en-IN"/>
        </w:rPr>
        <w:t xml:space="preserve"> </w:t>
      </w:r>
    </w:p>
    <w:p w14:paraId="2F7D6566" w14:textId="619C858B" w:rsidR="00FD2AC7" w:rsidRPr="00D01E5C" w:rsidRDefault="00FD2AC7" w:rsidP="00D01E5C">
      <w:pPr>
        <w:pStyle w:val="ListParagraph"/>
        <w:numPr>
          <w:ilvl w:val="0"/>
          <w:numId w:val="56"/>
        </w:numPr>
        <w:spacing w:line="360" w:lineRule="auto"/>
        <w:rPr>
          <w:rFonts w:ascii="Arial" w:hAnsi="Arial" w:cs="Arial"/>
          <w:sz w:val="22"/>
          <w:szCs w:val="22"/>
          <w:lang w:val="en-IN"/>
        </w:rPr>
      </w:pPr>
      <w:r w:rsidRPr="00D01E5C">
        <w:rPr>
          <w:rFonts w:ascii="Arial" w:hAnsi="Arial" w:cs="Arial"/>
          <w:sz w:val="22"/>
          <w:szCs w:val="22"/>
          <w:lang w:val="en-IN"/>
        </w:rPr>
        <w:t xml:space="preserve">Aiken, L. et al. (2014) ‘Nurse staffing and education and hospital mortality’, </w:t>
      </w:r>
      <w:r w:rsidRPr="00D01E5C">
        <w:rPr>
          <w:rFonts w:ascii="Arial" w:hAnsi="Arial" w:cs="Arial"/>
          <w:i/>
          <w:iCs/>
          <w:sz w:val="22"/>
          <w:szCs w:val="22"/>
          <w:lang w:val="en-IN"/>
        </w:rPr>
        <w:t>The Lancet</w:t>
      </w:r>
      <w:r w:rsidRPr="00D01E5C">
        <w:rPr>
          <w:rFonts w:ascii="Arial" w:hAnsi="Arial" w:cs="Arial"/>
          <w:sz w:val="22"/>
          <w:szCs w:val="22"/>
          <w:lang w:val="en-IN"/>
        </w:rPr>
        <w:t>.</w:t>
      </w:r>
      <w:r w:rsidRPr="00D01E5C">
        <w:rPr>
          <w:rFonts w:ascii="Arial" w:hAnsi="Arial" w:cs="Arial"/>
          <w:sz w:val="22"/>
          <w:szCs w:val="22"/>
          <w:lang w:val="en-IN"/>
        </w:rPr>
        <w:br/>
        <w:t>https://doi.org/10.1016/S0140-6736(13)62631-8</w:t>
      </w:r>
    </w:p>
    <w:p w14:paraId="78A7C1D5" w14:textId="77777777" w:rsidR="00FD2AC7" w:rsidRPr="00FD2AC7" w:rsidRDefault="00FD2AC7" w:rsidP="006123AA">
      <w:pPr>
        <w:pStyle w:val="ListParagraph"/>
        <w:numPr>
          <w:ilvl w:val="0"/>
          <w:numId w:val="38"/>
        </w:numPr>
        <w:spacing w:line="360" w:lineRule="auto"/>
        <w:rPr>
          <w:rFonts w:ascii="Arial" w:hAnsi="Arial" w:cs="Arial"/>
          <w:sz w:val="22"/>
          <w:szCs w:val="22"/>
          <w:lang w:val="en-IN"/>
        </w:rPr>
      </w:pPr>
      <w:r w:rsidRPr="00FD2AC7">
        <w:rPr>
          <w:rFonts w:ascii="Arial" w:hAnsi="Arial" w:cs="Arial"/>
          <w:sz w:val="22"/>
          <w:szCs w:val="22"/>
          <w:lang w:val="en-IN"/>
        </w:rPr>
        <w:t xml:space="preserve">Berwick, D. (2016) </w:t>
      </w:r>
      <w:r w:rsidRPr="00FD2AC7">
        <w:rPr>
          <w:rFonts w:ascii="Arial" w:hAnsi="Arial" w:cs="Arial"/>
          <w:i/>
          <w:iCs/>
          <w:sz w:val="22"/>
          <w:szCs w:val="22"/>
          <w:lang w:val="en-IN"/>
        </w:rPr>
        <w:t>Era 3 for medicine and healthcare</w:t>
      </w:r>
      <w:r w:rsidRPr="00FD2AC7">
        <w:rPr>
          <w:rFonts w:ascii="Arial" w:hAnsi="Arial" w:cs="Arial"/>
          <w:sz w:val="22"/>
          <w:szCs w:val="22"/>
          <w:lang w:val="en-IN"/>
        </w:rPr>
        <w:t>.</w:t>
      </w:r>
      <w:r w:rsidRPr="00FD2AC7">
        <w:rPr>
          <w:rFonts w:ascii="Arial" w:hAnsi="Arial" w:cs="Arial"/>
          <w:sz w:val="22"/>
          <w:szCs w:val="22"/>
          <w:lang w:val="en-IN"/>
        </w:rPr>
        <w:br/>
        <w:t>https://www.ncbi.nlm.nih.gov/pmc/articles/PMC4975711/</w:t>
      </w:r>
    </w:p>
    <w:p w14:paraId="56C40908" w14:textId="77777777" w:rsidR="00FD2AC7" w:rsidRPr="00FD2AC7" w:rsidRDefault="00FD2AC7" w:rsidP="006123AA">
      <w:pPr>
        <w:pStyle w:val="ListParagraph"/>
        <w:numPr>
          <w:ilvl w:val="0"/>
          <w:numId w:val="38"/>
        </w:numPr>
        <w:spacing w:line="360" w:lineRule="auto"/>
        <w:rPr>
          <w:rFonts w:ascii="Arial" w:hAnsi="Arial" w:cs="Arial"/>
          <w:sz w:val="22"/>
          <w:szCs w:val="22"/>
          <w:lang w:val="en-IN"/>
        </w:rPr>
      </w:pPr>
      <w:r w:rsidRPr="00FD2AC7">
        <w:rPr>
          <w:rFonts w:ascii="Arial" w:hAnsi="Arial" w:cs="Arial"/>
          <w:sz w:val="22"/>
          <w:szCs w:val="22"/>
          <w:lang w:val="en-IN"/>
        </w:rPr>
        <w:t xml:space="preserve">Donabedian, A. (1988) ‘The quality of care: How can it be assessed?’, </w:t>
      </w:r>
      <w:r w:rsidRPr="00FD2AC7">
        <w:rPr>
          <w:rFonts w:ascii="Arial" w:hAnsi="Arial" w:cs="Arial"/>
          <w:i/>
          <w:iCs/>
          <w:sz w:val="22"/>
          <w:szCs w:val="22"/>
          <w:lang w:val="en-IN"/>
        </w:rPr>
        <w:t>JAMA</w:t>
      </w:r>
      <w:r w:rsidRPr="00FD2AC7">
        <w:rPr>
          <w:rFonts w:ascii="Arial" w:hAnsi="Arial" w:cs="Arial"/>
          <w:sz w:val="22"/>
          <w:szCs w:val="22"/>
          <w:lang w:val="en-IN"/>
        </w:rPr>
        <w:t>.</w:t>
      </w:r>
      <w:r w:rsidRPr="00FD2AC7">
        <w:rPr>
          <w:rFonts w:ascii="Arial" w:hAnsi="Arial" w:cs="Arial"/>
          <w:sz w:val="22"/>
          <w:szCs w:val="22"/>
          <w:lang w:val="en-IN"/>
        </w:rPr>
        <w:br/>
      </w:r>
      <w:hyperlink r:id="rId10" w:tgtFrame="_new" w:history="1">
        <w:r w:rsidRPr="00FD2AC7">
          <w:rPr>
            <w:rStyle w:val="Hyperlink"/>
            <w:rFonts w:ascii="Arial" w:hAnsi="Arial" w:cs="Arial"/>
            <w:sz w:val="22"/>
            <w:szCs w:val="22"/>
            <w:lang w:val="en-IN"/>
          </w:rPr>
          <w:t>https://jamanetwork.com/journals/jama/article-abstract/374139</w:t>
        </w:r>
      </w:hyperlink>
    </w:p>
    <w:p w14:paraId="399B4D1A" w14:textId="77777777" w:rsidR="00FD2AC7" w:rsidRPr="00FD2AC7" w:rsidRDefault="00FD2AC7" w:rsidP="006123AA">
      <w:pPr>
        <w:pStyle w:val="ListParagraph"/>
        <w:numPr>
          <w:ilvl w:val="0"/>
          <w:numId w:val="38"/>
        </w:numPr>
        <w:spacing w:line="360" w:lineRule="auto"/>
        <w:rPr>
          <w:rFonts w:ascii="Arial" w:hAnsi="Arial" w:cs="Arial"/>
          <w:sz w:val="22"/>
          <w:szCs w:val="22"/>
          <w:lang w:val="en-IN"/>
        </w:rPr>
      </w:pPr>
      <w:r w:rsidRPr="00FD2AC7">
        <w:rPr>
          <w:rFonts w:ascii="Arial" w:hAnsi="Arial" w:cs="Arial"/>
          <w:sz w:val="22"/>
          <w:szCs w:val="22"/>
          <w:lang w:val="en-IN"/>
        </w:rPr>
        <w:t>Indian Express (2017) Gorakhpur tragedy explained.</w:t>
      </w:r>
      <w:r w:rsidRPr="00FD2AC7">
        <w:rPr>
          <w:rFonts w:ascii="Arial" w:hAnsi="Arial" w:cs="Arial"/>
          <w:sz w:val="22"/>
          <w:szCs w:val="22"/>
          <w:lang w:val="en-IN"/>
        </w:rPr>
        <w:br/>
      </w:r>
      <w:hyperlink r:id="rId11" w:tgtFrame="_new" w:history="1">
        <w:r w:rsidRPr="00FD2AC7">
          <w:rPr>
            <w:rStyle w:val="Hyperlink"/>
            <w:rFonts w:ascii="Arial" w:hAnsi="Arial" w:cs="Arial"/>
            <w:sz w:val="22"/>
            <w:szCs w:val="22"/>
            <w:lang w:val="en-IN"/>
          </w:rPr>
          <w:t>https://indianexpress.com/article/india/gorakhpur-hospital-deaths-yogi-adityanath-brd-medical-college-uttar-pradesh-encephalitis-oxygen-firm-warned-it-would-cut-supply-4794370/</w:t>
        </w:r>
      </w:hyperlink>
    </w:p>
    <w:p w14:paraId="15E9A614" w14:textId="77777777" w:rsidR="00FD2AC7" w:rsidRPr="00FD2AC7" w:rsidRDefault="00FD2AC7" w:rsidP="006123AA">
      <w:pPr>
        <w:pStyle w:val="ListParagraph"/>
        <w:numPr>
          <w:ilvl w:val="0"/>
          <w:numId w:val="38"/>
        </w:numPr>
        <w:spacing w:line="360" w:lineRule="auto"/>
        <w:rPr>
          <w:rFonts w:ascii="Arial" w:hAnsi="Arial" w:cs="Arial"/>
          <w:sz w:val="22"/>
          <w:szCs w:val="22"/>
          <w:lang w:val="en-IN"/>
        </w:rPr>
      </w:pPr>
      <w:r w:rsidRPr="00FD2AC7">
        <w:rPr>
          <w:rFonts w:ascii="Arial" w:hAnsi="Arial" w:cs="Arial"/>
          <w:sz w:val="22"/>
          <w:szCs w:val="22"/>
          <w:lang w:val="en-IN"/>
        </w:rPr>
        <w:t>Indian Journal of Medical Ethics (2018) The Gorakhpur hospital tragedy.</w:t>
      </w:r>
      <w:r w:rsidRPr="00FD2AC7">
        <w:rPr>
          <w:rFonts w:ascii="Arial" w:hAnsi="Arial" w:cs="Arial"/>
          <w:sz w:val="22"/>
          <w:szCs w:val="22"/>
          <w:lang w:val="en-IN"/>
        </w:rPr>
        <w:br/>
        <w:t>https://ijme.in/articles/the-gorakhpur-hospital-tragedy-systemic-failures-in-public-health-care/</w:t>
      </w:r>
    </w:p>
    <w:p w14:paraId="3F95199E" w14:textId="77777777" w:rsidR="00FD2AC7" w:rsidRPr="00FD2AC7" w:rsidRDefault="00FD2AC7" w:rsidP="006123AA">
      <w:pPr>
        <w:pStyle w:val="ListParagraph"/>
        <w:numPr>
          <w:ilvl w:val="0"/>
          <w:numId w:val="38"/>
        </w:numPr>
        <w:spacing w:line="360" w:lineRule="auto"/>
        <w:rPr>
          <w:rFonts w:ascii="Arial" w:hAnsi="Arial" w:cs="Arial"/>
          <w:sz w:val="22"/>
          <w:szCs w:val="22"/>
          <w:lang w:val="en-IN"/>
        </w:rPr>
      </w:pPr>
      <w:r w:rsidRPr="00FD2AC7">
        <w:rPr>
          <w:rFonts w:ascii="Arial" w:hAnsi="Arial" w:cs="Arial"/>
          <w:sz w:val="22"/>
          <w:szCs w:val="22"/>
          <w:lang w:val="en-IN"/>
        </w:rPr>
        <w:t>Institute for Healthcare Improvement (2017) Patient safety and quality improvement.</w:t>
      </w:r>
      <w:r w:rsidRPr="00FD2AC7">
        <w:rPr>
          <w:rFonts w:ascii="Arial" w:hAnsi="Arial" w:cs="Arial"/>
          <w:sz w:val="22"/>
          <w:szCs w:val="22"/>
          <w:lang w:val="en-IN"/>
        </w:rPr>
        <w:br/>
        <w:t>https://www.ihi.org/resources/Pages/default.aspx</w:t>
      </w:r>
    </w:p>
    <w:p w14:paraId="56049FC2" w14:textId="77777777" w:rsidR="00FD2AC7" w:rsidRPr="00FD2AC7" w:rsidRDefault="00FD2AC7" w:rsidP="006123AA">
      <w:pPr>
        <w:pStyle w:val="ListParagraph"/>
        <w:numPr>
          <w:ilvl w:val="0"/>
          <w:numId w:val="38"/>
        </w:numPr>
        <w:spacing w:line="360" w:lineRule="auto"/>
        <w:rPr>
          <w:rFonts w:ascii="Arial" w:hAnsi="Arial" w:cs="Arial"/>
          <w:sz w:val="22"/>
          <w:szCs w:val="22"/>
          <w:lang w:val="en-IN"/>
        </w:rPr>
      </w:pPr>
      <w:r w:rsidRPr="00FD2AC7">
        <w:rPr>
          <w:rFonts w:ascii="Arial" w:hAnsi="Arial" w:cs="Arial"/>
          <w:sz w:val="22"/>
          <w:szCs w:val="22"/>
          <w:lang w:val="en-IN"/>
        </w:rPr>
        <w:t xml:space="preserve">Kaplan, R. &amp; Porter, M. (2011) ‘How to solve the cost crisis in healthcare’, </w:t>
      </w:r>
      <w:r w:rsidRPr="00FD2AC7">
        <w:rPr>
          <w:rFonts w:ascii="Arial" w:hAnsi="Arial" w:cs="Arial"/>
          <w:i/>
          <w:iCs/>
          <w:sz w:val="22"/>
          <w:szCs w:val="22"/>
          <w:lang w:val="en-IN"/>
        </w:rPr>
        <w:t>Harvard Business Review</w:t>
      </w:r>
      <w:r w:rsidRPr="00FD2AC7">
        <w:rPr>
          <w:rFonts w:ascii="Arial" w:hAnsi="Arial" w:cs="Arial"/>
          <w:sz w:val="22"/>
          <w:szCs w:val="22"/>
          <w:lang w:val="en-IN"/>
        </w:rPr>
        <w:t>.</w:t>
      </w:r>
      <w:r w:rsidRPr="00FD2AC7">
        <w:rPr>
          <w:rFonts w:ascii="Arial" w:hAnsi="Arial" w:cs="Arial"/>
          <w:sz w:val="22"/>
          <w:szCs w:val="22"/>
          <w:lang w:val="en-IN"/>
        </w:rPr>
        <w:br/>
      </w:r>
      <w:hyperlink r:id="rId12" w:tgtFrame="_new" w:history="1">
        <w:r w:rsidRPr="00FD2AC7">
          <w:rPr>
            <w:rStyle w:val="Hyperlink"/>
            <w:rFonts w:ascii="Arial" w:hAnsi="Arial" w:cs="Arial"/>
            <w:sz w:val="22"/>
            <w:szCs w:val="22"/>
            <w:lang w:val="en-IN"/>
          </w:rPr>
          <w:t>https://hbr.org/2011/09/how-to-solve-the-cost-crisis-in-health-care</w:t>
        </w:r>
      </w:hyperlink>
    </w:p>
    <w:p w14:paraId="0A71BBC2" w14:textId="77777777" w:rsidR="00FD2AC7" w:rsidRPr="00FD2AC7" w:rsidRDefault="00FD2AC7" w:rsidP="006123AA">
      <w:pPr>
        <w:pStyle w:val="ListParagraph"/>
        <w:numPr>
          <w:ilvl w:val="0"/>
          <w:numId w:val="38"/>
        </w:numPr>
        <w:spacing w:line="360" w:lineRule="auto"/>
        <w:rPr>
          <w:rFonts w:ascii="Arial" w:hAnsi="Arial" w:cs="Arial"/>
          <w:sz w:val="22"/>
          <w:szCs w:val="22"/>
          <w:lang w:val="en-IN"/>
        </w:rPr>
      </w:pPr>
      <w:r w:rsidRPr="00FD2AC7">
        <w:rPr>
          <w:rFonts w:ascii="Arial" w:hAnsi="Arial" w:cs="Arial"/>
          <w:sz w:val="22"/>
          <w:szCs w:val="22"/>
          <w:lang w:val="en-IN"/>
        </w:rPr>
        <w:t xml:space="preserve">Kruk, M. et al. (2018) ‘High-quality health systems in the Sustainable Development Goals era’, </w:t>
      </w:r>
      <w:r w:rsidRPr="00FD2AC7">
        <w:rPr>
          <w:rFonts w:ascii="Arial" w:hAnsi="Arial" w:cs="Arial"/>
          <w:i/>
          <w:iCs/>
          <w:sz w:val="22"/>
          <w:szCs w:val="22"/>
          <w:lang w:val="en-IN"/>
        </w:rPr>
        <w:t>The Lancet</w:t>
      </w:r>
      <w:r w:rsidRPr="00FD2AC7">
        <w:rPr>
          <w:rFonts w:ascii="Arial" w:hAnsi="Arial" w:cs="Arial"/>
          <w:sz w:val="22"/>
          <w:szCs w:val="22"/>
          <w:lang w:val="en-IN"/>
        </w:rPr>
        <w:t>.</w:t>
      </w:r>
      <w:r w:rsidRPr="00FD2AC7">
        <w:rPr>
          <w:rFonts w:ascii="Arial" w:hAnsi="Arial" w:cs="Arial"/>
          <w:sz w:val="22"/>
          <w:szCs w:val="22"/>
          <w:lang w:val="en-IN"/>
        </w:rPr>
        <w:br/>
        <w:t>https://www.thelancet.com/commissions/high-quality-health-systems</w:t>
      </w:r>
    </w:p>
    <w:p w14:paraId="483CB2A1" w14:textId="77777777" w:rsidR="00FD2AC7" w:rsidRPr="00FD2AC7" w:rsidRDefault="00FD2AC7" w:rsidP="006123AA">
      <w:pPr>
        <w:pStyle w:val="ListParagraph"/>
        <w:numPr>
          <w:ilvl w:val="0"/>
          <w:numId w:val="38"/>
        </w:numPr>
        <w:spacing w:line="360" w:lineRule="auto"/>
        <w:rPr>
          <w:rFonts w:ascii="Arial" w:hAnsi="Arial" w:cs="Arial"/>
          <w:sz w:val="22"/>
          <w:szCs w:val="22"/>
          <w:lang w:val="en-IN"/>
        </w:rPr>
      </w:pPr>
      <w:proofErr w:type="spellStart"/>
      <w:r w:rsidRPr="00FD2AC7">
        <w:rPr>
          <w:rFonts w:ascii="Arial" w:hAnsi="Arial" w:cs="Arial"/>
          <w:sz w:val="22"/>
          <w:szCs w:val="22"/>
          <w:lang w:val="en-IN"/>
        </w:rPr>
        <w:t>Percarpio</w:t>
      </w:r>
      <w:proofErr w:type="spellEnd"/>
      <w:r w:rsidRPr="00FD2AC7">
        <w:rPr>
          <w:rFonts w:ascii="Arial" w:hAnsi="Arial" w:cs="Arial"/>
          <w:sz w:val="22"/>
          <w:szCs w:val="22"/>
          <w:lang w:val="en-IN"/>
        </w:rPr>
        <w:t xml:space="preserve">, K., Watts, B. &amp; Weeks, W. (2008) ‘Root cause analysis’, </w:t>
      </w:r>
      <w:r w:rsidRPr="00FD2AC7">
        <w:rPr>
          <w:rFonts w:ascii="Arial" w:hAnsi="Arial" w:cs="Arial"/>
          <w:i/>
          <w:iCs/>
          <w:sz w:val="22"/>
          <w:szCs w:val="22"/>
          <w:lang w:val="en-IN"/>
        </w:rPr>
        <w:t>Journal of Healthcare Quality</w:t>
      </w:r>
      <w:r w:rsidRPr="00FD2AC7">
        <w:rPr>
          <w:rFonts w:ascii="Arial" w:hAnsi="Arial" w:cs="Arial"/>
          <w:sz w:val="22"/>
          <w:szCs w:val="22"/>
          <w:lang w:val="en-IN"/>
        </w:rPr>
        <w:t>.</w:t>
      </w:r>
      <w:r w:rsidRPr="00FD2AC7">
        <w:rPr>
          <w:rFonts w:ascii="Arial" w:hAnsi="Arial" w:cs="Arial"/>
          <w:sz w:val="22"/>
          <w:szCs w:val="22"/>
          <w:lang w:val="en-IN"/>
        </w:rPr>
        <w:br/>
      </w:r>
      <w:hyperlink r:id="rId13" w:tgtFrame="_new" w:history="1">
        <w:r w:rsidRPr="00FD2AC7">
          <w:rPr>
            <w:rStyle w:val="Hyperlink"/>
            <w:rFonts w:ascii="Arial" w:hAnsi="Arial" w:cs="Arial"/>
            <w:sz w:val="22"/>
            <w:szCs w:val="22"/>
            <w:lang w:val="en-IN"/>
          </w:rPr>
          <w:t>https://pubmed.ncbi.nlm.nih.gov/19025973/</w:t>
        </w:r>
      </w:hyperlink>
    </w:p>
    <w:p w14:paraId="5B9DAA52" w14:textId="77777777" w:rsidR="00FD2AC7" w:rsidRPr="00FD2AC7" w:rsidRDefault="00FD2AC7" w:rsidP="006123AA">
      <w:pPr>
        <w:pStyle w:val="ListParagraph"/>
        <w:numPr>
          <w:ilvl w:val="0"/>
          <w:numId w:val="38"/>
        </w:numPr>
        <w:spacing w:line="360" w:lineRule="auto"/>
        <w:rPr>
          <w:rFonts w:ascii="Arial" w:hAnsi="Arial" w:cs="Arial"/>
          <w:sz w:val="22"/>
          <w:szCs w:val="22"/>
          <w:lang w:val="en-IN"/>
        </w:rPr>
      </w:pPr>
      <w:r w:rsidRPr="00FD2AC7">
        <w:rPr>
          <w:rFonts w:ascii="Arial" w:hAnsi="Arial" w:cs="Arial"/>
          <w:sz w:val="22"/>
          <w:szCs w:val="22"/>
          <w:lang w:val="en-IN"/>
        </w:rPr>
        <w:t>Pittet, D. et al. (2019) Improving supply chain management in healthcare.</w:t>
      </w:r>
      <w:r w:rsidRPr="00FD2AC7">
        <w:rPr>
          <w:rFonts w:ascii="Arial" w:hAnsi="Arial" w:cs="Arial"/>
          <w:sz w:val="22"/>
          <w:szCs w:val="22"/>
          <w:lang w:val="en-IN"/>
        </w:rPr>
        <w:br/>
      </w:r>
      <w:hyperlink r:id="rId14" w:tgtFrame="_new" w:history="1">
        <w:r w:rsidRPr="00FD2AC7">
          <w:rPr>
            <w:rStyle w:val="Hyperlink"/>
            <w:rFonts w:ascii="Arial" w:hAnsi="Arial" w:cs="Arial"/>
            <w:sz w:val="22"/>
            <w:szCs w:val="22"/>
            <w:lang w:val="en-IN"/>
          </w:rPr>
          <w:t>https://www.who.int/publications</w:t>
        </w:r>
      </w:hyperlink>
    </w:p>
    <w:p w14:paraId="4A9BF1D7" w14:textId="77777777" w:rsidR="00FD2AC7" w:rsidRPr="00FD2AC7" w:rsidRDefault="00FD2AC7" w:rsidP="006123AA">
      <w:pPr>
        <w:pStyle w:val="ListParagraph"/>
        <w:numPr>
          <w:ilvl w:val="0"/>
          <w:numId w:val="38"/>
        </w:numPr>
        <w:spacing w:line="360" w:lineRule="auto"/>
        <w:rPr>
          <w:rFonts w:ascii="Arial" w:hAnsi="Arial" w:cs="Arial"/>
          <w:sz w:val="22"/>
          <w:szCs w:val="22"/>
          <w:lang w:val="en-IN"/>
        </w:rPr>
      </w:pPr>
      <w:r w:rsidRPr="00FD2AC7">
        <w:rPr>
          <w:rFonts w:ascii="Arial" w:hAnsi="Arial" w:cs="Arial"/>
          <w:sz w:val="22"/>
          <w:szCs w:val="22"/>
          <w:lang w:val="en-IN"/>
        </w:rPr>
        <w:t xml:space="preserve">Senge, P. (2006) </w:t>
      </w:r>
      <w:r w:rsidRPr="00FD2AC7">
        <w:rPr>
          <w:rFonts w:ascii="Arial" w:hAnsi="Arial" w:cs="Arial"/>
          <w:i/>
          <w:iCs/>
          <w:sz w:val="22"/>
          <w:szCs w:val="22"/>
          <w:lang w:val="en-IN"/>
        </w:rPr>
        <w:t>The Fifth Discipline: Systems Thinking</w:t>
      </w:r>
      <w:r w:rsidRPr="00FD2AC7">
        <w:rPr>
          <w:rFonts w:ascii="Arial" w:hAnsi="Arial" w:cs="Arial"/>
          <w:sz w:val="22"/>
          <w:szCs w:val="22"/>
          <w:lang w:val="en-IN"/>
        </w:rPr>
        <w:t>.</w:t>
      </w:r>
      <w:r w:rsidRPr="00FD2AC7">
        <w:rPr>
          <w:rFonts w:ascii="Arial" w:hAnsi="Arial" w:cs="Arial"/>
          <w:sz w:val="22"/>
          <w:szCs w:val="22"/>
          <w:lang w:val="en-IN"/>
        </w:rPr>
        <w:br/>
      </w:r>
      <w:hyperlink r:id="rId15" w:tgtFrame="_new" w:history="1">
        <w:r w:rsidRPr="00FD2AC7">
          <w:rPr>
            <w:rStyle w:val="Hyperlink"/>
            <w:rFonts w:ascii="Arial" w:hAnsi="Arial" w:cs="Arial"/>
            <w:sz w:val="22"/>
            <w:szCs w:val="22"/>
            <w:lang w:val="en-IN"/>
          </w:rPr>
          <w:t>https://www.solonline.org</w:t>
        </w:r>
      </w:hyperlink>
    </w:p>
    <w:p w14:paraId="5B99AE14" w14:textId="77777777" w:rsidR="00FD2AC7" w:rsidRPr="00FD2AC7" w:rsidRDefault="00FD2AC7" w:rsidP="006123AA">
      <w:pPr>
        <w:pStyle w:val="ListParagraph"/>
        <w:numPr>
          <w:ilvl w:val="0"/>
          <w:numId w:val="38"/>
        </w:numPr>
        <w:spacing w:line="360" w:lineRule="auto"/>
        <w:rPr>
          <w:rFonts w:ascii="Arial" w:hAnsi="Arial" w:cs="Arial"/>
          <w:sz w:val="22"/>
          <w:szCs w:val="22"/>
          <w:lang w:val="en-IN"/>
        </w:rPr>
      </w:pPr>
      <w:r w:rsidRPr="00FD2AC7">
        <w:rPr>
          <w:rFonts w:ascii="Arial" w:hAnsi="Arial" w:cs="Arial"/>
          <w:sz w:val="22"/>
          <w:szCs w:val="22"/>
          <w:lang w:val="en-IN"/>
        </w:rPr>
        <w:t xml:space="preserve">Vincent, C. (2010) </w:t>
      </w:r>
      <w:r w:rsidRPr="00FD2AC7">
        <w:rPr>
          <w:rFonts w:ascii="Arial" w:hAnsi="Arial" w:cs="Arial"/>
          <w:i/>
          <w:iCs/>
          <w:sz w:val="22"/>
          <w:szCs w:val="22"/>
          <w:lang w:val="en-IN"/>
        </w:rPr>
        <w:t>Patient Safety</w:t>
      </w:r>
      <w:r w:rsidRPr="00FD2AC7">
        <w:rPr>
          <w:rFonts w:ascii="Arial" w:hAnsi="Arial" w:cs="Arial"/>
          <w:sz w:val="22"/>
          <w:szCs w:val="22"/>
          <w:lang w:val="en-IN"/>
        </w:rPr>
        <w:t>.</w:t>
      </w:r>
      <w:r w:rsidRPr="00FD2AC7">
        <w:rPr>
          <w:rFonts w:ascii="Arial" w:hAnsi="Arial" w:cs="Arial"/>
          <w:sz w:val="22"/>
          <w:szCs w:val="22"/>
          <w:lang w:val="en-IN"/>
        </w:rPr>
        <w:br/>
        <w:t>https://www.wiley.com/en-us/Patient+Safety</w:t>
      </w:r>
    </w:p>
    <w:p w14:paraId="31B82177" w14:textId="77777777" w:rsidR="00FD2AC7" w:rsidRPr="00FD2AC7" w:rsidRDefault="00FD2AC7" w:rsidP="006123AA">
      <w:pPr>
        <w:pStyle w:val="ListParagraph"/>
        <w:numPr>
          <w:ilvl w:val="0"/>
          <w:numId w:val="38"/>
        </w:numPr>
        <w:spacing w:line="360" w:lineRule="auto"/>
        <w:rPr>
          <w:rFonts w:ascii="Arial" w:hAnsi="Arial" w:cs="Arial"/>
          <w:sz w:val="22"/>
          <w:szCs w:val="22"/>
          <w:lang w:val="en-IN"/>
        </w:rPr>
      </w:pPr>
      <w:r w:rsidRPr="00FD2AC7">
        <w:rPr>
          <w:rFonts w:ascii="Arial" w:hAnsi="Arial" w:cs="Arial"/>
          <w:sz w:val="22"/>
          <w:szCs w:val="22"/>
          <w:lang w:val="en-IN"/>
        </w:rPr>
        <w:t>West, M. et al. (2015) Leadership and leadership development in healthcare.</w:t>
      </w:r>
      <w:r w:rsidRPr="00FD2AC7">
        <w:rPr>
          <w:rFonts w:ascii="Arial" w:hAnsi="Arial" w:cs="Arial"/>
          <w:sz w:val="22"/>
          <w:szCs w:val="22"/>
          <w:lang w:val="en-IN"/>
        </w:rPr>
        <w:br/>
        <w:t>https://www.kingsfund.org.uk/publications/leadership-leadership-development-health-care</w:t>
      </w:r>
    </w:p>
    <w:p w14:paraId="7FE890CB" w14:textId="1BB98003" w:rsidR="00FD2AC7" w:rsidRDefault="00FD2AC7" w:rsidP="006123AA">
      <w:pPr>
        <w:pStyle w:val="ListParagraph"/>
        <w:numPr>
          <w:ilvl w:val="0"/>
          <w:numId w:val="38"/>
        </w:numPr>
        <w:spacing w:line="360" w:lineRule="auto"/>
        <w:rPr>
          <w:rFonts w:ascii="Arial" w:hAnsi="Arial" w:cs="Arial"/>
          <w:sz w:val="22"/>
          <w:szCs w:val="22"/>
          <w:lang w:val="en-IN"/>
        </w:rPr>
      </w:pPr>
      <w:r w:rsidRPr="00FD2AC7">
        <w:rPr>
          <w:rFonts w:ascii="Arial" w:hAnsi="Arial" w:cs="Arial"/>
          <w:sz w:val="22"/>
          <w:szCs w:val="22"/>
          <w:lang w:val="en-IN"/>
        </w:rPr>
        <w:lastRenderedPageBreak/>
        <w:t>WHO (2020) Oxygen sources and distribution for COVID-19 treatment centres.</w:t>
      </w:r>
      <w:r w:rsidRPr="00FD2AC7">
        <w:rPr>
          <w:rFonts w:ascii="Arial" w:hAnsi="Arial" w:cs="Arial"/>
          <w:sz w:val="22"/>
          <w:szCs w:val="22"/>
          <w:lang w:val="en-IN"/>
        </w:rPr>
        <w:br/>
      </w:r>
      <w:hyperlink r:id="rId16" w:history="1">
        <w:r w:rsidR="00F21595" w:rsidRPr="006E3CA4">
          <w:rPr>
            <w:rStyle w:val="Hyperlink"/>
            <w:rFonts w:ascii="Arial" w:hAnsi="Arial" w:cs="Arial"/>
            <w:sz w:val="22"/>
            <w:szCs w:val="22"/>
            <w:lang w:val="en-IN"/>
          </w:rPr>
          <w:t>https://www.who.int/publications/i/item/oxygen-sources-and-distribution-for-covid-19-treatment-centres</w:t>
        </w:r>
      </w:hyperlink>
    </w:p>
    <w:p w14:paraId="795511FE" w14:textId="77777777" w:rsidR="00F21595" w:rsidRDefault="00F21595" w:rsidP="006123AA">
      <w:pPr>
        <w:pStyle w:val="NormalWeb"/>
        <w:numPr>
          <w:ilvl w:val="0"/>
          <w:numId w:val="38"/>
        </w:numPr>
        <w:spacing w:line="360" w:lineRule="auto"/>
      </w:pPr>
      <w:r>
        <w:t xml:space="preserve">Aiken, L. et al. (2014) Nurse staffing and hospital mortality. </w:t>
      </w:r>
      <w:r>
        <w:rPr>
          <w:rStyle w:val="Emphasis"/>
          <w:rFonts w:eastAsiaTheme="majorEastAsia"/>
        </w:rPr>
        <w:t>The Lancet</w:t>
      </w:r>
      <w:r>
        <w:t>.</w:t>
      </w:r>
      <w:r>
        <w:br/>
        <w:t>https://doi.org/10.1016/S0140-6736(13)62631-8</w:t>
      </w:r>
    </w:p>
    <w:p w14:paraId="4FA0347C" w14:textId="77777777" w:rsidR="00F21595" w:rsidRDefault="00F21595" w:rsidP="006123AA">
      <w:pPr>
        <w:pStyle w:val="NormalWeb"/>
        <w:numPr>
          <w:ilvl w:val="0"/>
          <w:numId w:val="38"/>
        </w:numPr>
        <w:spacing w:line="360" w:lineRule="auto"/>
      </w:pPr>
      <w:r>
        <w:t xml:space="preserve">Antony, J. et al. (2018) Six Sigma in healthcare. </w:t>
      </w:r>
      <w:r>
        <w:rPr>
          <w:rStyle w:val="Emphasis"/>
          <w:rFonts w:eastAsiaTheme="majorEastAsia"/>
        </w:rPr>
        <w:t>International Journal of Quality &amp; Reliability Management</w:t>
      </w:r>
      <w:r>
        <w:t>.</w:t>
      </w:r>
      <w:r>
        <w:br/>
        <w:t>https://www.emerald.com/insight/content/doi/10.1108/IJQRM-02-2017-0039/full/html</w:t>
      </w:r>
    </w:p>
    <w:p w14:paraId="500A5296" w14:textId="77777777" w:rsidR="00F21595" w:rsidRDefault="00F21595" w:rsidP="006123AA">
      <w:pPr>
        <w:pStyle w:val="NormalWeb"/>
        <w:numPr>
          <w:ilvl w:val="0"/>
          <w:numId w:val="38"/>
        </w:numPr>
        <w:spacing w:line="360" w:lineRule="auto"/>
      </w:pPr>
      <w:r>
        <w:t>Institute for Healthcare Improvement (2017) Quality improvement methods.</w:t>
      </w:r>
      <w:r>
        <w:br/>
        <w:t>https://www.ihi.org/resources/Pages/default.aspx</w:t>
      </w:r>
    </w:p>
    <w:p w14:paraId="370F20A8" w14:textId="77777777" w:rsidR="00F21595" w:rsidRDefault="00F21595" w:rsidP="006123AA">
      <w:pPr>
        <w:pStyle w:val="NormalWeb"/>
        <w:numPr>
          <w:ilvl w:val="0"/>
          <w:numId w:val="38"/>
        </w:numPr>
        <w:spacing w:line="360" w:lineRule="auto"/>
      </w:pPr>
      <w:r>
        <w:t xml:space="preserve">Ivanov, D. &amp; </w:t>
      </w:r>
      <w:proofErr w:type="spellStart"/>
      <w:r>
        <w:t>Dolgui</w:t>
      </w:r>
      <w:proofErr w:type="spellEnd"/>
      <w:r>
        <w:t xml:space="preserve">, A. (2020) Viability of supply chain networks. </w:t>
      </w:r>
      <w:r>
        <w:rPr>
          <w:rStyle w:val="Emphasis"/>
          <w:rFonts w:eastAsiaTheme="majorEastAsia"/>
        </w:rPr>
        <w:t>International Journal of Production Research</w:t>
      </w:r>
      <w:r>
        <w:t>.</w:t>
      </w:r>
      <w:r>
        <w:br/>
      </w:r>
      <w:hyperlink r:id="rId17" w:tgtFrame="_new" w:history="1">
        <w:r>
          <w:rPr>
            <w:rStyle w:val="Hyperlink"/>
            <w:rFonts w:eastAsiaTheme="majorEastAsia"/>
          </w:rPr>
          <w:t>https://doi.org/10.1080/00207543.2020.1750727</w:t>
        </w:r>
      </w:hyperlink>
    </w:p>
    <w:p w14:paraId="5A64908A" w14:textId="77777777" w:rsidR="00F21595" w:rsidRDefault="00F21595" w:rsidP="006123AA">
      <w:pPr>
        <w:pStyle w:val="NormalWeb"/>
        <w:numPr>
          <w:ilvl w:val="0"/>
          <w:numId w:val="38"/>
        </w:numPr>
        <w:spacing w:line="360" w:lineRule="auto"/>
      </w:pPr>
      <w:r>
        <w:t xml:space="preserve">Kaplan, R. &amp; Porter, M. (2011) How to solve the cost crisis in healthcare. </w:t>
      </w:r>
      <w:r>
        <w:rPr>
          <w:rStyle w:val="Emphasis"/>
          <w:rFonts w:eastAsiaTheme="majorEastAsia"/>
        </w:rPr>
        <w:t>Harvard Business Review</w:t>
      </w:r>
      <w:r>
        <w:t>.</w:t>
      </w:r>
      <w:r>
        <w:br/>
      </w:r>
      <w:hyperlink r:id="rId18" w:tgtFrame="_new" w:history="1">
        <w:r>
          <w:rPr>
            <w:rStyle w:val="Hyperlink"/>
            <w:rFonts w:eastAsiaTheme="majorEastAsia"/>
          </w:rPr>
          <w:t>https://hbr.org/2011/09/how-to-solve-the-cost-crisis-in-health-care</w:t>
        </w:r>
      </w:hyperlink>
    </w:p>
    <w:p w14:paraId="5F09F139" w14:textId="77777777" w:rsidR="00F21595" w:rsidRDefault="00F21595" w:rsidP="006123AA">
      <w:pPr>
        <w:pStyle w:val="NormalWeb"/>
        <w:numPr>
          <w:ilvl w:val="0"/>
          <w:numId w:val="38"/>
        </w:numPr>
        <w:spacing w:line="360" w:lineRule="auto"/>
      </w:pPr>
      <w:r>
        <w:t xml:space="preserve">Kruk, M. et al. (2018) High-quality health systems. </w:t>
      </w:r>
      <w:r>
        <w:rPr>
          <w:rStyle w:val="Emphasis"/>
          <w:rFonts w:eastAsiaTheme="majorEastAsia"/>
        </w:rPr>
        <w:t>The Lancet Global Health</w:t>
      </w:r>
      <w:r>
        <w:t>.</w:t>
      </w:r>
      <w:r>
        <w:br/>
        <w:t>https://www.thelancet.com/commissions/high-quality-health-systems</w:t>
      </w:r>
    </w:p>
    <w:p w14:paraId="1B77F18C" w14:textId="77777777" w:rsidR="00F21595" w:rsidRDefault="00F21595" w:rsidP="006123AA">
      <w:pPr>
        <w:pStyle w:val="NormalWeb"/>
        <w:numPr>
          <w:ilvl w:val="0"/>
          <w:numId w:val="38"/>
        </w:numPr>
        <w:spacing w:line="360" w:lineRule="auto"/>
      </w:pPr>
      <w:r>
        <w:t xml:space="preserve">Toussaint, J. &amp; Berry, L. (2013) The promise of Lean in healthcare. </w:t>
      </w:r>
      <w:r>
        <w:rPr>
          <w:rStyle w:val="Emphasis"/>
          <w:rFonts w:eastAsiaTheme="majorEastAsia"/>
        </w:rPr>
        <w:t>Mayo Clinic Proceedings</w:t>
      </w:r>
      <w:r>
        <w:t>.</w:t>
      </w:r>
      <w:r>
        <w:br/>
        <w:t>https://www.mayoclinicproceedings.org/article/S0025-6196(13)00641-0/fulltext</w:t>
      </w:r>
    </w:p>
    <w:p w14:paraId="637A5988" w14:textId="77777777" w:rsidR="00F21595" w:rsidRDefault="00F21595" w:rsidP="006123AA">
      <w:pPr>
        <w:pStyle w:val="NormalWeb"/>
        <w:numPr>
          <w:ilvl w:val="0"/>
          <w:numId w:val="38"/>
        </w:numPr>
        <w:spacing w:line="360" w:lineRule="auto"/>
      </w:pPr>
      <w:r>
        <w:t>West, M. et al. (2015) Leadership and leadership development in healthcare. King’s Fund.</w:t>
      </w:r>
      <w:r>
        <w:br/>
        <w:t>https://www.kingsfund.org.uk/publications/leadership-leadership-development-health-care</w:t>
      </w:r>
    </w:p>
    <w:p w14:paraId="67C98FCB" w14:textId="77777777" w:rsidR="00F21595" w:rsidRDefault="00F21595" w:rsidP="006123AA">
      <w:pPr>
        <w:pStyle w:val="NormalWeb"/>
        <w:numPr>
          <w:ilvl w:val="0"/>
          <w:numId w:val="38"/>
        </w:numPr>
        <w:spacing w:line="360" w:lineRule="auto"/>
      </w:pPr>
      <w:r>
        <w:t>World Health Organization (2020) Oxygen sources and distribution for treatment centres.</w:t>
      </w:r>
      <w:r>
        <w:br/>
        <w:t>https://www.who.int/publications/i/item/oxygen-sources-and-distribution-for-covid-19-treatment-centres</w:t>
      </w:r>
    </w:p>
    <w:p w14:paraId="44FE8881" w14:textId="77777777" w:rsidR="00F21595" w:rsidRDefault="00F21595" w:rsidP="006123AA">
      <w:pPr>
        <w:pStyle w:val="NormalWeb"/>
        <w:numPr>
          <w:ilvl w:val="0"/>
          <w:numId w:val="38"/>
        </w:numPr>
        <w:spacing w:line="360" w:lineRule="auto"/>
      </w:pPr>
      <w:r>
        <w:t xml:space="preserve">Donabedian, A. (1988) The quality of care: How can it be assessed? </w:t>
      </w:r>
      <w:r>
        <w:rPr>
          <w:rStyle w:val="Emphasis"/>
          <w:rFonts w:eastAsiaTheme="majorEastAsia"/>
        </w:rPr>
        <w:t>JAMA</w:t>
      </w:r>
      <w:r>
        <w:t>.</w:t>
      </w:r>
      <w:r>
        <w:br/>
      </w:r>
      <w:hyperlink r:id="rId19" w:tgtFrame="_new" w:history="1">
        <w:r>
          <w:rPr>
            <w:rStyle w:val="Hyperlink"/>
            <w:rFonts w:eastAsiaTheme="majorEastAsia"/>
          </w:rPr>
          <w:t>https://jamanetwork.com/journals/jama/article-abstract/374139</w:t>
        </w:r>
      </w:hyperlink>
    </w:p>
    <w:p w14:paraId="73C78A1D" w14:textId="77777777" w:rsidR="00F21595" w:rsidRDefault="00F21595" w:rsidP="006123AA">
      <w:pPr>
        <w:pStyle w:val="NormalWeb"/>
        <w:numPr>
          <w:ilvl w:val="0"/>
          <w:numId w:val="38"/>
        </w:numPr>
        <w:spacing w:line="360" w:lineRule="auto"/>
      </w:pPr>
      <w:r>
        <w:lastRenderedPageBreak/>
        <w:t>Indian Journal of Medical Ethics (2018) The Gorakhpur hospital tragedy: Systemic failures in public health care.</w:t>
      </w:r>
      <w:r>
        <w:br/>
        <w:t>https://ijme.in/articles/the-gorakhpur-hospital-tragedy-systemic-failures-in-public-health-care/</w:t>
      </w:r>
    </w:p>
    <w:p w14:paraId="490A5ECA" w14:textId="77777777" w:rsidR="00F21595" w:rsidRDefault="00F21595" w:rsidP="006123AA">
      <w:pPr>
        <w:pStyle w:val="NormalWeb"/>
        <w:numPr>
          <w:ilvl w:val="0"/>
          <w:numId w:val="38"/>
        </w:numPr>
        <w:spacing w:line="360" w:lineRule="auto"/>
      </w:pPr>
      <w:r>
        <w:t xml:space="preserve">Senge, P. (2006) </w:t>
      </w:r>
      <w:r>
        <w:rPr>
          <w:rStyle w:val="Emphasis"/>
          <w:rFonts w:eastAsiaTheme="majorEastAsia"/>
        </w:rPr>
        <w:t>The Fifth Discipline: The Art and Practice of the Learning Organization</w:t>
      </w:r>
      <w:r>
        <w:t>.</w:t>
      </w:r>
      <w:r>
        <w:br/>
      </w:r>
      <w:hyperlink r:id="rId20" w:tgtFrame="_new" w:history="1">
        <w:r>
          <w:rPr>
            <w:rStyle w:val="Hyperlink"/>
            <w:rFonts w:eastAsiaTheme="majorEastAsia"/>
          </w:rPr>
          <w:t>https://www.solonline.org</w:t>
        </w:r>
      </w:hyperlink>
    </w:p>
    <w:p w14:paraId="2DE346B9" w14:textId="77777777" w:rsidR="00F21595" w:rsidRDefault="00F21595" w:rsidP="006123AA">
      <w:pPr>
        <w:pStyle w:val="NormalWeb"/>
        <w:numPr>
          <w:ilvl w:val="0"/>
          <w:numId w:val="38"/>
        </w:numPr>
        <w:spacing w:line="360" w:lineRule="auto"/>
      </w:pPr>
      <w:r>
        <w:t>West, M. et al. (2015) Leadership and leadership development in healthcare. The King’s Fund.</w:t>
      </w:r>
      <w:r>
        <w:br/>
        <w:t>https://www.kingsfund.org.uk/publications/leadership-leadership-development-health-care</w:t>
      </w:r>
    </w:p>
    <w:p w14:paraId="714D5F7F" w14:textId="1EE18C96" w:rsidR="00F21595" w:rsidRPr="00D01E5C" w:rsidRDefault="00F21595" w:rsidP="00D01E5C">
      <w:pPr>
        <w:pStyle w:val="NormalWeb"/>
        <w:numPr>
          <w:ilvl w:val="0"/>
          <w:numId w:val="38"/>
        </w:numPr>
        <w:spacing w:line="360" w:lineRule="auto"/>
      </w:pPr>
      <w:r>
        <w:t>World Health Organization (2020) Oxygen sources and distribution for COVID-19 treatment centres.</w:t>
      </w:r>
      <w:r>
        <w:br/>
        <w:t>https://www.who.int/publications/i/item/oxygen-sources-and-distribution-for-covid-19-treatment-centres</w:t>
      </w:r>
    </w:p>
    <w:p w14:paraId="6BF00698" w14:textId="77777777" w:rsidR="00FD2AC7" w:rsidRPr="00FD2AC7" w:rsidRDefault="00FD2AC7" w:rsidP="006123AA">
      <w:pPr>
        <w:spacing w:line="360" w:lineRule="auto"/>
        <w:rPr>
          <w:rFonts w:ascii="Arial" w:hAnsi="Arial" w:cs="Arial"/>
          <w:sz w:val="22"/>
          <w:szCs w:val="22"/>
        </w:rPr>
      </w:pPr>
    </w:p>
    <w:sectPr w:rsidR="00FD2AC7" w:rsidRPr="00FD2AC7" w:rsidSect="00B8329E">
      <w:footerReference w:type="default" r:id="rId21"/>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C398A8" w14:textId="77777777" w:rsidR="00A30F51" w:rsidRDefault="00A30F51" w:rsidP="00B8329E">
      <w:pPr>
        <w:spacing w:after="0" w:line="240" w:lineRule="auto"/>
      </w:pPr>
      <w:r>
        <w:separator/>
      </w:r>
    </w:p>
  </w:endnote>
  <w:endnote w:type="continuationSeparator" w:id="0">
    <w:p w14:paraId="6AE89D6F" w14:textId="77777777" w:rsidR="00A30F51" w:rsidRDefault="00A30F51" w:rsidP="00B832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8401536"/>
      <w:docPartObj>
        <w:docPartGallery w:val="Page Numbers (Bottom of Page)"/>
        <w:docPartUnique/>
      </w:docPartObj>
    </w:sdtPr>
    <w:sdtEndPr>
      <w:rPr>
        <w:noProof/>
      </w:rPr>
    </w:sdtEndPr>
    <w:sdtContent>
      <w:p w14:paraId="1C9C30B9" w14:textId="12654F6B" w:rsidR="00B8329E" w:rsidRDefault="00B832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B7F213" w14:textId="77777777" w:rsidR="00B8329E" w:rsidRDefault="00B832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A579F9" w14:textId="77777777" w:rsidR="00A30F51" w:rsidRDefault="00A30F51" w:rsidP="00B8329E">
      <w:pPr>
        <w:spacing w:after="0" w:line="240" w:lineRule="auto"/>
      </w:pPr>
      <w:r>
        <w:separator/>
      </w:r>
    </w:p>
  </w:footnote>
  <w:footnote w:type="continuationSeparator" w:id="0">
    <w:p w14:paraId="6BB74DCE" w14:textId="77777777" w:rsidR="00A30F51" w:rsidRDefault="00A30F51" w:rsidP="00B832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734A1"/>
    <w:multiLevelType w:val="multilevel"/>
    <w:tmpl w:val="6F546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6A796C"/>
    <w:multiLevelType w:val="hybridMultilevel"/>
    <w:tmpl w:val="01C404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B2533C2"/>
    <w:multiLevelType w:val="multilevel"/>
    <w:tmpl w:val="AE1AC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A945A0"/>
    <w:multiLevelType w:val="multilevel"/>
    <w:tmpl w:val="BEF8D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095F4C"/>
    <w:multiLevelType w:val="hybridMultilevel"/>
    <w:tmpl w:val="7EF87A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9BC6789"/>
    <w:multiLevelType w:val="multilevel"/>
    <w:tmpl w:val="8BC46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013B81"/>
    <w:multiLevelType w:val="multilevel"/>
    <w:tmpl w:val="14ECE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ED0F48"/>
    <w:multiLevelType w:val="multilevel"/>
    <w:tmpl w:val="D230F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766512"/>
    <w:multiLevelType w:val="hybridMultilevel"/>
    <w:tmpl w:val="59B6FD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1D80ABB"/>
    <w:multiLevelType w:val="hybridMultilevel"/>
    <w:tmpl w:val="9EBACAA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22AE1A43"/>
    <w:multiLevelType w:val="hybridMultilevel"/>
    <w:tmpl w:val="88EC44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3B338D5"/>
    <w:multiLevelType w:val="hybridMultilevel"/>
    <w:tmpl w:val="FAC84C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BE52732"/>
    <w:multiLevelType w:val="hybridMultilevel"/>
    <w:tmpl w:val="1F64A32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2CBF4976"/>
    <w:multiLevelType w:val="hybridMultilevel"/>
    <w:tmpl w:val="E47AA3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FCB4B66"/>
    <w:multiLevelType w:val="hybridMultilevel"/>
    <w:tmpl w:val="833AE2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22E4C80"/>
    <w:multiLevelType w:val="multilevel"/>
    <w:tmpl w:val="38E2A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2DB3CB0"/>
    <w:multiLevelType w:val="multilevel"/>
    <w:tmpl w:val="D8C22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3B4329F"/>
    <w:multiLevelType w:val="hybridMultilevel"/>
    <w:tmpl w:val="8B06E1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3C95543"/>
    <w:multiLevelType w:val="hybridMultilevel"/>
    <w:tmpl w:val="86BA02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34E57570"/>
    <w:multiLevelType w:val="multilevel"/>
    <w:tmpl w:val="4FAE1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6687891"/>
    <w:multiLevelType w:val="hybridMultilevel"/>
    <w:tmpl w:val="275E93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374B718D"/>
    <w:multiLevelType w:val="multilevel"/>
    <w:tmpl w:val="19FA0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78E0033"/>
    <w:multiLevelType w:val="multilevel"/>
    <w:tmpl w:val="B8400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7C42A77"/>
    <w:multiLevelType w:val="hybridMultilevel"/>
    <w:tmpl w:val="A0F086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38DF7747"/>
    <w:multiLevelType w:val="hybridMultilevel"/>
    <w:tmpl w:val="8376B1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3FD76A4D"/>
    <w:multiLevelType w:val="multilevel"/>
    <w:tmpl w:val="9A008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0926F20"/>
    <w:multiLevelType w:val="multilevel"/>
    <w:tmpl w:val="E3502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0B35A4E"/>
    <w:multiLevelType w:val="hybridMultilevel"/>
    <w:tmpl w:val="47C852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426026CB"/>
    <w:multiLevelType w:val="hybridMultilevel"/>
    <w:tmpl w:val="C602CF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45A04770"/>
    <w:multiLevelType w:val="multilevel"/>
    <w:tmpl w:val="BF604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68E6E31"/>
    <w:multiLevelType w:val="hybridMultilevel"/>
    <w:tmpl w:val="1E8E90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48070A0D"/>
    <w:multiLevelType w:val="hybridMultilevel"/>
    <w:tmpl w:val="817CDE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4A986A9A"/>
    <w:multiLevelType w:val="hybridMultilevel"/>
    <w:tmpl w:val="E87C91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4E9B5442"/>
    <w:multiLevelType w:val="multilevel"/>
    <w:tmpl w:val="4E28D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05800C9"/>
    <w:multiLevelType w:val="hybridMultilevel"/>
    <w:tmpl w:val="9DE4C0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53496078"/>
    <w:multiLevelType w:val="hybridMultilevel"/>
    <w:tmpl w:val="4F749E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555267C6"/>
    <w:multiLevelType w:val="multilevel"/>
    <w:tmpl w:val="BB80A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94C0170"/>
    <w:multiLevelType w:val="hybridMultilevel"/>
    <w:tmpl w:val="864206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8" w15:restartNumberingAfterBreak="0">
    <w:nsid w:val="5ACE5D12"/>
    <w:multiLevelType w:val="multilevel"/>
    <w:tmpl w:val="84C4F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DC21951"/>
    <w:multiLevelType w:val="hybridMultilevel"/>
    <w:tmpl w:val="E6A255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0" w15:restartNumberingAfterBreak="0">
    <w:nsid w:val="5F4C3A6E"/>
    <w:multiLevelType w:val="multilevel"/>
    <w:tmpl w:val="BE6E2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4F25319"/>
    <w:multiLevelType w:val="multilevel"/>
    <w:tmpl w:val="664A8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94F4100"/>
    <w:multiLevelType w:val="multilevel"/>
    <w:tmpl w:val="D24E8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AD06EFA"/>
    <w:multiLevelType w:val="multilevel"/>
    <w:tmpl w:val="543E5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B55623E"/>
    <w:multiLevelType w:val="hybridMultilevel"/>
    <w:tmpl w:val="499C5D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5" w15:restartNumberingAfterBreak="0">
    <w:nsid w:val="6B556E49"/>
    <w:multiLevelType w:val="multilevel"/>
    <w:tmpl w:val="58D66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BE90AA1"/>
    <w:multiLevelType w:val="multilevel"/>
    <w:tmpl w:val="00089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D632E55"/>
    <w:multiLevelType w:val="multilevel"/>
    <w:tmpl w:val="7200F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D727EF9"/>
    <w:multiLevelType w:val="multilevel"/>
    <w:tmpl w:val="DFF08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060696A"/>
    <w:multiLevelType w:val="multilevel"/>
    <w:tmpl w:val="95820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328122A"/>
    <w:multiLevelType w:val="hybridMultilevel"/>
    <w:tmpl w:val="367A42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1" w15:restartNumberingAfterBreak="0">
    <w:nsid w:val="746353EF"/>
    <w:multiLevelType w:val="multilevel"/>
    <w:tmpl w:val="74DC7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7EF59EA"/>
    <w:multiLevelType w:val="hybridMultilevel"/>
    <w:tmpl w:val="70B8E4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3" w15:restartNumberingAfterBreak="0">
    <w:nsid w:val="7C9A7F70"/>
    <w:multiLevelType w:val="hybridMultilevel"/>
    <w:tmpl w:val="07B61C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4" w15:restartNumberingAfterBreak="0">
    <w:nsid w:val="7CB75A9C"/>
    <w:multiLevelType w:val="hybridMultilevel"/>
    <w:tmpl w:val="B2247B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5" w15:restartNumberingAfterBreak="0">
    <w:nsid w:val="7E7700CA"/>
    <w:multiLevelType w:val="hybridMultilevel"/>
    <w:tmpl w:val="C5861E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20761441">
    <w:abstractNumId w:val="21"/>
  </w:num>
  <w:num w:numId="2" w16cid:durableId="1354107906">
    <w:abstractNumId w:val="16"/>
  </w:num>
  <w:num w:numId="3" w16cid:durableId="1663771938">
    <w:abstractNumId w:val="36"/>
  </w:num>
  <w:num w:numId="4" w16cid:durableId="84306794">
    <w:abstractNumId w:val="29"/>
  </w:num>
  <w:num w:numId="5" w16cid:durableId="1444884423">
    <w:abstractNumId w:val="3"/>
  </w:num>
  <w:num w:numId="6" w16cid:durableId="1309633842">
    <w:abstractNumId w:val="19"/>
  </w:num>
  <w:num w:numId="7" w16cid:durableId="1933275060">
    <w:abstractNumId w:val="49"/>
  </w:num>
  <w:num w:numId="8" w16cid:durableId="1324309361">
    <w:abstractNumId w:val="7"/>
  </w:num>
  <w:num w:numId="9" w16cid:durableId="1151403296">
    <w:abstractNumId w:val="33"/>
  </w:num>
  <w:num w:numId="10" w16cid:durableId="1953324324">
    <w:abstractNumId w:val="40"/>
  </w:num>
  <w:num w:numId="11" w16cid:durableId="1422606767">
    <w:abstractNumId w:val="2"/>
  </w:num>
  <w:num w:numId="12" w16cid:durableId="1541823611">
    <w:abstractNumId w:val="6"/>
  </w:num>
  <w:num w:numId="13" w16cid:durableId="68843351">
    <w:abstractNumId w:val="5"/>
  </w:num>
  <w:num w:numId="14" w16cid:durableId="1932930687">
    <w:abstractNumId w:val="53"/>
  </w:num>
  <w:num w:numId="15" w16cid:durableId="580796966">
    <w:abstractNumId w:val="50"/>
  </w:num>
  <w:num w:numId="16" w16cid:durableId="1981883241">
    <w:abstractNumId w:val="41"/>
  </w:num>
  <w:num w:numId="17" w16cid:durableId="1808428864">
    <w:abstractNumId w:val="15"/>
  </w:num>
  <w:num w:numId="18" w16cid:durableId="643000644">
    <w:abstractNumId w:val="13"/>
  </w:num>
  <w:num w:numId="19" w16cid:durableId="236988027">
    <w:abstractNumId w:val="44"/>
  </w:num>
  <w:num w:numId="20" w16cid:durableId="247814076">
    <w:abstractNumId w:val="0"/>
  </w:num>
  <w:num w:numId="21" w16cid:durableId="2043313371">
    <w:abstractNumId w:val="20"/>
  </w:num>
  <w:num w:numId="22" w16cid:durableId="630357059">
    <w:abstractNumId w:val="47"/>
  </w:num>
  <w:num w:numId="23" w16cid:durableId="946424909">
    <w:abstractNumId w:val="48"/>
  </w:num>
  <w:num w:numId="24" w16cid:durableId="1322660816">
    <w:abstractNumId w:val="45"/>
  </w:num>
  <w:num w:numId="25" w16cid:durableId="1101875374">
    <w:abstractNumId w:val="42"/>
  </w:num>
  <w:num w:numId="26" w16cid:durableId="1694648350">
    <w:abstractNumId w:val="51"/>
  </w:num>
  <w:num w:numId="27" w16cid:durableId="593590476">
    <w:abstractNumId w:val="38"/>
  </w:num>
  <w:num w:numId="28" w16cid:durableId="519515546">
    <w:abstractNumId w:val="43"/>
  </w:num>
  <w:num w:numId="29" w16cid:durableId="1790398109">
    <w:abstractNumId w:val="10"/>
  </w:num>
  <w:num w:numId="30" w16cid:durableId="798916081">
    <w:abstractNumId w:val="37"/>
  </w:num>
  <w:num w:numId="31" w16cid:durableId="296451200">
    <w:abstractNumId w:val="55"/>
  </w:num>
  <w:num w:numId="32" w16cid:durableId="930625023">
    <w:abstractNumId w:val="24"/>
  </w:num>
  <w:num w:numId="33" w16cid:durableId="1928608646">
    <w:abstractNumId w:val="18"/>
  </w:num>
  <w:num w:numId="34" w16cid:durableId="176359044">
    <w:abstractNumId w:val="4"/>
  </w:num>
  <w:num w:numId="35" w16cid:durableId="454570238">
    <w:abstractNumId w:val="31"/>
  </w:num>
  <w:num w:numId="36" w16cid:durableId="1963419185">
    <w:abstractNumId w:val="22"/>
  </w:num>
  <w:num w:numId="37" w16cid:durableId="1346861909">
    <w:abstractNumId w:val="27"/>
  </w:num>
  <w:num w:numId="38" w16cid:durableId="186677841">
    <w:abstractNumId w:val="30"/>
  </w:num>
  <w:num w:numId="39" w16cid:durableId="537207430">
    <w:abstractNumId w:val="11"/>
  </w:num>
  <w:num w:numId="40" w16cid:durableId="1931888072">
    <w:abstractNumId w:val="35"/>
  </w:num>
  <w:num w:numId="41" w16cid:durableId="1342851785">
    <w:abstractNumId w:val="23"/>
  </w:num>
  <w:num w:numId="42" w16cid:durableId="843083137">
    <w:abstractNumId w:val="32"/>
  </w:num>
  <w:num w:numId="43" w16cid:durableId="71436670">
    <w:abstractNumId w:val="39"/>
  </w:num>
  <w:num w:numId="44" w16cid:durableId="500510741">
    <w:abstractNumId w:val="28"/>
  </w:num>
  <w:num w:numId="45" w16cid:durableId="750851507">
    <w:abstractNumId w:val="14"/>
  </w:num>
  <w:num w:numId="46" w16cid:durableId="2140800350">
    <w:abstractNumId w:val="26"/>
  </w:num>
  <w:num w:numId="47" w16cid:durableId="293370114">
    <w:abstractNumId w:val="8"/>
  </w:num>
  <w:num w:numId="48" w16cid:durableId="169874249">
    <w:abstractNumId w:val="54"/>
  </w:num>
  <w:num w:numId="49" w16cid:durableId="2139714871">
    <w:abstractNumId w:val="1"/>
  </w:num>
  <w:num w:numId="50" w16cid:durableId="2114738616">
    <w:abstractNumId w:val="46"/>
  </w:num>
  <w:num w:numId="51" w16cid:durableId="399183354">
    <w:abstractNumId w:val="34"/>
  </w:num>
  <w:num w:numId="52" w16cid:durableId="1115829191">
    <w:abstractNumId w:val="25"/>
  </w:num>
  <w:num w:numId="53" w16cid:durableId="1934776602">
    <w:abstractNumId w:val="52"/>
  </w:num>
  <w:num w:numId="54" w16cid:durableId="82386604">
    <w:abstractNumId w:val="12"/>
  </w:num>
  <w:num w:numId="55" w16cid:durableId="430861697">
    <w:abstractNumId w:val="9"/>
  </w:num>
  <w:num w:numId="56" w16cid:durableId="174563946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AC7"/>
    <w:rsid w:val="00170970"/>
    <w:rsid w:val="00197DDB"/>
    <w:rsid w:val="001E6A9A"/>
    <w:rsid w:val="0053637A"/>
    <w:rsid w:val="00581F9A"/>
    <w:rsid w:val="006123AA"/>
    <w:rsid w:val="007B29AB"/>
    <w:rsid w:val="00805664"/>
    <w:rsid w:val="008F1531"/>
    <w:rsid w:val="00A30F51"/>
    <w:rsid w:val="00B8329E"/>
    <w:rsid w:val="00D01E5C"/>
    <w:rsid w:val="00ED2E71"/>
    <w:rsid w:val="00F21595"/>
    <w:rsid w:val="00FD2AC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11D57"/>
  <w15:chartTrackingRefBased/>
  <w15:docId w15:val="{D8AC302E-9ADA-43CF-9586-01514B14E4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2A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D2A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2A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2A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2A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2A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2A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2A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2A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2A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D2A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2A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2A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2A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2A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2A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2A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2AC7"/>
    <w:rPr>
      <w:rFonts w:eastAsiaTheme="majorEastAsia" w:cstheme="majorBidi"/>
      <w:color w:val="272727" w:themeColor="text1" w:themeTint="D8"/>
    </w:rPr>
  </w:style>
  <w:style w:type="paragraph" w:styleId="Title">
    <w:name w:val="Title"/>
    <w:basedOn w:val="Normal"/>
    <w:next w:val="Normal"/>
    <w:link w:val="TitleChar"/>
    <w:uiPriority w:val="10"/>
    <w:qFormat/>
    <w:rsid w:val="00FD2A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2A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2A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2A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2AC7"/>
    <w:pPr>
      <w:spacing w:before="160"/>
      <w:jc w:val="center"/>
    </w:pPr>
    <w:rPr>
      <w:i/>
      <w:iCs/>
      <w:color w:val="404040" w:themeColor="text1" w:themeTint="BF"/>
    </w:rPr>
  </w:style>
  <w:style w:type="character" w:customStyle="1" w:styleId="QuoteChar">
    <w:name w:val="Quote Char"/>
    <w:basedOn w:val="DefaultParagraphFont"/>
    <w:link w:val="Quote"/>
    <w:uiPriority w:val="29"/>
    <w:rsid w:val="00FD2AC7"/>
    <w:rPr>
      <w:i/>
      <w:iCs/>
      <w:color w:val="404040" w:themeColor="text1" w:themeTint="BF"/>
    </w:rPr>
  </w:style>
  <w:style w:type="paragraph" w:styleId="ListParagraph">
    <w:name w:val="List Paragraph"/>
    <w:basedOn w:val="Normal"/>
    <w:uiPriority w:val="34"/>
    <w:qFormat/>
    <w:rsid w:val="00FD2AC7"/>
    <w:pPr>
      <w:ind w:left="720"/>
      <w:contextualSpacing/>
    </w:pPr>
  </w:style>
  <w:style w:type="character" w:styleId="IntenseEmphasis">
    <w:name w:val="Intense Emphasis"/>
    <w:basedOn w:val="DefaultParagraphFont"/>
    <w:uiPriority w:val="21"/>
    <w:qFormat/>
    <w:rsid w:val="00FD2AC7"/>
    <w:rPr>
      <w:i/>
      <w:iCs/>
      <w:color w:val="0F4761" w:themeColor="accent1" w:themeShade="BF"/>
    </w:rPr>
  </w:style>
  <w:style w:type="paragraph" w:styleId="IntenseQuote">
    <w:name w:val="Intense Quote"/>
    <w:basedOn w:val="Normal"/>
    <w:next w:val="Normal"/>
    <w:link w:val="IntenseQuoteChar"/>
    <w:uiPriority w:val="30"/>
    <w:qFormat/>
    <w:rsid w:val="00FD2A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2AC7"/>
    <w:rPr>
      <w:i/>
      <w:iCs/>
      <w:color w:val="0F4761" w:themeColor="accent1" w:themeShade="BF"/>
    </w:rPr>
  </w:style>
  <w:style w:type="character" w:styleId="IntenseReference">
    <w:name w:val="Intense Reference"/>
    <w:basedOn w:val="DefaultParagraphFont"/>
    <w:uiPriority w:val="32"/>
    <w:qFormat/>
    <w:rsid w:val="00FD2AC7"/>
    <w:rPr>
      <w:b/>
      <w:bCs/>
      <w:smallCaps/>
      <w:color w:val="0F4761" w:themeColor="accent1" w:themeShade="BF"/>
      <w:spacing w:val="5"/>
    </w:rPr>
  </w:style>
  <w:style w:type="character" w:styleId="Hyperlink">
    <w:name w:val="Hyperlink"/>
    <w:basedOn w:val="DefaultParagraphFont"/>
    <w:uiPriority w:val="99"/>
    <w:unhideWhenUsed/>
    <w:rsid w:val="00FD2AC7"/>
    <w:rPr>
      <w:color w:val="467886" w:themeColor="hyperlink"/>
      <w:u w:val="single"/>
    </w:rPr>
  </w:style>
  <w:style w:type="character" w:styleId="UnresolvedMention">
    <w:name w:val="Unresolved Mention"/>
    <w:basedOn w:val="DefaultParagraphFont"/>
    <w:uiPriority w:val="99"/>
    <w:semiHidden/>
    <w:unhideWhenUsed/>
    <w:rsid w:val="00FD2AC7"/>
    <w:rPr>
      <w:color w:val="605E5C"/>
      <w:shd w:val="clear" w:color="auto" w:fill="E1DFDD"/>
    </w:rPr>
  </w:style>
  <w:style w:type="paragraph" w:styleId="NormalWeb">
    <w:name w:val="Normal (Web)"/>
    <w:basedOn w:val="Normal"/>
    <w:uiPriority w:val="99"/>
    <w:unhideWhenUsed/>
    <w:rsid w:val="00F21595"/>
    <w:pPr>
      <w:spacing w:before="100" w:beforeAutospacing="1" w:after="100" w:afterAutospacing="1" w:line="240" w:lineRule="auto"/>
    </w:pPr>
    <w:rPr>
      <w:rFonts w:ascii="Times New Roman" w:eastAsia="Times New Roman" w:hAnsi="Times New Roman" w:cs="Times New Roman"/>
      <w:kern w:val="0"/>
      <w:lang w:val="en-IN" w:eastAsia="en-IN"/>
      <w14:ligatures w14:val="none"/>
    </w:rPr>
  </w:style>
  <w:style w:type="character" w:styleId="Emphasis">
    <w:name w:val="Emphasis"/>
    <w:basedOn w:val="DefaultParagraphFont"/>
    <w:uiPriority w:val="20"/>
    <w:qFormat/>
    <w:rsid w:val="00F21595"/>
    <w:rPr>
      <w:i/>
      <w:iCs/>
    </w:rPr>
  </w:style>
  <w:style w:type="paragraph" w:styleId="TOCHeading">
    <w:name w:val="TOC Heading"/>
    <w:basedOn w:val="Heading1"/>
    <w:next w:val="Normal"/>
    <w:uiPriority w:val="39"/>
    <w:unhideWhenUsed/>
    <w:qFormat/>
    <w:rsid w:val="001E6A9A"/>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1E6A9A"/>
    <w:pPr>
      <w:spacing w:after="100"/>
    </w:pPr>
  </w:style>
  <w:style w:type="paragraph" w:styleId="Header">
    <w:name w:val="header"/>
    <w:basedOn w:val="Normal"/>
    <w:link w:val="HeaderChar"/>
    <w:uiPriority w:val="99"/>
    <w:unhideWhenUsed/>
    <w:rsid w:val="00B832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329E"/>
  </w:style>
  <w:style w:type="paragraph" w:styleId="Footer">
    <w:name w:val="footer"/>
    <w:basedOn w:val="Normal"/>
    <w:link w:val="FooterChar"/>
    <w:uiPriority w:val="99"/>
    <w:unhideWhenUsed/>
    <w:rsid w:val="00B832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32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ubmed.ncbi.nlm.nih.gov/19025973/" TargetMode="External"/><Relationship Id="rId18" Type="http://schemas.openxmlformats.org/officeDocument/2006/relationships/hyperlink" Target="https://hbr.org/2011/09/how-to-solve-the-cost-crisis-in-health-car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hbr.org/2011/09/how-to-solve-the-cost-crisis-in-health-care" TargetMode="External"/><Relationship Id="rId17" Type="http://schemas.openxmlformats.org/officeDocument/2006/relationships/hyperlink" Target="https://doi.org/10.1080/00207543.2020.1750727" TargetMode="External"/><Relationship Id="rId2" Type="http://schemas.openxmlformats.org/officeDocument/2006/relationships/numbering" Target="numbering.xml"/><Relationship Id="rId16" Type="http://schemas.openxmlformats.org/officeDocument/2006/relationships/hyperlink" Target="https://www.who.int/publications/i/item/oxygen-sources-and-distribution-for-covid-19-treatment-centres" TargetMode="External"/><Relationship Id="rId20" Type="http://schemas.openxmlformats.org/officeDocument/2006/relationships/hyperlink" Target="https://www.solonline.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dianexpress.com/article/india/gorakhpur-hospital-deaths-yogi-adityanath-brd-medical-college-uttar-pradesh-encephalitis-oxygen-firm-warned-it-would-cut-supply-4794370/" TargetMode="External"/><Relationship Id="rId5" Type="http://schemas.openxmlformats.org/officeDocument/2006/relationships/webSettings" Target="webSettings.xml"/><Relationship Id="rId15" Type="http://schemas.openxmlformats.org/officeDocument/2006/relationships/hyperlink" Target="https://www.solonline.org" TargetMode="External"/><Relationship Id="rId23" Type="http://schemas.openxmlformats.org/officeDocument/2006/relationships/theme" Target="theme/theme1.xml"/><Relationship Id="rId10" Type="http://schemas.openxmlformats.org/officeDocument/2006/relationships/hyperlink" Target="https://jamanetwork.com/journals/jama/article-abstract/374139" TargetMode="External"/><Relationship Id="rId19" Type="http://schemas.openxmlformats.org/officeDocument/2006/relationships/hyperlink" Target="https://jamanetwork.com/journals/jama/article-abstract/37413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ho.int/publication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07AC4E-B259-4A35-B4D3-4E572439EE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19</Pages>
  <Words>3307</Words>
  <Characters>25469</Characters>
  <Application>Microsoft Office Word</Application>
  <DocSecurity>0</DocSecurity>
  <Lines>1018</Lines>
  <Paragraphs>737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Melvita Da Silva (2436452)</dc:creator>
  <cp:keywords/>
  <dc:description/>
  <cp:lastModifiedBy>Melvita Da Silva (2436452)</cp:lastModifiedBy>
  <cp:revision>3</cp:revision>
  <dcterms:created xsi:type="dcterms:W3CDTF">2026-04-02T05:14:00Z</dcterms:created>
  <dcterms:modified xsi:type="dcterms:W3CDTF">2026-04-02T07:03:00Z</dcterms:modified>
</cp:coreProperties>
</file>