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spacing w:after="240" w:before="240" w:lineRule="auto"/>
        <w:rPr/>
      </w:pPr>
      <w:r w:rsidDel="00000000" w:rsidR="00000000" w:rsidRPr="00000000">
        <w:rPr>
          <w:b w:val="1"/>
          <w:rtl w:val="0"/>
        </w:rPr>
        <w:t xml:space="preserve">Name: </w:t>
      </w:r>
      <w:r w:rsidDel="00000000" w:rsidR="00000000" w:rsidRPr="00000000">
        <w:rPr>
          <w:rtl w:val="0"/>
        </w:rPr>
        <w:t xml:space="preserve">Helen Sanson</w:t>
      </w:r>
    </w:p>
    <w:p w:rsidR="00000000" w:rsidDel="00000000" w:rsidP="00000000" w:rsidRDefault="00000000" w:rsidRPr="00000000" w14:paraId="00000002">
      <w:pPr>
        <w:spacing w:after="240" w:before="240" w:lineRule="auto"/>
        <w:rPr>
          <w:color w:val="222222"/>
          <w:highlight w:val="white"/>
        </w:rPr>
      </w:pPr>
      <w:r w:rsidDel="00000000" w:rsidR="00000000" w:rsidRPr="00000000">
        <w:rPr>
          <w:b w:val="1"/>
          <w:rtl w:val="0"/>
        </w:rPr>
        <w:t xml:space="preserve">Student Number: </w:t>
      </w:r>
      <w:r w:rsidDel="00000000" w:rsidR="00000000" w:rsidRPr="00000000">
        <w:rPr>
          <w:color w:val="222222"/>
          <w:highlight w:val="white"/>
          <w:rtl w:val="0"/>
        </w:rPr>
        <w:t xml:space="preserve">2236588</w:t>
      </w:r>
    </w:p>
    <w:p w:rsidR="00000000" w:rsidDel="00000000" w:rsidP="00000000" w:rsidRDefault="00000000" w:rsidRPr="00000000" w14:paraId="00000003">
      <w:pPr>
        <w:spacing w:after="240" w:before="240" w:lineRule="auto"/>
        <w:rPr/>
      </w:pPr>
      <w:r w:rsidDel="00000000" w:rsidR="00000000" w:rsidRPr="00000000">
        <w:rPr>
          <w:b w:val="1"/>
          <w:rtl w:val="0"/>
        </w:rPr>
        <w:t xml:space="preserve">Module Number:</w:t>
      </w:r>
      <w:r w:rsidDel="00000000" w:rsidR="00000000" w:rsidRPr="00000000">
        <w:rPr>
          <w:rtl w:val="0"/>
        </w:rPr>
        <w:t xml:space="preserve"> BMPF7100</w:t>
      </w:r>
    </w:p>
    <w:p w:rsidR="00000000" w:rsidDel="00000000" w:rsidP="00000000" w:rsidRDefault="00000000" w:rsidRPr="00000000" w14:paraId="00000004">
      <w:pPr>
        <w:rPr>
          <w:b w:val="1"/>
        </w:rPr>
      </w:pPr>
      <w:r w:rsidDel="00000000" w:rsidR="00000000" w:rsidRPr="00000000">
        <w:rPr>
          <w:b w:val="1"/>
          <w:rtl w:val="0"/>
        </w:rPr>
        <w:t xml:space="preserve">Title of Submission: </w:t>
      </w:r>
      <w:r w:rsidDel="00000000" w:rsidR="00000000" w:rsidRPr="00000000">
        <w:rPr>
          <w:rtl w:val="0"/>
        </w:rPr>
        <w:t xml:space="preserve">Approaches to Research and Academic Communication</w:t>
      </w:r>
      <w:r w:rsidDel="00000000" w:rsidR="00000000" w:rsidRPr="00000000">
        <w:br w:type="page"/>
      </w:r>
      <w:r w:rsidDel="00000000" w:rsidR="00000000" w:rsidRPr="00000000">
        <w:rPr>
          <w:rtl w:val="0"/>
        </w:rPr>
      </w:r>
    </w:p>
    <w:p w:rsidR="00000000" w:rsidDel="00000000" w:rsidP="00000000" w:rsidRDefault="00000000" w:rsidRPr="00000000" w14:paraId="00000005">
      <w:pPr>
        <w:rPr/>
      </w:pPr>
      <w:r w:rsidDel="00000000" w:rsidR="00000000" w:rsidRPr="00000000">
        <w:rPr>
          <w:b w:val="1"/>
          <w:rtl w:val="0"/>
        </w:rPr>
        <w:t xml:space="preserve">Evaluating Systems Thinking Practice in Academic Practitioner Practice: A Critical Literature Review</w:t>
      </w:r>
      <w:r w:rsidDel="00000000" w:rsidR="00000000" w:rsidRPr="00000000">
        <w:rPr>
          <w:rtl w:val="0"/>
        </w:rPr>
        <w:t xml:space="preserve">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This critical literature review (CLR) examines Systems Thinking in Practice (STiP) research to explore if academic practitioners (AP) “practice what they preach” by asking, “To what extent is STiP a defined standardised practice?”.</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b w:val="1"/>
        </w:rPr>
      </w:pPr>
      <w:r w:rsidDel="00000000" w:rsidR="00000000" w:rsidRPr="00000000">
        <w:rPr>
          <w:b w:val="1"/>
          <w:rtl w:val="0"/>
        </w:rPr>
        <w:t xml:space="preserve">Introduction</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Systems Thinking (ST) is a term that, despite having set definitions, also means different things to different people, depending on how it arrived in someone’s life and their relationship to the notion; as Mark Twain said, “There is no such thing as an original idea”, as its origins can be traced back to antiquity. This CLR draws upon Goodman’s (2016) definition, “The discipline of systems thinking is more than just a collection of tools and methods – it’s also an underlying philosophy…a sensitivity to the circular nature of the world we live in; an awareness of the role of structure in creating the conditions we face; a recognition that there are powerful laws of systems operating that we are unaware of; a realization that there are consequences to our actions that we are oblivious to…moving from observing events or data, to identifying patterns of behavior overtime, to surfacing the underlying structures that drive those events and patterns…to see a situation more fully, to recognize that we are interrelated, to acknowledge that there are often multiple interventions to a complex problem, and to champion interventions that may not be popular”. The ability of ST to solve complex problems is seen as its strength, yet what it takes to practice is open to debate. Although the tools, approaches and methods have many papers and books to show what good practice looks like when implementing them, the same is not true as to what constitutes a practitioner. However, this changed in May 2020 when the Institute for Apprenticeships and Technical Education (IfAaTE) approved the Level 7 Systems Thinking Practitioner Apprenticeship (STPA).</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The STPA was conceived by a trailblazer group (leading figures such as academic practitioners) for “an employee… &lt;who&gt; interacts with decision-makers, strategists and policy-makers, often in senior roles …or… change agents and consultants... They typically have high levels of autonomy, enabling them to engage widely with individuals and groups around the system they operate in.”  (IfAaTE, 2023). Additionally, the apprenticeship was written pre-pandemic, so it is focused on in-person practices, which differ when working remotely. However, since 2021, when the apprenticeship started, across all the providers, the apprentices have come from mid-management, who primarily work remotely, are not senior and have limited autonomy. Midgley (2023) stated,” Most people learning about systems methodologies are middle managers, and they are not the decision-makers on either service development or systemic intervention/evaluation....the assumption in all systems methodologies is that they are being used by people in consulting or decision-making roles. However, for the most part, this is just not the case – they are used by people without sufficient autonomy to exercise the critical thought they might like to exercise.”</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color w:val="222222"/>
          <w:highlight w:val="white"/>
        </w:rPr>
      </w:pPr>
      <w:r w:rsidDel="00000000" w:rsidR="00000000" w:rsidRPr="00000000">
        <w:rPr>
          <w:rtl w:val="0"/>
        </w:rPr>
        <w:t xml:space="preserve">In addition, an apprenticeship is usually vocational and geared towards work-based and workplace learning based on an identifiable occupation such as podiatry or tree surgery. However, no such occupation exists as a ‘Systems Thinking Practitioner’ (STP). Instead, the assessment circumvents this by saying, “The broad purpose of the occupation is to support decision-makers in strategic and leadership roles to understand and address complex and sometimes even ‘wicked’ problems through the provision of expert systemic analysis, advice and facilitation.” (IfAaTE, 2023). This underscores that STiP is analytical for problem-solving and not a stand-alone occupation. As such, this surfaces a critical issue. The premise of an apprenticeship is that the apprentice will be employed in the occupation, and so will their manager or mentors, who will act as a bridge between theory and practice. However, this is rarely the case since it is not an occupation and STiP for problem-solving is niche compared to the widespread use of project management techniques such as PRINCE2 or Agile. Therefore, to create this bridge, the students are provided with AP research to showcase the effectiveness of STiP, which is supposed to be relatable to their work. However, there is a vast difference between an AP and someone embedding ST into their nine-to-five job. Instead, the use of this research has led students to ask to “see</w:t>
      </w:r>
      <w:r w:rsidDel="00000000" w:rsidR="00000000" w:rsidRPr="00000000">
        <w:rPr>
          <w:color w:val="222222"/>
          <w:highlight w:val="white"/>
          <w:rtl w:val="0"/>
        </w:rPr>
        <w:t xml:space="preserve"> some examples of systems thinking models in real-life use…as there is a big difference between using these approaches with colleagues (working within an organisational boundary) and using them as an academic, researcher or consultant (invited into an organisational boundary).” (Harrison, 2023).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Alongside the claim that ST is an occupation is the notion that it </w:t>
      </w:r>
      <w:r w:rsidDel="00000000" w:rsidR="00000000" w:rsidRPr="00000000">
        <w:rPr>
          <w:rtl w:val="0"/>
        </w:rPr>
        <w:t xml:space="preserve">is an embodied practice. Lazlo, (2012) claims that it “involves embodying a new consciousness, an expanded sense of self, a recognition that we cannot survive alone, that a future that works for humanity needs also to work for other species and the planet.” The apprenticeship encourages students to “balance the needs of stakeholders regardless of personal biases, embrace diversity and inclusion, listen to multiple perspectives, be reflexive, reflective, self-aware, empathetic and humble, and encourage this in others.” (IfAaTE, 2023).  However, the question is how much of this happens in practice when, as Midgely, (2023) says, “it is rare for a middle manager to be given the time to do the approaches, and we need to stop teaching methodologies as if they can be practised as whole entities…it’s why most people who learn systems approaches at university don’t practice them in the outside world: it’s only people like us, in consultancy or practitioner academic roles, who have the ‘luxury’ doing systemic thinking in the ways we might desire.”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Consequently, this CLR opens up a debate as to what extent STiP is a standardised, embodied, and contextual practice that apprentices can readily embed in their work. The aim is to evaluate how APs have conducted their STiP research by contrasting it to the apprenticeship. It then makes recommendations about what STiP looks like by exploring whether to what extent there is a unified “good” practice which applies to both AP and vocational practice (VP). The review will draw out general themes concerning STiP to highlight the implications of AP STiP being conflated with VP and assess strategies to create a crossover. This review is vital as despite the growth of STiP and the increase in its influence in business and management fields; there is no critique of practitioners and how they practice. Most research, where it is critical, focuses on methods, models and approaches and overlooks the practice context, which implies that STiP is standardised and can be applied in a “cookie cutter” way.</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The CLR comes from a constructive/ interpretive ontological and epistemological lens by understanding that we make meaning from behaviour patterns, such as feelings in professional practice. It takes the viewpoint that professional practice is based on how knowledge is organised, managed and evaluated, so through this learning, it develops, validates and grows. However, “what we know to be true or real is always a product of the culture and historical period in which we exist.” (Newman, 2022) as “Our perception of reality is not an exact representation of the objective truth but rather a combination of sensory inputs and the brain’s interpretation of these signals. This interpretation is influenced by past experiences and is often predictive, with the brain creating categories of similar instances to anticipate future events.” (Feldman Barrett, 2023). This stance provides a way of producing new insights into the debate about what constitutes STiP as at the centre of the difficulties in having a clear understanding of how to be a practitioner are the differing ways of knowing what ST is, how people arrive at it and how they are situated and positioned in their work and life. Thus, despite the STPA encouraging apprentices to conform to a set of practices that apply to all STPs, it comes from a particular knowledge-production perspective, i.e. that of the AP, which does not easily sit alongside the apprentices' “middle leader” roles. </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Part of the CLR delves into the relationship between knowledge production and practice and how this makes certain aspects more dominant than others. This will shift the focus away from applying ST tools, approaches and methods towards what STP must consider and recognise as good practice. The paper is in three parts. The first part reviews the debate on adopting STiP by organisational decision-makers through the papers “Found Difficult and Left Untried Why Senior Managers Seem Reluctant to Engage with Systems Thinking” (Armson, 2007), “Civil Servant and Expert Perspectives on Drivers, Values, Challenges and Successes in Adopting Systems Thinking in Policy-Making”  (Nguyen, 2023) and Putting Systems Theory To Work - The Synergy Between Theory And Practice (Ormerod, 1999). This long-standing debate within the ST community focuses on two issues: how an organisation’s environment and culture prevent STiP from taking hold and how it poses a challenge to that environment and culture. The second part analyses eight papers using STiP by APs.  These will explore the relationship between being an AP and a VP. From this, the paper frames the debate through the disconnect between the two forms of practice. Lastly, the paper explores the potential reasons for the disconnection between AP STiP and VP. </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The paper reviews the research and looks at the inherent tensions and ambiguities resulting from the underlying assumptions of how STiP. It shows how the understanding of what constitutes STiP is forged solely through the lens of the AP. As a result, the implementation of approaches is heavily dependent on this relationship. Therefore, the standardisation of the STPA highlights that the disconnect between the AP and VP comes from the particular knowledge-production perspectives each has, which creates the differing ways their practice is constructed. However, as the dominant voice, the practice of the AP is seen as normative in all contexts, making some see it as a gold standard that all STP should achieve, such as the apprentices. However, the paper argues that if ST is to become a practitioner’s tool beyond academia through the apprenticeship, then space has to be given to the apprentice’s voice in research and that of other VP who use it, which will help increase its adoption, identify new practices and create diversity in the field. The paper finishes by offering suggestions for new directions for STiP research. </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Overall, this CLR aims to question the taken-for-granted discourse of STiP that it can become a standardised practice through the STPA. The paper highlights the thought processes of the AP who have shaped the STPA and dominate the research landscape. It asks if the AP is a realistic embodiment of STiP and if practice should be the focus of research rather than application to encourage its uptake and a more diverse range of perspectives and people. Otherwise, STiP will remain a niche way to solve problems without scrutiny. It will never be as widely adopted as project management methods such as Prince 2 or Agile because of its challenges to workplace environments, culture, and practices. By exploring the underdeveloped topics of practitioners and practice, the paper will provide a unique focus on STiP and its limitations so that it can be advanced, expanded and adopted across a broader range of practitioners and workplaces. </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b w:val="1"/>
        </w:rPr>
      </w:pPr>
      <w:r w:rsidDel="00000000" w:rsidR="00000000" w:rsidRPr="00000000">
        <w:rPr>
          <w:b w:val="1"/>
          <w:rtl w:val="0"/>
        </w:rPr>
        <w:t xml:space="preserve">Debates in STiP</w:t>
      </w:r>
    </w:p>
    <w:p w:rsidR="00000000" w:rsidDel="00000000" w:rsidP="00000000" w:rsidRDefault="00000000" w:rsidRPr="00000000" w14:paraId="0000001E">
      <w:pPr>
        <w:rPr/>
      </w:pPr>
      <w:r w:rsidDel="00000000" w:rsidR="00000000" w:rsidRPr="00000000">
        <w:rPr>
          <w:rtl w:val="0"/>
        </w:rPr>
        <w:t xml:space="preserve">ST is mainly seen as a management tool for solving complex problems in soft systems such as services, social issues or the workplace. However, ST also explores complex hard systems issues in manufacturing, software or engineering. Regardless of the field of application, the books, articles and research about STiP mainly originate from APs, i.e. academics whose practice as a consultant is part of their research. However, their “day job” as an academic ranges from lecturing to supervising, marking and writing papers. As their AP is an extension of their research, the way Systems Thinking is applied is led by this need, which already places them in a very different realm than someone in regular employment, such as an apprentice. Ormerod (1999) observed, "The ability of academic consultants to give an unbiased account is prejudiced by their intellectual and emotional engagement in the events studied.”  </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STP, therefore, is set by academics with a vested interest in practising it in a certain way, which may explain why it has a slow adoption rate, as it is difficult to replicate its practices.  Armson (2007) stated, “The simplest hypothesis is that senior managers, by the nature of their circumstances, genuinely do not have the time, energy or enthusiasm for learning Systems. If, as a systems community, we have not yet persuaded managers to invest time to make time, then the community must address this in its presentation of Systems Thinking’s benefits.” However, in her study, Nguyen (2023) found that civil servants were acutely aware of the benefits of Systems Thinking to understand complex problems and use multiple perspectives to gain an expansive viewpoint, yet like Armson, found “two thirds of interviewees asserted that time and resource constraints prevented policy-makers from engaging with ST”. This resonates with the comments from Midgely (2023) that only ”practitioner academic roles, have the ‘luxury’ doing systemic thinking in the ways we might desire” as in-built into their consultancy is time, which will give them the head space to focus. </w:t>
      </w:r>
    </w:p>
    <w:p w:rsidR="00000000" w:rsidDel="00000000" w:rsidP="00000000" w:rsidRDefault="00000000" w:rsidRPr="00000000" w14:paraId="00000021">
      <w:pPr>
        <w:rPr/>
      </w:pPr>
      <w:r w:rsidDel="00000000" w:rsidR="00000000" w:rsidRPr="00000000">
        <w:rPr>
          <w:rtl w:val="0"/>
        </w:rPr>
        <w:t xml:space="preserve">What is a consistent recurrent theme in the debate is the “mismatch between the simplicity of the theoretical ideas and the challenge and difficulty of using them” (Armson, 2003) as “the demands, intellectual, perceptual, epistemological and emotional are..., challenging and difficult in the doing.” For an academic practitioner, using the language and tools of Systems Thinking in their purest form is essential as it “goes against the grain of the original conception of the methods and can weaken some of their powerful features.” (Ormerod, 1999) yet for an apprentice trying to adopt STiP, the idea of purity is problematic because “if you just talk in terms of systems and systems thinking and causal maps and stuff, you can exclude a whole bunch of other people.” (Nguyen, 2023). Given that Armson’s paper was written over sixteen years ago, it shows how little things have changed as she describes the language of Systems Thinking as “both unwelcoming and repellant”. </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Although all three papers focus on practice, there needs to be more discussion of what makes for a good STP and how to practice as a practitioner. There are general nods to this through the key concepts such as listening to multiple perspectives or reflecting; however, details about who would be good at this, what skills are needed, or how to make it an embodied practice still need to be included. Armson (2007) alludes to “the emotional challenge inherent in breaking through to a style of thinking that we would recognize as Systems Thinking, stimulated by the learner’s own need to solve a problem. We also recognize…the underlying emotioning that enables or disables new ways of knowing.” The lack of focus is, however, unsurprising because, as Lazlo (2012) comments, there are ”two types of systems thinkers: those who cognitively understand and can ‘talk the systems talk’,“ who are dominant perspective in the literature and “and those who appreciate and can feel what it means to embrace a systems view, even if they do not know (or care about) formal systems concepts.” However, as academic practitioners write the bulk of papers they have to demonstrate that they know and care about formal systems concepts to show that the “methods have been demonstrated to be effective” (Omerod, 1999) so the system works against other types of practitioner.</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The irony is that ST is touted as a way to deal with complex problems, yet it has one of its own. It has been over twenty years since Omerod’s paper, and the field has failed to address how it should be practised by over-focusing on how the tools and approaches are applied instead of what practice is. This is possibly due to the way that the “blame” for the lack of adoption or the challenges faced by workers due to the way their practice is unconsciously juxtaposed to that of the AP, meaning that this is the standard they should be attaining and if they can do it, so should anyone else. This can be seen in Omerod (1999), who is an academic practitioner, in his “Evolution of Practice”, where he states that “the field trials formed a series of interventions over an extended period provided an example of the evolution of a strand of practice” which he believes helps “translate theory into action”. However, even he concedes that “the difficulty of translating theory into action should not be underestimated.” </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Yet, this is being attempted through the apprenticeship. Like Armson (2003), the answers are being sought by trying to understand apprentices' behaviours “in ways that allow action-for-improvement” rather than seeing that Systems Thinking is hard to translate into everyday work practice. There is a world of difference between an AP and VP. Potentially, this is why comments such as this: “I do tend to think that systems thinking is still seen as the preserve of certain experts or certain people who’ve used that approach rather than it being something that all of the civil services should be working with routinely” (Nguyen, 2023) are common because there is a failure of AP to do something they preach- listen to multiple perspectives and reflect. If they did, this debate would perhaps abate since there would be a realisation that they might be the ones with faults. </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b w:val="1"/>
          <w:rtl w:val="0"/>
        </w:rPr>
        <w:t xml:space="preserve">Methodology of the Critical Literature Review</w:t>
      </w: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Initially, a database search using the Open University library (as it has the broadest access to ST resources) was undertaken to find relevant research papers to be included in the critical literature review. Rather than focusing on the leading APs such as Ison, Midgely, Reynolds, or Jackson, the search was widened to look for those who use ST but in fields that align more with the apprentices. </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Using the STPA as a benchmark and the apprentices’ occupations, the search for eight papers focused on the following:</w:t>
      </w:r>
    </w:p>
    <w:p w:rsidR="00000000" w:rsidDel="00000000" w:rsidP="00000000" w:rsidRDefault="00000000" w:rsidRPr="00000000" w14:paraId="0000002D">
      <w:pPr>
        <w:ind w:left="0" w:firstLine="0"/>
        <w:rPr/>
      </w:pPr>
      <w:r w:rsidDel="00000000" w:rsidR="00000000" w:rsidRPr="00000000">
        <w:rPr>
          <w:rtl w:val="0"/>
        </w:rPr>
      </w:r>
    </w:p>
    <w:p w:rsidR="00000000" w:rsidDel="00000000" w:rsidP="00000000" w:rsidRDefault="00000000" w:rsidRPr="00000000" w14:paraId="0000002E">
      <w:pPr>
        <w:numPr>
          <w:ilvl w:val="0"/>
          <w:numId w:val="2"/>
        </w:numPr>
        <w:ind w:left="720" w:hanging="360"/>
        <w:rPr>
          <w:u w:val="none"/>
        </w:rPr>
      </w:pPr>
      <w:r w:rsidDel="00000000" w:rsidR="00000000" w:rsidRPr="00000000">
        <w:rPr>
          <w:rtl w:val="0"/>
        </w:rPr>
        <w:t xml:space="preserve">Two papers per model are mentioned in the standard: The Viable Systems Model (VSM), Soft Systems Methodology (SSM), Critical Systems Heuristics (CSH) and Systems Dynamics (SD)</w:t>
      </w:r>
    </w:p>
    <w:p w:rsidR="00000000" w:rsidDel="00000000" w:rsidP="00000000" w:rsidRDefault="00000000" w:rsidRPr="00000000" w14:paraId="0000002F">
      <w:pPr>
        <w:numPr>
          <w:ilvl w:val="0"/>
          <w:numId w:val="2"/>
        </w:numPr>
        <w:ind w:left="720" w:hanging="360"/>
        <w:rPr>
          <w:u w:val="none"/>
        </w:rPr>
      </w:pPr>
      <w:r w:rsidDel="00000000" w:rsidR="00000000" w:rsidRPr="00000000">
        <w:rPr>
          <w:rtl w:val="0"/>
        </w:rPr>
        <w:t xml:space="preserve">Located in the public sector, preferably within</w:t>
      </w:r>
    </w:p>
    <w:p w:rsidR="00000000" w:rsidDel="00000000" w:rsidP="00000000" w:rsidRDefault="00000000" w:rsidRPr="00000000" w14:paraId="00000030">
      <w:pPr>
        <w:numPr>
          <w:ilvl w:val="1"/>
          <w:numId w:val="2"/>
        </w:numPr>
        <w:ind w:left="1440" w:hanging="360"/>
        <w:rPr>
          <w:u w:val="none"/>
        </w:rPr>
      </w:pPr>
      <w:r w:rsidDel="00000000" w:rsidR="00000000" w:rsidRPr="00000000">
        <w:rPr>
          <w:rtl w:val="0"/>
        </w:rPr>
        <w:t xml:space="preserve">Local authorities</w:t>
      </w:r>
    </w:p>
    <w:p w:rsidR="00000000" w:rsidDel="00000000" w:rsidP="00000000" w:rsidRDefault="00000000" w:rsidRPr="00000000" w14:paraId="00000031">
      <w:pPr>
        <w:numPr>
          <w:ilvl w:val="1"/>
          <w:numId w:val="2"/>
        </w:numPr>
        <w:ind w:left="1440" w:hanging="360"/>
        <w:rPr>
          <w:u w:val="none"/>
        </w:rPr>
      </w:pPr>
      <w:r w:rsidDel="00000000" w:rsidR="00000000" w:rsidRPr="00000000">
        <w:rPr>
          <w:rtl w:val="0"/>
        </w:rPr>
        <w:t xml:space="preserve">NHS</w:t>
      </w:r>
    </w:p>
    <w:p w:rsidR="00000000" w:rsidDel="00000000" w:rsidP="00000000" w:rsidRDefault="00000000" w:rsidRPr="00000000" w14:paraId="00000032">
      <w:pPr>
        <w:numPr>
          <w:ilvl w:val="1"/>
          <w:numId w:val="2"/>
        </w:numPr>
        <w:ind w:left="1440" w:hanging="360"/>
        <w:rPr>
          <w:u w:val="none"/>
        </w:rPr>
      </w:pPr>
      <w:r w:rsidDel="00000000" w:rsidR="00000000" w:rsidRPr="00000000">
        <w:rPr>
          <w:rtl w:val="0"/>
        </w:rPr>
        <w:t xml:space="preserve">Civil Service</w:t>
      </w:r>
    </w:p>
    <w:p w:rsidR="00000000" w:rsidDel="00000000" w:rsidP="00000000" w:rsidRDefault="00000000" w:rsidRPr="00000000" w14:paraId="00000033">
      <w:pPr>
        <w:numPr>
          <w:ilvl w:val="1"/>
          <w:numId w:val="2"/>
        </w:numPr>
        <w:ind w:left="1440" w:hanging="360"/>
        <w:rPr>
          <w:u w:val="none"/>
        </w:rPr>
      </w:pPr>
      <w:r w:rsidDel="00000000" w:rsidR="00000000" w:rsidRPr="00000000">
        <w:rPr>
          <w:rtl w:val="0"/>
        </w:rPr>
        <w:t xml:space="preserve">Similar institutions worldwide</w:t>
      </w:r>
    </w:p>
    <w:p w:rsidR="00000000" w:rsidDel="00000000" w:rsidP="00000000" w:rsidRDefault="00000000" w:rsidRPr="00000000" w14:paraId="00000034">
      <w:pPr>
        <w:numPr>
          <w:ilvl w:val="0"/>
          <w:numId w:val="2"/>
        </w:numPr>
        <w:ind w:left="720" w:hanging="360"/>
        <w:rPr>
          <w:u w:val="none"/>
        </w:rPr>
      </w:pPr>
      <w:r w:rsidDel="00000000" w:rsidR="00000000" w:rsidRPr="00000000">
        <w:rPr>
          <w:rtl w:val="0"/>
        </w:rPr>
        <w:t xml:space="preserve">A practice-based response to the above settings</w:t>
      </w:r>
    </w:p>
    <w:p w:rsidR="00000000" w:rsidDel="00000000" w:rsidP="00000000" w:rsidRDefault="00000000" w:rsidRPr="00000000" w14:paraId="00000035">
      <w:pPr>
        <w:numPr>
          <w:ilvl w:val="0"/>
          <w:numId w:val="2"/>
        </w:numPr>
        <w:ind w:left="720" w:hanging="360"/>
        <w:rPr>
          <w:u w:val="none"/>
        </w:rPr>
      </w:pPr>
      <w:r w:rsidDel="00000000" w:rsidR="00000000" w:rsidRPr="00000000">
        <w:rPr>
          <w:rtl w:val="0"/>
        </w:rPr>
        <w:t xml:space="preserve">Papers published within the last ten years (give or take 1 - 2 years)</w:t>
      </w:r>
    </w:p>
    <w:p w:rsidR="00000000" w:rsidDel="00000000" w:rsidP="00000000" w:rsidRDefault="00000000" w:rsidRPr="00000000" w14:paraId="00000036">
      <w:pPr>
        <w:ind w:left="0" w:firstLine="0"/>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The conventional wisdom would be to focus on ST journals such as Systems Research and Behavioural Science or the Journal of the Operational Research Society, as technically, they should offer the widest breadth of research. However, ST has several schools of thought, branches and traditions, especially in the UK and USA. As such, limiting the searches to these journals could have resulted in only a few papers that matched the criteria. Therefore, the search was open to all publications regardless of their discipline.  As papers were hard to come by, Google Scholar, ReserachGate, and Academia Edu were also used because they would allow for other papers to be found which would more likely fit the criteria.  The first searches centred on the names of the models in the title, abstract, keywords or subject. Then, the other keywords were used to hone in on research in the specific areas needed. Research in the required fields and practice emerged only by targeting the searches this way. </w:t>
      </w:r>
    </w:p>
    <w:p w:rsidR="00000000" w:rsidDel="00000000" w:rsidP="00000000" w:rsidRDefault="00000000" w:rsidRPr="00000000" w14:paraId="00000038">
      <w:pPr>
        <w:ind w:left="0" w:firstLine="0"/>
        <w:rPr/>
      </w:pPr>
      <w:r w:rsidDel="00000000" w:rsidR="00000000" w:rsidRPr="00000000">
        <w:rPr>
          <w:rtl w:val="0"/>
        </w:rPr>
      </w:r>
    </w:p>
    <w:p w:rsidR="00000000" w:rsidDel="00000000" w:rsidP="00000000" w:rsidRDefault="00000000" w:rsidRPr="00000000" w14:paraId="00000039">
      <w:pPr>
        <w:rPr>
          <w:b w:val="1"/>
        </w:rPr>
      </w:pPr>
      <w:r w:rsidDel="00000000" w:rsidR="00000000" w:rsidRPr="00000000">
        <w:rPr>
          <w:b w:val="1"/>
          <w:rtl w:val="0"/>
        </w:rPr>
        <w:t xml:space="preserve">Defining Practice Through Research</w:t>
      </w:r>
    </w:p>
    <w:p w:rsidR="00000000" w:rsidDel="00000000" w:rsidP="00000000" w:rsidRDefault="00000000" w:rsidRPr="00000000" w14:paraId="0000003A">
      <w:pPr>
        <w:rPr/>
      </w:pPr>
      <w:r w:rsidDel="00000000" w:rsidR="00000000" w:rsidRPr="00000000">
        <w:rPr>
          <w:rtl w:val="0"/>
        </w:rPr>
        <w:t xml:space="preserve">Usually, in CLRs, the subject and findings are the focus, as the aim is to further research in a particular field. Very rarely are questions asked about the researchers.  For this CLR, the subject area and the findings are not the focus, nor are the ST methods. Instead, CLR examines how the AP understand themselves as STPs to reveal their STiP. However, unlike other practitioners such as lawyers, doctors, or teachers, there is no definition of a STP's attributes. Therefore, to create a baseline to analyse practice in the papers, the IfAaTE’s STPA standard (2023) was used to identify the main facets of a practitioner and create a framework. The framework is also pegged against the research approaches as “every researcher has his/her own view of what constitutes truth and knowledge. These views guide our thinking, our beliefs, and our assumptions about society and ourselves, and they frame how we view the world around us, which is what social scientists call a paradigm (Schwandt 2001, cited in Chilisa and Kawulich 2012)”. As such, how they have chosen to undertake their research should also be part of who they are as practitioners. </w:t>
      </w:r>
    </w:p>
    <w:p w:rsidR="00000000" w:rsidDel="00000000" w:rsidP="00000000" w:rsidRDefault="00000000" w:rsidRPr="00000000" w14:paraId="0000003B">
      <w:pPr>
        <w:rPr/>
      </w:pPr>
      <w:r w:rsidDel="00000000" w:rsidR="00000000" w:rsidRPr="00000000">
        <w:rPr>
          <w:rtl w:val="0"/>
        </w:rPr>
      </w:r>
    </w:p>
    <w:tbl>
      <w:tblPr>
        <w:tblStyle w:val="Table1"/>
        <w:tblW w:w="902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3"/>
        <w:gridCol w:w="4513"/>
        <w:tblGridChange w:id="0">
          <w:tblGrid>
            <w:gridCol w:w="4513"/>
            <w:gridCol w:w="4513"/>
          </w:tblGrid>
        </w:tblGridChange>
      </w:tblGrid>
      <w:tr>
        <w:trPr>
          <w:cantSplit w:val="0"/>
          <w:trHeight w:val="4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3C">
            <w:pPr>
              <w:widowControl w:val="0"/>
              <w:spacing w:line="240" w:lineRule="auto"/>
              <w:ind w:left="0" w:firstLine="0"/>
              <w:jc w:val="center"/>
              <w:rPr>
                <w:b w:val="1"/>
              </w:rPr>
            </w:pPr>
            <w:r w:rsidDel="00000000" w:rsidR="00000000" w:rsidRPr="00000000">
              <w:rPr>
                <w:b w:val="1"/>
                <w:rtl w:val="0"/>
              </w:rPr>
              <w:t xml:space="preserve">Weltanschauung (Worldview)</w:t>
            </w:r>
          </w:p>
          <w:p w:rsidR="00000000" w:rsidDel="00000000" w:rsidP="00000000" w:rsidRDefault="00000000" w:rsidRPr="00000000" w14:paraId="0000003D">
            <w:pPr>
              <w:widowControl w:val="0"/>
              <w:spacing w:line="240" w:lineRule="auto"/>
              <w:ind w:left="0" w:firstLine="0"/>
              <w:jc w:val="center"/>
              <w:rPr/>
            </w:pPr>
            <w:r w:rsidDel="00000000" w:rsidR="00000000" w:rsidRPr="00000000">
              <w:rPr>
                <w:rtl w:val="0"/>
              </w:rPr>
              <w:t xml:space="preserve">Takes a ‘real-world’ approach to the application of system models and to the design of interventions. Appreciative of constraints affecting the situation of interest. IfAaTE (2023)</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F">
            <w:pPr>
              <w:widowControl w:val="0"/>
              <w:spacing w:line="240" w:lineRule="auto"/>
              <w:ind w:left="0" w:firstLine="0"/>
              <w:jc w:val="center"/>
              <w:rPr>
                <w:b w:val="1"/>
              </w:rPr>
            </w:pPr>
            <w:r w:rsidDel="00000000" w:rsidR="00000000" w:rsidRPr="00000000">
              <w:rPr>
                <w:b w:val="1"/>
                <w:rtl w:val="0"/>
              </w:rPr>
              <w:t xml:space="preserve">You </w:t>
            </w:r>
          </w:p>
          <w:p w:rsidR="00000000" w:rsidDel="00000000" w:rsidP="00000000" w:rsidRDefault="00000000" w:rsidRPr="00000000" w14:paraId="00000040">
            <w:pPr>
              <w:widowControl w:val="0"/>
              <w:spacing w:line="240" w:lineRule="auto"/>
              <w:ind w:left="0" w:firstLine="0"/>
              <w:jc w:val="center"/>
              <w:rPr/>
            </w:pPr>
            <w:r w:rsidDel="00000000" w:rsidR="00000000" w:rsidRPr="00000000">
              <w:rPr>
                <w:i w:val="1"/>
                <w:rtl w:val="0"/>
              </w:rPr>
              <w:t xml:space="preserve">Who are they as systems thinking practitioners?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Ontology</w:t>
            </w:r>
          </w:p>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i w:val="1"/>
              </w:rPr>
            </w:pPr>
            <w:r w:rsidDel="00000000" w:rsidR="00000000" w:rsidRPr="00000000">
              <w:rPr>
                <w:i w:val="1"/>
                <w:rtl w:val="0"/>
              </w:rPr>
              <w:t xml:space="preserve">How do they see reality?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3">
            <w:pPr>
              <w:widowControl w:val="0"/>
              <w:spacing w:line="240" w:lineRule="auto"/>
              <w:ind w:left="0" w:firstLine="0"/>
              <w:jc w:val="center"/>
              <w:rPr>
                <w:b w:val="1"/>
              </w:rPr>
            </w:pPr>
            <w:r w:rsidDel="00000000" w:rsidR="00000000" w:rsidRPr="00000000">
              <w:rPr>
                <w:b w:val="1"/>
                <w:rtl w:val="0"/>
              </w:rPr>
              <w:t xml:space="preserve">Theory </w:t>
            </w:r>
          </w:p>
          <w:p w:rsidR="00000000" w:rsidDel="00000000" w:rsidP="00000000" w:rsidRDefault="00000000" w:rsidRPr="00000000" w14:paraId="00000044">
            <w:pPr>
              <w:widowControl w:val="0"/>
              <w:spacing w:line="240" w:lineRule="auto"/>
              <w:ind w:left="0" w:firstLine="0"/>
              <w:jc w:val="center"/>
              <w:rPr>
                <w:i w:val="1"/>
              </w:rPr>
            </w:pPr>
            <w:r w:rsidDel="00000000" w:rsidR="00000000" w:rsidRPr="00000000">
              <w:rPr>
                <w:i w:val="1"/>
                <w:rtl w:val="0"/>
              </w:rPr>
              <w:t xml:space="preserve">What do they need to know as a Systems Thinking Practitioner?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Epistemology </w:t>
            </w:r>
          </w:p>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i w:val="1"/>
              </w:rPr>
            </w:pPr>
            <w:r w:rsidDel="00000000" w:rsidR="00000000" w:rsidRPr="00000000">
              <w:rPr>
                <w:i w:val="1"/>
                <w:rtl w:val="0"/>
              </w:rPr>
              <w:t xml:space="preserve">How do they know what they know?</w:t>
            </w:r>
          </w:p>
        </w:tc>
      </w:tr>
      <w:tr>
        <w:trPr>
          <w:cantSplit w:val="0"/>
          <w:trHeight w:val="4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47">
            <w:pPr>
              <w:widowControl w:val="0"/>
              <w:spacing w:line="240" w:lineRule="auto"/>
              <w:ind w:left="0" w:firstLine="0"/>
              <w:jc w:val="center"/>
              <w:rPr/>
            </w:pPr>
            <w:r w:rsidDel="00000000" w:rsidR="00000000" w:rsidRPr="00000000">
              <w:rPr>
                <w:rtl w:val="0"/>
              </w:rPr>
              <w:t xml:space="preserve">“Understands provenance of Systems Thinking methodologies and approaches in the context of ‘schools’ of systems thinking and own ontology and epistemology.” IfAaTE (2023)</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9">
            <w:pPr>
              <w:widowControl w:val="0"/>
              <w:spacing w:line="240" w:lineRule="auto"/>
              <w:ind w:left="0" w:firstLine="0"/>
              <w:jc w:val="center"/>
              <w:rPr>
                <w:b w:val="1"/>
              </w:rPr>
            </w:pPr>
            <w:r w:rsidDel="00000000" w:rsidR="00000000" w:rsidRPr="00000000">
              <w:rPr>
                <w:b w:val="1"/>
                <w:rtl w:val="0"/>
              </w:rPr>
              <w:t xml:space="preserve">Practice </w:t>
            </w:r>
          </w:p>
          <w:p w:rsidR="00000000" w:rsidDel="00000000" w:rsidP="00000000" w:rsidRDefault="00000000" w:rsidRPr="00000000" w14:paraId="0000004A">
            <w:pPr>
              <w:widowControl w:val="0"/>
              <w:spacing w:line="240" w:lineRule="auto"/>
              <w:ind w:left="0" w:firstLine="0"/>
              <w:jc w:val="center"/>
              <w:rPr>
                <w:i w:val="1"/>
              </w:rPr>
            </w:pPr>
            <w:r w:rsidDel="00000000" w:rsidR="00000000" w:rsidRPr="00000000">
              <w:rPr>
                <w:i w:val="1"/>
                <w:rtl w:val="0"/>
              </w:rPr>
              <w:t xml:space="preserve">What do they need to be able to do as a Systems Thinking Practitioner?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Methodology</w:t>
            </w:r>
          </w:p>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i w:val="1"/>
              </w:rPr>
            </w:pPr>
            <w:r w:rsidDel="00000000" w:rsidR="00000000" w:rsidRPr="00000000">
              <w:rPr>
                <w:i w:val="1"/>
                <w:rtl w:val="0"/>
              </w:rPr>
              <w:t xml:space="preserve">How do they proceed to acquire knowledge?</w:t>
            </w:r>
          </w:p>
        </w:tc>
      </w:tr>
      <w:tr>
        <w:trPr>
          <w:cantSplit w:val="0"/>
          <w:trHeight w:val="4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4D">
            <w:pPr>
              <w:widowControl w:val="0"/>
              <w:spacing w:line="240" w:lineRule="auto"/>
              <w:ind w:left="0" w:firstLine="0"/>
              <w:jc w:val="center"/>
              <w:rPr/>
            </w:pPr>
            <w:r w:rsidDel="00000000" w:rsidR="00000000" w:rsidRPr="00000000">
              <w:rPr>
                <w:rtl w:val="0"/>
              </w:rPr>
              <w:t xml:space="preserve"> “ Uses facilitative processes empathetically to engage stakeholders in change processes and decision-making. Aware of the effect of own and others' biases and of the mirroring effect of clients’ problems.Seeks to balance the needs of different stakeholders irrespective of personal bias. Seeks out and engages with marginalised viewpoints; counters the dynamics of marginalization. Is participative and inclusive of others; sensitive to relational dynamics” IfAaTE (2023)</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F">
            <w:pPr>
              <w:widowControl w:val="0"/>
              <w:spacing w:line="240" w:lineRule="auto"/>
              <w:ind w:left="0" w:firstLine="0"/>
              <w:jc w:val="center"/>
              <w:rPr>
                <w:b w:val="1"/>
              </w:rPr>
            </w:pPr>
            <w:r w:rsidDel="00000000" w:rsidR="00000000" w:rsidRPr="00000000">
              <w:rPr>
                <w:b w:val="1"/>
                <w:rtl w:val="0"/>
              </w:rPr>
              <w:t xml:space="preserve">Context </w:t>
            </w:r>
          </w:p>
          <w:p w:rsidR="00000000" w:rsidDel="00000000" w:rsidP="00000000" w:rsidRDefault="00000000" w:rsidRPr="00000000" w14:paraId="00000050">
            <w:pPr>
              <w:widowControl w:val="0"/>
              <w:spacing w:line="240" w:lineRule="auto"/>
              <w:ind w:left="0" w:firstLine="0"/>
              <w:jc w:val="center"/>
              <w:rPr/>
            </w:pPr>
            <w:r w:rsidDel="00000000" w:rsidR="00000000" w:rsidRPr="00000000">
              <w:rPr>
                <w:i w:val="1"/>
                <w:rtl w:val="0"/>
              </w:rPr>
              <w:t xml:space="preserve">What does their reality and that of the problem look like?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widowControl w:val="0"/>
              <w:spacing w:line="240" w:lineRule="auto"/>
              <w:jc w:val="center"/>
              <w:rPr>
                <w:b w:val="1"/>
              </w:rPr>
            </w:pPr>
            <w:r w:rsidDel="00000000" w:rsidR="00000000" w:rsidRPr="00000000">
              <w:rPr>
                <w:b w:val="1"/>
                <w:rtl w:val="0"/>
              </w:rPr>
              <w:t xml:space="preserve">Axiology and Positionality</w:t>
            </w:r>
          </w:p>
          <w:p w:rsidR="00000000" w:rsidDel="00000000" w:rsidP="00000000" w:rsidRDefault="00000000" w:rsidRPr="00000000" w14:paraId="00000052">
            <w:pPr>
              <w:widowControl w:val="0"/>
              <w:spacing w:line="240" w:lineRule="auto"/>
              <w:jc w:val="center"/>
              <w:rPr>
                <w:i w:val="1"/>
              </w:rPr>
            </w:pPr>
            <w:r w:rsidDel="00000000" w:rsidR="00000000" w:rsidRPr="00000000">
              <w:rPr>
                <w:i w:val="1"/>
                <w:rtl w:val="0"/>
              </w:rPr>
              <w:t xml:space="preserve">How do they know it's true based on their situation? </w:t>
            </w:r>
          </w:p>
        </w:tc>
      </w:tr>
      <w:tr>
        <w:trPr>
          <w:cantSplit w:val="0"/>
          <w:trHeight w:val="4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53">
            <w:pPr>
              <w:widowControl w:val="0"/>
              <w:spacing w:line="240" w:lineRule="auto"/>
              <w:ind w:left="0" w:firstLine="0"/>
              <w:jc w:val="center"/>
              <w:rPr/>
            </w:pPr>
            <w:r w:rsidDel="00000000" w:rsidR="00000000" w:rsidRPr="00000000">
              <w:rPr>
                <w:rtl w:val="0"/>
              </w:rPr>
              <w:t xml:space="preserve">“Engages in structured reflection, monitoring and regulating own thought processes and understanding. Regularly assesses ethical issues in interventions. Applies techniques for structured personal reflexive practice, to monitor and develop knowledge, skills and self-awareness. Presents systems models, insights and intervention contributions in a way that is understandable in the real world.” IfAaTE (2023)</w:t>
            </w:r>
          </w:p>
        </w:tc>
      </w:tr>
    </w:tbl>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Each paper was generally analysed using the framework to explore the extent they display the attributes of a STP to examine the relationship between being an AP and a VP.</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b w:val="1"/>
        </w:rPr>
      </w:pPr>
      <w:r w:rsidDel="00000000" w:rsidR="00000000" w:rsidRPr="00000000">
        <w:rPr>
          <w:b w:val="1"/>
          <w:rtl w:val="0"/>
        </w:rPr>
        <w:t xml:space="preserve">Deconstructing Practice and Research</w:t>
      </w:r>
    </w:p>
    <w:p w:rsidR="00000000" w:rsidDel="00000000" w:rsidP="00000000" w:rsidRDefault="00000000" w:rsidRPr="00000000" w14:paraId="00000059">
      <w:pPr>
        <w:rPr/>
      </w:pPr>
      <w:r w:rsidDel="00000000" w:rsidR="00000000" w:rsidRPr="00000000">
        <w:rPr>
          <w:rtl w:val="0"/>
        </w:rPr>
        <w:t xml:space="preserve">All research has to start from the AP’s Weltanschauung or worldview, i.e., their way of knowing, being, seeing, thinking and doing, based on previous experiences that shape their beliefs, norms, biases, values and emotions. This worldview conditions the research paradigm and the philosophical framework the AP will use to explore their topic. The relationship between worldview and the paradigm is crucial to examining the Situation of Interest (SoI). Knowing the worldview of the research is the first key to unlocking who the APs are since it tells us the position from which they characteristically see the world because of their previous experience. As research is supposed to be “neutral”, the idea of the AP having a worldview is often left unmentioned. However, given that their viewpoints relate to how they perceive reality, they will shape the research lens and SoI and how they make decisions, problem-solve, and respond to the research findings. </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Therefore, identifying the role of the AP’s worldview is vital since it informs the basis of the research question, which is used to inquire about the nature of the systems and forms their STiP. Thus, the inquiry question the AP will use to examine systems using a ST approach will reveal the ontology of the research. For example, </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numPr>
          <w:ilvl w:val="0"/>
          <w:numId w:val="1"/>
        </w:numPr>
        <w:ind w:left="720" w:hanging="360"/>
        <w:rPr>
          <w:u w:val="none"/>
        </w:rPr>
      </w:pPr>
      <w:r w:rsidDel="00000000" w:rsidR="00000000" w:rsidRPr="00000000">
        <w:rPr>
          <w:rtl w:val="0"/>
        </w:rPr>
        <w:t xml:space="preserve">Emes et al. (2017) used SSM to ask, “Why do patients with complex needs often spend longer on the wards than is necessary?” </w:t>
      </w:r>
    </w:p>
    <w:p w:rsidR="00000000" w:rsidDel="00000000" w:rsidP="00000000" w:rsidRDefault="00000000" w:rsidRPr="00000000" w14:paraId="0000005E">
      <w:pPr>
        <w:numPr>
          <w:ilvl w:val="0"/>
          <w:numId w:val="1"/>
        </w:numPr>
        <w:ind w:left="720" w:hanging="360"/>
        <w:rPr>
          <w:u w:val="none"/>
        </w:rPr>
      </w:pPr>
      <w:r w:rsidDel="00000000" w:rsidR="00000000" w:rsidRPr="00000000">
        <w:rPr>
          <w:rtl w:val="0"/>
        </w:rPr>
        <w:t xml:space="preserve">Gadsby, Wistow and Villings (2022) applied the following question to CSH “Why did the Discharge to Assess improvement project prove to be so difficult to implement and why the anticipated outcomes were so elusive?</w:t>
      </w:r>
    </w:p>
    <w:p w:rsidR="00000000" w:rsidDel="00000000" w:rsidP="00000000" w:rsidRDefault="00000000" w:rsidRPr="00000000" w14:paraId="0000005F">
      <w:pPr>
        <w:numPr>
          <w:ilvl w:val="0"/>
          <w:numId w:val="1"/>
        </w:numPr>
        <w:ind w:left="720" w:hanging="360"/>
        <w:rPr>
          <w:u w:val="none"/>
        </w:rPr>
      </w:pPr>
      <w:r w:rsidDel="00000000" w:rsidR="00000000" w:rsidRPr="00000000">
        <w:rPr>
          <w:rtl w:val="0"/>
        </w:rPr>
        <w:t xml:space="preserve">Macmillan et al. (2014) asked, “What do you think are the links between houses and the wellbeing of individuals, families and communities in the UK?” when using SD</w:t>
      </w:r>
    </w:p>
    <w:p w:rsidR="00000000" w:rsidDel="00000000" w:rsidP="00000000" w:rsidRDefault="00000000" w:rsidRPr="00000000" w14:paraId="00000060">
      <w:pPr>
        <w:numPr>
          <w:ilvl w:val="0"/>
          <w:numId w:val="1"/>
        </w:numPr>
        <w:ind w:left="720" w:hanging="360"/>
        <w:rPr>
          <w:u w:val="none"/>
        </w:rPr>
      </w:pPr>
      <w:r w:rsidDel="00000000" w:rsidR="00000000" w:rsidRPr="00000000">
        <w:rPr>
          <w:rtl w:val="0"/>
        </w:rPr>
        <w:t xml:space="preserve">Akmal et al. (2020) explored “Why is Quality Improvement so Challenging?” using the VSM</w:t>
      </w:r>
    </w:p>
    <w:p w:rsidR="00000000" w:rsidDel="00000000" w:rsidP="00000000" w:rsidRDefault="00000000" w:rsidRPr="00000000" w14:paraId="00000061">
      <w:pPr>
        <w:numPr>
          <w:ilvl w:val="0"/>
          <w:numId w:val="1"/>
        </w:numPr>
        <w:ind w:left="720" w:hanging="360"/>
        <w:rPr>
          <w:u w:val="none"/>
        </w:rPr>
      </w:pPr>
      <w:r w:rsidDel="00000000" w:rsidR="00000000" w:rsidRPr="00000000">
        <w:rPr>
          <w:rtl w:val="0"/>
        </w:rPr>
        <w:t xml:space="preserve">Wynn (2012) investigated “Can the processes of Development Control services in English Local Planning Authorities be improved to make them more able to adapt to changes in their environment?” through the VSM.</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Although the ontology of the research is the key tenet to the question being asked by the AP using a ST approach, none of the papers has deeply thought about the relationship between the research ontology and the researcher’s worldview and how this, in turn, affects the epistemology. However, an apprentice must " Understand the provenance of Systems Thinking methodologies and approaches in the context of ‘schools’ of systems thinking and own ontology and epistemology” (IfAaTE, 2023). All the papers, except one, fail to consider the ontology and epistemology of the research. However, by doing this, the research falls into a trap as it has two ontological positions. The first position comes from the field of research. Although they are from various social and health fields, the construction of the questions posed would place them in a positivist paradigm as they explore human behaviour, which means they see the systems they are exploring as being “real” and measurable; therefore, the ontology is “realism”. </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By seeing systems through the ontology of realism, Reynolds (2011) argues that it “promotes systems practice as an essentially regulatory function”. This is because only hard systems approaches, i.e. those that see problems as having a singular solution and are well formed, use realism as an ontology. This brings us to where the second ontology comes from- the ST approach. All the papers use soft systems approaches, which see problems as having several ill-defined solutions, so their ontology is “nominalism”. This is where systems represent the meaning of ideas or things visually, orally or aurally. Oligia (1988, cited in Reynolds, 2011) states that “practitioners neglect the influence of social structural factors on the formation, maintenance and articulation of worldviews when they perpetuate ontological realism at the theoretical level”. Reynolds (2011) argues that this could affect epistemology since realism as an ontological stance means problems will be seen as relativistic through ST approaches, i.e. all beliefs, opinions, and worldviews are equally true and good; thus, there is no better system than any other. However, despite the research being positivistic and posed realistically, it can be deduced that the epistemology is interpretive or constructive interpretive. This is because depending on which soft ST method is used, they are either one or the other.  Akmal et al. (2021) and Freeman et al. (2014) explicitly state that their studies use an interpretive approach, whereas Tavella (2023), Hopkin et al. (2016) Emes et al. (2017) only elude to it. A constructivist/interpretive epistemology fits because it, too, sees reality as socially constructed and understood through live experiences, many of which are shared, to which we assign meaning. </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t xml:space="preserve">Scharmer (2014) said, “he was told by Bill O'Brien, ‘The success of an intervention depends on the interior condition of the intervenor." Therefore, the success of any ST intervention i.e. the improvements being sought, is based upon the AP’s worldview as the ‘interior condition’ refers to the way see the world and how change will occur. Thus, the AP's worldview affects ontology, epistemology, and how ST approaches are facilitated. Apprentices are asked to be “aware of their own bias”, which means reflecting upon and overcoming the imbalance of power in facilitation since, as a STP, they are the conduit for creating the conditions for conversation and change. However, there is no recognition of this in the papers, even in the few that mention ethics. This omission goes against one of the key core concepts of ST- boundaries. We are conditioned by how we place boundaries around our thinking, seeing, doing and being. Boundaries are contextual and unique, as we all perceive reality differently. All research, therefore, is bounded by our realities, which means the epistemology, in this case, interpretivism, is heavily influenced by our perception; thus, our worldview is not divorced from how we interpret. </w:t>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t xml:space="preserve">Most of the papers give some indication of the reality of their academic practice; for example, Emes et al. (2017) explains that they worked with a hospital in Surrey, Macmillian et al.’s work (2016)  was done “in partnership with government, nongovernment, industry, community, and academic stakeholders”, and Akmal et al. (2021) the study was part of New Zealand’s healthcare system. However, surprisingly, some admitted they faced challenges; for example, Emes et al. (2017) tells us that “not all of the interviewees were able to attend” and “no junior doctors responded to our request to be interviewed”. However, despite some APs being embedded in their setting, such as Gadsby, Wistow and Billings (2022), where “the lead author here was a participant observer in the steering group which met fifteen times”, it is never clear how affected they are by the day-to-day realities of the settings. What is clear from the language used is that they see themselves as outsiders looking in, which implies they are ‘neutral’. However, as mentioned, as they have a worldview they cannot shake off, it will affect every aspect of their practice, especially how they include and interpret the stakeholders' perspectives. Listening to stakeholders' perspectives is another key concept of STP, as is identifying and including marginalised voices, which is also a main aspect of the STPA. When considering marginalisation, Reynolds (2011) argues that “systems practitioners have a responsibility to create space for, and help support the framing of, better systems, rather than perpetuating the myth that these are some God-given realities that we need to simply live with”. However, Gadsby, Wistow and Billings (2022) are the only ones who mentions it concerning practice, however, what is said is very brief and focuses on CSH as it can “make transparent a fuller range of stakeholder interests and values, including those of older people”. This would indicate that few AP actively seek out “ Seeks out and engages with marginalised viewpoints” (IfAaTE, 2023).</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Going back to the concept of boundaries, the last area of practice that is not fully reconciled in the research is the ethical tension between the context, especially the ideology and positionality of the AP, who is from a university, a separate organisation to the one they are working with and the stakeholders. They are far removed from each other, yet from the studies, there is little sense of this; for example, Wynn (2012) used “a selection of stakeholders within the local authority”, indicating that she is an outsider. However, how the relationships are described at other times makes the practitioner indistinguishable from the organisation, as if they are from the same system. Gadsby, Wistow, and Billlings's (2022) lead author were fully embedded into the steering group with stakeholders. STPs must “Regularly assesses ethical issues in interventions” (IfAaTE, 2023) through reflection. Practitioners are asked to have an internal dialogue about their positionality and the boundaries this creates between their conceptual construct of reality (or worldview), that of the systems they are engaged including the stakeholders and any judgements being made, especially as each only ever gives a partial understanding of the situation. The aim is to triangulate the AP’s thoughts to explore the boundaries of these viewpoints to challenge and overcome ethical and power issues and use any ambiguities, uncertainty and disruption to create new learning. Gadsby, Wistow and Billings (2022) make this comment: “The mechanisms by which some knowledges and ethics maintain dominance while others remain suppressed are both dictated by and work to perpetuate existing power relationships, as is demonstrated by the medical definition underpinning Continuing Health Care”, yet all the rest fail to discuss the philosophical aspects ethics and the clue comes from Macmillan et al. (2014): “The research was exempt from requiring formal ethics approval”. Beyond mentioning regulatory codes of ethics, i.e., Wynn (2012), ‘The Planning Act’ or Freeman et al. (2014) ‘The Waste Framework Directive’, each study has overlooked this crucial aspect of STP. The AP’s worldview, ontology, epistemology, ethics, and positionality are relational to the research and the stakeholders because they transform how we see and learn about the problem to make change. Instead, the studies focus on ethics through codes of regulation that are recognised as constraints rather than ethics that emerge from the evolution of learning from co-created STP. </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b w:val="1"/>
        </w:rPr>
      </w:pPr>
      <w:r w:rsidDel="00000000" w:rsidR="00000000" w:rsidRPr="00000000">
        <w:rPr>
          <w:b w:val="1"/>
          <w:rtl w:val="0"/>
        </w:rPr>
        <w:t xml:space="preserve">Interpreting the Deconstruction of Practice</w:t>
      </w:r>
    </w:p>
    <w:p w:rsidR="00000000" w:rsidDel="00000000" w:rsidP="00000000" w:rsidRDefault="00000000" w:rsidRPr="00000000" w14:paraId="0000006E">
      <w:pPr>
        <w:rPr/>
      </w:pPr>
      <w:r w:rsidDel="00000000" w:rsidR="00000000" w:rsidRPr="00000000">
        <w:rPr>
          <w:rtl w:val="0"/>
        </w:rPr>
        <w:t xml:space="preserve">“An effective systems approach to managing real world complex situations embodies all three aspects of systems thinking in practice: understanding relationships, surfacing contrasting perspectives and exploring ethical and power relations.” (Reynolds, 2011). There is a clear disconnect between the AP’s STiP and the teaching and practice required through the STPA. There is no strong sense of standardised practice amongst AP despite there now being an apprenticeship. There are few common traits across the papers, meaning STP is never consistently applied- even worldwide (two papers are not UK-based).  This may have been different if well-known STP were used, but that does not mean the STP would be more standardised. What comes across strongly is that the ontological and epistemological perspectives are a product of the field of studies rather than from STP. These studies have focused, as they should, on using ST methods to extrapolate the appropriate qualitative and quantitative data to understand the SoI further. However, the different fields do not account for the variation in STiP. This seems to be due to the lack of a common application, which allows for differentiation of use. However, this raises questions about the replicability of these studies. Although complexity means a problem will never be seen the same way at any given time due to context, thus, it can only even been seen as a snapshot of a perception of reality.  With no standardised STP, replicating the studies to obtain similar results would be difficult. </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b w:val="1"/>
        </w:rPr>
      </w:pPr>
      <w:r w:rsidDel="00000000" w:rsidR="00000000" w:rsidRPr="00000000">
        <w:rPr>
          <w:b w:val="1"/>
          <w:rtl w:val="0"/>
        </w:rPr>
        <w:t xml:space="preserve">What can be done?</w:t>
      </w:r>
    </w:p>
    <w:p w:rsidR="00000000" w:rsidDel="00000000" w:rsidP="00000000" w:rsidRDefault="00000000" w:rsidRPr="00000000" w14:paraId="00000071">
      <w:pPr>
        <w:rPr/>
      </w:pPr>
      <w:r w:rsidDel="00000000" w:rsidR="00000000" w:rsidRPr="00000000">
        <w:rPr>
          <w:rtl w:val="0"/>
        </w:rPr>
        <w:t xml:space="preserve">The STiP within the papers is opaque, yet they will be used by people such as apprentices to learn. Having the AP’s practice set out would be useful so readers can see the whole picture. This might increase the uptake of ST, especially as these papers are relatively jargon-free, which, as noted earlier, puts people off. As one of the core concepts of STiP is the ethical and positional stance, this is a good reason for this to be improved as it would acknowledge the relational qualities between AP and the SoI. A legitimate standardised practice can only emerge if STiP is consistent and AP’s discuss their worldview. APs need to document how they practised and brought about change so that the STPA truly reflects what it takes to be a STP. </w:t>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b w:val="1"/>
        </w:rPr>
      </w:pPr>
      <w:r w:rsidDel="00000000" w:rsidR="00000000" w:rsidRPr="00000000">
        <w:rPr>
          <w:b w:val="1"/>
          <w:rtl w:val="0"/>
        </w:rPr>
        <w:t xml:space="preserve">Conclusion</w:t>
      </w:r>
    </w:p>
    <w:p w:rsidR="00000000" w:rsidDel="00000000" w:rsidP="00000000" w:rsidRDefault="00000000" w:rsidRPr="00000000" w14:paraId="00000074">
      <w:pPr>
        <w:rPr/>
      </w:pPr>
      <w:r w:rsidDel="00000000" w:rsidR="00000000" w:rsidRPr="00000000">
        <w:rPr>
          <w:rtl w:val="0"/>
        </w:rPr>
        <w:t xml:space="preserve">This CLR set out to contribute to ongoing debates about what constitutes appropriate STP by comparing AP to the STPA. The aim was not to pick apart the research findings and the ST approaches used. Instead, it sought to analyse the nature of AP. Using a constructive interpretive approach, the CLR analysed the inconsistencies of STiP in contrast to the standardised STPA. Therefore, this CLR makes three significant contributions to STP. Firstly, it identifies the disconnect between AP and the STPA. The practices of the AP have to surface to clarify STiP, which in turn will help STP to become accepted and standardised. The second contribution is that AP overlooks the relationships between worldviews, ontology, epistemology, ethics, and positionality, which are fundamental to the core concepts of STP yet have to be recognised by apprentices. APs must be more reflective and self-aware about their embodied systems thinking practice. This is the only way to mitigate bias, make participation inclusive, and overcome marginalisation. Lastly, the CLR unique perspective shows why the critical evaluation of AP is needed, focusing more on what makes a systems thinking practitioner rather than on how approaches are applied.    </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b w:val="1"/>
        </w:rPr>
      </w:pPr>
      <w:r w:rsidDel="00000000" w:rsidR="00000000" w:rsidRPr="00000000">
        <w:rPr>
          <w:b w:val="1"/>
          <w:rtl w:val="0"/>
        </w:rPr>
        <w:t xml:space="preserve">References and Bibliography</w:t>
      </w:r>
    </w:p>
    <w:p w:rsidR="00000000" w:rsidDel="00000000" w:rsidP="00000000" w:rsidRDefault="00000000" w:rsidRPr="00000000" w14:paraId="00000093">
      <w:pPr>
        <w:rPr>
          <w:b w:val="1"/>
        </w:rPr>
      </w:pPr>
      <w:r w:rsidDel="00000000" w:rsidR="00000000" w:rsidRPr="00000000">
        <w:rPr>
          <w:rtl w:val="0"/>
        </w:rPr>
      </w:r>
    </w:p>
    <w:p w:rsidR="00000000" w:rsidDel="00000000" w:rsidP="00000000" w:rsidRDefault="00000000" w:rsidRPr="00000000" w14:paraId="00000094">
      <w:pPr>
        <w:spacing w:after="220" w:line="324.00000000000006" w:lineRule="auto"/>
        <w:rPr/>
      </w:pPr>
      <w:r w:rsidDel="00000000" w:rsidR="00000000" w:rsidRPr="00000000">
        <w:rPr>
          <w:rtl w:val="0"/>
        </w:rPr>
        <w:t xml:space="preserve">Akmal, A., Podgorodnichenko, Nataliya., Foote, Jeff., Greatbanks, R., Stokes, T.,  Gauld, R. (2021) ‘Why is Quality Improvement so Challenging? A Viable Systems Model Perspective to Understand the Frustrations of Healthcare Quality Improvement Managers,’Health Policy, Volume 125, Issue 5, Pages 658-664, ISSN 0168-8510, Available at: https://doi.org/10.1016/j.healthpol.2021.03.015.</w:t>
      </w:r>
    </w:p>
    <w:p w:rsidR="00000000" w:rsidDel="00000000" w:rsidP="00000000" w:rsidRDefault="00000000" w:rsidRPr="00000000" w14:paraId="00000095">
      <w:pPr>
        <w:spacing w:after="220" w:line="324.00000000000006" w:lineRule="auto"/>
        <w:rPr/>
      </w:pPr>
      <w:r w:rsidDel="00000000" w:rsidR="00000000" w:rsidRPr="00000000">
        <w:rPr>
          <w:rtl w:val="0"/>
        </w:rPr>
        <w:t xml:space="preserve">Armson, R. (2008) ‘Found Difficult and Left Untried: why senior managers seem reluctant to engage with Systems Thinking’ The 14th ANZSYS Australia New Zealand Systems Society Conference Available at: https://anzsys.org/conferences/anzsys08/ANZSYS08%20Proceedings%20and%20abstracts%20of%2014th%20ANZSYS%20Conference.pdf</w:t>
      </w:r>
    </w:p>
    <w:p w:rsidR="00000000" w:rsidDel="00000000" w:rsidP="00000000" w:rsidRDefault="00000000" w:rsidRPr="00000000" w14:paraId="00000096">
      <w:pPr>
        <w:spacing w:after="220" w:line="324.00000000000006" w:lineRule="auto"/>
        <w:rPr/>
      </w:pPr>
      <w:r w:rsidDel="00000000" w:rsidR="00000000" w:rsidRPr="00000000">
        <w:rPr>
          <w:rtl w:val="0"/>
        </w:rPr>
        <w:t xml:space="preserve">Avenier, M.-J. and Thomas, C. (2015) ‘Finding one’s way around various methodological guidelines for doing rigorous case studies: A comparison of four epistemological frameworks:’, </w:t>
      </w:r>
      <w:r w:rsidDel="00000000" w:rsidR="00000000" w:rsidRPr="00000000">
        <w:rPr>
          <w:i w:val="1"/>
          <w:rtl w:val="0"/>
        </w:rPr>
        <w:t xml:space="preserve">Systèmes d’information &amp; management</w:t>
      </w:r>
      <w:r w:rsidDel="00000000" w:rsidR="00000000" w:rsidRPr="00000000">
        <w:rPr>
          <w:rtl w:val="0"/>
        </w:rPr>
        <w:t xml:space="preserve">, Volume 20(1), pp. 61–98. Available at:</w:t>
      </w:r>
      <w:hyperlink r:id="rId6">
        <w:r w:rsidDel="00000000" w:rsidR="00000000" w:rsidRPr="00000000">
          <w:rPr>
            <w:rtl w:val="0"/>
          </w:rPr>
          <w:t xml:space="preserve"> </w:t>
        </w:r>
      </w:hyperlink>
      <w:hyperlink r:id="rId7">
        <w:r w:rsidDel="00000000" w:rsidR="00000000" w:rsidRPr="00000000">
          <w:rPr>
            <w:color w:val="1155cc"/>
            <w:u w:val="single"/>
            <w:rtl w:val="0"/>
          </w:rPr>
          <w:t xml:space="preserve">https://doi.org/10.3917/sim.151.0061</w:t>
        </w:r>
      </w:hyperlink>
      <w:r w:rsidDel="00000000" w:rsidR="00000000" w:rsidRPr="00000000">
        <w:rPr>
          <w:rtl w:val="0"/>
        </w:rPr>
        <w:t xml:space="preserve">.</w:t>
      </w:r>
    </w:p>
    <w:p w:rsidR="00000000" w:rsidDel="00000000" w:rsidP="00000000" w:rsidRDefault="00000000" w:rsidRPr="00000000" w14:paraId="00000097">
      <w:pPr>
        <w:spacing w:after="220" w:line="324.00000000000006" w:lineRule="auto"/>
        <w:rPr/>
      </w:pPr>
      <w:r w:rsidDel="00000000" w:rsidR="00000000" w:rsidRPr="00000000">
        <w:rPr>
          <w:rtl w:val="0"/>
        </w:rPr>
        <w:t xml:space="preserve">Buckle Henning, P, Wilmshurst, J &amp; Yearworth, M 2012, Understanding systems thinking: an agenda for applied research in industry. in J Wilby (ed.), Proceedings of the 56th Annual Meeting of the ISSS - 2012, San Jose, CA, USA. &lt;http://journals.isss.org/index.php/proceedings56th/article/viewFile/1909/612&gt;</w:t>
      </w:r>
    </w:p>
    <w:p w:rsidR="00000000" w:rsidDel="00000000" w:rsidP="00000000" w:rsidRDefault="00000000" w:rsidRPr="00000000" w14:paraId="00000098">
      <w:pPr>
        <w:spacing w:after="220" w:line="324.00000000000006" w:lineRule="auto"/>
        <w:rPr/>
      </w:pPr>
      <w:r w:rsidDel="00000000" w:rsidR="00000000" w:rsidRPr="00000000">
        <w:rPr>
          <w:rtl w:val="0"/>
        </w:rPr>
        <w:t xml:space="preserve">Chilisa, B. and Kawulich, B. (2012) ‘Selecting a Research Approach: Paradigm, Methodology and Methods’.Doing Social Research: A global context (pp.51-61)Chapter: </w:t>
      </w:r>
      <w:r w:rsidDel="00000000" w:rsidR="00000000" w:rsidRPr="00000000">
        <w:rPr>
          <w:i w:val="1"/>
          <w:rtl w:val="0"/>
        </w:rPr>
        <w:t xml:space="preserve">Selecting a research approach: Paradigm, methodology and methods </w:t>
      </w:r>
      <w:r w:rsidDel="00000000" w:rsidR="00000000" w:rsidRPr="00000000">
        <w:rPr>
          <w:rtl w:val="0"/>
        </w:rPr>
        <w:t xml:space="preserve">Publisher: McGraw HillEditors: C. Wagner, B. Kawulich, M. Garner</w:t>
      </w:r>
    </w:p>
    <w:p w:rsidR="00000000" w:rsidDel="00000000" w:rsidP="00000000" w:rsidRDefault="00000000" w:rsidRPr="00000000" w14:paraId="00000099">
      <w:pPr>
        <w:spacing w:after="220" w:line="324.00000000000006" w:lineRule="auto"/>
        <w:rPr/>
      </w:pPr>
      <w:r w:rsidDel="00000000" w:rsidR="00000000" w:rsidRPr="00000000">
        <w:rPr>
          <w:rtl w:val="0"/>
        </w:rPr>
        <w:t xml:space="preserve">Eker, S. </w:t>
      </w:r>
      <w:r w:rsidDel="00000000" w:rsidR="00000000" w:rsidRPr="00000000">
        <w:rPr>
          <w:i w:val="1"/>
          <w:rtl w:val="0"/>
        </w:rPr>
        <w:t xml:space="preserve">et al.</w:t>
      </w:r>
      <w:r w:rsidDel="00000000" w:rsidR="00000000" w:rsidRPr="00000000">
        <w:rPr>
          <w:rtl w:val="0"/>
        </w:rPr>
        <w:t xml:space="preserve"> (2018) ‘Participatory system dynamics modelling for housing, energy and wellbeing interactions’, </w:t>
      </w:r>
      <w:r w:rsidDel="00000000" w:rsidR="00000000" w:rsidRPr="00000000">
        <w:rPr>
          <w:i w:val="1"/>
          <w:rtl w:val="0"/>
        </w:rPr>
        <w:t xml:space="preserve">Building Research &amp; Information</w:t>
      </w:r>
      <w:r w:rsidDel="00000000" w:rsidR="00000000" w:rsidRPr="00000000">
        <w:rPr>
          <w:rtl w:val="0"/>
        </w:rPr>
        <w:t xml:space="preserve">, 46(7), pp. 738–754. Available at:</w:t>
      </w:r>
      <w:hyperlink r:id="rId8">
        <w:r w:rsidDel="00000000" w:rsidR="00000000" w:rsidRPr="00000000">
          <w:rPr>
            <w:rtl w:val="0"/>
          </w:rPr>
          <w:t xml:space="preserve"> </w:t>
        </w:r>
      </w:hyperlink>
      <w:hyperlink r:id="rId9">
        <w:r w:rsidDel="00000000" w:rsidR="00000000" w:rsidRPr="00000000">
          <w:rPr>
            <w:color w:val="1155cc"/>
            <w:u w:val="single"/>
            <w:rtl w:val="0"/>
          </w:rPr>
          <w:t xml:space="preserve">https://doi.org/10.1080/09613218.2017.1362919</w:t>
        </w:r>
      </w:hyperlink>
      <w:r w:rsidDel="00000000" w:rsidR="00000000" w:rsidRPr="00000000">
        <w:rPr>
          <w:rtl w:val="0"/>
        </w:rPr>
        <w:t xml:space="preserve">.</w:t>
      </w:r>
    </w:p>
    <w:p w:rsidR="00000000" w:rsidDel="00000000" w:rsidP="00000000" w:rsidRDefault="00000000" w:rsidRPr="00000000" w14:paraId="0000009A">
      <w:pPr>
        <w:spacing w:after="220" w:line="324.00000000000006" w:lineRule="auto"/>
        <w:rPr/>
      </w:pPr>
      <w:r w:rsidDel="00000000" w:rsidR="00000000" w:rsidRPr="00000000">
        <w:rPr>
          <w:rtl w:val="0"/>
        </w:rPr>
        <w:t xml:space="preserve">Emes, M., Smith, S., Ward, S., Smith, A., and Ming, T.  (2017) ‘Care and Flow: Using Soft Systems Methodology to understand tensions in the patient discharge process’, </w:t>
      </w:r>
      <w:r w:rsidDel="00000000" w:rsidR="00000000" w:rsidRPr="00000000">
        <w:rPr>
          <w:i w:val="1"/>
          <w:rtl w:val="0"/>
        </w:rPr>
        <w:t xml:space="preserve">Health Systems</w:t>
      </w:r>
      <w:r w:rsidDel="00000000" w:rsidR="00000000" w:rsidRPr="00000000">
        <w:rPr>
          <w:rtl w:val="0"/>
        </w:rPr>
        <w:t xml:space="preserve">, 6:3, 260-278, Available at:</w:t>
      </w:r>
      <w:hyperlink r:id="rId10">
        <w:r w:rsidDel="00000000" w:rsidR="00000000" w:rsidRPr="00000000">
          <w:rPr>
            <w:rtl w:val="0"/>
          </w:rPr>
          <w:t xml:space="preserve"> </w:t>
        </w:r>
      </w:hyperlink>
      <w:hyperlink r:id="rId11">
        <w:r w:rsidDel="00000000" w:rsidR="00000000" w:rsidRPr="00000000">
          <w:rPr>
            <w:color w:val="1155cc"/>
            <w:u w:val="single"/>
            <w:rtl w:val="0"/>
          </w:rPr>
          <w:t xml:space="preserve">https://doi.org/10.1057/s41306-017-0027-6</w:t>
        </w:r>
      </w:hyperlink>
      <w:r w:rsidDel="00000000" w:rsidR="00000000" w:rsidRPr="00000000">
        <w:rPr>
          <w:rtl w:val="0"/>
        </w:rPr>
        <w:t xml:space="preserve">.</w:t>
      </w:r>
    </w:p>
    <w:p w:rsidR="00000000" w:rsidDel="00000000" w:rsidP="00000000" w:rsidRDefault="00000000" w:rsidRPr="00000000" w14:paraId="0000009B">
      <w:pPr>
        <w:spacing w:after="220" w:line="324.00000000000006" w:lineRule="auto"/>
        <w:rPr/>
      </w:pPr>
      <w:r w:rsidDel="00000000" w:rsidR="00000000" w:rsidRPr="00000000">
        <w:rPr>
          <w:rtl w:val="0"/>
        </w:rPr>
        <w:t xml:space="preserve">End-point assessment plan for Systems Thinking Practitioner apprenticeship standard (2023) </w:t>
      </w:r>
      <w:r w:rsidDel="00000000" w:rsidR="00000000" w:rsidRPr="00000000">
        <w:rPr>
          <w:i w:val="1"/>
          <w:rtl w:val="0"/>
        </w:rPr>
        <w:t xml:space="preserve">Institute for Apprenticeships and Technical Education</w:t>
      </w:r>
      <w:r w:rsidDel="00000000" w:rsidR="00000000" w:rsidRPr="00000000">
        <w:rPr>
          <w:rtl w:val="0"/>
        </w:rPr>
        <w:t xml:space="preserve">. Available at: </w:t>
      </w:r>
      <w:hyperlink r:id="rId12">
        <w:r w:rsidDel="00000000" w:rsidR="00000000" w:rsidRPr="00000000">
          <w:rPr>
            <w:color w:val="1155cc"/>
            <w:u w:val="single"/>
            <w:rtl w:val="0"/>
          </w:rPr>
          <w:t xml:space="preserve">https://www.instituteforapprenticeships.org/media/qixdc2cm/st0787_l7_systems-thinking-practitioner_epa-plan_22062023.pdf</w:t>
        </w:r>
      </w:hyperlink>
      <w:r w:rsidDel="00000000" w:rsidR="00000000" w:rsidRPr="00000000">
        <w:rPr>
          <w:rtl w:val="0"/>
        </w:rPr>
        <w:t xml:space="preserve"> (Accessed: 19 January 2024)</w:t>
      </w:r>
    </w:p>
    <w:p w:rsidR="00000000" w:rsidDel="00000000" w:rsidP="00000000" w:rsidRDefault="00000000" w:rsidRPr="00000000" w14:paraId="0000009C">
      <w:pPr>
        <w:spacing w:after="220" w:line="324.00000000000006" w:lineRule="auto"/>
        <w:rPr/>
      </w:pPr>
      <w:r w:rsidDel="00000000" w:rsidR="00000000" w:rsidRPr="00000000">
        <w:rPr>
          <w:rtl w:val="0"/>
        </w:rPr>
        <w:t xml:space="preserve">Feldman Barrett, L. (2023) ‘How your brain creates reality, explained by a neuroscientist’, </w:t>
      </w:r>
      <w:r w:rsidDel="00000000" w:rsidR="00000000" w:rsidRPr="00000000">
        <w:rPr>
          <w:i w:val="1"/>
          <w:rtl w:val="0"/>
        </w:rPr>
        <w:t xml:space="preserve">Big Think</w:t>
      </w:r>
      <w:r w:rsidDel="00000000" w:rsidR="00000000" w:rsidRPr="00000000">
        <w:rPr>
          <w:rtl w:val="0"/>
        </w:rPr>
        <w:t xml:space="preserve">, July. Available at:</w:t>
      </w:r>
      <w:hyperlink r:id="rId13">
        <w:r w:rsidDel="00000000" w:rsidR="00000000" w:rsidRPr="00000000">
          <w:rPr>
            <w:rtl w:val="0"/>
          </w:rPr>
          <w:t xml:space="preserve"> </w:t>
        </w:r>
      </w:hyperlink>
      <w:hyperlink r:id="rId14">
        <w:r w:rsidDel="00000000" w:rsidR="00000000" w:rsidRPr="00000000">
          <w:rPr>
            <w:color w:val="1155cc"/>
            <w:u w:val="single"/>
            <w:rtl w:val="0"/>
          </w:rPr>
          <w:t xml:space="preserve">https://bigthink.com/the-well/what-is-reality/</w:t>
        </w:r>
      </w:hyperlink>
      <w:r w:rsidDel="00000000" w:rsidR="00000000" w:rsidRPr="00000000">
        <w:rPr>
          <w:rtl w:val="0"/>
        </w:rPr>
        <w:t xml:space="preserve"> (Accessed: 22 December 2023).</w:t>
      </w:r>
    </w:p>
    <w:p w:rsidR="00000000" w:rsidDel="00000000" w:rsidP="00000000" w:rsidRDefault="00000000" w:rsidRPr="00000000" w14:paraId="0000009D">
      <w:pPr>
        <w:spacing w:after="220" w:line="324.00000000000006" w:lineRule="auto"/>
        <w:rPr/>
      </w:pPr>
      <w:r w:rsidDel="00000000" w:rsidR="00000000" w:rsidRPr="00000000">
        <w:rPr>
          <w:rtl w:val="0"/>
        </w:rPr>
        <w:t xml:space="preserve">Freeman, P.R., Jones, L., Yearworth, M., Cherruault, J-Y. (2014) ‘Systems Thinking and System Dynamics to Support Policy Making in Defra – Project Final Report’. P</w:t>
      </w:r>
      <w:r w:rsidDel="00000000" w:rsidR="00000000" w:rsidRPr="00000000">
        <w:rPr>
          <w:i w:val="1"/>
          <w:rtl w:val="0"/>
        </w:rPr>
        <w:t xml:space="preserve">repared for the Department for Environment, Food and Rural Affairs</w:t>
      </w:r>
      <w:r w:rsidDel="00000000" w:rsidR="00000000" w:rsidRPr="00000000">
        <w:rPr>
          <w:rtl w:val="0"/>
        </w:rPr>
        <w:t xml:space="preserve"> Available at: DOI:10.13140/RG.2.2.30980.22408</w:t>
      </w:r>
    </w:p>
    <w:p w:rsidR="00000000" w:rsidDel="00000000" w:rsidP="00000000" w:rsidRDefault="00000000" w:rsidRPr="00000000" w14:paraId="0000009E">
      <w:pPr>
        <w:spacing w:after="220" w:line="324.00000000000006" w:lineRule="auto"/>
        <w:rPr/>
      </w:pPr>
      <w:r w:rsidDel="00000000" w:rsidR="00000000" w:rsidRPr="00000000">
        <w:rPr>
          <w:rtl w:val="0"/>
        </w:rPr>
        <w:t xml:space="preserve">Gadsby, E., Hotham, S. and Merritt, R. (2023) ‘The theoretical and practical difficulties of evaluating a community-based “whole systems” obesity prevention intervention: a research team’s critical reflection’, </w:t>
      </w:r>
      <w:r w:rsidDel="00000000" w:rsidR="00000000" w:rsidRPr="00000000">
        <w:rPr>
          <w:i w:val="1"/>
          <w:rtl w:val="0"/>
        </w:rPr>
        <w:t xml:space="preserve">Perspectives in Public Health</w:t>
      </w:r>
      <w:r w:rsidDel="00000000" w:rsidR="00000000" w:rsidRPr="00000000">
        <w:rPr>
          <w:rtl w:val="0"/>
        </w:rPr>
        <w:t xml:space="preserve">, p. 17579139231195700. Available at:</w:t>
      </w:r>
      <w:hyperlink r:id="rId15">
        <w:r w:rsidDel="00000000" w:rsidR="00000000" w:rsidRPr="00000000">
          <w:rPr>
            <w:rtl w:val="0"/>
          </w:rPr>
          <w:t xml:space="preserve"> </w:t>
        </w:r>
      </w:hyperlink>
      <w:hyperlink r:id="rId16">
        <w:r w:rsidDel="00000000" w:rsidR="00000000" w:rsidRPr="00000000">
          <w:rPr>
            <w:color w:val="1155cc"/>
            <w:u w:val="single"/>
            <w:rtl w:val="0"/>
          </w:rPr>
          <w:t xml:space="preserve">https://doi.org/10.1177/17579139231195700</w:t>
        </w:r>
      </w:hyperlink>
      <w:r w:rsidDel="00000000" w:rsidR="00000000" w:rsidRPr="00000000">
        <w:rPr>
          <w:rtl w:val="0"/>
        </w:rPr>
        <w:t xml:space="preserve">.</w:t>
      </w:r>
    </w:p>
    <w:p w:rsidR="00000000" w:rsidDel="00000000" w:rsidP="00000000" w:rsidRDefault="00000000" w:rsidRPr="00000000" w14:paraId="0000009F">
      <w:pPr>
        <w:spacing w:after="220" w:line="324.00000000000006" w:lineRule="auto"/>
        <w:rPr/>
      </w:pPr>
      <w:r w:rsidDel="00000000" w:rsidR="00000000" w:rsidRPr="00000000">
        <w:rPr>
          <w:rtl w:val="0"/>
        </w:rPr>
        <w:t xml:space="preserve">Gadsby, E.W., Wistow, G. and Billings, J. (2022) ‘A critical systems evaluation of the introduction of a “discharge to assess” service in Kent’, </w:t>
      </w:r>
      <w:r w:rsidDel="00000000" w:rsidR="00000000" w:rsidRPr="00000000">
        <w:rPr>
          <w:i w:val="1"/>
          <w:rtl w:val="0"/>
        </w:rPr>
        <w:t xml:space="preserve">Critical Social Policy</w:t>
      </w:r>
      <w:r w:rsidDel="00000000" w:rsidR="00000000" w:rsidRPr="00000000">
        <w:rPr>
          <w:rtl w:val="0"/>
        </w:rPr>
        <w:t xml:space="preserve">, 42(4), pp. 671–694. Available at:</w:t>
      </w:r>
      <w:hyperlink r:id="rId17">
        <w:r w:rsidDel="00000000" w:rsidR="00000000" w:rsidRPr="00000000">
          <w:rPr>
            <w:rtl w:val="0"/>
          </w:rPr>
          <w:t xml:space="preserve"> </w:t>
        </w:r>
      </w:hyperlink>
      <w:hyperlink r:id="rId18">
        <w:r w:rsidDel="00000000" w:rsidR="00000000" w:rsidRPr="00000000">
          <w:rPr>
            <w:color w:val="1155cc"/>
            <w:u w:val="single"/>
            <w:rtl w:val="0"/>
          </w:rPr>
          <w:t xml:space="preserve">https://doi.org/10.1177/02610183211065028</w:t>
        </w:r>
      </w:hyperlink>
      <w:r w:rsidDel="00000000" w:rsidR="00000000" w:rsidRPr="00000000">
        <w:rPr>
          <w:rtl w:val="0"/>
        </w:rPr>
        <w:t xml:space="preserve">.</w:t>
      </w:r>
    </w:p>
    <w:p w:rsidR="00000000" w:rsidDel="00000000" w:rsidP="00000000" w:rsidRDefault="00000000" w:rsidRPr="00000000" w14:paraId="000000A0">
      <w:pPr>
        <w:spacing w:after="220" w:line="324.00000000000006" w:lineRule="auto"/>
        <w:rPr/>
      </w:pPr>
      <w:r w:rsidDel="00000000" w:rsidR="00000000" w:rsidRPr="00000000">
        <w:rPr>
          <w:rtl w:val="0"/>
        </w:rPr>
        <w:t xml:space="preserve">Goodman, M. (2016) </w:t>
      </w:r>
      <w:r w:rsidDel="00000000" w:rsidR="00000000" w:rsidRPr="00000000">
        <w:rPr>
          <w:i w:val="1"/>
          <w:rtl w:val="0"/>
        </w:rPr>
        <w:t xml:space="preserve">Systems Thinking: What, Why, When, Where, and How?</w:t>
      </w:r>
      <w:r w:rsidDel="00000000" w:rsidR="00000000" w:rsidRPr="00000000">
        <w:rPr>
          <w:rtl w:val="0"/>
        </w:rPr>
        <w:t xml:space="preserve">, </w:t>
      </w:r>
      <w:r w:rsidDel="00000000" w:rsidR="00000000" w:rsidRPr="00000000">
        <w:rPr>
          <w:i w:val="1"/>
          <w:rtl w:val="0"/>
        </w:rPr>
        <w:t xml:space="preserve">The Systems Thinker</w:t>
      </w:r>
      <w:r w:rsidDel="00000000" w:rsidR="00000000" w:rsidRPr="00000000">
        <w:rPr>
          <w:rtl w:val="0"/>
        </w:rPr>
        <w:t xml:space="preserve">. Available at:</w:t>
      </w:r>
      <w:hyperlink r:id="rId19">
        <w:r w:rsidDel="00000000" w:rsidR="00000000" w:rsidRPr="00000000">
          <w:rPr>
            <w:rtl w:val="0"/>
          </w:rPr>
          <w:t xml:space="preserve"> </w:t>
        </w:r>
      </w:hyperlink>
      <w:hyperlink r:id="rId20">
        <w:r w:rsidDel="00000000" w:rsidR="00000000" w:rsidRPr="00000000">
          <w:rPr>
            <w:color w:val="1155cc"/>
            <w:u w:val="single"/>
            <w:rtl w:val="0"/>
          </w:rPr>
          <w:t xml:space="preserve">https://thesystemsthinker.com/systems-thinking-what-why-when-where-and-how/</w:t>
        </w:r>
      </w:hyperlink>
      <w:r w:rsidDel="00000000" w:rsidR="00000000" w:rsidRPr="00000000">
        <w:rPr>
          <w:rtl w:val="0"/>
        </w:rPr>
        <w:t xml:space="preserve"> (Accessed: 22 December 2023).</w:t>
      </w:r>
    </w:p>
    <w:p w:rsidR="00000000" w:rsidDel="00000000" w:rsidP="00000000" w:rsidRDefault="00000000" w:rsidRPr="00000000" w14:paraId="000000A1">
      <w:pPr>
        <w:spacing w:after="220" w:line="324.00000000000006" w:lineRule="auto"/>
        <w:rPr/>
      </w:pPr>
      <w:r w:rsidDel="00000000" w:rsidR="00000000" w:rsidRPr="00000000">
        <w:rPr>
          <w:rtl w:val="0"/>
        </w:rPr>
        <w:t xml:space="preserve">Grix, J. (2002) ‘Introducing Students to the Generic Terminology of Social Research’, </w:t>
      </w:r>
      <w:r w:rsidDel="00000000" w:rsidR="00000000" w:rsidRPr="00000000">
        <w:rPr>
          <w:i w:val="1"/>
          <w:rtl w:val="0"/>
        </w:rPr>
        <w:t xml:space="preserve">Politics</w:t>
      </w:r>
      <w:r w:rsidDel="00000000" w:rsidR="00000000" w:rsidRPr="00000000">
        <w:rPr>
          <w:rtl w:val="0"/>
        </w:rPr>
        <w:t xml:space="preserve">, 22(3), pp. 175–186. Available at:</w:t>
      </w:r>
      <w:hyperlink r:id="rId21">
        <w:r w:rsidDel="00000000" w:rsidR="00000000" w:rsidRPr="00000000">
          <w:rPr>
            <w:rtl w:val="0"/>
          </w:rPr>
          <w:t xml:space="preserve"> </w:t>
        </w:r>
      </w:hyperlink>
      <w:hyperlink r:id="rId22">
        <w:r w:rsidDel="00000000" w:rsidR="00000000" w:rsidRPr="00000000">
          <w:rPr>
            <w:color w:val="1155cc"/>
            <w:u w:val="single"/>
            <w:rtl w:val="0"/>
          </w:rPr>
          <w:t xml:space="preserve">https://doi.org/10.1111/1467-9256.00173</w:t>
        </w:r>
      </w:hyperlink>
      <w:r w:rsidDel="00000000" w:rsidR="00000000" w:rsidRPr="00000000">
        <w:rPr>
          <w:rtl w:val="0"/>
        </w:rPr>
        <w:t xml:space="preserve">.</w:t>
      </w:r>
    </w:p>
    <w:p w:rsidR="00000000" w:rsidDel="00000000" w:rsidP="00000000" w:rsidRDefault="00000000" w:rsidRPr="00000000" w14:paraId="000000A2">
      <w:pPr>
        <w:spacing w:after="220" w:line="324.00000000000006" w:lineRule="auto"/>
        <w:rPr/>
      </w:pPr>
      <w:r w:rsidDel="00000000" w:rsidR="00000000" w:rsidRPr="00000000">
        <w:rPr>
          <w:rtl w:val="0"/>
        </w:rPr>
        <w:t xml:space="preserve">Harrison, A. (2023) Email to Helen Sanson ‘Coaching resources and case materials’.</w:t>
      </w:r>
    </w:p>
    <w:p w:rsidR="00000000" w:rsidDel="00000000" w:rsidP="00000000" w:rsidRDefault="00000000" w:rsidRPr="00000000" w14:paraId="000000A3">
      <w:pPr>
        <w:spacing w:after="220" w:line="324.00000000000006" w:lineRule="auto"/>
        <w:rPr/>
      </w:pPr>
      <w:r w:rsidDel="00000000" w:rsidR="00000000" w:rsidRPr="00000000">
        <w:rPr>
          <w:rtl w:val="0"/>
        </w:rPr>
        <w:t xml:space="preserve">Hopkin, T., Lu, S.-L.,Rogers,P and Sexton, M</w:t>
      </w:r>
      <w:r w:rsidDel="00000000" w:rsidR="00000000" w:rsidRPr="00000000">
        <w:rPr>
          <w:i w:val="1"/>
          <w:rtl w:val="0"/>
        </w:rPr>
        <w:t xml:space="preserve">.</w:t>
      </w:r>
      <w:r w:rsidDel="00000000" w:rsidR="00000000" w:rsidRPr="00000000">
        <w:rPr>
          <w:rtl w:val="0"/>
        </w:rPr>
        <w:t xml:space="preserve"> (2016) ‘a Soft Systems Methodology Approach To The Improvement Of A Housing Association’s Defects Management And Learning Systems’.32nd ARCOM Conference, 5th – 7th September, Manchester, UK, pp. 1283-1292. Available at: http://centaur.reading.ac.uk/67077/</w:t>
      </w:r>
    </w:p>
    <w:p w:rsidR="00000000" w:rsidDel="00000000" w:rsidP="00000000" w:rsidRDefault="00000000" w:rsidRPr="00000000" w14:paraId="000000A4">
      <w:pPr>
        <w:spacing w:after="220" w:line="324.00000000000006" w:lineRule="auto"/>
        <w:rPr/>
      </w:pPr>
      <w:r w:rsidDel="00000000" w:rsidR="00000000" w:rsidRPr="00000000">
        <w:rPr>
          <w:rtl w:val="0"/>
        </w:rPr>
        <w:t xml:space="preserve">Jesson, J. and Lacey, F. (2006) ‘How to do (or not to do) a critical literature review’, </w:t>
      </w:r>
      <w:r w:rsidDel="00000000" w:rsidR="00000000" w:rsidRPr="00000000">
        <w:rPr>
          <w:i w:val="1"/>
          <w:rtl w:val="0"/>
        </w:rPr>
        <w:t xml:space="preserve">Pharmacy Education</w:t>
      </w:r>
      <w:r w:rsidDel="00000000" w:rsidR="00000000" w:rsidRPr="00000000">
        <w:rPr>
          <w:rtl w:val="0"/>
        </w:rPr>
        <w:t xml:space="preserve">, 6(2), pp. 139–148. Available at:</w:t>
      </w:r>
      <w:hyperlink r:id="rId23">
        <w:r w:rsidDel="00000000" w:rsidR="00000000" w:rsidRPr="00000000">
          <w:rPr>
            <w:rtl w:val="0"/>
          </w:rPr>
          <w:t xml:space="preserve"> </w:t>
        </w:r>
      </w:hyperlink>
      <w:hyperlink r:id="rId24">
        <w:r w:rsidDel="00000000" w:rsidR="00000000" w:rsidRPr="00000000">
          <w:rPr>
            <w:color w:val="1155cc"/>
            <w:u w:val="single"/>
            <w:rtl w:val="0"/>
          </w:rPr>
          <w:t xml:space="preserve">https://doi.org/10.1080/15602210600616218</w:t>
        </w:r>
      </w:hyperlink>
      <w:r w:rsidDel="00000000" w:rsidR="00000000" w:rsidRPr="00000000">
        <w:rPr>
          <w:rtl w:val="0"/>
        </w:rPr>
        <w:t xml:space="preserve">.</w:t>
      </w:r>
    </w:p>
    <w:p w:rsidR="00000000" w:rsidDel="00000000" w:rsidP="00000000" w:rsidRDefault="00000000" w:rsidRPr="00000000" w14:paraId="000000A5">
      <w:pPr>
        <w:spacing w:after="220" w:line="324.00000000000006" w:lineRule="auto"/>
        <w:rPr/>
      </w:pPr>
      <w:r w:rsidDel="00000000" w:rsidR="00000000" w:rsidRPr="00000000">
        <w:rPr>
          <w:rtl w:val="0"/>
        </w:rPr>
        <w:t xml:space="preserve">Laszlo, K.C. (2012) ‘From systems thinking to systems being: The embodiment of evolutionary leadership’, </w:t>
      </w:r>
      <w:r w:rsidDel="00000000" w:rsidR="00000000" w:rsidRPr="00000000">
        <w:rPr>
          <w:i w:val="1"/>
          <w:rtl w:val="0"/>
        </w:rPr>
        <w:t xml:space="preserve">Journal of Organisational Transformation &amp; Social Change</w:t>
      </w:r>
      <w:r w:rsidDel="00000000" w:rsidR="00000000" w:rsidRPr="00000000">
        <w:rPr>
          <w:rtl w:val="0"/>
        </w:rPr>
        <w:t xml:space="preserve">, 9(2), pp. 95–108. Available at:</w:t>
      </w:r>
      <w:hyperlink r:id="rId25">
        <w:r w:rsidDel="00000000" w:rsidR="00000000" w:rsidRPr="00000000">
          <w:rPr>
            <w:rtl w:val="0"/>
          </w:rPr>
          <w:t xml:space="preserve"> </w:t>
        </w:r>
      </w:hyperlink>
      <w:hyperlink r:id="rId26">
        <w:r w:rsidDel="00000000" w:rsidR="00000000" w:rsidRPr="00000000">
          <w:rPr>
            <w:color w:val="1155cc"/>
            <w:u w:val="single"/>
            <w:rtl w:val="0"/>
          </w:rPr>
          <w:t xml:space="preserve">https://doi.org/10.1386/jots.9.2.95_1</w:t>
        </w:r>
      </w:hyperlink>
      <w:r w:rsidDel="00000000" w:rsidR="00000000" w:rsidRPr="00000000">
        <w:rPr>
          <w:rtl w:val="0"/>
        </w:rPr>
        <w:t xml:space="preserve">.</w:t>
      </w:r>
    </w:p>
    <w:p w:rsidR="00000000" w:rsidDel="00000000" w:rsidP="00000000" w:rsidRDefault="00000000" w:rsidRPr="00000000" w14:paraId="000000A6">
      <w:pPr>
        <w:spacing w:after="220" w:line="324.00000000000006" w:lineRule="auto"/>
        <w:rPr/>
      </w:pPr>
      <w:r w:rsidDel="00000000" w:rsidR="00000000" w:rsidRPr="00000000">
        <w:rPr>
          <w:rtl w:val="0"/>
        </w:rPr>
        <w:t xml:space="preserve">Macmillan, A. </w:t>
      </w:r>
      <w:r w:rsidDel="00000000" w:rsidR="00000000" w:rsidRPr="00000000">
        <w:rPr>
          <w:i w:val="1"/>
          <w:rtl w:val="0"/>
        </w:rPr>
        <w:t xml:space="preserve">et al.</w:t>
      </w:r>
      <w:r w:rsidDel="00000000" w:rsidR="00000000" w:rsidRPr="00000000">
        <w:rPr>
          <w:rtl w:val="0"/>
        </w:rPr>
        <w:t xml:space="preserve"> (2016) ‘Integrated decision-making about housing, energy and wellbeing: a qualitative system dynamics model’, </w:t>
      </w:r>
      <w:r w:rsidDel="00000000" w:rsidR="00000000" w:rsidRPr="00000000">
        <w:rPr>
          <w:i w:val="1"/>
          <w:rtl w:val="0"/>
        </w:rPr>
        <w:t xml:space="preserve">Environmental Health</w:t>
      </w:r>
      <w:r w:rsidDel="00000000" w:rsidR="00000000" w:rsidRPr="00000000">
        <w:rPr>
          <w:rtl w:val="0"/>
        </w:rPr>
        <w:t xml:space="preserve">, 15(S1), p. S37. Available at:</w:t>
      </w:r>
      <w:hyperlink r:id="rId27">
        <w:r w:rsidDel="00000000" w:rsidR="00000000" w:rsidRPr="00000000">
          <w:rPr>
            <w:rtl w:val="0"/>
          </w:rPr>
          <w:t xml:space="preserve"> </w:t>
        </w:r>
      </w:hyperlink>
      <w:hyperlink r:id="rId28">
        <w:r w:rsidDel="00000000" w:rsidR="00000000" w:rsidRPr="00000000">
          <w:rPr>
            <w:color w:val="1155cc"/>
            <w:u w:val="single"/>
            <w:rtl w:val="0"/>
          </w:rPr>
          <w:t xml:space="preserve">https://doi.org/10.1186/s12940-016-0098-z</w:t>
        </w:r>
      </w:hyperlink>
      <w:r w:rsidDel="00000000" w:rsidR="00000000" w:rsidRPr="00000000">
        <w:rPr>
          <w:rtl w:val="0"/>
        </w:rPr>
        <w:t xml:space="preserve">.</w:t>
      </w:r>
    </w:p>
    <w:p w:rsidR="00000000" w:rsidDel="00000000" w:rsidP="00000000" w:rsidRDefault="00000000" w:rsidRPr="00000000" w14:paraId="000000A7">
      <w:pPr>
        <w:spacing w:after="220" w:line="324.00000000000006" w:lineRule="auto"/>
        <w:rPr/>
      </w:pPr>
      <w:r w:rsidDel="00000000" w:rsidR="00000000" w:rsidRPr="00000000">
        <w:rPr>
          <w:rtl w:val="0"/>
        </w:rPr>
        <w:t xml:space="preserve">Midgley, G. (2023) Email to Helen Sanson ‘FW: CSH and Evaluation’.</w:t>
      </w:r>
    </w:p>
    <w:p w:rsidR="00000000" w:rsidDel="00000000" w:rsidP="00000000" w:rsidRDefault="00000000" w:rsidRPr="00000000" w14:paraId="000000A8">
      <w:pPr>
        <w:spacing w:after="220" w:line="324.00000000000006" w:lineRule="auto"/>
        <w:rPr/>
      </w:pPr>
      <w:r w:rsidDel="00000000" w:rsidR="00000000" w:rsidRPr="00000000">
        <w:rPr>
          <w:rtl w:val="0"/>
        </w:rPr>
        <w:t xml:space="preserve">Newman, D. M., (2022), Exploring the Architecture of Everyday Life 14th Ediction, </w:t>
      </w:r>
      <w:r w:rsidDel="00000000" w:rsidR="00000000" w:rsidRPr="00000000">
        <w:rPr>
          <w:i w:val="1"/>
          <w:rtl w:val="0"/>
        </w:rPr>
        <w:t xml:space="preserve">SAGE Publications, Inc.</w:t>
      </w:r>
      <w:r w:rsidDel="00000000" w:rsidR="00000000" w:rsidRPr="00000000">
        <w:rPr>
          <w:rtl w:val="0"/>
        </w:rPr>
        <w:t xml:space="preserve"> </w:t>
      </w:r>
    </w:p>
    <w:p w:rsidR="00000000" w:rsidDel="00000000" w:rsidP="00000000" w:rsidRDefault="00000000" w:rsidRPr="00000000" w14:paraId="000000A9">
      <w:pPr>
        <w:spacing w:after="220" w:line="324.00000000000006" w:lineRule="auto"/>
        <w:rPr/>
      </w:pPr>
      <w:r w:rsidDel="00000000" w:rsidR="00000000" w:rsidRPr="00000000">
        <w:rPr>
          <w:rtl w:val="0"/>
        </w:rPr>
        <w:t xml:space="preserve">Nguyen, L.K.N. </w:t>
      </w:r>
      <w:r w:rsidDel="00000000" w:rsidR="00000000" w:rsidRPr="00000000">
        <w:rPr>
          <w:i w:val="1"/>
          <w:rtl w:val="0"/>
        </w:rPr>
        <w:t xml:space="preserve">et al.</w:t>
      </w:r>
      <w:r w:rsidDel="00000000" w:rsidR="00000000" w:rsidRPr="00000000">
        <w:rPr>
          <w:rtl w:val="0"/>
        </w:rPr>
        <w:t xml:space="preserve"> (2023) ‘Civil Servant and Expert Perspectives on Drivers, Values, Challenges and Successes in Adopting Systems Thinking in Policy-Making’, </w:t>
      </w:r>
      <w:r w:rsidDel="00000000" w:rsidR="00000000" w:rsidRPr="00000000">
        <w:rPr>
          <w:i w:val="1"/>
          <w:rtl w:val="0"/>
        </w:rPr>
        <w:t xml:space="preserve">Systems</w:t>
      </w:r>
      <w:r w:rsidDel="00000000" w:rsidR="00000000" w:rsidRPr="00000000">
        <w:rPr>
          <w:rtl w:val="0"/>
        </w:rPr>
        <w:t xml:space="preserve">, 11(4), p. 193. Available at:</w:t>
      </w:r>
      <w:hyperlink r:id="rId29">
        <w:r w:rsidDel="00000000" w:rsidR="00000000" w:rsidRPr="00000000">
          <w:rPr>
            <w:rtl w:val="0"/>
          </w:rPr>
          <w:t xml:space="preserve"> </w:t>
        </w:r>
      </w:hyperlink>
      <w:hyperlink r:id="rId30">
        <w:r w:rsidDel="00000000" w:rsidR="00000000" w:rsidRPr="00000000">
          <w:rPr>
            <w:color w:val="1155cc"/>
            <w:u w:val="single"/>
            <w:rtl w:val="0"/>
          </w:rPr>
          <w:t xml:space="preserve">https://doi.org/10.3390/systems11040193</w:t>
        </w:r>
      </w:hyperlink>
      <w:r w:rsidDel="00000000" w:rsidR="00000000" w:rsidRPr="00000000">
        <w:rPr>
          <w:rtl w:val="0"/>
        </w:rPr>
        <w:t xml:space="preserve">.</w:t>
      </w:r>
    </w:p>
    <w:p w:rsidR="00000000" w:rsidDel="00000000" w:rsidP="00000000" w:rsidRDefault="00000000" w:rsidRPr="00000000" w14:paraId="000000AA">
      <w:pPr>
        <w:spacing w:after="220" w:line="324.00000000000006" w:lineRule="auto"/>
        <w:rPr/>
      </w:pPr>
      <w:r w:rsidDel="00000000" w:rsidR="00000000" w:rsidRPr="00000000">
        <w:rPr>
          <w:i w:val="1"/>
          <w:rtl w:val="0"/>
        </w:rPr>
        <w:t xml:space="preserve">Ontology</w:t>
      </w:r>
      <w:r w:rsidDel="00000000" w:rsidR="00000000" w:rsidRPr="00000000">
        <w:rPr>
          <w:rtl w:val="0"/>
        </w:rPr>
        <w:t xml:space="preserve"> (2017). Warwick Education Studies Available at:</w:t>
      </w:r>
      <w:hyperlink r:id="rId31">
        <w:r w:rsidDel="00000000" w:rsidR="00000000" w:rsidRPr="00000000">
          <w:rPr>
            <w:rtl w:val="0"/>
          </w:rPr>
          <w:t xml:space="preserve"> </w:t>
        </w:r>
      </w:hyperlink>
      <w:hyperlink r:id="rId32">
        <w:r w:rsidDel="00000000" w:rsidR="00000000" w:rsidRPr="00000000">
          <w:rPr>
            <w:color w:val="1155cc"/>
            <w:u w:val="single"/>
            <w:rtl w:val="0"/>
          </w:rPr>
          <w:t xml:space="preserve">https://warwick.ac.uk/fac/soc/ces/research/current/socialtheory/maps/ology/</w:t>
        </w:r>
      </w:hyperlink>
      <w:r w:rsidDel="00000000" w:rsidR="00000000" w:rsidRPr="00000000">
        <w:rPr>
          <w:rtl w:val="0"/>
        </w:rPr>
        <w:t xml:space="preserve"> (Accessed: 19 January 2024).</w:t>
      </w:r>
    </w:p>
    <w:p w:rsidR="00000000" w:rsidDel="00000000" w:rsidP="00000000" w:rsidRDefault="00000000" w:rsidRPr="00000000" w14:paraId="000000AB">
      <w:pPr>
        <w:spacing w:after="220" w:line="324.00000000000006" w:lineRule="auto"/>
        <w:rPr/>
      </w:pPr>
      <w:r w:rsidDel="00000000" w:rsidR="00000000" w:rsidRPr="00000000">
        <w:rPr>
          <w:rtl w:val="0"/>
        </w:rPr>
        <w:t xml:space="preserve">Omerod, R. (1999) Putting systems theory to work - The synergy between theory and practice Working With Systems In The 21st Century. In: 6th International Conference of the United-Kingdom-Systems-Society on Synergy Matters, Lincoln, England, Jul 05-09, 1999. Published in: Synergy Matters Working with Systems in the 21st Century pp. 19-24. ISBN 0-306-46186-2.</w:t>
      </w:r>
    </w:p>
    <w:p w:rsidR="00000000" w:rsidDel="00000000" w:rsidP="00000000" w:rsidRDefault="00000000" w:rsidRPr="00000000" w14:paraId="000000AC">
      <w:pPr>
        <w:spacing w:after="220" w:line="324.00000000000006" w:lineRule="auto"/>
        <w:rPr/>
      </w:pPr>
      <w:r w:rsidDel="00000000" w:rsidR="00000000" w:rsidRPr="00000000">
        <w:rPr>
          <w:rtl w:val="0"/>
        </w:rPr>
        <w:t xml:space="preserve">Reynolds, Martin (2011). Critical thinking and systems thinking: towards a critical literacy for systems thinking in practice. In: Horvath, Christopher P. and Forte, James M. eds. </w:t>
      </w:r>
      <w:r w:rsidDel="00000000" w:rsidR="00000000" w:rsidRPr="00000000">
        <w:rPr>
          <w:i w:val="1"/>
          <w:rtl w:val="0"/>
        </w:rPr>
        <w:t xml:space="preserve">Critical Thinking</w:t>
      </w:r>
      <w:r w:rsidDel="00000000" w:rsidR="00000000" w:rsidRPr="00000000">
        <w:rPr>
          <w:rtl w:val="0"/>
        </w:rPr>
        <w:t xml:space="preserve">. New York, USA: Nova Science Publishers, pp. 37–68. </w:t>
      </w:r>
    </w:p>
    <w:p w:rsidR="00000000" w:rsidDel="00000000" w:rsidP="00000000" w:rsidRDefault="00000000" w:rsidRPr="00000000" w14:paraId="000000AD">
      <w:pPr>
        <w:spacing w:after="220" w:line="324.00000000000006" w:lineRule="auto"/>
        <w:rPr/>
      </w:pPr>
      <w:r w:rsidDel="00000000" w:rsidR="00000000" w:rsidRPr="00000000">
        <w:rPr>
          <w:rtl w:val="0"/>
        </w:rPr>
        <w:t xml:space="preserve">Scharmer, O. (2014) </w:t>
      </w:r>
      <w:r w:rsidDel="00000000" w:rsidR="00000000" w:rsidRPr="00000000">
        <w:rPr>
          <w:i w:val="1"/>
          <w:rtl w:val="0"/>
        </w:rPr>
        <w:t xml:space="preserve">Collective Mindfulness: The Leader’s New Work</w:t>
      </w:r>
      <w:r w:rsidDel="00000000" w:rsidR="00000000" w:rsidRPr="00000000">
        <w:rPr>
          <w:rtl w:val="0"/>
        </w:rPr>
        <w:t xml:space="preserve"> </w:t>
      </w:r>
      <w:r w:rsidDel="00000000" w:rsidR="00000000" w:rsidRPr="00000000">
        <w:rPr>
          <w:i w:val="1"/>
          <w:rtl w:val="0"/>
        </w:rPr>
        <w:t xml:space="preserve">HuffPost</w:t>
      </w:r>
      <w:r w:rsidDel="00000000" w:rsidR="00000000" w:rsidRPr="00000000">
        <w:rPr>
          <w:rtl w:val="0"/>
        </w:rPr>
        <w:t xml:space="preserve">. Available at:</w:t>
      </w:r>
      <w:hyperlink r:id="rId33">
        <w:r w:rsidDel="00000000" w:rsidR="00000000" w:rsidRPr="00000000">
          <w:rPr>
            <w:rtl w:val="0"/>
          </w:rPr>
          <w:t xml:space="preserve"> </w:t>
        </w:r>
      </w:hyperlink>
      <w:hyperlink r:id="rId34">
        <w:r w:rsidDel="00000000" w:rsidR="00000000" w:rsidRPr="00000000">
          <w:rPr>
            <w:color w:val="1155cc"/>
            <w:u w:val="single"/>
            <w:rtl w:val="0"/>
          </w:rPr>
          <w:t xml:space="preserve">https://www.huffpost.com/entry/collective-mindfulness-th_b_4732429</w:t>
        </w:r>
      </w:hyperlink>
      <w:r w:rsidDel="00000000" w:rsidR="00000000" w:rsidRPr="00000000">
        <w:rPr>
          <w:rtl w:val="0"/>
        </w:rPr>
        <w:t xml:space="preserve"> (Accessed: 14 January 2024).</w:t>
      </w:r>
    </w:p>
    <w:p w:rsidR="00000000" w:rsidDel="00000000" w:rsidP="00000000" w:rsidRDefault="00000000" w:rsidRPr="00000000" w14:paraId="000000AE">
      <w:pPr>
        <w:spacing w:after="220" w:line="324.00000000000006" w:lineRule="auto"/>
        <w:rPr/>
      </w:pPr>
      <w:r w:rsidDel="00000000" w:rsidR="00000000" w:rsidRPr="00000000">
        <w:rPr>
          <w:rtl w:val="0"/>
        </w:rPr>
        <w:t xml:space="preserve">Tavella, E. (2023) ‘“And what did you do about my emotions during Covid-19?” Making sense of negative emotions at work through institutional logics and Critical Systems Heuristics’, </w:t>
      </w:r>
      <w:r w:rsidDel="00000000" w:rsidR="00000000" w:rsidRPr="00000000">
        <w:rPr>
          <w:i w:val="1"/>
          <w:rtl w:val="0"/>
        </w:rPr>
        <w:t xml:space="preserve">Systems Research and Behavioral Science</w:t>
      </w:r>
      <w:r w:rsidDel="00000000" w:rsidR="00000000" w:rsidRPr="00000000">
        <w:rPr>
          <w:rtl w:val="0"/>
        </w:rPr>
        <w:t xml:space="preserve">, n/a(n/a). Available at:</w:t>
      </w:r>
      <w:hyperlink r:id="rId35">
        <w:r w:rsidDel="00000000" w:rsidR="00000000" w:rsidRPr="00000000">
          <w:rPr>
            <w:rtl w:val="0"/>
          </w:rPr>
          <w:t xml:space="preserve"> </w:t>
        </w:r>
      </w:hyperlink>
      <w:hyperlink r:id="rId36">
        <w:r w:rsidDel="00000000" w:rsidR="00000000" w:rsidRPr="00000000">
          <w:rPr>
            <w:color w:val="1155cc"/>
            <w:u w:val="single"/>
            <w:rtl w:val="0"/>
          </w:rPr>
          <w:t xml:space="preserve">https://doi.org/10.1002/sres.2952</w:t>
        </w:r>
      </w:hyperlink>
      <w:r w:rsidDel="00000000" w:rsidR="00000000" w:rsidRPr="00000000">
        <w:rPr>
          <w:rtl w:val="0"/>
        </w:rPr>
        <w:t xml:space="preserve">.</w:t>
      </w:r>
    </w:p>
    <w:p w:rsidR="00000000" w:rsidDel="00000000" w:rsidP="00000000" w:rsidRDefault="00000000" w:rsidRPr="00000000" w14:paraId="000000AF">
      <w:pPr>
        <w:spacing w:line="324.00000000000006" w:lineRule="auto"/>
        <w:rPr/>
      </w:pPr>
      <w:r w:rsidDel="00000000" w:rsidR="00000000" w:rsidRPr="00000000">
        <w:rPr>
          <w:rtl w:val="0"/>
        </w:rPr>
        <w:t xml:space="preserve">Wright, A. and Michailova, S. (2023) ‘Critical literature reviews: A critique and actionable advice’, </w:t>
      </w:r>
      <w:r w:rsidDel="00000000" w:rsidR="00000000" w:rsidRPr="00000000">
        <w:rPr>
          <w:i w:val="1"/>
          <w:rtl w:val="0"/>
        </w:rPr>
        <w:t xml:space="preserve">Management Learning</w:t>
      </w:r>
      <w:r w:rsidDel="00000000" w:rsidR="00000000" w:rsidRPr="00000000">
        <w:rPr>
          <w:rtl w:val="0"/>
        </w:rPr>
        <w:t xml:space="preserve">, 54(2), pp. 177–197. Available at:</w:t>
      </w:r>
      <w:hyperlink r:id="rId37">
        <w:r w:rsidDel="00000000" w:rsidR="00000000" w:rsidRPr="00000000">
          <w:rPr>
            <w:rtl w:val="0"/>
          </w:rPr>
          <w:t xml:space="preserve"> </w:t>
        </w:r>
      </w:hyperlink>
      <w:hyperlink r:id="rId38">
        <w:r w:rsidDel="00000000" w:rsidR="00000000" w:rsidRPr="00000000">
          <w:rPr>
            <w:color w:val="1155cc"/>
            <w:u w:val="single"/>
            <w:rtl w:val="0"/>
          </w:rPr>
          <w:t xml:space="preserve">https://doi.org/10.1177/13505076211073961</w:t>
        </w:r>
      </w:hyperlink>
      <w:r w:rsidDel="00000000" w:rsidR="00000000" w:rsidRPr="00000000">
        <w:rPr>
          <w:rtl w:val="0"/>
        </w:rPr>
        <w:t xml:space="preserve">.</w:t>
      </w:r>
    </w:p>
    <w:p w:rsidR="00000000" w:rsidDel="00000000" w:rsidP="00000000" w:rsidRDefault="00000000" w:rsidRPr="00000000" w14:paraId="000000B0">
      <w:pPr>
        <w:spacing w:line="324.00000000000006" w:lineRule="auto"/>
        <w:rPr/>
      </w:pPr>
      <w:r w:rsidDel="00000000" w:rsidR="00000000" w:rsidRPr="00000000">
        <w:rPr>
          <w:rtl w:val="0"/>
        </w:rPr>
      </w:r>
    </w:p>
    <w:p w:rsidR="00000000" w:rsidDel="00000000" w:rsidP="00000000" w:rsidRDefault="00000000" w:rsidRPr="00000000" w14:paraId="000000B1">
      <w:pPr>
        <w:spacing w:line="324.00000000000006" w:lineRule="auto"/>
        <w:rPr/>
      </w:pPr>
      <w:r w:rsidDel="00000000" w:rsidR="00000000" w:rsidRPr="00000000">
        <w:rPr>
          <w:rtl w:val="0"/>
        </w:rPr>
        <w:t xml:space="preserve">Wynn, C. (2012) ‘A Viable Systems Analysis of Development Control Services in English Local Planning Authorities’. Available at https://shura.shu.ac.uk/16562/</w:t>
      </w:r>
      <w:r w:rsidDel="00000000" w:rsidR="00000000" w:rsidRPr="00000000">
        <w:rPr>
          <w:rtl w:val="0"/>
        </w:rPr>
      </w:r>
    </w:p>
    <w:sectPr>
      <w:footerReference r:id="rId39" w:type="default"/>
      <w:pgSz w:h="16838" w:w="11906" w:orient="portrait"/>
      <w:pgMar w:bottom="1440.0000000000002" w:top="1440.0000000000002" w:left="1440.0000000000002" w:right="1440.000000000000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2">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thesystemsthinker.com/systems-thinking-what-why-when-where-and-how/" TargetMode="External"/><Relationship Id="rId22" Type="http://schemas.openxmlformats.org/officeDocument/2006/relationships/hyperlink" Target="https://doi.org/10.1111/1467-9256.00173" TargetMode="External"/><Relationship Id="rId21" Type="http://schemas.openxmlformats.org/officeDocument/2006/relationships/hyperlink" Target="https://doi.org/10.1111/1467-9256.00173" TargetMode="External"/><Relationship Id="rId24" Type="http://schemas.openxmlformats.org/officeDocument/2006/relationships/hyperlink" Target="https://doi.org/10.1080/15602210600616218" TargetMode="External"/><Relationship Id="rId23" Type="http://schemas.openxmlformats.org/officeDocument/2006/relationships/hyperlink" Target="https://doi.org/10.1080/15602210600616218"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080/09613218.2017.1362919" TargetMode="External"/><Relationship Id="rId26" Type="http://schemas.openxmlformats.org/officeDocument/2006/relationships/hyperlink" Target="https://doi.org/10.1386/jots.9.2.95_1" TargetMode="External"/><Relationship Id="rId25" Type="http://schemas.openxmlformats.org/officeDocument/2006/relationships/hyperlink" Target="https://doi.org/10.1386/jots.9.2.95_1" TargetMode="External"/><Relationship Id="rId28" Type="http://schemas.openxmlformats.org/officeDocument/2006/relationships/hyperlink" Target="https://doi.org/10.1186/s12940-016-0098-z" TargetMode="External"/><Relationship Id="rId27" Type="http://schemas.openxmlformats.org/officeDocument/2006/relationships/hyperlink" Target="https://doi.org/10.1186/s12940-016-0098-z" TargetMode="External"/><Relationship Id="rId5" Type="http://schemas.openxmlformats.org/officeDocument/2006/relationships/styles" Target="styles.xml"/><Relationship Id="rId6" Type="http://schemas.openxmlformats.org/officeDocument/2006/relationships/hyperlink" Target="https://doi.org/10.3917/sim.151.0061" TargetMode="External"/><Relationship Id="rId29" Type="http://schemas.openxmlformats.org/officeDocument/2006/relationships/hyperlink" Target="https://doi.org/10.3390/systems11040193" TargetMode="External"/><Relationship Id="rId7" Type="http://schemas.openxmlformats.org/officeDocument/2006/relationships/hyperlink" Target="https://doi.org/10.3917/sim.151.0061" TargetMode="External"/><Relationship Id="rId8" Type="http://schemas.openxmlformats.org/officeDocument/2006/relationships/hyperlink" Target="https://doi.org/10.1080/09613218.2017.1362919" TargetMode="External"/><Relationship Id="rId31" Type="http://schemas.openxmlformats.org/officeDocument/2006/relationships/hyperlink" Target="https://warwick.ac.uk/fac/soc/ces/research/current/socialtheory/maps/ology/" TargetMode="External"/><Relationship Id="rId30" Type="http://schemas.openxmlformats.org/officeDocument/2006/relationships/hyperlink" Target="https://doi.org/10.3390/systems11040193" TargetMode="External"/><Relationship Id="rId11" Type="http://schemas.openxmlformats.org/officeDocument/2006/relationships/hyperlink" Target="https://doi.org/10.1057/s41306-017-0027-6" TargetMode="External"/><Relationship Id="rId33" Type="http://schemas.openxmlformats.org/officeDocument/2006/relationships/hyperlink" Target="https://www.huffpost.com/entry/collective-mindfulness-th_b_4732429" TargetMode="External"/><Relationship Id="rId10" Type="http://schemas.openxmlformats.org/officeDocument/2006/relationships/hyperlink" Target="https://doi.org/10.1057/s41306-017-0027-6" TargetMode="External"/><Relationship Id="rId32" Type="http://schemas.openxmlformats.org/officeDocument/2006/relationships/hyperlink" Target="https://warwick.ac.uk/fac/soc/ces/research/current/socialtheory/maps/ology/" TargetMode="External"/><Relationship Id="rId13" Type="http://schemas.openxmlformats.org/officeDocument/2006/relationships/hyperlink" Target="https://bigthink.com/the-well/what-is-reality/" TargetMode="External"/><Relationship Id="rId35" Type="http://schemas.openxmlformats.org/officeDocument/2006/relationships/hyperlink" Target="https://doi.org/10.1002/sres.2952" TargetMode="External"/><Relationship Id="rId12" Type="http://schemas.openxmlformats.org/officeDocument/2006/relationships/hyperlink" Target="https://www.instituteforapprenticeships.org/media/qixdc2cm/st0787_l7_systems-thinking-practitioner_epa-plan_22062023.pdf" TargetMode="External"/><Relationship Id="rId34" Type="http://schemas.openxmlformats.org/officeDocument/2006/relationships/hyperlink" Target="https://www.huffpost.com/entry/collective-mindfulness-th_b_4732429" TargetMode="External"/><Relationship Id="rId15" Type="http://schemas.openxmlformats.org/officeDocument/2006/relationships/hyperlink" Target="https://doi.org/10.1177/17579139231195700" TargetMode="External"/><Relationship Id="rId37" Type="http://schemas.openxmlformats.org/officeDocument/2006/relationships/hyperlink" Target="https://doi.org/10.1177/13505076211073961" TargetMode="External"/><Relationship Id="rId14" Type="http://schemas.openxmlformats.org/officeDocument/2006/relationships/hyperlink" Target="https://bigthink.com/the-well/what-is-reality/" TargetMode="External"/><Relationship Id="rId36" Type="http://schemas.openxmlformats.org/officeDocument/2006/relationships/hyperlink" Target="https://doi.org/10.1002/sres.2952" TargetMode="External"/><Relationship Id="rId17" Type="http://schemas.openxmlformats.org/officeDocument/2006/relationships/hyperlink" Target="https://doi.org/10.1177/02610183211065028" TargetMode="External"/><Relationship Id="rId39" Type="http://schemas.openxmlformats.org/officeDocument/2006/relationships/footer" Target="footer1.xml"/><Relationship Id="rId16" Type="http://schemas.openxmlformats.org/officeDocument/2006/relationships/hyperlink" Target="https://doi.org/10.1177/17579139231195700" TargetMode="External"/><Relationship Id="rId38" Type="http://schemas.openxmlformats.org/officeDocument/2006/relationships/hyperlink" Target="https://doi.org/10.1177/13505076211073961" TargetMode="External"/><Relationship Id="rId19" Type="http://schemas.openxmlformats.org/officeDocument/2006/relationships/hyperlink" Target="https://thesystemsthinker.com/systems-thinking-what-why-when-where-and-how/" TargetMode="External"/><Relationship Id="rId18" Type="http://schemas.openxmlformats.org/officeDocument/2006/relationships/hyperlink" Target="https://doi.org/10.1177/026101832110650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