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7912DB" w14:textId="77777777" w:rsidR="000B7946" w:rsidRDefault="00917B75" w:rsidP="001524CA">
      <w:pPr>
        <w:spacing w:before="2000"/>
        <w:jc w:val="center"/>
        <w:rPr>
          <w:b/>
          <w:bCs/>
          <w:color w:val="00704A"/>
          <w:sz w:val="44"/>
          <w:szCs w:val="44"/>
        </w:rPr>
      </w:pPr>
      <w:r>
        <w:rPr>
          <w:b/>
          <w:bCs/>
          <w:noProof/>
          <w:color w:val="00704A"/>
          <w:sz w:val="44"/>
          <w:szCs w:val="44"/>
          <w14:ligatures w14:val="standardContextual"/>
        </w:rPr>
        <w:drawing>
          <wp:inline distT="0" distB="0" distL="0" distR="0" wp14:anchorId="49C3E117" wp14:editId="40B4D91B">
            <wp:extent cx="5081158" cy="2375441"/>
            <wp:effectExtent l="0" t="0" r="5715" b="6350"/>
            <wp:docPr id="358614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614975" name="Picture 358614975"/>
                    <pic:cNvPicPr/>
                  </pic:nvPicPr>
                  <pic:blipFill>
                    <a:blip r:embed="rId8">
                      <a:extLst>
                        <a:ext uri="{28A0092B-C50C-407E-A947-70E740481C1C}">
                          <a14:useLocalDpi xmlns:a14="http://schemas.microsoft.com/office/drawing/2010/main" val="0"/>
                        </a:ext>
                      </a:extLst>
                    </a:blip>
                    <a:stretch>
                      <a:fillRect/>
                    </a:stretch>
                  </pic:blipFill>
                  <pic:spPr>
                    <a:xfrm>
                      <a:off x="0" y="0"/>
                      <a:ext cx="5081158" cy="2375441"/>
                    </a:xfrm>
                    <a:prstGeom prst="rect">
                      <a:avLst/>
                    </a:prstGeom>
                  </pic:spPr>
                </pic:pic>
              </a:graphicData>
            </a:graphic>
          </wp:inline>
        </w:drawing>
      </w:r>
    </w:p>
    <w:p w14:paraId="724950B3" w14:textId="38457A7E" w:rsidR="001524CA" w:rsidRDefault="001524CA" w:rsidP="001524CA">
      <w:pPr>
        <w:spacing w:before="2000"/>
        <w:jc w:val="center"/>
      </w:pPr>
      <w:r>
        <w:rPr>
          <w:b/>
          <w:bCs/>
          <w:color w:val="00704A"/>
          <w:sz w:val="44"/>
          <w:szCs w:val="44"/>
        </w:rPr>
        <w:t>STRATEGIC MANAGEMENT REPORT</w:t>
      </w:r>
    </w:p>
    <w:p w14:paraId="79AF1B49" w14:textId="77777777" w:rsidR="00086CF2" w:rsidRDefault="001524CA" w:rsidP="00086CF2">
      <w:pPr>
        <w:spacing w:before="200" w:after="200"/>
        <w:jc w:val="center"/>
      </w:pPr>
      <w:r>
        <w:rPr>
          <w:b/>
          <w:bCs/>
          <w:color w:val="1E3932"/>
          <w:sz w:val="32"/>
          <w:szCs w:val="32"/>
        </w:rPr>
        <w:t>Starbucks Coffee Company (UK) Limited</w:t>
      </w:r>
    </w:p>
    <w:p w14:paraId="00C9A1AF" w14:textId="3081ABF8" w:rsidR="001524CA" w:rsidRPr="00842F59" w:rsidRDefault="001524CA" w:rsidP="00086CF2">
      <w:pPr>
        <w:spacing w:before="200" w:after="200"/>
        <w:jc w:val="center"/>
        <w:rPr>
          <w:b/>
          <w:bCs/>
        </w:rPr>
      </w:pPr>
      <w:r w:rsidRPr="00842F59">
        <w:rPr>
          <w:b/>
          <w:bCs/>
        </w:rPr>
        <w:t>A Report Prepared for the Board of Directors</w:t>
      </w:r>
    </w:p>
    <w:p w14:paraId="524C6661" w14:textId="03F20AC1" w:rsidR="001524CA" w:rsidRPr="00842F59" w:rsidRDefault="00634D25" w:rsidP="001524CA">
      <w:pPr>
        <w:spacing w:before="100"/>
        <w:jc w:val="center"/>
        <w:rPr>
          <w:b/>
          <w:bCs/>
        </w:rPr>
      </w:pPr>
      <w:r w:rsidRPr="00842F59">
        <w:rPr>
          <w:b/>
          <w:bCs/>
        </w:rPr>
        <w:t>Prepared by: Concy Jeya Prem Kumar Rasanayagam</w:t>
      </w:r>
    </w:p>
    <w:p w14:paraId="55D35D70" w14:textId="13BB36A5" w:rsidR="006C3337" w:rsidRPr="00842F59" w:rsidRDefault="006C3337" w:rsidP="001524CA">
      <w:pPr>
        <w:spacing w:before="100"/>
        <w:jc w:val="center"/>
        <w:rPr>
          <w:b/>
          <w:bCs/>
        </w:rPr>
      </w:pPr>
      <w:r w:rsidRPr="00842F59">
        <w:rPr>
          <w:b/>
          <w:bCs/>
        </w:rPr>
        <w:t>Student Number:2226962</w:t>
      </w:r>
    </w:p>
    <w:p w14:paraId="58006CBB" w14:textId="3D5D6E30" w:rsidR="001524CA" w:rsidRPr="00842F59" w:rsidRDefault="008F1DC5" w:rsidP="008F1DC5">
      <w:pPr>
        <w:spacing w:before="100"/>
        <w:rPr>
          <w:b/>
          <w:bCs/>
        </w:rPr>
      </w:pPr>
      <w:r w:rsidRPr="00842F59">
        <w:rPr>
          <w:b/>
          <w:bCs/>
        </w:rPr>
        <w:t xml:space="preserve">                              </w:t>
      </w:r>
      <w:r w:rsidR="001524CA" w:rsidRPr="00842F59">
        <w:rPr>
          <w:b/>
          <w:bCs/>
        </w:rPr>
        <w:t>Module: Strategic Management (MBA)</w:t>
      </w:r>
      <w:r w:rsidR="0014089F" w:rsidRPr="00842F59">
        <w:rPr>
          <w:b/>
          <w:bCs/>
        </w:rPr>
        <w:t xml:space="preserve"> LCMB</w:t>
      </w:r>
      <w:r w:rsidR="00024CD4" w:rsidRPr="00842F59">
        <w:rPr>
          <w:b/>
          <w:bCs/>
        </w:rPr>
        <w:t>7003_</w:t>
      </w:r>
      <w:r w:rsidR="001A7620" w:rsidRPr="00842F59">
        <w:rPr>
          <w:b/>
          <w:bCs/>
        </w:rPr>
        <w:t>BIRM</w:t>
      </w:r>
    </w:p>
    <w:p w14:paraId="2F0BA473" w14:textId="53995FD1" w:rsidR="002474AD" w:rsidRPr="00842F59" w:rsidRDefault="002474AD" w:rsidP="008F1DC5">
      <w:pPr>
        <w:spacing w:before="100"/>
        <w:rPr>
          <w:b/>
          <w:bCs/>
        </w:rPr>
      </w:pPr>
      <w:r w:rsidRPr="00842F59">
        <w:rPr>
          <w:b/>
          <w:bCs/>
        </w:rPr>
        <w:t xml:space="preserve">                                               Lecturer Name: </w:t>
      </w:r>
      <w:r w:rsidR="00E92A78" w:rsidRPr="00842F59">
        <w:rPr>
          <w:b/>
          <w:bCs/>
        </w:rPr>
        <w:t>Dr Robert E</w:t>
      </w:r>
      <w:r w:rsidR="00965872" w:rsidRPr="00842F59">
        <w:rPr>
          <w:b/>
          <w:bCs/>
        </w:rPr>
        <w:t>jike Udeogu</w:t>
      </w:r>
    </w:p>
    <w:p w14:paraId="480D6C5A" w14:textId="47FC61EC" w:rsidR="00CB63C8" w:rsidRPr="00842F59" w:rsidRDefault="00C3129F" w:rsidP="001524CA">
      <w:pPr>
        <w:spacing w:before="600"/>
        <w:jc w:val="center"/>
        <w:rPr>
          <w:b/>
          <w:bCs/>
          <w:i/>
          <w:iCs/>
          <w:color w:val="555555"/>
          <w:sz w:val="20"/>
          <w:szCs w:val="20"/>
        </w:rPr>
      </w:pPr>
      <w:r w:rsidRPr="00842F59">
        <w:rPr>
          <w:b/>
          <w:bCs/>
        </w:rPr>
        <w:t>Word Count:</w:t>
      </w:r>
      <w:r w:rsidR="004765F6" w:rsidRPr="00842F59">
        <w:rPr>
          <w:b/>
          <w:bCs/>
        </w:rPr>
        <w:t xml:space="preserve"> 53</w:t>
      </w:r>
      <w:r w:rsidR="000B7946" w:rsidRPr="00842F59">
        <w:rPr>
          <w:b/>
          <w:bCs/>
        </w:rPr>
        <w:t>30</w:t>
      </w:r>
    </w:p>
    <w:p w14:paraId="6DEFCA17" w14:textId="77777777" w:rsidR="00CB63C8" w:rsidRDefault="00CB63C8" w:rsidP="001524CA">
      <w:pPr>
        <w:spacing w:before="600"/>
        <w:jc w:val="center"/>
        <w:rPr>
          <w:i/>
          <w:iCs/>
          <w:color w:val="555555"/>
          <w:sz w:val="20"/>
          <w:szCs w:val="20"/>
        </w:rPr>
      </w:pPr>
    </w:p>
    <w:p w14:paraId="5258306E" w14:textId="77777777" w:rsidR="00223D22" w:rsidRDefault="00223D22" w:rsidP="001524CA">
      <w:pPr>
        <w:spacing w:before="600"/>
        <w:jc w:val="center"/>
        <w:rPr>
          <w:i/>
          <w:iCs/>
          <w:color w:val="555555"/>
          <w:sz w:val="20"/>
          <w:szCs w:val="20"/>
        </w:rPr>
      </w:pPr>
    </w:p>
    <w:p w14:paraId="6588F3D4" w14:textId="77777777" w:rsidR="00223D22" w:rsidRDefault="00223D22" w:rsidP="001524CA">
      <w:pPr>
        <w:spacing w:before="600"/>
        <w:jc w:val="center"/>
        <w:rPr>
          <w:i/>
          <w:iCs/>
          <w:color w:val="555555"/>
          <w:sz w:val="20"/>
          <w:szCs w:val="20"/>
        </w:rPr>
      </w:pPr>
    </w:p>
    <w:p w14:paraId="6E5118AB" w14:textId="77777777" w:rsidR="00223D22" w:rsidRDefault="00223D22" w:rsidP="001524CA">
      <w:pPr>
        <w:spacing w:before="600"/>
        <w:jc w:val="center"/>
        <w:rPr>
          <w:i/>
          <w:iCs/>
          <w:color w:val="555555"/>
          <w:sz w:val="20"/>
          <w:szCs w:val="20"/>
        </w:rPr>
      </w:pPr>
    </w:p>
    <w:p w14:paraId="7BDDC2E2" w14:textId="77777777" w:rsidR="002C464F" w:rsidRPr="00D2160B" w:rsidRDefault="002C464F" w:rsidP="002C464F">
      <w:pPr>
        <w:pStyle w:val="Heading1"/>
        <w:spacing w:before="400" w:after="200"/>
        <w:rPr>
          <w:sz w:val="32"/>
          <w:szCs w:val="32"/>
        </w:rPr>
      </w:pPr>
      <w:bookmarkStart w:id="0" w:name="_Toc234881547"/>
      <w:r w:rsidRPr="00D2160B">
        <w:rPr>
          <w:b/>
          <w:bCs/>
          <w:color w:val="00704A"/>
          <w:sz w:val="32"/>
          <w:szCs w:val="32"/>
        </w:rPr>
        <w:t>Table of Contents</w:t>
      </w:r>
      <w:bookmarkEnd w:id="0"/>
    </w:p>
    <w:sdt>
      <w:sdtPr>
        <w:rPr>
          <w:rFonts w:ascii="Calibri" w:hAnsi="Calibri" w:cs="Arial Unicode MS"/>
          <w:b w:val="0"/>
          <w:bCs w:val="0"/>
          <w:i w:val="0"/>
          <w:iCs w:val="0"/>
          <w:sz w:val="22"/>
          <w:szCs w:val="22"/>
        </w:rPr>
        <w:alias w:val="Table of Contents"/>
        <w:id w:val="-1566795237"/>
      </w:sdtPr>
      <w:sdtEndPr>
        <w:rPr>
          <w:rFonts w:ascii="Times New Roman" w:eastAsia="Times New Roman" w:hAnsi="Times New Roman" w:cs="Times New Roman"/>
          <w:sz w:val="24"/>
          <w:szCs w:val="24"/>
        </w:rPr>
      </w:sdtEndPr>
      <w:sdtContent>
        <w:p w14:paraId="058A566F" w14:textId="08490350" w:rsidR="002C464F" w:rsidRDefault="002C464F" w:rsidP="002C464F">
          <w:pPr>
            <w:pStyle w:val="TOC1"/>
            <w:tabs>
              <w:tab w:val="right" w:leader="dot" w:pos="9016"/>
            </w:tabs>
            <w:rPr>
              <w:noProof/>
            </w:rPr>
          </w:pPr>
          <w:r>
            <w:fldChar w:fldCharType="begin"/>
          </w:r>
          <w:r>
            <w:instrText>TOC \h \o "1-3"</w:instrText>
          </w:r>
          <w:r>
            <w:fldChar w:fldCharType="separate"/>
          </w:r>
        </w:p>
        <w:p w14:paraId="27229D3E" w14:textId="539200A5" w:rsidR="002C464F" w:rsidRDefault="00951BF1" w:rsidP="00EC33C9">
          <w:pPr>
            <w:pStyle w:val="TOC1"/>
            <w:tabs>
              <w:tab w:val="right" w:leader="dot" w:pos="9016"/>
            </w:tabs>
            <w:jc w:val="left"/>
            <w:rPr>
              <w:noProof/>
            </w:rPr>
          </w:pPr>
          <w:r>
            <w:t>1.Organisational Context and Overview ……………………………………</w:t>
          </w:r>
          <w:r w:rsidR="00EC33C9">
            <w:t>…</w:t>
          </w:r>
          <w:r w:rsidR="003B4826">
            <w:t>..</w:t>
          </w:r>
          <w:r w:rsidR="00EC33C9">
            <w:t>…………</w:t>
          </w:r>
          <w:r w:rsidR="001C4113">
            <w:t>…</w:t>
          </w:r>
          <w:r w:rsidR="00EC33C9">
            <w:t>3,4</w:t>
          </w:r>
        </w:p>
        <w:p w14:paraId="75F720D9" w14:textId="7E1C7A81" w:rsidR="002C464F" w:rsidRDefault="002C464F" w:rsidP="00A000F4">
          <w:pPr>
            <w:pStyle w:val="TOC1"/>
            <w:tabs>
              <w:tab w:val="right" w:leader="dot" w:pos="9016"/>
            </w:tabs>
            <w:jc w:val="left"/>
            <w:rPr>
              <w:noProof/>
            </w:rPr>
          </w:pPr>
          <w:hyperlink w:anchor="_Toc234881549" w:history="1">
            <w:r w:rsidRPr="00100876">
              <w:rPr>
                <w:rStyle w:val="Hyperlink"/>
                <w:noProof/>
              </w:rPr>
              <w:t>2. External and Internal Analysis</w:t>
            </w:r>
            <w:r w:rsidR="001C4113">
              <w:rPr>
                <w:noProof/>
              </w:rPr>
              <w:t>……………………………………………………</w:t>
            </w:r>
            <w:r w:rsidR="003B4826">
              <w:rPr>
                <w:noProof/>
              </w:rPr>
              <w:t>….</w:t>
            </w:r>
            <w:r w:rsidR="001C4113">
              <w:rPr>
                <w:noProof/>
              </w:rPr>
              <w:t>…………5</w:t>
            </w:r>
          </w:hyperlink>
        </w:p>
        <w:p w14:paraId="24B4100E" w14:textId="18F75DAA" w:rsidR="002C464F" w:rsidRPr="004D427B" w:rsidRDefault="002C464F" w:rsidP="005C567D">
          <w:pPr>
            <w:pStyle w:val="TOC2"/>
            <w:tabs>
              <w:tab w:val="right" w:leader="dot" w:pos="9016"/>
            </w:tabs>
            <w:jc w:val="left"/>
            <w:rPr>
              <w:b/>
              <w:bCs/>
              <w:noProof/>
            </w:rPr>
          </w:pPr>
          <w:hyperlink w:anchor="_Toc234881550" w:history="1">
            <w:r w:rsidRPr="00100876">
              <w:rPr>
                <w:rStyle w:val="Hyperlink"/>
                <w:b/>
                <w:bCs/>
                <w:noProof/>
              </w:rPr>
              <w:t>2.1 External Analysis: PESTE</w:t>
            </w:r>
          </w:hyperlink>
          <w:r w:rsidR="004D427B">
            <w:t>L</w:t>
          </w:r>
          <w:r w:rsidR="004D427B">
            <w:rPr>
              <w:b/>
              <w:bCs/>
            </w:rPr>
            <w:t>……………</w:t>
          </w:r>
          <w:r w:rsidR="005C567D">
            <w:rPr>
              <w:b/>
              <w:bCs/>
            </w:rPr>
            <w:t>…………</w:t>
          </w:r>
          <w:r w:rsidR="004D427B">
            <w:rPr>
              <w:b/>
              <w:bCs/>
            </w:rPr>
            <w:t>………………………………………………………………</w:t>
          </w:r>
          <w:r w:rsidR="00CD4130">
            <w:rPr>
              <w:b/>
              <w:bCs/>
            </w:rPr>
            <w:t>….</w:t>
          </w:r>
          <w:r w:rsidR="004D427B">
            <w:rPr>
              <w:b/>
              <w:bCs/>
            </w:rPr>
            <w:t>.5,</w:t>
          </w:r>
          <w:r w:rsidR="005C567D">
            <w:rPr>
              <w:b/>
              <w:bCs/>
            </w:rPr>
            <w:t>6</w:t>
          </w:r>
        </w:p>
        <w:p w14:paraId="2AD8C03B" w14:textId="1A2728CB" w:rsidR="002C464F" w:rsidRDefault="002C464F" w:rsidP="0043015B">
          <w:pPr>
            <w:pStyle w:val="TOC2"/>
            <w:tabs>
              <w:tab w:val="right" w:leader="dot" w:pos="9016"/>
            </w:tabs>
            <w:jc w:val="left"/>
            <w:rPr>
              <w:noProof/>
            </w:rPr>
          </w:pPr>
          <w:hyperlink w:anchor="_Toc234881551" w:history="1">
            <w:r w:rsidRPr="00100876">
              <w:rPr>
                <w:rStyle w:val="Hyperlink"/>
                <w:b/>
                <w:bCs/>
                <w:noProof/>
              </w:rPr>
              <w:t>2.2 Internal Analysis: VRIO</w:t>
            </w:r>
            <w:r w:rsidR="00610749">
              <w:rPr>
                <w:noProof/>
              </w:rPr>
              <w:t>………………………………</w:t>
            </w:r>
            <w:r w:rsidR="00B24D38">
              <w:rPr>
                <w:noProof/>
              </w:rPr>
              <w:t>………………………………………………………</w:t>
            </w:r>
            <w:r w:rsidR="0043015B">
              <w:rPr>
                <w:noProof/>
              </w:rPr>
              <w:t>……</w:t>
            </w:r>
            <w:r w:rsidR="003B4826">
              <w:rPr>
                <w:noProof/>
              </w:rPr>
              <w:t>…</w:t>
            </w:r>
            <w:r w:rsidR="00CD4130">
              <w:rPr>
                <w:noProof/>
              </w:rPr>
              <w:t>…</w:t>
            </w:r>
            <w:r w:rsidR="0043015B">
              <w:rPr>
                <w:noProof/>
              </w:rPr>
              <w:t>6,7</w:t>
            </w:r>
          </w:hyperlink>
        </w:p>
        <w:p w14:paraId="5853546D" w14:textId="2E4474E0" w:rsidR="002C464F" w:rsidRDefault="002C464F" w:rsidP="002C464F">
          <w:pPr>
            <w:pStyle w:val="TOC2"/>
            <w:tabs>
              <w:tab w:val="right" w:leader="dot" w:pos="9016"/>
            </w:tabs>
            <w:rPr>
              <w:noProof/>
            </w:rPr>
          </w:pPr>
          <w:hyperlink w:anchor="_Toc234881552" w:history="1">
            <w:r w:rsidRPr="00100876">
              <w:rPr>
                <w:rStyle w:val="Hyperlink"/>
                <w:b/>
                <w:bCs/>
                <w:noProof/>
              </w:rPr>
              <w:t>2.3 SWOT Analysis</w:t>
            </w:r>
            <w:r>
              <w:rPr>
                <w:noProof/>
              </w:rPr>
              <w:tab/>
            </w:r>
          </w:hyperlink>
          <w:r w:rsidR="00302048">
            <w:t>8,9</w:t>
          </w:r>
        </w:p>
        <w:p w14:paraId="0FDAADE5" w14:textId="4F301C08" w:rsidR="002C464F" w:rsidRDefault="002C464F" w:rsidP="003B4826">
          <w:pPr>
            <w:pStyle w:val="TOC1"/>
            <w:tabs>
              <w:tab w:val="right" w:leader="dot" w:pos="9016"/>
            </w:tabs>
            <w:jc w:val="left"/>
            <w:rPr>
              <w:noProof/>
            </w:rPr>
          </w:pPr>
          <w:hyperlink w:anchor="_Toc234881553" w:history="1">
            <w:r w:rsidRPr="00100876">
              <w:rPr>
                <w:rStyle w:val="Hyperlink"/>
                <w:noProof/>
              </w:rPr>
              <w:t>3. Comprehensive and Holistic View of the Organisation</w:t>
            </w:r>
            <w:r w:rsidR="00C23101">
              <w:rPr>
                <w:noProof/>
              </w:rPr>
              <w:t>…………………………</w:t>
            </w:r>
            <w:r w:rsidR="003B4826">
              <w:rPr>
                <w:noProof/>
              </w:rPr>
              <w:t>….</w:t>
            </w:r>
            <w:r w:rsidR="00C23101">
              <w:rPr>
                <w:noProof/>
              </w:rPr>
              <w:t>.9,</w:t>
            </w:r>
          </w:hyperlink>
          <w:r w:rsidR="003B4826">
            <w:t>10</w:t>
          </w:r>
        </w:p>
        <w:p w14:paraId="534DEAEE" w14:textId="2D4913BC" w:rsidR="002C464F" w:rsidRDefault="002C464F" w:rsidP="002C464F">
          <w:pPr>
            <w:pStyle w:val="TOC2"/>
            <w:tabs>
              <w:tab w:val="right" w:leader="dot" w:pos="9016"/>
            </w:tabs>
            <w:rPr>
              <w:noProof/>
            </w:rPr>
          </w:pPr>
          <w:hyperlink w:anchor="_Toc234881554" w:history="1">
            <w:r w:rsidRPr="00100876">
              <w:rPr>
                <w:rStyle w:val="Hyperlink"/>
                <w:b/>
                <w:bCs/>
                <w:noProof/>
              </w:rPr>
              <w:t>3.1 Corporate Social Responsibility Strategy</w:t>
            </w:r>
            <w:r w:rsidR="00BC2178">
              <w:rPr>
                <w:noProof/>
              </w:rPr>
              <w:t>…………………………………………………………</w:t>
            </w:r>
            <w:r w:rsidR="00E331C6">
              <w:rPr>
                <w:noProof/>
              </w:rPr>
              <w:t>….………11,12</w:t>
            </w:r>
          </w:hyperlink>
        </w:p>
        <w:p w14:paraId="6F3A83E6" w14:textId="6786EFE8" w:rsidR="002C464F" w:rsidRDefault="002C464F" w:rsidP="002C464F">
          <w:pPr>
            <w:pStyle w:val="TOC2"/>
            <w:tabs>
              <w:tab w:val="right" w:leader="dot" w:pos="9016"/>
            </w:tabs>
            <w:rPr>
              <w:noProof/>
            </w:rPr>
          </w:pPr>
          <w:hyperlink w:anchor="_Toc234881555" w:history="1">
            <w:r w:rsidRPr="00100876">
              <w:rPr>
                <w:rStyle w:val="Hyperlink"/>
                <w:b/>
                <w:bCs/>
                <w:noProof/>
              </w:rPr>
              <w:t>3.2 Balanced Scorecard</w:t>
            </w:r>
            <w:r>
              <w:rPr>
                <w:noProof/>
              </w:rPr>
              <w:tab/>
            </w:r>
            <w:r w:rsidR="00E331C6">
              <w:rPr>
                <w:noProof/>
              </w:rPr>
              <w:t>1</w:t>
            </w:r>
            <w:r>
              <w:rPr>
                <w:noProof/>
              </w:rPr>
              <w:fldChar w:fldCharType="begin"/>
            </w:r>
            <w:r>
              <w:rPr>
                <w:noProof/>
              </w:rPr>
              <w:instrText xml:space="preserve"> PAGEREF _Toc234881555 \h </w:instrText>
            </w:r>
            <w:r>
              <w:rPr>
                <w:noProof/>
              </w:rPr>
            </w:r>
            <w:r>
              <w:rPr>
                <w:noProof/>
              </w:rPr>
              <w:fldChar w:fldCharType="separate"/>
            </w:r>
            <w:r>
              <w:rPr>
                <w:noProof/>
              </w:rPr>
              <w:t>1</w:t>
            </w:r>
            <w:r>
              <w:rPr>
                <w:noProof/>
              </w:rPr>
              <w:fldChar w:fldCharType="end"/>
            </w:r>
          </w:hyperlink>
        </w:p>
        <w:p w14:paraId="32E30DC9" w14:textId="06DFCE1A" w:rsidR="002C464F" w:rsidRDefault="002C464F" w:rsidP="002C464F">
          <w:pPr>
            <w:pStyle w:val="TOC1"/>
            <w:tabs>
              <w:tab w:val="right" w:leader="dot" w:pos="9016"/>
            </w:tabs>
            <w:rPr>
              <w:noProof/>
            </w:rPr>
          </w:pPr>
          <w:hyperlink w:anchor="_Toc234881556" w:history="1">
            <w:r w:rsidRPr="00100876">
              <w:rPr>
                <w:rStyle w:val="Hyperlink"/>
                <w:noProof/>
              </w:rPr>
              <w:t>4. Strategic Choices and Implementation</w:t>
            </w:r>
            <w:r w:rsidR="0081129F">
              <w:rPr>
                <w:noProof/>
              </w:rPr>
              <w:t>……………………………….</w:t>
            </w:r>
            <w:r w:rsidR="00AD11AB">
              <w:rPr>
                <w:noProof/>
              </w:rPr>
              <w:t>.</w:t>
            </w:r>
            <w:r w:rsidR="0081129F">
              <w:rPr>
                <w:noProof/>
              </w:rPr>
              <w:t>……………………12</w:t>
            </w:r>
          </w:hyperlink>
        </w:p>
        <w:p w14:paraId="4B949BD4" w14:textId="17E10F45" w:rsidR="002C464F" w:rsidRDefault="002C464F" w:rsidP="002C464F">
          <w:pPr>
            <w:pStyle w:val="TOC2"/>
            <w:tabs>
              <w:tab w:val="right" w:leader="dot" w:pos="9016"/>
            </w:tabs>
            <w:rPr>
              <w:noProof/>
            </w:rPr>
          </w:pPr>
          <w:hyperlink w:anchor="_Toc234881557" w:history="1">
            <w:r w:rsidRPr="00100876">
              <w:rPr>
                <w:rStyle w:val="Hyperlink"/>
                <w:b/>
                <w:bCs/>
                <w:noProof/>
              </w:rPr>
              <w:t>4.1 Business-Level Strategic Choices</w:t>
            </w:r>
            <w:r>
              <w:rPr>
                <w:noProof/>
              </w:rPr>
              <w:tab/>
            </w:r>
          </w:hyperlink>
          <w:r w:rsidR="00EC699A">
            <w:t>12</w:t>
          </w:r>
        </w:p>
        <w:p w14:paraId="1F2AFC9E" w14:textId="1B138CD0" w:rsidR="002C464F" w:rsidRDefault="002C464F" w:rsidP="002C464F">
          <w:pPr>
            <w:pStyle w:val="TOC2"/>
            <w:tabs>
              <w:tab w:val="right" w:leader="dot" w:pos="9016"/>
            </w:tabs>
            <w:rPr>
              <w:noProof/>
            </w:rPr>
          </w:pPr>
          <w:hyperlink w:anchor="_Toc234881558" w:history="1">
            <w:r w:rsidRPr="00100876">
              <w:rPr>
                <w:rStyle w:val="Hyperlink"/>
                <w:b/>
                <w:bCs/>
                <w:noProof/>
              </w:rPr>
              <w:t>4.2 Recommended Strategy and Validation</w:t>
            </w:r>
            <w:r>
              <w:rPr>
                <w:noProof/>
              </w:rPr>
              <w:tab/>
            </w:r>
          </w:hyperlink>
          <w:r w:rsidR="0071127C">
            <w:t>12,13</w:t>
          </w:r>
        </w:p>
        <w:p w14:paraId="4F2A02C1" w14:textId="6A585F47" w:rsidR="002C464F" w:rsidRDefault="002C464F" w:rsidP="002C464F">
          <w:pPr>
            <w:pStyle w:val="TOC2"/>
            <w:tabs>
              <w:tab w:val="right" w:leader="dot" w:pos="9016"/>
            </w:tabs>
            <w:rPr>
              <w:noProof/>
            </w:rPr>
          </w:pPr>
          <w:hyperlink w:anchor="_Toc234881559" w:history="1">
            <w:r w:rsidRPr="00100876">
              <w:rPr>
                <w:rStyle w:val="Hyperlink"/>
                <w:b/>
                <w:bCs/>
                <w:noProof/>
              </w:rPr>
              <w:t>4.3 Delivering Optimum Performance and Competitive Advantage</w:t>
            </w:r>
            <w:r>
              <w:rPr>
                <w:noProof/>
              </w:rPr>
              <w:tab/>
            </w:r>
            <w:r w:rsidR="00A36C63">
              <w:rPr>
                <w:noProof/>
              </w:rPr>
              <w:t>14</w:t>
            </w:r>
          </w:hyperlink>
        </w:p>
        <w:p w14:paraId="19B87949" w14:textId="3656C809" w:rsidR="002C464F" w:rsidRDefault="002C464F" w:rsidP="002C464F">
          <w:pPr>
            <w:pStyle w:val="TOC2"/>
            <w:tabs>
              <w:tab w:val="right" w:leader="dot" w:pos="9016"/>
            </w:tabs>
            <w:rPr>
              <w:noProof/>
            </w:rPr>
          </w:pPr>
          <w:hyperlink w:anchor="_Toc234881560" w:history="1">
            <w:r w:rsidRPr="00100876">
              <w:rPr>
                <w:rStyle w:val="Hyperlink"/>
                <w:b/>
                <w:bCs/>
                <w:noProof/>
              </w:rPr>
              <w:t>4.4 Implementation Challenges and Mitigations</w:t>
            </w:r>
            <w:r>
              <w:rPr>
                <w:noProof/>
              </w:rPr>
              <w:tab/>
            </w:r>
            <w:r w:rsidR="00A36C63">
              <w:rPr>
                <w:noProof/>
              </w:rPr>
              <w:t>14,15</w:t>
            </w:r>
          </w:hyperlink>
        </w:p>
        <w:p w14:paraId="5511B0D2" w14:textId="165969A6" w:rsidR="002C464F" w:rsidRDefault="002C464F" w:rsidP="002C464F">
          <w:pPr>
            <w:pStyle w:val="TOC1"/>
            <w:tabs>
              <w:tab w:val="right" w:leader="dot" w:pos="9016"/>
            </w:tabs>
            <w:rPr>
              <w:noProof/>
            </w:rPr>
          </w:pPr>
          <w:hyperlink w:anchor="_Toc234881561" w:history="1">
            <w:r w:rsidRPr="00100876">
              <w:rPr>
                <w:rStyle w:val="Hyperlink"/>
                <w:noProof/>
              </w:rPr>
              <w:t>Section 2: Reflective Account</w:t>
            </w:r>
            <w:r>
              <w:rPr>
                <w:noProof/>
              </w:rPr>
              <w:tab/>
            </w:r>
            <w:r w:rsidR="0031570D">
              <w:rPr>
                <w:noProof/>
              </w:rPr>
              <w:t>16</w:t>
            </w:r>
          </w:hyperlink>
        </w:p>
        <w:p w14:paraId="6B6C5738" w14:textId="4F24AA0D" w:rsidR="002C464F" w:rsidRDefault="002C464F" w:rsidP="002C464F">
          <w:pPr>
            <w:pStyle w:val="TOC2"/>
            <w:tabs>
              <w:tab w:val="right" w:leader="dot" w:pos="9016"/>
            </w:tabs>
            <w:rPr>
              <w:noProof/>
            </w:rPr>
          </w:pPr>
          <w:hyperlink w:anchor="_Toc234881565" w:history="1">
            <w:r w:rsidRPr="00100876">
              <w:rPr>
                <w:rStyle w:val="Hyperlink"/>
                <w:b/>
                <w:bCs/>
                <w:noProof/>
              </w:rPr>
              <w:t>Analysis</w:t>
            </w:r>
            <w:r>
              <w:rPr>
                <w:noProof/>
              </w:rPr>
              <w:tab/>
            </w:r>
            <w:r w:rsidR="00B502A1">
              <w:rPr>
                <w:noProof/>
              </w:rPr>
              <w:t>16</w:t>
            </w:r>
          </w:hyperlink>
        </w:p>
        <w:p w14:paraId="365AF954" w14:textId="087D3E4D" w:rsidR="002C464F" w:rsidRDefault="002C464F" w:rsidP="002C464F">
          <w:pPr>
            <w:pStyle w:val="TOC2"/>
            <w:tabs>
              <w:tab w:val="right" w:leader="dot" w:pos="9016"/>
            </w:tabs>
            <w:rPr>
              <w:noProof/>
            </w:rPr>
          </w:pPr>
          <w:hyperlink w:anchor="_Toc234881566" w:history="1">
            <w:r w:rsidRPr="00100876">
              <w:rPr>
                <w:rStyle w:val="Hyperlink"/>
                <w:b/>
                <w:bCs/>
                <w:noProof/>
              </w:rPr>
              <w:t>Conclusion</w:t>
            </w:r>
            <w:r>
              <w:rPr>
                <w:noProof/>
              </w:rPr>
              <w:tab/>
            </w:r>
            <w:r w:rsidR="004E5086">
              <w:rPr>
                <w:noProof/>
              </w:rPr>
              <w:t>16</w:t>
            </w:r>
          </w:hyperlink>
        </w:p>
        <w:p w14:paraId="5B1BDA44" w14:textId="0C267F3A" w:rsidR="002C464F" w:rsidRDefault="002C464F" w:rsidP="002C464F">
          <w:pPr>
            <w:pStyle w:val="TOC2"/>
            <w:tabs>
              <w:tab w:val="right" w:leader="dot" w:pos="9016"/>
            </w:tabs>
            <w:rPr>
              <w:noProof/>
            </w:rPr>
          </w:pPr>
          <w:hyperlink w:anchor="_Toc234881567" w:history="1">
            <w:r w:rsidRPr="00100876">
              <w:rPr>
                <w:rStyle w:val="Hyperlink"/>
                <w:b/>
                <w:bCs/>
                <w:noProof/>
              </w:rPr>
              <w:t>Action Plan</w:t>
            </w:r>
            <w:r>
              <w:rPr>
                <w:noProof/>
              </w:rPr>
              <w:tab/>
            </w:r>
            <w:r w:rsidR="004E5086">
              <w:rPr>
                <w:noProof/>
              </w:rPr>
              <w:t>16</w:t>
            </w:r>
          </w:hyperlink>
        </w:p>
        <w:p w14:paraId="569138DF" w14:textId="398D4D79" w:rsidR="002C464F" w:rsidRDefault="002C464F" w:rsidP="002C464F">
          <w:pPr>
            <w:pStyle w:val="TOC1"/>
            <w:tabs>
              <w:tab w:val="right" w:leader="dot" w:pos="9016"/>
            </w:tabs>
            <w:rPr>
              <w:noProof/>
            </w:rPr>
          </w:pPr>
          <w:hyperlink w:anchor="_Toc234881568" w:history="1">
            <w:r w:rsidRPr="00100876">
              <w:rPr>
                <w:rStyle w:val="Hyperlink"/>
                <w:noProof/>
              </w:rPr>
              <w:t>References</w:t>
            </w:r>
            <w:r>
              <w:rPr>
                <w:noProof/>
              </w:rPr>
              <w:tab/>
            </w:r>
            <w:r w:rsidR="004E5086">
              <w:rPr>
                <w:noProof/>
              </w:rPr>
              <w:t>17,18</w:t>
            </w:r>
          </w:hyperlink>
        </w:p>
        <w:p w14:paraId="1C3F9882" w14:textId="77777777" w:rsidR="002C464F" w:rsidRDefault="002C464F" w:rsidP="002C464F">
          <w:r>
            <w:fldChar w:fldCharType="end"/>
          </w:r>
        </w:p>
      </w:sdtContent>
    </w:sdt>
    <w:p w14:paraId="33F01DA0" w14:textId="77777777" w:rsidR="001524CA" w:rsidRDefault="001524CA" w:rsidP="001524CA">
      <w:pPr>
        <w:spacing w:before="600"/>
        <w:jc w:val="center"/>
        <w:rPr>
          <w:i/>
          <w:iCs/>
          <w:color w:val="555555"/>
          <w:sz w:val="20"/>
          <w:szCs w:val="20"/>
        </w:rPr>
      </w:pPr>
    </w:p>
    <w:p w14:paraId="2BAF2FD8" w14:textId="77777777" w:rsidR="00CC328E" w:rsidRDefault="00CC328E" w:rsidP="001524CA">
      <w:pPr>
        <w:spacing w:before="600"/>
        <w:jc w:val="center"/>
        <w:rPr>
          <w:i/>
          <w:iCs/>
          <w:color w:val="555555"/>
          <w:sz w:val="20"/>
          <w:szCs w:val="20"/>
        </w:rPr>
      </w:pPr>
    </w:p>
    <w:p w14:paraId="73992A8E" w14:textId="77777777" w:rsidR="00BB68DD" w:rsidRDefault="00BB68DD" w:rsidP="00CC328E">
      <w:pPr>
        <w:pStyle w:val="Heading1"/>
        <w:spacing w:before="400" w:after="200"/>
        <w:rPr>
          <w:b/>
          <w:bCs/>
          <w:color w:val="00704A"/>
          <w:sz w:val="32"/>
          <w:szCs w:val="32"/>
        </w:rPr>
      </w:pPr>
      <w:bookmarkStart w:id="1" w:name="_Toc234881548"/>
    </w:p>
    <w:p w14:paraId="54CB7714" w14:textId="77777777" w:rsidR="002E2363" w:rsidRDefault="002E2363" w:rsidP="002E2363">
      <w:pPr>
        <w:rPr>
          <w:lang w:eastAsia="en-US"/>
        </w:rPr>
      </w:pPr>
    </w:p>
    <w:p w14:paraId="5F3C4F1D" w14:textId="77777777" w:rsidR="002E2363" w:rsidRDefault="002E2363" w:rsidP="002E2363">
      <w:pPr>
        <w:rPr>
          <w:lang w:eastAsia="en-US"/>
        </w:rPr>
      </w:pPr>
    </w:p>
    <w:p w14:paraId="3FAC34EC" w14:textId="77777777" w:rsidR="002E2363" w:rsidRDefault="002E2363" w:rsidP="002E2363">
      <w:pPr>
        <w:rPr>
          <w:lang w:eastAsia="en-US"/>
        </w:rPr>
      </w:pPr>
    </w:p>
    <w:p w14:paraId="0E1982B8" w14:textId="77777777" w:rsidR="002E2363" w:rsidRPr="002E2363" w:rsidRDefault="002E2363" w:rsidP="002E2363">
      <w:pPr>
        <w:rPr>
          <w:lang w:eastAsia="en-US"/>
        </w:rPr>
      </w:pPr>
    </w:p>
    <w:p w14:paraId="7C62100C" w14:textId="309AE7F1" w:rsidR="008452DB" w:rsidRPr="006D4CC5" w:rsidRDefault="00CC328E" w:rsidP="006D4CC5">
      <w:pPr>
        <w:pStyle w:val="Heading1"/>
        <w:numPr>
          <w:ilvl w:val="0"/>
          <w:numId w:val="1"/>
        </w:numPr>
        <w:spacing w:before="400" w:after="200"/>
        <w:rPr>
          <w:b/>
          <w:bCs/>
          <w:color w:val="00704A"/>
          <w:sz w:val="32"/>
          <w:szCs w:val="32"/>
        </w:rPr>
      </w:pPr>
      <w:r w:rsidRPr="00D2160B">
        <w:rPr>
          <w:b/>
          <w:bCs/>
          <w:color w:val="00704A"/>
          <w:sz w:val="32"/>
          <w:szCs w:val="32"/>
        </w:rPr>
        <w:t>Organisational Context and Overview</w:t>
      </w:r>
      <w:bookmarkEnd w:id="1"/>
    </w:p>
    <w:p w14:paraId="1EB627CA" w14:textId="39FF0A79" w:rsidR="008452DB" w:rsidRPr="008452DB" w:rsidRDefault="008452DB" w:rsidP="008452DB">
      <w:pPr>
        <w:jc w:val="right"/>
        <w:rPr>
          <w:lang w:eastAsia="en-US"/>
        </w:rPr>
      </w:pPr>
      <w:r>
        <w:rPr>
          <w:lang w:eastAsia="en-US"/>
        </w:rPr>
        <w:t xml:space="preserve">   </w:t>
      </w:r>
    </w:p>
    <w:p w14:paraId="7A3AF9E0" w14:textId="2A8FEE78" w:rsidR="008452DB" w:rsidRPr="004C2676" w:rsidRDefault="00703D2E" w:rsidP="004C2676">
      <w:pPr>
        <w:rPr>
          <w:lang w:eastAsia="en-US"/>
        </w:rPr>
      </w:pPr>
      <w:r>
        <w:rPr>
          <w:noProof/>
          <w:lang w:eastAsia="en-US"/>
          <w14:ligatures w14:val="standardContextual"/>
        </w:rPr>
        <w:drawing>
          <wp:anchor distT="0" distB="0" distL="114300" distR="114300" simplePos="0" relativeHeight="251658240" behindDoc="0" locked="0" layoutInCell="1" allowOverlap="1" wp14:anchorId="4F6CF67C" wp14:editId="529A6542">
            <wp:simplePos x="914400" y="2040222"/>
            <wp:positionH relativeFrom="column">
              <wp:align>left</wp:align>
            </wp:positionH>
            <wp:positionV relativeFrom="paragraph">
              <wp:align>top</wp:align>
            </wp:positionV>
            <wp:extent cx="5465258" cy="4150108"/>
            <wp:effectExtent l="0" t="0" r="2540" b="3175"/>
            <wp:wrapSquare wrapText="bothSides"/>
            <wp:docPr id="1166256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256006" name="Picture 1166256006"/>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465258" cy="4150108"/>
                    </a:xfrm>
                    <a:prstGeom prst="rect">
                      <a:avLst/>
                    </a:prstGeom>
                  </pic:spPr>
                </pic:pic>
              </a:graphicData>
            </a:graphic>
          </wp:anchor>
        </w:drawing>
      </w:r>
      <w:r w:rsidR="008452DB">
        <w:rPr>
          <w:lang w:eastAsia="en-US"/>
        </w:rPr>
        <w:br w:type="textWrapping" w:clear="all"/>
      </w:r>
      <w:r w:rsidR="004C2676">
        <w:rPr>
          <w:lang w:eastAsia="en-US"/>
        </w:rPr>
        <w:t xml:space="preserve">                                                   </w:t>
      </w:r>
      <w:r w:rsidR="008452DB">
        <w:rPr>
          <w:lang w:eastAsia="en-US"/>
        </w:rPr>
        <w:t xml:space="preserve"> </w:t>
      </w:r>
      <w:r w:rsidR="008452DB" w:rsidRPr="00E23C15">
        <w:rPr>
          <w:rFonts w:ascii="Arial" w:hAnsi="Arial" w:cs="Arial"/>
          <w:lang w:eastAsia="en-US"/>
        </w:rPr>
        <w:t>Image 1</w:t>
      </w:r>
      <w:r w:rsidR="00695D08" w:rsidRPr="00E23C15">
        <w:rPr>
          <w:rFonts w:ascii="Arial" w:hAnsi="Arial" w:cs="Arial"/>
          <w:lang w:eastAsia="en-US"/>
        </w:rPr>
        <w:t xml:space="preserve">   </w:t>
      </w:r>
      <w:r w:rsidR="009C7F0C" w:rsidRPr="00E23C15">
        <w:rPr>
          <w:rFonts w:ascii="Arial" w:hAnsi="Arial" w:cs="Arial"/>
          <w:lang w:eastAsia="en-US"/>
        </w:rPr>
        <w:t>Starbucks Logo</w:t>
      </w:r>
    </w:p>
    <w:p w14:paraId="1E6C7701" w14:textId="77777777" w:rsidR="006D4CC5" w:rsidRPr="00302F25" w:rsidRDefault="006D4CC5" w:rsidP="00302F25">
      <w:pPr>
        <w:rPr>
          <w:lang w:eastAsia="en-US"/>
        </w:rPr>
      </w:pPr>
    </w:p>
    <w:p w14:paraId="4A9343A0" w14:textId="54D8E814" w:rsidR="00CC328E" w:rsidRPr="003F6B4B" w:rsidRDefault="00CC328E" w:rsidP="00CC328E">
      <w:pPr>
        <w:spacing w:after="160" w:line="360" w:lineRule="auto"/>
        <w:jc w:val="both"/>
        <w:rPr>
          <w:rFonts w:ascii="Arial" w:hAnsi="Arial" w:cs="Arial"/>
        </w:rPr>
      </w:pPr>
      <w:r w:rsidRPr="003F6B4B">
        <w:rPr>
          <w:rFonts w:ascii="Arial" w:hAnsi="Arial" w:cs="Arial"/>
        </w:rPr>
        <w:t>Starbucks Corporation was founded in Seattle in 1971 and has grown into the world's largest coffeehouse chain, operating over 40,000 stores globally and generating consolidated net revenues of approximately US$37.2 billion in fiscal year 2025 (Starbucks Corporation, 2025). The company entered the United Kingdom in 1998 with its first store in London and has since expanded to 1,354 stores, making the UK one of Starbucks' most significant markets outside North America and China (Statista, 2025; World Coffee Portal, 2025).</w:t>
      </w:r>
    </w:p>
    <w:p w14:paraId="0E963DB3" w14:textId="77777777" w:rsidR="00CC328E" w:rsidRPr="003F6B4B" w:rsidRDefault="00CC328E" w:rsidP="00CC328E">
      <w:pPr>
        <w:spacing w:after="160" w:line="360" w:lineRule="auto"/>
        <w:jc w:val="both"/>
        <w:rPr>
          <w:rFonts w:ascii="Arial" w:hAnsi="Arial" w:cs="Arial"/>
        </w:rPr>
      </w:pPr>
      <w:r w:rsidRPr="003F6B4B">
        <w:rPr>
          <w:rFonts w:ascii="Arial" w:hAnsi="Arial" w:cs="Arial"/>
        </w:rPr>
        <w:t xml:space="preserve">In January 2025, under new Chief Executive Officer Brian Niccol, Starbucks refreshed its corporate mission to: “to be the premier purveyor of the finest coffee in the world, inspiring and nurturing the human spirit – one person, one cup and one neighbourhood at a time.” The associated vision is to be the world's premier coffeehouse – a genuine </w:t>
      </w:r>
      <w:r w:rsidRPr="003F6B4B">
        <w:rPr>
          <w:rFonts w:ascii="Arial" w:hAnsi="Arial" w:cs="Arial"/>
        </w:rPr>
        <w:lastRenderedPageBreak/>
        <w:t>“third place” between home and work – built on five core values: Craft, Results, Courage, Belonging and Joy. These statements underpin a “Back to Starbucks” turnaround strategy launched in late 2024, which re-emphasises the in-store experience, simplifies operations and reinvests in barista (“partner”) training (Starbucks Corporation, 2025).</w:t>
      </w:r>
    </w:p>
    <w:p w14:paraId="34C9B712" w14:textId="77777777" w:rsidR="00CC328E" w:rsidRPr="003F6B4B" w:rsidRDefault="00CC328E" w:rsidP="00CC328E">
      <w:pPr>
        <w:spacing w:after="160" w:line="360" w:lineRule="auto"/>
        <w:jc w:val="both"/>
        <w:rPr>
          <w:rFonts w:ascii="Arial" w:hAnsi="Arial" w:cs="Arial"/>
        </w:rPr>
      </w:pPr>
      <w:r w:rsidRPr="003F6B4B">
        <w:rPr>
          <w:rFonts w:ascii="Arial" w:hAnsi="Arial" w:cs="Arial"/>
        </w:rPr>
        <w:t>Starbucks' UK business model is predominantly company-operated: in October 2024 Starbucks acquired 23.5 Degrees Limited, its largest UK licensee, bringing 113 additional stores into the company-operated estate to improve consistency of execution and control over the customer experience (Starbucks Stories EMEA, 2026). Revenue is generated through in-store beverage and food sales, the Starbucks Rewards loyalty programme and mobile app (which drives digital order-ahead and personalisation), and a smaller network of licensed outlets in travel hubs, supermarkets and franchised locations.</w:t>
      </w:r>
    </w:p>
    <w:p w14:paraId="79E718E6" w14:textId="7312DA24" w:rsidR="00F32486" w:rsidRDefault="00CC328E" w:rsidP="000A1DBD">
      <w:pPr>
        <w:spacing w:after="160" w:line="360" w:lineRule="auto"/>
        <w:jc w:val="both"/>
        <w:rPr>
          <w:rFonts w:ascii="Arial" w:hAnsi="Arial" w:cs="Arial"/>
        </w:rPr>
      </w:pPr>
      <w:r w:rsidRPr="003F6B4B">
        <w:rPr>
          <w:rFonts w:ascii="Arial" w:hAnsi="Arial" w:cs="Arial"/>
        </w:rPr>
        <w:t>This report focuses specifically on Starbucks' UK company-operated retail coffeehouse segment. This focus is justified on three grounds: first, the UK is Starbucks' largest European market and is reported as a distinct legal entity (Starbucks Coffee Company (UK) Limited) with audited UK accounts, allowing rigorous evidence-based analysis; second, the UK operates under a materially different political, economic, legal and labour-market environment from the US or Asia-Pacific, particularly following Brexit and the 2025 increases to employer National Insurance Contributions (NICs) and the National Living Wage; and third, the UK business is at a strategic inflection point, having reported a widening operating loss alongside revenue growth, making it a rich and current case for strategic diagnosis.</w:t>
      </w:r>
      <w:r w:rsidR="009C7F0C">
        <w:rPr>
          <w:rFonts w:ascii="Arial" w:hAnsi="Arial" w:cs="Arial"/>
        </w:rPr>
        <w:t xml:space="preserve"> </w:t>
      </w:r>
      <w:r w:rsidRPr="003F6B4B">
        <w:rPr>
          <w:rFonts w:ascii="Arial" w:hAnsi="Arial" w:cs="Arial"/>
        </w:rPr>
        <w:t xml:space="preserve">The UK operates within the branded coffee shop/café segment of the foodservice industry, </w:t>
      </w:r>
      <w:r w:rsidR="000A1DBD">
        <w:rPr>
          <w:rFonts w:ascii="Arial" w:hAnsi="Arial" w:cs="Arial"/>
        </w:rPr>
        <w:t>a market</w:t>
      </w:r>
      <w:r w:rsidRPr="003F6B4B">
        <w:rPr>
          <w:rFonts w:ascii="Arial" w:hAnsi="Arial" w:cs="Arial"/>
        </w:rPr>
        <w:t xml:space="preserve"> worth approximately £6.1 billion in 2024/25 and growing 4.1% year-on-year, with </w:t>
      </w:r>
      <w:r w:rsidR="000A1DBD">
        <w:rPr>
          <w:rFonts w:ascii="Arial" w:hAnsi="Arial" w:cs="Arial"/>
        </w:rPr>
        <w:t>total branded</w:t>
      </w:r>
      <w:r w:rsidRPr="003F6B4B">
        <w:rPr>
          <w:rFonts w:ascii="Arial" w:hAnsi="Arial" w:cs="Arial"/>
        </w:rPr>
        <w:t xml:space="preserve"> outlets forecast to exceed 11,800 by January 2026 (Lumina Intelligence, 2025; World</w:t>
      </w:r>
      <w:r w:rsidR="000A1DBD">
        <w:rPr>
          <w:rFonts w:ascii="Arial" w:hAnsi="Arial" w:cs="Arial"/>
        </w:rPr>
        <w:t xml:space="preserve"> </w:t>
      </w:r>
      <w:r w:rsidR="00422A63" w:rsidRPr="003F6B4B">
        <w:rPr>
          <w:rFonts w:ascii="Arial" w:hAnsi="Arial" w:cs="Arial"/>
        </w:rPr>
        <w:t xml:space="preserve">Coffee Portal, 2025). The market is moderately concentrated: Costa Coffee leads with roughly 38.3% share and around 2,663 outlets (owned by The Coca-Cola Company), followed by Starbucks at 18.7% share and Caffè Nero at 9.1%. Pret A Manger and the fast-growing bakery chain Greggs are significant value-oriented competitors, while challenger brands such as Black Sheep Coffee, </w:t>
      </w:r>
      <w:r w:rsidR="009C7F0C" w:rsidRPr="003F6B4B">
        <w:rPr>
          <w:rFonts w:ascii="Arial" w:hAnsi="Arial" w:cs="Arial"/>
        </w:rPr>
        <w:t>Watchhouse</w:t>
      </w:r>
      <w:r w:rsidR="00422A63" w:rsidRPr="003F6B4B">
        <w:rPr>
          <w:rFonts w:ascii="Arial" w:hAnsi="Arial" w:cs="Arial"/>
        </w:rPr>
        <w:t xml:space="preserve">, </w:t>
      </w:r>
      <w:proofErr w:type="spellStart"/>
      <w:r w:rsidR="00422A63" w:rsidRPr="003F6B4B">
        <w:rPr>
          <w:rFonts w:ascii="Arial" w:hAnsi="Arial" w:cs="Arial"/>
        </w:rPr>
        <w:t>Knoops</w:t>
      </w:r>
      <w:proofErr w:type="spellEnd"/>
      <w:r w:rsidR="00422A63" w:rsidRPr="003F6B4B">
        <w:rPr>
          <w:rFonts w:ascii="Arial" w:hAnsi="Arial" w:cs="Arial"/>
        </w:rPr>
        <w:t xml:space="preserve"> and Gail's Artisan Bakery are gaining share among quality-conscious urban consumers, and non-specialists (McDonald's McCafé, JD </w:t>
      </w:r>
      <w:r w:rsidR="00422A63" w:rsidRPr="003F6B4B">
        <w:rPr>
          <w:rFonts w:ascii="Arial" w:hAnsi="Arial" w:cs="Arial"/>
        </w:rPr>
        <w:lastRenderedPageBreak/>
        <w:t>Wetherspoon, supermarkets) compete aggressively on value. Starbucks UK is therefore positioned as the leading premium, experience-led challenger to Costa's scale leadership – a position increasingly squeezed by cost inflation and value-driven competition, as explored in Section 2.</w:t>
      </w:r>
      <w:bookmarkStart w:id="2" w:name="_Toc234881549"/>
    </w:p>
    <w:p w14:paraId="1A8B787C" w14:textId="77777777" w:rsidR="00297E81" w:rsidRDefault="00297E81" w:rsidP="00F32486">
      <w:pPr>
        <w:spacing w:after="160" w:line="360" w:lineRule="auto"/>
        <w:jc w:val="both"/>
        <w:rPr>
          <w:rFonts w:ascii="Arial" w:hAnsi="Arial" w:cs="Arial"/>
          <w:b/>
          <w:bCs/>
          <w:color w:val="3A7C22" w:themeColor="accent6" w:themeShade="BF"/>
          <w:sz w:val="28"/>
          <w:szCs w:val="28"/>
        </w:rPr>
      </w:pPr>
    </w:p>
    <w:p w14:paraId="10DEA290" w14:textId="281DCE98" w:rsidR="00422A63" w:rsidRPr="000A1DBD" w:rsidRDefault="00422A63" w:rsidP="00F32486">
      <w:pPr>
        <w:spacing w:after="160" w:line="360" w:lineRule="auto"/>
        <w:jc w:val="both"/>
        <w:rPr>
          <w:rFonts w:ascii="Arial" w:hAnsi="Arial" w:cs="Arial"/>
          <w:sz w:val="28"/>
          <w:szCs w:val="28"/>
        </w:rPr>
      </w:pPr>
      <w:r w:rsidRPr="000A1DBD">
        <w:rPr>
          <w:rFonts w:ascii="Arial" w:hAnsi="Arial" w:cs="Arial"/>
          <w:b/>
          <w:bCs/>
          <w:color w:val="3A7C22" w:themeColor="accent6" w:themeShade="BF"/>
          <w:sz w:val="28"/>
          <w:szCs w:val="28"/>
        </w:rPr>
        <w:t>2. External and Internal Analysis</w:t>
      </w:r>
      <w:bookmarkEnd w:id="2"/>
    </w:p>
    <w:p w14:paraId="4FE0A912" w14:textId="77777777" w:rsidR="007720B1" w:rsidRDefault="00422A63" w:rsidP="007720B1">
      <w:pPr>
        <w:spacing w:after="160" w:line="360" w:lineRule="auto"/>
        <w:jc w:val="both"/>
        <w:rPr>
          <w:rFonts w:ascii="Arial" w:hAnsi="Arial" w:cs="Arial"/>
        </w:rPr>
      </w:pPr>
      <w:r w:rsidRPr="003F6B4B">
        <w:rPr>
          <w:rFonts w:ascii="Arial" w:hAnsi="Arial" w:cs="Arial"/>
        </w:rPr>
        <w:t>This section applies three complementary frameworks – PESTEL, VRIO and SWOT – to critically diagnose Starbucks UK's operating environment and internal resource base, in line with the strategic position stage of the Johnson, Whittington and Scholes (2020) exploring strategy model.</w:t>
      </w:r>
      <w:bookmarkStart w:id="3" w:name="_Toc234881550"/>
    </w:p>
    <w:p w14:paraId="05C7089F" w14:textId="69ED4E45" w:rsidR="00422A63" w:rsidRPr="007720B1" w:rsidRDefault="00422A63" w:rsidP="007720B1">
      <w:pPr>
        <w:spacing w:after="160" w:line="360" w:lineRule="auto"/>
        <w:jc w:val="both"/>
        <w:rPr>
          <w:rFonts w:ascii="Arial" w:hAnsi="Arial" w:cs="Arial"/>
        </w:rPr>
      </w:pPr>
      <w:r w:rsidRPr="000A1DBD">
        <w:rPr>
          <w:rFonts w:ascii="Arial" w:hAnsi="Arial" w:cs="Arial"/>
          <w:b/>
          <w:bCs/>
          <w:color w:val="3A7C22" w:themeColor="accent6" w:themeShade="BF"/>
          <w:sz w:val="28"/>
          <w:szCs w:val="28"/>
        </w:rPr>
        <w:t>2.1 External Analysis: PESTEL</w:t>
      </w:r>
      <w:bookmarkEnd w:id="3"/>
    </w:p>
    <w:p w14:paraId="3FA271DC" w14:textId="77777777" w:rsidR="00422A63" w:rsidRPr="003F6B4B" w:rsidRDefault="00422A63" w:rsidP="00422A63">
      <w:pPr>
        <w:spacing w:after="160" w:line="276" w:lineRule="auto"/>
        <w:jc w:val="both"/>
        <w:rPr>
          <w:rFonts w:ascii="Arial" w:hAnsi="Arial" w:cs="Arial"/>
        </w:rPr>
      </w:pPr>
      <w:r w:rsidRPr="003F6B4B">
        <w:rPr>
          <w:rFonts w:ascii="Arial" w:hAnsi="Arial" w:cs="Arial"/>
        </w:rPr>
        <w:t>PESTEL analysis identifies the macro-environmental forces most likely to shape Starbucks UK's strategic options over the next three to five years.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67"/>
        <w:gridCol w:w="3895"/>
        <w:gridCol w:w="3264"/>
      </w:tblGrid>
      <w:tr w:rsidR="00422A63" w:rsidRPr="003F6B4B" w14:paraId="14D01C7E" w14:textId="77777777" w:rsidTr="00F32486">
        <w:tc>
          <w:tcPr>
            <w:tcW w:w="1607" w:type="dxa"/>
            <w:shd w:val="clear" w:color="auto" w:fill="00704A"/>
            <w:tcMar>
              <w:top w:w="80" w:type="dxa"/>
              <w:left w:w="100" w:type="dxa"/>
              <w:bottom w:w="80" w:type="dxa"/>
              <w:right w:w="100" w:type="dxa"/>
            </w:tcMar>
            <w:vAlign w:val="center"/>
          </w:tcPr>
          <w:p w14:paraId="55F6E44E" w14:textId="77777777" w:rsidR="00422A63" w:rsidRPr="003F6B4B" w:rsidRDefault="00422A63" w:rsidP="005C0088">
            <w:pPr>
              <w:rPr>
                <w:rFonts w:ascii="Arial" w:hAnsi="Arial" w:cs="Arial"/>
              </w:rPr>
            </w:pPr>
            <w:r w:rsidRPr="003F6B4B">
              <w:rPr>
                <w:rFonts w:ascii="Arial" w:hAnsi="Arial" w:cs="Arial"/>
                <w:b/>
                <w:bCs/>
                <w:color w:val="FFFFFF"/>
              </w:rPr>
              <w:t>Factor</w:t>
            </w:r>
          </w:p>
        </w:tc>
        <w:tc>
          <w:tcPr>
            <w:tcW w:w="4035" w:type="dxa"/>
            <w:shd w:val="clear" w:color="auto" w:fill="00704A"/>
            <w:tcMar>
              <w:top w:w="80" w:type="dxa"/>
              <w:left w:w="100" w:type="dxa"/>
              <w:bottom w:w="80" w:type="dxa"/>
              <w:right w:w="100" w:type="dxa"/>
            </w:tcMar>
            <w:vAlign w:val="center"/>
          </w:tcPr>
          <w:p w14:paraId="7BA166F0" w14:textId="77777777" w:rsidR="00422A63" w:rsidRPr="003F6B4B" w:rsidRDefault="00422A63" w:rsidP="005C0088">
            <w:pPr>
              <w:rPr>
                <w:rFonts w:ascii="Arial" w:hAnsi="Arial" w:cs="Arial"/>
              </w:rPr>
            </w:pPr>
            <w:r w:rsidRPr="003F6B4B">
              <w:rPr>
                <w:rFonts w:ascii="Arial" w:hAnsi="Arial" w:cs="Arial"/>
                <w:b/>
                <w:bCs/>
                <w:color w:val="FFFFFF"/>
              </w:rPr>
              <w:t>Key developments (UK, 2024–2026)</w:t>
            </w:r>
          </w:p>
        </w:tc>
        <w:tc>
          <w:tcPr>
            <w:tcW w:w="3384" w:type="dxa"/>
            <w:shd w:val="clear" w:color="auto" w:fill="00704A"/>
            <w:tcMar>
              <w:top w:w="80" w:type="dxa"/>
              <w:left w:w="100" w:type="dxa"/>
              <w:bottom w:w="80" w:type="dxa"/>
              <w:right w:w="100" w:type="dxa"/>
            </w:tcMar>
            <w:vAlign w:val="center"/>
          </w:tcPr>
          <w:p w14:paraId="79F706E3" w14:textId="77777777" w:rsidR="00422A63" w:rsidRPr="003F6B4B" w:rsidRDefault="00422A63" w:rsidP="005C0088">
            <w:pPr>
              <w:rPr>
                <w:rFonts w:ascii="Arial" w:hAnsi="Arial" w:cs="Arial"/>
              </w:rPr>
            </w:pPr>
            <w:r w:rsidRPr="003F6B4B">
              <w:rPr>
                <w:rFonts w:ascii="Arial" w:hAnsi="Arial" w:cs="Arial"/>
                <w:b/>
                <w:bCs/>
                <w:color w:val="FFFFFF"/>
              </w:rPr>
              <w:t>Strategic implication</w:t>
            </w:r>
          </w:p>
        </w:tc>
      </w:tr>
      <w:tr w:rsidR="00422A63" w:rsidRPr="003F6B4B" w14:paraId="6EE3C448" w14:textId="77777777" w:rsidTr="00F32486">
        <w:tc>
          <w:tcPr>
            <w:tcW w:w="1607" w:type="dxa"/>
            <w:tcMar>
              <w:top w:w="80" w:type="dxa"/>
              <w:left w:w="100" w:type="dxa"/>
              <w:bottom w:w="80" w:type="dxa"/>
              <w:right w:w="100" w:type="dxa"/>
            </w:tcMar>
            <w:vAlign w:val="center"/>
          </w:tcPr>
          <w:p w14:paraId="0EE1C227" w14:textId="77777777" w:rsidR="00422A63" w:rsidRPr="000A1DBD" w:rsidRDefault="00422A63" w:rsidP="005C0088">
            <w:pPr>
              <w:rPr>
                <w:rFonts w:ascii="Arial" w:hAnsi="Arial" w:cs="Arial"/>
                <w:b/>
                <w:bCs/>
              </w:rPr>
            </w:pPr>
            <w:r w:rsidRPr="000A1DBD">
              <w:rPr>
                <w:rFonts w:ascii="Arial" w:hAnsi="Arial" w:cs="Arial"/>
                <w:b/>
                <w:bCs/>
                <w:color w:val="000000"/>
              </w:rPr>
              <w:t>Political</w:t>
            </w:r>
          </w:p>
        </w:tc>
        <w:tc>
          <w:tcPr>
            <w:tcW w:w="4035" w:type="dxa"/>
            <w:tcMar>
              <w:top w:w="80" w:type="dxa"/>
              <w:left w:w="100" w:type="dxa"/>
              <w:bottom w:w="80" w:type="dxa"/>
              <w:right w:w="100" w:type="dxa"/>
            </w:tcMar>
            <w:vAlign w:val="center"/>
          </w:tcPr>
          <w:p w14:paraId="05E20460" w14:textId="77777777" w:rsidR="00422A63" w:rsidRPr="0047027A" w:rsidRDefault="00422A63" w:rsidP="005C0088">
            <w:pPr>
              <w:rPr>
                <w:rFonts w:ascii="Arial" w:hAnsi="Arial" w:cs="Arial"/>
                <w:sz w:val="18"/>
                <w:szCs w:val="18"/>
              </w:rPr>
            </w:pPr>
            <w:r w:rsidRPr="0047027A">
              <w:rPr>
                <w:rFonts w:ascii="Arial" w:hAnsi="Arial" w:cs="Arial"/>
                <w:color w:val="000000"/>
                <w:sz w:val="18"/>
                <w:szCs w:val="18"/>
              </w:rPr>
              <w:t>Employer NIC rate raised from 13.8% to 15% and threshold lowered from £9,100 to £5,000 (April 2025); Employment Rights Bill tightening zero-hours and flexible contracts.</w:t>
            </w:r>
          </w:p>
        </w:tc>
        <w:tc>
          <w:tcPr>
            <w:tcW w:w="3384" w:type="dxa"/>
            <w:tcMar>
              <w:top w:w="80" w:type="dxa"/>
              <w:left w:w="100" w:type="dxa"/>
              <w:bottom w:w="80" w:type="dxa"/>
              <w:right w:w="100" w:type="dxa"/>
            </w:tcMar>
            <w:vAlign w:val="center"/>
          </w:tcPr>
          <w:p w14:paraId="4ACE7ED0" w14:textId="77777777" w:rsidR="00422A63" w:rsidRPr="0047027A" w:rsidRDefault="00422A63" w:rsidP="005C0088">
            <w:pPr>
              <w:rPr>
                <w:rFonts w:ascii="Arial" w:hAnsi="Arial" w:cs="Arial"/>
                <w:sz w:val="18"/>
                <w:szCs w:val="18"/>
              </w:rPr>
            </w:pPr>
            <w:r w:rsidRPr="0047027A">
              <w:rPr>
                <w:rFonts w:ascii="Arial" w:hAnsi="Arial" w:cs="Arial"/>
                <w:color w:val="000000"/>
                <w:sz w:val="18"/>
                <w:szCs w:val="18"/>
              </w:rPr>
              <w:t>Threat – structurally higher fixed labour costs for a labour-intensive retail model.</w:t>
            </w:r>
          </w:p>
        </w:tc>
      </w:tr>
      <w:tr w:rsidR="00422A63" w:rsidRPr="003F6B4B" w14:paraId="101A4CA1" w14:textId="77777777" w:rsidTr="00F32486">
        <w:tc>
          <w:tcPr>
            <w:tcW w:w="1607" w:type="dxa"/>
            <w:shd w:val="clear" w:color="auto" w:fill="EFF6F3"/>
            <w:tcMar>
              <w:top w:w="80" w:type="dxa"/>
              <w:left w:w="100" w:type="dxa"/>
              <w:bottom w:w="80" w:type="dxa"/>
              <w:right w:w="100" w:type="dxa"/>
            </w:tcMar>
            <w:vAlign w:val="center"/>
          </w:tcPr>
          <w:p w14:paraId="32EDEC60" w14:textId="77777777" w:rsidR="00422A63" w:rsidRPr="000A1DBD" w:rsidRDefault="00422A63" w:rsidP="005C0088">
            <w:pPr>
              <w:rPr>
                <w:rFonts w:ascii="Arial" w:hAnsi="Arial" w:cs="Arial"/>
                <w:b/>
                <w:bCs/>
              </w:rPr>
            </w:pPr>
            <w:r w:rsidRPr="000A1DBD">
              <w:rPr>
                <w:rFonts w:ascii="Arial" w:hAnsi="Arial" w:cs="Arial"/>
                <w:b/>
                <w:bCs/>
                <w:color w:val="000000"/>
              </w:rPr>
              <w:t>Economic</w:t>
            </w:r>
          </w:p>
        </w:tc>
        <w:tc>
          <w:tcPr>
            <w:tcW w:w="4035" w:type="dxa"/>
            <w:shd w:val="clear" w:color="auto" w:fill="EFF6F3"/>
            <w:tcMar>
              <w:top w:w="80" w:type="dxa"/>
              <w:left w:w="100" w:type="dxa"/>
              <w:bottom w:w="80" w:type="dxa"/>
              <w:right w:w="100" w:type="dxa"/>
            </w:tcMar>
            <w:vAlign w:val="center"/>
          </w:tcPr>
          <w:p w14:paraId="6C920034" w14:textId="77777777" w:rsidR="00422A63" w:rsidRPr="0047027A" w:rsidRDefault="00422A63" w:rsidP="005C0088">
            <w:pPr>
              <w:rPr>
                <w:rFonts w:ascii="Arial" w:hAnsi="Arial" w:cs="Arial"/>
                <w:sz w:val="18"/>
                <w:szCs w:val="18"/>
              </w:rPr>
            </w:pPr>
            <w:r w:rsidRPr="0047027A">
              <w:rPr>
                <w:rFonts w:ascii="Arial" w:hAnsi="Arial" w:cs="Arial"/>
                <w:color w:val="000000"/>
                <w:sz w:val="18"/>
                <w:szCs w:val="18"/>
              </w:rPr>
              <w:t>CPI inflation running at ~3.4% (Dec 2025), above the Bank of England's 2% target; input cost inflation drove Starbucks UK cost of goods sold up 10.1% YoY; average price of a hot coffee up 17% since 2022.</w:t>
            </w:r>
          </w:p>
        </w:tc>
        <w:tc>
          <w:tcPr>
            <w:tcW w:w="3384" w:type="dxa"/>
            <w:shd w:val="clear" w:color="auto" w:fill="EFF6F3"/>
            <w:tcMar>
              <w:top w:w="80" w:type="dxa"/>
              <w:left w:w="100" w:type="dxa"/>
              <w:bottom w:w="80" w:type="dxa"/>
              <w:right w:w="100" w:type="dxa"/>
            </w:tcMar>
            <w:vAlign w:val="center"/>
          </w:tcPr>
          <w:p w14:paraId="381EC938" w14:textId="77777777" w:rsidR="00422A63" w:rsidRPr="0047027A" w:rsidRDefault="00422A63" w:rsidP="005C0088">
            <w:pPr>
              <w:rPr>
                <w:rFonts w:ascii="Arial" w:hAnsi="Arial" w:cs="Arial"/>
                <w:sz w:val="18"/>
                <w:szCs w:val="18"/>
              </w:rPr>
            </w:pPr>
            <w:r w:rsidRPr="0047027A">
              <w:rPr>
                <w:rFonts w:ascii="Arial" w:hAnsi="Arial" w:cs="Arial"/>
                <w:color w:val="000000"/>
                <w:sz w:val="18"/>
                <w:szCs w:val="18"/>
              </w:rPr>
              <w:t>Threat – margin compression and risk of consumer trade-down to value alternatives.</w:t>
            </w:r>
          </w:p>
        </w:tc>
      </w:tr>
      <w:tr w:rsidR="00422A63" w:rsidRPr="003F6B4B" w14:paraId="7F57118F" w14:textId="77777777" w:rsidTr="00F32486">
        <w:tc>
          <w:tcPr>
            <w:tcW w:w="1607" w:type="dxa"/>
            <w:tcMar>
              <w:top w:w="80" w:type="dxa"/>
              <w:left w:w="100" w:type="dxa"/>
              <w:bottom w:w="80" w:type="dxa"/>
              <w:right w:w="100" w:type="dxa"/>
            </w:tcMar>
            <w:vAlign w:val="center"/>
          </w:tcPr>
          <w:p w14:paraId="5BFA6373" w14:textId="77777777" w:rsidR="00422A63" w:rsidRPr="000A1DBD" w:rsidRDefault="00422A63" w:rsidP="005C0088">
            <w:pPr>
              <w:rPr>
                <w:rFonts w:ascii="Arial" w:hAnsi="Arial" w:cs="Arial"/>
                <w:b/>
                <w:bCs/>
              </w:rPr>
            </w:pPr>
            <w:r w:rsidRPr="000A1DBD">
              <w:rPr>
                <w:rFonts w:ascii="Arial" w:hAnsi="Arial" w:cs="Arial"/>
                <w:b/>
                <w:bCs/>
                <w:color w:val="000000"/>
              </w:rPr>
              <w:t>Social</w:t>
            </w:r>
          </w:p>
        </w:tc>
        <w:tc>
          <w:tcPr>
            <w:tcW w:w="4035" w:type="dxa"/>
            <w:tcMar>
              <w:top w:w="80" w:type="dxa"/>
              <w:left w:w="100" w:type="dxa"/>
              <w:bottom w:w="80" w:type="dxa"/>
              <w:right w:w="100" w:type="dxa"/>
            </w:tcMar>
            <w:vAlign w:val="center"/>
          </w:tcPr>
          <w:p w14:paraId="2FC61E00" w14:textId="1AB4968F" w:rsidR="00422A63" w:rsidRPr="0047027A" w:rsidRDefault="00422A63" w:rsidP="005C0088">
            <w:pPr>
              <w:rPr>
                <w:rFonts w:ascii="Arial" w:hAnsi="Arial" w:cs="Arial"/>
                <w:sz w:val="18"/>
                <w:szCs w:val="18"/>
              </w:rPr>
            </w:pPr>
            <w:r w:rsidRPr="0047027A">
              <w:rPr>
                <w:rFonts w:ascii="Arial" w:hAnsi="Arial" w:cs="Arial"/>
                <w:color w:val="000000"/>
                <w:sz w:val="18"/>
                <w:szCs w:val="18"/>
              </w:rPr>
              <w:t xml:space="preserve">Hybrid working </w:t>
            </w:r>
            <w:r w:rsidR="000A1DBD">
              <w:rPr>
                <w:rFonts w:ascii="Arial" w:hAnsi="Arial" w:cs="Arial"/>
                <w:color w:val="000000"/>
                <w:sz w:val="18"/>
                <w:szCs w:val="18"/>
              </w:rPr>
              <w:t>suppressing</w:t>
            </w:r>
            <w:r w:rsidRPr="0047027A">
              <w:rPr>
                <w:rFonts w:ascii="Arial" w:hAnsi="Arial" w:cs="Arial"/>
                <w:color w:val="000000"/>
                <w:sz w:val="18"/>
                <w:szCs w:val="18"/>
              </w:rPr>
              <w:t xml:space="preserve"> weekday footfall in office/commuter locations; rising demand for plant-based milks, health-conscious and lower-sugar options; strong youth/social-media-driven “coffee culture”.</w:t>
            </w:r>
          </w:p>
        </w:tc>
        <w:tc>
          <w:tcPr>
            <w:tcW w:w="3384" w:type="dxa"/>
            <w:tcMar>
              <w:top w:w="80" w:type="dxa"/>
              <w:left w:w="100" w:type="dxa"/>
              <w:bottom w:w="80" w:type="dxa"/>
              <w:right w:w="100" w:type="dxa"/>
            </w:tcMar>
            <w:vAlign w:val="center"/>
          </w:tcPr>
          <w:p w14:paraId="5E79BD11" w14:textId="77777777" w:rsidR="00422A63" w:rsidRPr="0047027A" w:rsidRDefault="00422A63" w:rsidP="005C0088">
            <w:pPr>
              <w:rPr>
                <w:rFonts w:ascii="Arial" w:hAnsi="Arial" w:cs="Arial"/>
                <w:sz w:val="18"/>
                <w:szCs w:val="18"/>
              </w:rPr>
            </w:pPr>
            <w:r w:rsidRPr="0047027A">
              <w:rPr>
                <w:rFonts w:ascii="Arial" w:hAnsi="Arial" w:cs="Arial"/>
                <w:color w:val="000000"/>
                <w:sz w:val="18"/>
                <w:szCs w:val="18"/>
              </w:rPr>
              <w:t>Mixed – opportunity in product innovation and experience marketing; threat from footfall volatility.</w:t>
            </w:r>
          </w:p>
        </w:tc>
      </w:tr>
      <w:tr w:rsidR="00422A63" w:rsidRPr="003F6B4B" w14:paraId="414EC782" w14:textId="77777777" w:rsidTr="00F32486">
        <w:tc>
          <w:tcPr>
            <w:tcW w:w="1607" w:type="dxa"/>
            <w:shd w:val="clear" w:color="auto" w:fill="EFF6F3"/>
            <w:tcMar>
              <w:top w:w="80" w:type="dxa"/>
              <w:left w:w="100" w:type="dxa"/>
              <w:bottom w:w="80" w:type="dxa"/>
              <w:right w:w="100" w:type="dxa"/>
            </w:tcMar>
            <w:vAlign w:val="center"/>
          </w:tcPr>
          <w:p w14:paraId="4A4999BA" w14:textId="77777777" w:rsidR="00422A63" w:rsidRPr="000A1DBD" w:rsidRDefault="00422A63" w:rsidP="005C0088">
            <w:pPr>
              <w:rPr>
                <w:rFonts w:ascii="Arial" w:hAnsi="Arial" w:cs="Arial"/>
                <w:b/>
                <w:bCs/>
              </w:rPr>
            </w:pPr>
            <w:r w:rsidRPr="000A1DBD">
              <w:rPr>
                <w:rFonts w:ascii="Arial" w:hAnsi="Arial" w:cs="Arial"/>
                <w:b/>
                <w:bCs/>
                <w:color w:val="000000"/>
              </w:rPr>
              <w:t>Technological</w:t>
            </w:r>
          </w:p>
        </w:tc>
        <w:tc>
          <w:tcPr>
            <w:tcW w:w="4035" w:type="dxa"/>
            <w:shd w:val="clear" w:color="auto" w:fill="EFF6F3"/>
            <w:tcMar>
              <w:top w:w="80" w:type="dxa"/>
              <w:left w:w="100" w:type="dxa"/>
              <w:bottom w:w="80" w:type="dxa"/>
              <w:right w:w="100" w:type="dxa"/>
            </w:tcMar>
            <w:vAlign w:val="center"/>
          </w:tcPr>
          <w:p w14:paraId="049B5B4D" w14:textId="77777777" w:rsidR="00422A63" w:rsidRPr="0047027A" w:rsidRDefault="00422A63" w:rsidP="005C0088">
            <w:pPr>
              <w:rPr>
                <w:rFonts w:ascii="Arial" w:hAnsi="Arial" w:cs="Arial"/>
                <w:sz w:val="18"/>
                <w:szCs w:val="18"/>
              </w:rPr>
            </w:pPr>
            <w:r w:rsidRPr="0047027A">
              <w:rPr>
                <w:rFonts w:ascii="Arial" w:hAnsi="Arial" w:cs="Arial"/>
                <w:color w:val="000000"/>
                <w:sz w:val="18"/>
                <w:szCs w:val="18"/>
              </w:rPr>
              <w:t>Growth of mobile order-ahead, AI-personalised offers (“Deep Brew”), delivery marketplace integration (Uber Eats/Just Eat) and streamlined store equipment.</w:t>
            </w:r>
          </w:p>
        </w:tc>
        <w:tc>
          <w:tcPr>
            <w:tcW w:w="3384" w:type="dxa"/>
            <w:shd w:val="clear" w:color="auto" w:fill="EFF6F3"/>
            <w:tcMar>
              <w:top w:w="80" w:type="dxa"/>
              <w:left w:w="100" w:type="dxa"/>
              <w:bottom w:w="80" w:type="dxa"/>
              <w:right w:w="100" w:type="dxa"/>
            </w:tcMar>
            <w:vAlign w:val="center"/>
          </w:tcPr>
          <w:p w14:paraId="570A4D92" w14:textId="77777777" w:rsidR="00422A63" w:rsidRPr="0047027A" w:rsidRDefault="00422A63" w:rsidP="005C0088">
            <w:pPr>
              <w:rPr>
                <w:rFonts w:ascii="Arial" w:hAnsi="Arial" w:cs="Arial"/>
                <w:sz w:val="18"/>
                <w:szCs w:val="18"/>
              </w:rPr>
            </w:pPr>
            <w:r w:rsidRPr="0047027A">
              <w:rPr>
                <w:rFonts w:ascii="Arial" w:hAnsi="Arial" w:cs="Arial"/>
                <w:color w:val="000000"/>
                <w:sz w:val="18"/>
                <w:szCs w:val="18"/>
              </w:rPr>
              <w:t>Opportunity – digital ecosystem can lift frequency, basket size and operational efficiency.</w:t>
            </w:r>
          </w:p>
        </w:tc>
      </w:tr>
      <w:tr w:rsidR="00422A63" w:rsidRPr="003F6B4B" w14:paraId="69311B10" w14:textId="77777777" w:rsidTr="00F32486">
        <w:tc>
          <w:tcPr>
            <w:tcW w:w="1607" w:type="dxa"/>
            <w:tcMar>
              <w:top w:w="80" w:type="dxa"/>
              <w:left w:w="100" w:type="dxa"/>
              <w:bottom w:w="80" w:type="dxa"/>
              <w:right w:w="100" w:type="dxa"/>
            </w:tcMar>
            <w:vAlign w:val="center"/>
          </w:tcPr>
          <w:p w14:paraId="0648AE88" w14:textId="77777777" w:rsidR="00422A63" w:rsidRPr="000A1DBD" w:rsidRDefault="00422A63" w:rsidP="005C0088">
            <w:pPr>
              <w:rPr>
                <w:rFonts w:ascii="Arial" w:hAnsi="Arial" w:cs="Arial"/>
                <w:b/>
                <w:bCs/>
              </w:rPr>
            </w:pPr>
            <w:r w:rsidRPr="000A1DBD">
              <w:rPr>
                <w:rFonts w:ascii="Arial" w:hAnsi="Arial" w:cs="Arial"/>
                <w:b/>
                <w:bCs/>
                <w:color w:val="000000"/>
              </w:rPr>
              <w:t>Environmental</w:t>
            </w:r>
          </w:p>
        </w:tc>
        <w:tc>
          <w:tcPr>
            <w:tcW w:w="4035" w:type="dxa"/>
            <w:tcMar>
              <w:top w:w="80" w:type="dxa"/>
              <w:left w:w="100" w:type="dxa"/>
              <w:bottom w:w="80" w:type="dxa"/>
              <w:right w:w="100" w:type="dxa"/>
            </w:tcMar>
            <w:vAlign w:val="center"/>
          </w:tcPr>
          <w:p w14:paraId="2D5C44E4" w14:textId="77777777" w:rsidR="00422A63" w:rsidRPr="0047027A" w:rsidRDefault="00422A63" w:rsidP="005C0088">
            <w:pPr>
              <w:rPr>
                <w:rFonts w:ascii="Arial" w:hAnsi="Arial" w:cs="Arial"/>
                <w:sz w:val="18"/>
                <w:szCs w:val="18"/>
              </w:rPr>
            </w:pPr>
            <w:r w:rsidRPr="0047027A">
              <w:rPr>
                <w:rFonts w:ascii="Arial" w:hAnsi="Arial" w:cs="Arial"/>
                <w:color w:val="000000"/>
                <w:sz w:val="18"/>
                <w:szCs w:val="18"/>
              </w:rPr>
              <w:t>Consumer and regulatory pressure for reusable cups and reduced packaging waste; Extended Producer Responsibility packaging reforms; climate change threatening Arabica-growing regions.</w:t>
            </w:r>
          </w:p>
        </w:tc>
        <w:tc>
          <w:tcPr>
            <w:tcW w:w="3384" w:type="dxa"/>
            <w:tcMar>
              <w:top w:w="80" w:type="dxa"/>
              <w:left w:w="100" w:type="dxa"/>
              <w:bottom w:w="80" w:type="dxa"/>
              <w:right w:w="100" w:type="dxa"/>
            </w:tcMar>
            <w:vAlign w:val="center"/>
          </w:tcPr>
          <w:p w14:paraId="47CB9C1F" w14:textId="77777777" w:rsidR="00422A63" w:rsidRPr="0047027A" w:rsidRDefault="00422A63" w:rsidP="005C0088">
            <w:pPr>
              <w:rPr>
                <w:rFonts w:ascii="Arial" w:hAnsi="Arial" w:cs="Arial"/>
                <w:sz w:val="18"/>
                <w:szCs w:val="18"/>
              </w:rPr>
            </w:pPr>
            <w:r w:rsidRPr="0047027A">
              <w:rPr>
                <w:rFonts w:ascii="Arial" w:hAnsi="Arial" w:cs="Arial"/>
                <w:color w:val="000000"/>
                <w:sz w:val="18"/>
                <w:szCs w:val="18"/>
              </w:rPr>
              <w:t>Mixed – opportunity for sustainability-led differentiation; threat of long-run green-coffee price volatility.</w:t>
            </w:r>
          </w:p>
        </w:tc>
      </w:tr>
    </w:tbl>
    <w:p w14:paraId="29F07452" w14:textId="77777777" w:rsidR="00F32486" w:rsidRPr="003F6B4B" w:rsidRDefault="00F32486" w:rsidP="00F32486">
      <w:pPr>
        <w:spacing w:before="80" w:after="240"/>
        <w:jc w:val="center"/>
        <w:rPr>
          <w:rFonts w:ascii="Arial" w:hAnsi="Arial" w:cs="Arial"/>
        </w:rPr>
      </w:pPr>
      <w:r w:rsidRPr="003F6B4B">
        <w:rPr>
          <w:rFonts w:ascii="Arial" w:hAnsi="Arial" w:cs="Arial"/>
          <w:i/>
          <w:iCs/>
          <w:color w:val="444444"/>
        </w:rPr>
        <w:t>Table 1: PESTEL Analysis – Starbucks UK, 2025–2026</w:t>
      </w:r>
    </w:p>
    <w:p w14:paraId="07D9D332" w14:textId="77777777" w:rsidR="000A1DBD" w:rsidRDefault="000A1DBD" w:rsidP="00F32486">
      <w:pPr>
        <w:spacing w:after="160" w:line="360" w:lineRule="auto"/>
        <w:jc w:val="both"/>
        <w:rPr>
          <w:rFonts w:ascii="Arial" w:hAnsi="Arial" w:cs="Arial"/>
        </w:rPr>
      </w:pPr>
    </w:p>
    <w:p w14:paraId="2CEDA86A" w14:textId="788B5B93" w:rsidR="00F32486" w:rsidRPr="003F6B4B" w:rsidRDefault="00F32486" w:rsidP="007720B1">
      <w:pPr>
        <w:spacing w:after="160" w:line="360" w:lineRule="auto"/>
        <w:jc w:val="both"/>
        <w:rPr>
          <w:rFonts w:ascii="Arial" w:hAnsi="Arial" w:cs="Arial"/>
        </w:rPr>
      </w:pPr>
      <w:r w:rsidRPr="003F6B4B">
        <w:rPr>
          <w:rFonts w:ascii="Arial" w:hAnsi="Arial" w:cs="Arial"/>
        </w:rPr>
        <w:lastRenderedPageBreak/>
        <w:t>Taken together, the PESTEL factors most material to Starbucks UK are economic and political: the combined effect of NIC and National Living Wage increases is estimated to add roughly 7.7% to UK hospitality employment costs, against a sector norm of 10–15% net margins (</w:t>
      </w:r>
      <w:proofErr w:type="spellStart"/>
      <w:r w:rsidRPr="003F6B4B">
        <w:rPr>
          <w:rFonts w:ascii="Arial" w:hAnsi="Arial" w:cs="Arial"/>
        </w:rPr>
        <w:t>UKHospitality</w:t>
      </w:r>
      <w:proofErr w:type="spellEnd"/>
      <w:r w:rsidRPr="003F6B4B">
        <w:rPr>
          <w:rFonts w:ascii="Arial" w:hAnsi="Arial" w:cs="Arial"/>
        </w:rPr>
        <w:t>, 2025), which explains much of the widening operating loss discussed in Section 2.2. The clearest opportunities lie in the technological (digital/loyalty) and environmental (sustainability-led differentiation) domains, both of which align with the “Back to Starbucks” reset and are revisited in the Balanced Scorecard in Section 3.</w:t>
      </w:r>
      <w:r w:rsidR="004C2676">
        <w:rPr>
          <w:rFonts w:ascii="Arial" w:hAnsi="Arial" w:cs="Arial"/>
        </w:rPr>
        <w:t xml:space="preserve"> </w:t>
      </w:r>
      <w:r w:rsidRPr="003F6B4B">
        <w:rPr>
          <w:rFonts w:ascii="Arial" w:hAnsi="Arial" w:cs="Arial"/>
        </w:rPr>
        <w:t>The political and legal picture is complicated further by Starbucks' September 2025 global restructuring, in which 627 stores were closed, over 90% of them in North America, alongside a comparatively smaller UK closure programme carried out the same month (New Food Magazine, 2025; Starbucks Stories EMEA, 2026). This signals that the political-economic pressures identified here are not UK-specific, but the UK's particularly steep 2025 employment-cost step-change means Starbucks UK is absorbing a disproportionate share of margin pressure relative to other developed markets, reinforcing the case for UK-specific strategic attention rather than reliance on global policy.</w:t>
      </w:r>
    </w:p>
    <w:p w14:paraId="3462AACC" w14:textId="77777777" w:rsidR="00F32486" w:rsidRPr="003F6B4B" w:rsidRDefault="00F32486" w:rsidP="00F32486">
      <w:pPr>
        <w:spacing w:after="160" w:line="360" w:lineRule="auto"/>
        <w:jc w:val="both"/>
        <w:rPr>
          <w:rFonts w:ascii="Arial" w:hAnsi="Arial" w:cs="Arial"/>
        </w:rPr>
      </w:pPr>
      <w:r w:rsidRPr="003F6B4B">
        <w:rPr>
          <w:rFonts w:ascii="Arial" w:hAnsi="Arial" w:cs="Arial"/>
        </w:rPr>
        <w:t>Socially, the picture is more nuanced than a simple demand slowdown. While hybrid working has structurally reduced Monday-to-Friday footfall in commuter-belt and office-district stores, footfall data shows weekly high-street footfall growing year-on-year across 2025 in cities with strong tourism and professional economies – London, Edinburgh, York and Cambridge foremost among them (Savills, 2025). This bifurcation matters strategically: it suggests Starbucks UK's future store-location decisions should be guided by granular, location-level footfall analytics rather than treating the “high street” as a single homogenous channel, a theme returned to in the Ansoff-based growth recommendations in Section 4.</w:t>
      </w:r>
    </w:p>
    <w:p w14:paraId="483F281B" w14:textId="77777777" w:rsidR="00F32486" w:rsidRPr="00B97599" w:rsidRDefault="00F32486" w:rsidP="00F32486">
      <w:pPr>
        <w:pStyle w:val="Heading2"/>
        <w:spacing w:before="300" w:after="150"/>
        <w:rPr>
          <w:rFonts w:ascii="Arial" w:hAnsi="Arial" w:cs="Arial"/>
          <w:sz w:val="28"/>
          <w:szCs w:val="28"/>
        </w:rPr>
      </w:pPr>
      <w:bookmarkStart w:id="4" w:name="_Toc234881551"/>
      <w:r w:rsidRPr="00B97599">
        <w:rPr>
          <w:rFonts w:ascii="Arial" w:hAnsi="Arial" w:cs="Arial"/>
          <w:b/>
          <w:bCs/>
          <w:color w:val="3A7C22" w:themeColor="accent6" w:themeShade="BF"/>
          <w:sz w:val="28"/>
          <w:szCs w:val="28"/>
        </w:rPr>
        <w:t>2.2 Internal Analysis: VRIO</w:t>
      </w:r>
      <w:bookmarkEnd w:id="4"/>
    </w:p>
    <w:p w14:paraId="7DA364D7" w14:textId="38C85A95" w:rsidR="00B97599" w:rsidRDefault="00F32486" w:rsidP="007720B1">
      <w:pPr>
        <w:spacing w:after="160" w:line="360" w:lineRule="auto"/>
        <w:jc w:val="both"/>
        <w:rPr>
          <w:rFonts w:ascii="Arial" w:hAnsi="Arial" w:cs="Arial"/>
        </w:rPr>
      </w:pPr>
      <w:r w:rsidRPr="003F6B4B">
        <w:rPr>
          <w:rFonts w:ascii="Arial" w:hAnsi="Arial" w:cs="Arial"/>
        </w:rPr>
        <w:t xml:space="preserve">The VRIO framework (Barney, 1991) assesses whether Starbucks UK's resources and capabilities are Valuable, Rare, costly to </w:t>
      </w:r>
      <w:r w:rsidR="00626DCC">
        <w:rPr>
          <w:rFonts w:ascii="Arial" w:hAnsi="Arial" w:cs="Arial"/>
        </w:rPr>
        <w:t>imitate</w:t>
      </w:r>
      <w:r w:rsidRPr="003F6B4B">
        <w:rPr>
          <w:rFonts w:ascii="Arial" w:hAnsi="Arial" w:cs="Arial"/>
        </w:rPr>
        <w:t xml:space="preserve"> and supported by the Organisation, to determine the type of competitive advantage each confers. This internal lens complements the external PESTEL analysis by testing which of Starbucks UK's own resources can realistically defend it against the cost and competitive pressures identified above.</w:t>
      </w:r>
    </w:p>
    <w:p w14:paraId="54EE1A28" w14:textId="77777777" w:rsidR="00626DCC" w:rsidRPr="003F6B4B" w:rsidRDefault="00626DCC" w:rsidP="00F32486">
      <w:pPr>
        <w:spacing w:after="160" w:line="360" w:lineRule="auto"/>
        <w:jc w:val="both"/>
        <w:rPr>
          <w:rFonts w:ascii="Arial" w:hAnsi="Arial" w:cs="Arial"/>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8"/>
        <w:gridCol w:w="1334"/>
        <w:gridCol w:w="1388"/>
        <w:gridCol w:w="1388"/>
        <w:gridCol w:w="1534"/>
        <w:gridCol w:w="1614"/>
      </w:tblGrid>
      <w:tr w:rsidR="00F32486" w:rsidRPr="003F6B4B" w14:paraId="2A2AF854" w14:textId="77777777" w:rsidTr="005C0088">
        <w:tc>
          <w:tcPr>
            <w:tcW w:w="2600" w:type="dxa"/>
            <w:shd w:val="clear" w:color="auto" w:fill="00704A"/>
            <w:tcMar>
              <w:top w:w="80" w:type="dxa"/>
              <w:left w:w="100" w:type="dxa"/>
              <w:bottom w:w="80" w:type="dxa"/>
              <w:right w:w="100" w:type="dxa"/>
            </w:tcMar>
            <w:vAlign w:val="center"/>
          </w:tcPr>
          <w:p w14:paraId="2234C432" w14:textId="77777777" w:rsidR="00F32486" w:rsidRPr="003F6B4B" w:rsidRDefault="00F32486" w:rsidP="005C0088">
            <w:pPr>
              <w:rPr>
                <w:rFonts w:ascii="Arial" w:hAnsi="Arial" w:cs="Arial"/>
              </w:rPr>
            </w:pPr>
            <w:r w:rsidRPr="003F6B4B">
              <w:rPr>
                <w:rFonts w:ascii="Arial" w:hAnsi="Arial" w:cs="Arial"/>
                <w:b/>
                <w:bCs/>
                <w:color w:val="FFFFFF"/>
              </w:rPr>
              <w:t>Resource/Capability</w:t>
            </w:r>
          </w:p>
        </w:tc>
        <w:tc>
          <w:tcPr>
            <w:tcW w:w="900" w:type="dxa"/>
            <w:shd w:val="clear" w:color="auto" w:fill="00704A"/>
            <w:tcMar>
              <w:top w:w="80" w:type="dxa"/>
              <w:left w:w="100" w:type="dxa"/>
              <w:bottom w:w="80" w:type="dxa"/>
              <w:right w:w="100" w:type="dxa"/>
            </w:tcMar>
            <w:vAlign w:val="center"/>
          </w:tcPr>
          <w:p w14:paraId="5D578987" w14:textId="77777777" w:rsidR="00F32486" w:rsidRPr="003F6B4B" w:rsidRDefault="00F32486" w:rsidP="005C0088">
            <w:pPr>
              <w:rPr>
                <w:rFonts w:ascii="Arial" w:hAnsi="Arial" w:cs="Arial"/>
              </w:rPr>
            </w:pPr>
            <w:r w:rsidRPr="003F6B4B">
              <w:rPr>
                <w:rFonts w:ascii="Arial" w:hAnsi="Arial" w:cs="Arial"/>
                <w:b/>
                <w:bCs/>
                <w:color w:val="FFFFFF"/>
              </w:rPr>
              <w:t>Valuable?</w:t>
            </w:r>
          </w:p>
        </w:tc>
        <w:tc>
          <w:tcPr>
            <w:tcW w:w="900" w:type="dxa"/>
            <w:shd w:val="clear" w:color="auto" w:fill="00704A"/>
            <w:tcMar>
              <w:top w:w="80" w:type="dxa"/>
              <w:left w:w="100" w:type="dxa"/>
              <w:bottom w:w="80" w:type="dxa"/>
              <w:right w:w="100" w:type="dxa"/>
            </w:tcMar>
            <w:vAlign w:val="center"/>
          </w:tcPr>
          <w:p w14:paraId="0243F84F" w14:textId="77777777" w:rsidR="00F32486" w:rsidRPr="003F6B4B" w:rsidRDefault="00F32486" w:rsidP="005C0088">
            <w:pPr>
              <w:rPr>
                <w:rFonts w:ascii="Arial" w:hAnsi="Arial" w:cs="Arial"/>
              </w:rPr>
            </w:pPr>
            <w:r w:rsidRPr="003F6B4B">
              <w:rPr>
                <w:rFonts w:ascii="Arial" w:hAnsi="Arial" w:cs="Arial"/>
                <w:b/>
                <w:bCs/>
                <w:color w:val="FFFFFF"/>
              </w:rPr>
              <w:t>Rare?</w:t>
            </w:r>
          </w:p>
        </w:tc>
        <w:tc>
          <w:tcPr>
            <w:tcW w:w="1300" w:type="dxa"/>
            <w:shd w:val="clear" w:color="auto" w:fill="00704A"/>
            <w:tcMar>
              <w:top w:w="80" w:type="dxa"/>
              <w:left w:w="100" w:type="dxa"/>
              <w:bottom w:w="80" w:type="dxa"/>
              <w:right w:w="100" w:type="dxa"/>
            </w:tcMar>
            <w:vAlign w:val="center"/>
          </w:tcPr>
          <w:p w14:paraId="04999045" w14:textId="77777777" w:rsidR="00F32486" w:rsidRPr="003F6B4B" w:rsidRDefault="00F32486" w:rsidP="005C0088">
            <w:pPr>
              <w:rPr>
                <w:rFonts w:ascii="Arial" w:hAnsi="Arial" w:cs="Arial"/>
              </w:rPr>
            </w:pPr>
            <w:r w:rsidRPr="003F6B4B">
              <w:rPr>
                <w:rFonts w:ascii="Arial" w:hAnsi="Arial" w:cs="Arial"/>
                <w:b/>
                <w:bCs/>
                <w:color w:val="FFFFFF"/>
              </w:rPr>
              <w:t>Costly to imitate?</w:t>
            </w:r>
          </w:p>
        </w:tc>
        <w:tc>
          <w:tcPr>
            <w:tcW w:w="900" w:type="dxa"/>
            <w:shd w:val="clear" w:color="auto" w:fill="00704A"/>
            <w:tcMar>
              <w:top w:w="80" w:type="dxa"/>
              <w:left w:w="100" w:type="dxa"/>
              <w:bottom w:w="80" w:type="dxa"/>
              <w:right w:w="100" w:type="dxa"/>
            </w:tcMar>
            <w:vAlign w:val="center"/>
          </w:tcPr>
          <w:p w14:paraId="124068EF" w14:textId="77777777" w:rsidR="00F32486" w:rsidRPr="003F6B4B" w:rsidRDefault="00F32486" w:rsidP="005C0088">
            <w:pPr>
              <w:rPr>
                <w:rFonts w:ascii="Arial" w:hAnsi="Arial" w:cs="Arial"/>
              </w:rPr>
            </w:pPr>
            <w:r w:rsidRPr="003F6B4B">
              <w:rPr>
                <w:rFonts w:ascii="Arial" w:hAnsi="Arial" w:cs="Arial"/>
                <w:b/>
                <w:bCs/>
                <w:color w:val="FFFFFF"/>
              </w:rPr>
              <w:t>Organised?</w:t>
            </w:r>
          </w:p>
        </w:tc>
        <w:tc>
          <w:tcPr>
            <w:tcW w:w="2426" w:type="dxa"/>
            <w:shd w:val="clear" w:color="auto" w:fill="00704A"/>
            <w:tcMar>
              <w:top w:w="80" w:type="dxa"/>
              <w:left w:w="100" w:type="dxa"/>
              <w:bottom w:w="80" w:type="dxa"/>
              <w:right w:w="100" w:type="dxa"/>
            </w:tcMar>
            <w:vAlign w:val="center"/>
          </w:tcPr>
          <w:p w14:paraId="4C065656" w14:textId="77777777" w:rsidR="00F32486" w:rsidRPr="003F6B4B" w:rsidRDefault="00F32486" w:rsidP="005C0088">
            <w:pPr>
              <w:rPr>
                <w:rFonts w:ascii="Arial" w:hAnsi="Arial" w:cs="Arial"/>
              </w:rPr>
            </w:pPr>
            <w:r w:rsidRPr="003F6B4B">
              <w:rPr>
                <w:rFonts w:ascii="Arial" w:hAnsi="Arial" w:cs="Arial"/>
                <w:b/>
                <w:bCs/>
                <w:color w:val="FFFFFF"/>
              </w:rPr>
              <w:t>Competitive implication</w:t>
            </w:r>
          </w:p>
        </w:tc>
      </w:tr>
      <w:tr w:rsidR="00F32486" w:rsidRPr="003F6B4B" w14:paraId="752CFE2A" w14:textId="77777777" w:rsidTr="005C0088">
        <w:tc>
          <w:tcPr>
            <w:tcW w:w="2600" w:type="dxa"/>
            <w:tcMar>
              <w:top w:w="80" w:type="dxa"/>
              <w:left w:w="100" w:type="dxa"/>
              <w:bottom w:w="80" w:type="dxa"/>
              <w:right w:w="100" w:type="dxa"/>
            </w:tcMar>
            <w:vAlign w:val="center"/>
          </w:tcPr>
          <w:p w14:paraId="4D858309" w14:textId="77777777" w:rsidR="00F32486" w:rsidRPr="003F6B4B" w:rsidRDefault="00F32486" w:rsidP="005C0088">
            <w:pPr>
              <w:rPr>
                <w:rFonts w:ascii="Arial" w:hAnsi="Arial" w:cs="Arial"/>
              </w:rPr>
            </w:pPr>
            <w:r w:rsidRPr="003F6B4B">
              <w:rPr>
                <w:rFonts w:ascii="Arial" w:hAnsi="Arial" w:cs="Arial"/>
                <w:color w:val="000000"/>
              </w:rPr>
              <w:t>Global brand equity &amp; premium positioning</w:t>
            </w:r>
          </w:p>
        </w:tc>
        <w:tc>
          <w:tcPr>
            <w:tcW w:w="900" w:type="dxa"/>
            <w:tcMar>
              <w:top w:w="80" w:type="dxa"/>
              <w:left w:w="100" w:type="dxa"/>
              <w:bottom w:w="80" w:type="dxa"/>
              <w:right w:w="100" w:type="dxa"/>
            </w:tcMar>
            <w:vAlign w:val="center"/>
          </w:tcPr>
          <w:p w14:paraId="1600C5EA" w14:textId="77777777" w:rsidR="00F32486" w:rsidRPr="003F6B4B" w:rsidRDefault="00F32486" w:rsidP="005C0088">
            <w:pPr>
              <w:rPr>
                <w:rFonts w:ascii="Arial" w:hAnsi="Arial" w:cs="Arial"/>
              </w:rPr>
            </w:pPr>
            <w:r w:rsidRPr="003F6B4B">
              <w:rPr>
                <w:rFonts w:ascii="Arial" w:hAnsi="Arial" w:cs="Arial"/>
                <w:color w:val="000000"/>
              </w:rPr>
              <w:t>Yes</w:t>
            </w:r>
          </w:p>
        </w:tc>
        <w:tc>
          <w:tcPr>
            <w:tcW w:w="900" w:type="dxa"/>
            <w:tcMar>
              <w:top w:w="80" w:type="dxa"/>
              <w:left w:w="100" w:type="dxa"/>
              <w:bottom w:w="80" w:type="dxa"/>
              <w:right w:w="100" w:type="dxa"/>
            </w:tcMar>
            <w:vAlign w:val="center"/>
          </w:tcPr>
          <w:p w14:paraId="36B56D16" w14:textId="77777777" w:rsidR="00F32486" w:rsidRPr="003F6B4B" w:rsidRDefault="00F32486" w:rsidP="005C0088">
            <w:pPr>
              <w:rPr>
                <w:rFonts w:ascii="Arial" w:hAnsi="Arial" w:cs="Arial"/>
              </w:rPr>
            </w:pPr>
            <w:r w:rsidRPr="003F6B4B">
              <w:rPr>
                <w:rFonts w:ascii="Arial" w:hAnsi="Arial" w:cs="Arial"/>
                <w:color w:val="000000"/>
              </w:rPr>
              <w:t>Yes</w:t>
            </w:r>
          </w:p>
        </w:tc>
        <w:tc>
          <w:tcPr>
            <w:tcW w:w="1300" w:type="dxa"/>
            <w:tcMar>
              <w:top w:w="80" w:type="dxa"/>
              <w:left w:w="100" w:type="dxa"/>
              <w:bottom w:w="80" w:type="dxa"/>
              <w:right w:w="100" w:type="dxa"/>
            </w:tcMar>
            <w:vAlign w:val="center"/>
          </w:tcPr>
          <w:p w14:paraId="6926BEFB" w14:textId="77777777" w:rsidR="00F32486" w:rsidRPr="003F6B4B" w:rsidRDefault="00F32486" w:rsidP="005C0088">
            <w:pPr>
              <w:rPr>
                <w:rFonts w:ascii="Arial" w:hAnsi="Arial" w:cs="Arial"/>
              </w:rPr>
            </w:pPr>
            <w:r w:rsidRPr="003F6B4B">
              <w:rPr>
                <w:rFonts w:ascii="Arial" w:hAnsi="Arial" w:cs="Arial"/>
                <w:color w:val="000000"/>
              </w:rPr>
              <w:t>Yes</w:t>
            </w:r>
          </w:p>
        </w:tc>
        <w:tc>
          <w:tcPr>
            <w:tcW w:w="900" w:type="dxa"/>
            <w:tcMar>
              <w:top w:w="80" w:type="dxa"/>
              <w:left w:w="100" w:type="dxa"/>
              <w:bottom w:w="80" w:type="dxa"/>
              <w:right w:w="100" w:type="dxa"/>
            </w:tcMar>
            <w:vAlign w:val="center"/>
          </w:tcPr>
          <w:p w14:paraId="0E7982CC" w14:textId="77777777" w:rsidR="00F32486" w:rsidRPr="003F6B4B" w:rsidRDefault="00F32486" w:rsidP="005C0088">
            <w:pPr>
              <w:rPr>
                <w:rFonts w:ascii="Arial" w:hAnsi="Arial" w:cs="Arial"/>
              </w:rPr>
            </w:pPr>
            <w:r w:rsidRPr="003F6B4B">
              <w:rPr>
                <w:rFonts w:ascii="Arial" w:hAnsi="Arial" w:cs="Arial"/>
                <w:color w:val="000000"/>
              </w:rPr>
              <w:t>Yes</w:t>
            </w:r>
          </w:p>
        </w:tc>
        <w:tc>
          <w:tcPr>
            <w:tcW w:w="2426" w:type="dxa"/>
            <w:tcMar>
              <w:top w:w="80" w:type="dxa"/>
              <w:left w:w="100" w:type="dxa"/>
              <w:bottom w:w="80" w:type="dxa"/>
              <w:right w:w="100" w:type="dxa"/>
            </w:tcMar>
            <w:vAlign w:val="center"/>
          </w:tcPr>
          <w:p w14:paraId="669B76E4" w14:textId="77777777" w:rsidR="00F32486" w:rsidRPr="003F6B4B" w:rsidRDefault="00F32486" w:rsidP="005C0088">
            <w:pPr>
              <w:rPr>
                <w:rFonts w:ascii="Arial" w:hAnsi="Arial" w:cs="Arial"/>
              </w:rPr>
            </w:pPr>
            <w:r w:rsidRPr="003F6B4B">
              <w:rPr>
                <w:rFonts w:ascii="Arial" w:hAnsi="Arial" w:cs="Arial"/>
                <w:color w:val="000000"/>
              </w:rPr>
              <w:t>Sustained competitive advantage</w:t>
            </w:r>
          </w:p>
        </w:tc>
      </w:tr>
      <w:tr w:rsidR="00F32486" w:rsidRPr="003F6B4B" w14:paraId="6CF0B41E" w14:textId="77777777" w:rsidTr="005C0088">
        <w:tc>
          <w:tcPr>
            <w:tcW w:w="2600" w:type="dxa"/>
            <w:shd w:val="clear" w:color="auto" w:fill="EFF6F3"/>
            <w:tcMar>
              <w:top w:w="80" w:type="dxa"/>
              <w:left w:w="100" w:type="dxa"/>
              <w:bottom w:w="80" w:type="dxa"/>
              <w:right w:w="100" w:type="dxa"/>
            </w:tcMar>
            <w:vAlign w:val="center"/>
          </w:tcPr>
          <w:p w14:paraId="5A1F7C54" w14:textId="77777777" w:rsidR="00F32486" w:rsidRPr="003F6B4B" w:rsidRDefault="00F32486" w:rsidP="005C0088">
            <w:pPr>
              <w:rPr>
                <w:rFonts w:ascii="Arial" w:hAnsi="Arial" w:cs="Arial"/>
              </w:rPr>
            </w:pPr>
            <w:r w:rsidRPr="003F6B4B">
              <w:rPr>
                <w:rFonts w:ascii="Arial" w:hAnsi="Arial" w:cs="Arial"/>
                <w:color w:val="000000"/>
              </w:rPr>
              <w:t>Starbucks Rewards loyalty app &amp; digital ecosystem</w:t>
            </w:r>
          </w:p>
        </w:tc>
        <w:tc>
          <w:tcPr>
            <w:tcW w:w="900" w:type="dxa"/>
            <w:shd w:val="clear" w:color="auto" w:fill="EFF6F3"/>
            <w:tcMar>
              <w:top w:w="80" w:type="dxa"/>
              <w:left w:w="100" w:type="dxa"/>
              <w:bottom w:w="80" w:type="dxa"/>
              <w:right w:w="100" w:type="dxa"/>
            </w:tcMar>
            <w:vAlign w:val="center"/>
          </w:tcPr>
          <w:p w14:paraId="04F19216" w14:textId="77777777" w:rsidR="00F32486" w:rsidRPr="003F6B4B" w:rsidRDefault="00F32486" w:rsidP="005C0088">
            <w:pPr>
              <w:rPr>
                <w:rFonts w:ascii="Arial" w:hAnsi="Arial" w:cs="Arial"/>
              </w:rPr>
            </w:pPr>
            <w:r w:rsidRPr="003F6B4B">
              <w:rPr>
                <w:rFonts w:ascii="Arial" w:hAnsi="Arial" w:cs="Arial"/>
                <w:color w:val="000000"/>
              </w:rPr>
              <w:t>Yes</w:t>
            </w:r>
          </w:p>
        </w:tc>
        <w:tc>
          <w:tcPr>
            <w:tcW w:w="900" w:type="dxa"/>
            <w:shd w:val="clear" w:color="auto" w:fill="EFF6F3"/>
            <w:tcMar>
              <w:top w:w="80" w:type="dxa"/>
              <w:left w:w="100" w:type="dxa"/>
              <w:bottom w:w="80" w:type="dxa"/>
              <w:right w:w="100" w:type="dxa"/>
            </w:tcMar>
            <w:vAlign w:val="center"/>
          </w:tcPr>
          <w:p w14:paraId="427E1B3A" w14:textId="77777777" w:rsidR="00F32486" w:rsidRPr="003F6B4B" w:rsidRDefault="00F32486" w:rsidP="005C0088">
            <w:pPr>
              <w:rPr>
                <w:rFonts w:ascii="Arial" w:hAnsi="Arial" w:cs="Arial"/>
              </w:rPr>
            </w:pPr>
            <w:r w:rsidRPr="003F6B4B">
              <w:rPr>
                <w:rFonts w:ascii="Arial" w:hAnsi="Arial" w:cs="Arial"/>
                <w:color w:val="000000"/>
              </w:rPr>
              <w:t>Partially</w:t>
            </w:r>
          </w:p>
        </w:tc>
        <w:tc>
          <w:tcPr>
            <w:tcW w:w="1300" w:type="dxa"/>
            <w:shd w:val="clear" w:color="auto" w:fill="EFF6F3"/>
            <w:tcMar>
              <w:top w:w="80" w:type="dxa"/>
              <w:left w:w="100" w:type="dxa"/>
              <w:bottom w:w="80" w:type="dxa"/>
              <w:right w:w="100" w:type="dxa"/>
            </w:tcMar>
            <w:vAlign w:val="center"/>
          </w:tcPr>
          <w:p w14:paraId="7AE7539D" w14:textId="77777777" w:rsidR="00F32486" w:rsidRPr="003F6B4B" w:rsidRDefault="00F32486" w:rsidP="005C0088">
            <w:pPr>
              <w:rPr>
                <w:rFonts w:ascii="Arial" w:hAnsi="Arial" w:cs="Arial"/>
              </w:rPr>
            </w:pPr>
            <w:r w:rsidRPr="003F6B4B">
              <w:rPr>
                <w:rFonts w:ascii="Arial" w:hAnsi="Arial" w:cs="Arial"/>
                <w:color w:val="000000"/>
              </w:rPr>
              <w:t>Moderately</w:t>
            </w:r>
          </w:p>
        </w:tc>
        <w:tc>
          <w:tcPr>
            <w:tcW w:w="900" w:type="dxa"/>
            <w:shd w:val="clear" w:color="auto" w:fill="EFF6F3"/>
            <w:tcMar>
              <w:top w:w="80" w:type="dxa"/>
              <w:left w:w="100" w:type="dxa"/>
              <w:bottom w:w="80" w:type="dxa"/>
              <w:right w:w="100" w:type="dxa"/>
            </w:tcMar>
            <w:vAlign w:val="center"/>
          </w:tcPr>
          <w:p w14:paraId="177F9C2F" w14:textId="77777777" w:rsidR="00F32486" w:rsidRPr="003F6B4B" w:rsidRDefault="00F32486" w:rsidP="005C0088">
            <w:pPr>
              <w:rPr>
                <w:rFonts w:ascii="Arial" w:hAnsi="Arial" w:cs="Arial"/>
              </w:rPr>
            </w:pPr>
            <w:r w:rsidRPr="003F6B4B">
              <w:rPr>
                <w:rFonts w:ascii="Arial" w:hAnsi="Arial" w:cs="Arial"/>
                <w:color w:val="000000"/>
              </w:rPr>
              <w:t>Yes</w:t>
            </w:r>
          </w:p>
        </w:tc>
        <w:tc>
          <w:tcPr>
            <w:tcW w:w="2426" w:type="dxa"/>
            <w:shd w:val="clear" w:color="auto" w:fill="EFF6F3"/>
            <w:tcMar>
              <w:top w:w="80" w:type="dxa"/>
              <w:left w:w="100" w:type="dxa"/>
              <w:bottom w:w="80" w:type="dxa"/>
              <w:right w:w="100" w:type="dxa"/>
            </w:tcMar>
            <w:vAlign w:val="center"/>
          </w:tcPr>
          <w:p w14:paraId="15976B01" w14:textId="77777777" w:rsidR="00F32486" w:rsidRPr="003F6B4B" w:rsidRDefault="00F32486" w:rsidP="005C0088">
            <w:pPr>
              <w:rPr>
                <w:rFonts w:ascii="Arial" w:hAnsi="Arial" w:cs="Arial"/>
              </w:rPr>
            </w:pPr>
            <w:r w:rsidRPr="003F6B4B">
              <w:rPr>
                <w:rFonts w:ascii="Arial" w:hAnsi="Arial" w:cs="Arial"/>
                <w:color w:val="000000"/>
              </w:rPr>
              <w:t>Temporary advantage (Costa Club, Nero app narrowing the gap)</w:t>
            </w:r>
          </w:p>
        </w:tc>
      </w:tr>
      <w:tr w:rsidR="00F32486" w:rsidRPr="003F6B4B" w14:paraId="3CC464DE" w14:textId="77777777" w:rsidTr="005C0088">
        <w:tc>
          <w:tcPr>
            <w:tcW w:w="2600" w:type="dxa"/>
            <w:tcMar>
              <w:top w:w="80" w:type="dxa"/>
              <w:left w:w="100" w:type="dxa"/>
              <w:bottom w:w="80" w:type="dxa"/>
              <w:right w:w="100" w:type="dxa"/>
            </w:tcMar>
            <w:vAlign w:val="center"/>
          </w:tcPr>
          <w:p w14:paraId="693AC9EC" w14:textId="77777777" w:rsidR="00F32486" w:rsidRPr="003F6B4B" w:rsidRDefault="00F32486" w:rsidP="005C0088">
            <w:pPr>
              <w:rPr>
                <w:rFonts w:ascii="Arial" w:hAnsi="Arial" w:cs="Arial"/>
              </w:rPr>
            </w:pPr>
            <w:r w:rsidRPr="003F6B4B">
              <w:rPr>
                <w:rFonts w:ascii="Arial" w:hAnsi="Arial" w:cs="Arial"/>
                <w:color w:val="000000"/>
              </w:rPr>
              <w:t>“Third place” store experience &amp; trained baristas</w:t>
            </w:r>
          </w:p>
        </w:tc>
        <w:tc>
          <w:tcPr>
            <w:tcW w:w="900" w:type="dxa"/>
            <w:tcMar>
              <w:top w:w="80" w:type="dxa"/>
              <w:left w:w="100" w:type="dxa"/>
              <w:bottom w:w="80" w:type="dxa"/>
              <w:right w:w="100" w:type="dxa"/>
            </w:tcMar>
            <w:vAlign w:val="center"/>
          </w:tcPr>
          <w:p w14:paraId="0F6159A6" w14:textId="77777777" w:rsidR="00F32486" w:rsidRPr="003F6B4B" w:rsidRDefault="00F32486" w:rsidP="005C0088">
            <w:pPr>
              <w:rPr>
                <w:rFonts w:ascii="Arial" w:hAnsi="Arial" w:cs="Arial"/>
              </w:rPr>
            </w:pPr>
            <w:r w:rsidRPr="003F6B4B">
              <w:rPr>
                <w:rFonts w:ascii="Arial" w:hAnsi="Arial" w:cs="Arial"/>
                <w:color w:val="000000"/>
              </w:rPr>
              <w:t>Yes</w:t>
            </w:r>
          </w:p>
        </w:tc>
        <w:tc>
          <w:tcPr>
            <w:tcW w:w="900" w:type="dxa"/>
            <w:tcMar>
              <w:top w:w="80" w:type="dxa"/>
              <w:left w:w="100" w:type="dxa"/>
              <w:bottom w:w="80" w:type="dxa"/>
              <w:right w:w="100" w:type="dxa"/>
            </w:tcMar>
            <w:vAlign w:val="center"/>
          </w:tcPr>
          <w:p w14:paraId="24B8F2E6" w14:textId="77777777" w:rsidR="00F32486" w:rsidRPr="003F6B4B" w:rsidRDefault="00F32486" w:rsidP="005C0088">
            <w:pPr>
              <w:rPr>
                <w:rFonts w:ascii="Arial" w:hAnsi="Arial" w:cs="Arial"/>
              </w:rPr>
            </w:pPr>
            <w:r w:rsidRPr="003F6B4B">
              <w:rPr>
                <w:rFonts w:ascii="Arial" w:hAnsi="Arial" w:cs="Arial"/>
                <w:color w:val="000000"/>
              </w:rPr>
              <w:t>Partially</w:t>
            </w:r>
          </w:p>
        </w:tc>
        <w:tc>
          <w:tcPr>
            <w:tcW w:w="1300" w:type="dxa"/>
            <w:tcMar>
              <w:top w:w="80" w:type="dxa"/>
              <w:left w:w="100" w:type="dxa"/>
              <w:bottom w:w="80" w:type="dxa"/>
              <w:right w:w="100" w:type="dxa"/>
            </w:tcMar>
            <w:vAlign w:val="center"/>
          </w:tcPr>
          <w:p w14:paraId="664B20DE" w14:textId="77777777" w:rsidR="00F32486" w:rsidRPr="003F6B4B" w:rsidRDefault="00F32486" w:rsidP="005C0088">
            <w:pPr>
              <w:rPr>
                <w:rFonts w:ascii="Arial" w:hAnsi="Arial" w:cs="Arial"/>
              </w:rPr>
            </w:pPr>
            <w:r w:rsidRPr="003F6B4B">
              <w:rPr>
                <w:rFonts w:ascii="Arial" w:hAnsi="Arial" w:cs="Arial"/>
                <w:color w:val="000000"/>
              </w:rPr>
              <w:t>Moderately</w:t>
            </w:r>
          </w:p>
        </w:tc>
        <w:tc>
          <w:tcPr>
            <w:tcW w:w="900" w:type="dxa"/>
            <w:tcMar>
              <w:top w:w="80" w:type="dxa"/>
              <w:left w:w="100" w:type="dxa"/>
              <w:bottom w:w="80" w:type="dxa"/>
              <w:right w:w="100" w:type="dxa"/>
            </w:tcMar>
            <w:vAlign w:val="center"/>
          </w:tcPr>
          <w:p w14:paraId="6B38D124" w14:textId="77777777" w:rsidR="00F32486" w:rsidRPr="003F6B4B" w:rsidRDefault="00F32486" w:rsidP="005C0088">
            <w:pPr>
              <w:rPr>
                <w:rFonts w:ascii="Arial" w:hAnsi="Arial" w:cs="Arial"/>
              </w:rPr>
            </w:pPr>
            <w:r w:rsidRPr="003F6B4B">
              <w:rPr>
                <w:rFonts w:ascii="Arial" w:hAnsi="Arial" w:cs="Arial"/>
                <w:color w:val="000000"/>
              </w:rPr>
              <w:t>Yes (Back to Starbucks reset)</w:t>
            </w:r>
          </w:p>
        </w:tc>
        <w:tc>
          <w:tcPr>
            <w:tcW w:w="2426" w:type="dxa"/>
            <w:tcMar>
              <w:top w:w="80" w:type="dxa"/>
              <w:left w:w="100" w:type="dxa"/>
              <w:bottom w:w="80" w:type="dxa"/>
              <w:right w:w="100" w:type="dxa"/>
            </w:tcMar>
            <w:vAlign w:val="center"/>
          </w:tcPr>
          <w:p w14:paraId="7DBC52E0" w14:textId="77777777" w:rsidR="00F32486" w:rsidRPr="003F6B4B" w:rsidRDefault="00F32486" w:rsidP="005C0088">
            <w:pPr>
              <w:rPr>
                <w:rFonts w:ascii="Arial" w:hAnsi="Arial" w:cs="Arial"/>
              </w:rPr>
            </w:pPr>
            <w:r w:rsidRPr="003F6B4B">
              <w:rPr>
                <w:rFonts w:ascii="Arial" w:hAnsi="Arial" w:cs="Arial"/>
                <w:color w:val="000000"/>
              </w:rPr>
              <w:t>Temporary advantage</w:t>
            </w:r>
          </w:p>
        </w:tc>
      </w:tr>
      <w:tr w:rsidR="00F32486" w:rsidRPr="003F6B4B" w14:paraId="42FADF2A" w14:textId="77777777" w:rsidTr="005C0088">
        <w:tc>
          <w:tcPr>
            <w:tcW w:w="2600" w:type="dxa"/>
            <w:shd w:val="clear" w:color="auto" w:fill="EFF6F3"/>
            <w:tcMar>
              <w:top w:w="80" w:type="dxa"/>
              <w:left w:w="100" w:type="dxa"/>
              <w:bottom w:w="80" w:type="dxa"/>
              <w:right w:w="100" w:type="dxa"/>
            </w:tcMar>
            <w:vAlign w:val="center"/>
          </w:tcPr>
          <w:p w14:paraId="555E7E7A" w14:textId="77777777" w:rsidR="00F32486" w:rsidRPr="003F6B4B" w:rsidRDefault="00F32486" w:rsidP="005C0088">
            <w:pPr>
              <w:rPr>
                <w:rFonts w:ascii="Arial" w:hAnsi="Arial" w:cs="Arial"/>
              </w:rPr>
            </w:pPr>
            <w:r w:rsidRPr="003F6B4B">
              <w:rPr>
                <w:rFonts w:ascii="Arial" w:hAnsi="Arial" w:cs="Arial"/>
                <w:color w:val="000000"/>
              </w:rPr>
              <w:t>C.A.F.E. Practices ethical sourcing programme</w:t>
            </w:r>
          </w:p>
        </w:tc>
        <w:tc>
          <w:tcPr>
            <w:tcW w:w="900" w:type="dxa"/>
            <w:shd w:val="clear" w:color="auto" w:fill="EFF6F3"/>
            <w:tcMar>
              <w:top w:w="80" w:type="dxa"/>
              <w:left w:w="100" w:type="dxa"/>
              <w:bottom w:w="80" w:type="dxa"/>
              <w:right w:w="100" w:type="dxa"/>
            </w:tcMar>
            <w:vAlign w:val="center"/>
          </w:tcPr>
          <w:p w14:paraId="2526E264" w14:textId="77777777" w:rsidR="00F32486" w:rsidRPr="003F6B4B" w:rsidRDefault="00F32486" w:rsidP="005C0088">
            <w:pPr>
              <w:rPr>
                <w:rFonts w:ascii="Arial" w:hAnsi="Arial" w:cs="Arial"/>
              </w:rPr>
            </w:pPr>
            <w:r w:rsidRPr="003F6B4B">
              <w:rPr>
                <w:rFonts w:ascii="Arial" w:hAnsi="Arial" w:cs="Arial"/>
                <w:color w:val="000000"/>
              </w:rPr>
              <w:t>Yes</w:t>
            </w:r>
          </w:p>
        </w:tc>
        <w:tc>
          <w:tcPr>
            <w:tcW w:w="900" w:type="dxa"/>
            <w:shd w:val="clear" w:color="auto" w:fill="EFF6F3"/>
            <w:tcMar>
              <w:top w:w="80" w:type="dxa"/>
              <w:left w:w="100" w:type="dxa"/>
              <w:bottom w:w="80" w:type="dxa"/>
              <w:right w:w="100" w:type="dxa"/>
            </w:tcMar>
            <w:vAlign w:val="center"/>
          </w:tcPr>
          <w:p w14:paraId="5FC7E886" w14:textId="77777777" w:rsidR="00F32486" w:rsidRPr="003F6B4B" w:rsidRDefault="00F32486" w:rsidP="005C0088">
            <w:pPr>
              <w:rPr>
                <w:rFonts w:ascii="Arial" w:hAnsi="Arial" w:cs="Arial"/>
              </w:rPr>
            </w:pPr>
            <w:r w:rsidRPr="003F6B4B">
              <w:rPr>
                <w:rFonts w:ascii="Arial" w:hAnsi="Arial" w:cs="Arial"/>
                <w:color w:val="000000"/>
              </w:rPr>
              <w:t>No</w:t>
            </w:r>
          </w:p>
        </w:tc>
        <w:tc>
          <w:tcPr>
            <w:tcW w:w="1300" w:type="dxa"/>
            <w:shd w:val="clear" w:color="auto" w:fill="EFF6F3"/>
            <w:tcMar>
              <w:top w:w="80" w:type="dxa"/>
              <w:left w:w="100" w:type="dxa"/>
              <w:bottom w:w="80" w:type="dxa"/>
              <w:right w:w="100" w:type="dxa"/>
            </w:tcMar>
            <w:vAlign w:val="center"/>
          </w:tcPr>
          <w:p w14:paraId="1330407D" w14:textId="77777777" w:rsidR="00F32486" w:rsidRPr="003F6B4B" w:rsidRDefault="00F32486" w:rsidP="005C0088">
            <w:pPr>
              <w:rPr>
                <w:rFonts w:ascii="Arial" w:hAnsi="Arial" w:cs="Arial"/>
              </w:rPr>
            </w:pPr>
            <w:r w:rsidRPr="003F6B4B">
              <w:rPr>
                <w:rFonts w:ascii="Arial" w:hAnsi="Arial" w:cs="Arial"/>
                <w:color w:val="000000"/>
              </w:rPr>
              <w:t>Moderately</w:t>
            </w:r>
          </w:p>
        </w:tc>
        <w:tc>
          <w:tcPr>
            <w:tcW w:w="900" w:type="dxa"/>
            <w:shd w:val="clear" w:color="auto" w:fill="EFF6F3"/>
            <w:tcMar>
              <w:top w:w="80" w:type="dxa"/>
              <w:left w:w="100" w:type="dxa"/>
              <w:bottom w:w="80" w:type="dxa"/>
              <w:right w:w="100" w:type="dxa"/>
            </w:tcMar>
            <w:vAlign w:val="center"/>
          </w:tcPr>
          <w:p w14:paraId="3D26ACCA" w14:textId="77777777" w:rsidR="00F32486" w:rsidRPr="003F6B4B" w:rsidRDefault="00F32486" w:rsidP="005C0088">
            <w:pPr>
              <w:rPr>
                <w:rFonts w:ascii="Arial" w:hAnsi="Arial" w:cs="Arial"/>
              </w:rPr>
            </w:pPr>
            <w:r w:rsidRPr="003F6B4B">
              <w:rPr>
                <w:rFonts w:ascii="Arial" w:hAnsi="Arial" w:cs="Arial"/>
                <w:color w:val="000000"/>
              </w:rPr>
              <w:t>Yes</w:t>
            </w:r>
          </w:p>
        </w:tc>
        <w:tc>
          <w:tcPr>
            <w:tcW w:w="2426" w:type="dxa"/>
            <w:shd w:val="clear" w:color="auto" w:fill="EFF6F3"/>
            <w:tcMar>
              <w:top w:w="80" w:type="dxa"/>
              <w:left w:w="100" w:type="dxa"/>
              <w:bottom w:w="80" w:type="dxa"/>
              <w:right w:w="100" w:type="dxa"/>
            </w:tcMar>
            <w:vAlign w:val="center"/>
          </w:tcPr>
          <w:p w14:paraId="0FBF8FC3" w14:textId="77777777" w:rsidR="00F32486" w:rsidRPr="003F6B4B" w:rsidRDefault="00F32486" w:rsidP="005C0088">
            <w:pPr>
              <w:rPr>
                <w:rFonts w:ascii="Arial" w:hAnsi="Arial" w:cs="Arial"/>
              </w:rPr>
            </w:pPr>
            <w:r w:rsidRPr="003F6B4B">
              <w:rPr>
                <w:rFonts w:ascii="Arial" w:hAnsi="Arial" w:cs="Arial"/>
                <w:color w:val="000000"/>
              </w:rPr>
              <w:t>Competitive parity (rivals run comparable schemes)</w:t>
            </w:r>
          </w:p>
        </w:tc>
      </w:tr>
      <w:tr w:rsidR="00F32486" w:rsidRPr="003F6B4B" w14:paraId="3D158E18" w14:textId="77777777" w:rsidTr="005C0088">
        <w:tc>
          <w:tcPr>
            <w:tcW w:w="2600" w:type="dxa"/>
            <w:tcMar>
              <w:top w:w="80" w:type="dxa"/>
              <w:left w:w="100" w:type="dxa"/>
              <w:bottom w:w="80" w:type="dxa"/>
              <w:right w:w="100" w:type="dxa"/>
            </w:tcMar>
            <w:vAlign w:val="center"/>
          </w:tcPr>
          <w:p w14:paraId="2D50385C" w14:textId="77777777" w:rsidR="00F32486" w:rsidRPr="003F6B4B" w:rsidRDefault="00F32486" w:rsidP="005C0088">
            <w:pPr>
              <w:rPr>
                <w:rFonts w:ascii="Arial" w:hAnsi="Arial" w:cs="Arial"/>
              </w:rPr>
            </w:pPr>
            <w:r w:rsidRPr="003F6B4B">
              <w:rPr>
                <w:rFonts w:ascii="Arial" w:hAnsi="Arial" w:cs="Arial"/>
                <w:color w:val="000000"/>
              </w:rPr>
              <w:t>UK prime real estate footprint (1,354 stores)</w:t>
            </w:r>
          </w:p>
        </w:tc>
        <w:tc>
          <w:tcPr>
            <w:tcW w:w="900" w:type="dxa"/>
            <w:tcMar>
              <w:top w:w="80" w:type="dxa"/>
              <w:left w:w="100" w:type="dxa"/>
              <w:bottom w:w="80" w:type="dxa"/>
              <w:right w:w="100" w:type="dxa"/>
            </w:tcMar>
            <w:vAlign w:val="center"/>
          </w:tcPr>
          <w:p w14:paraId="798EDCB0" w14:textId="77777777" w:rsidR="00F32486" w:rsidRPr="003F6B4B" w:rsidRDefault="00F32486" w:rsidP="005C0088">
            <w:pPr>
              <w:rPr>
                <w:rFonts w:ascii="Arial" w:hAnsi="Arial" w:cs="Arial"/>
              </w:rPr>
            </w:pPr>
            <w:r w:rsidRPr="003F6B4B">
              <w:rPr>
                <w:rFonts w:ascii="Arial" w:hAnsi="Arial" w:cs="Arial"/>
                <w:color w:val="000000"/>
              </w:rPr>
              <w:t>Yes</w:t>
            </w:r>
          </w:p>
        </w:tc>
        <w:tc>
          <w:tcPr>
            <w:tcW w:w="900" w:type="dxa"/>
            <w:tcMar>
              <w:top w:w="80" w:type="dxa"/>
              <w:left w:w="100" w:type="dxa"/>
              <w:bottom w:w="80" w:type="dxa"/>
              <w:right w:w="100" w:type="dxa"/>
            </w:tcMar>
            <w:vAlign w:val="center"/>
          </w:tcPr>
          <w:p w14:paraId="78B53FC6" w14:textId="77777777" w:rsidR="00F32486" w:rsidRPr="003F6B4B" w:rsidRDefault="00F32486" w:rsidP="005C0088">
            <w:pPr>
              <w:rPr>
                <w:rFonts w:ascii="Arial" w:hAnsi="Arial" w:cs="Arial"/>
              </w:rPr>
            </w:pPr>
            <w:r w:rsidRPr="003F6B4B">
              <w:rPr>
                <w:rFonts w:ascii="Arial" w:hAnsi="Arial" w:cs="Arial"/>
                <w:color w:val="000000"/>
              </w:rPr>
              <w:t>Yes</w:t>
            </w:r>
          </w:p>
        </w:tc>
        <w:tc>
          <w:tcPr>
            <w:tcW w:w="1300" w:type="dxa"/>
            <w:tcMar>
              <w:top w:w="80" w:type="dxa"/>
              <w:left w:w="100" w:type="dxa"/>
              <w:bottom w:w="80" w:type="dxa"/>
              <w:right w:w="100" w:type="dxa"/>
            </w:tcMar>
            <w:vAlign w:val="center"/>
          </w:tcPr>
          <w:p w14:paraId="5C5C8816" w14:textId="77777777" w:rsidR="00F32486" w:rsidRPr="003F6B4B" w:rsidRDefault="00F32486" w:rsidP="005C0088">
            <w:pPr>
              <w:rPr>
                <w:rFonts w:ascii="Arial" w:hAnsi="Arial" w:cs="Arial"/>
              </w:rPr>
            </w:pPr>
            <w:r w:rsidRPr="003F6B4B">
              <w:rPr>
                <w:rFonts w:ascii="Arial" w:hAnsi="Arial" w:cs="Arial"/>
                <w:color w:val="000000"/>
              </w:rPr>
              <w:t>Yes</w:t>
            </w:r>
          </w:p>
        </w:tc>
        <w:tc>
          <w:tcPr>
            <w:tcW w:w="900" w:type="dxa"/>
            <w:tcMar>
              <w:top w:w="80" w:type="dxa"/>
              <w:left w:w="100" w:type="dxa"/>
              <w:bottom w:w="80" w:type="dxa"/>
              <w:right w:w="100" w:type="dxa"/>
            </w:tcMar>
            <w:vAlign w:val="center"/>
          </w:tcPr>
          <w:p w14:paraId="64DDA941" w14:textId="77777777" w:rsidR="00F32486" w:rsidRPr="003F6B4B" w:rsidRDefault="00F32486" w:rsidP="005C0088">
            <w:pPr>
              <w:rPr>
                <w:rFonts w:ascii="Arial" w:hAnsi="Arial" w:cs="Arial"/>
              </w:rPr>
            </w:pPr>
            <w:r w:rsidRPr="003F6B4B">
              <w:rPr>
                <w:rFonts w:ascii="Arial" w:hAnsi="Arial" w:cs="Arial"/>
                <w:color w:val="000000"/>
              </w:rPr>
              <w:t>Yes</w:t>
            </w:r>
          </w:p>
        </w:tc>
        <w:tc>
          <w:tcPr>
            <w:tcW w:w="2426" w:type="dxa"/>
            <w:tcMar>
              <w:top w:w="80" w:type="dxa"/>
              <w:left w:w="100" w:type="dxa"/>
              <w:bottom w:w="80" w:type="dxa"/>
              <w:right w:w="100" w:type="dxa"/>
            </w:tcMar>
            <w:vAlign w:val="center"/>
          </w:tcPr>
          <w:p w14:paraId="26B306B8" w14:textId="77777777" w:rsidR="00F32486" w:rsidRPr="003F6B4B" w:rsidRDefault="00F32486" w:rsidP="005C0088">
            <w:pPr>
              <w:rPr>
                <w:rFonts w:ascii="Arial" w:hAnsi="Arial" w:cs="Arial"/>
              </w:rPr>
            </w:pPr>
            <w:r w:rsidRPr="003F6B4B">
              <w:rPr>
                <w:rFonts w:ascii="Arial" w:hAnsi="Arial" w:cs="Arial"/>
                <w:color w:val="000000"/>
              </w:rPr>
              <w:t>Sustained-to-temporary advantage</w:t>
            </w:r>
          </w:p>
        </w:tc>
      </w:tr>
      <w:tr w:rsidR="00F32486" w:rsidRPr="003F6B4B" w14:paraId="2A4C1AEC" w14:textId="77777777" w:rsidTr="005C0088">
        <w:tc>
          <w:tcPr>
            <w:tcW w:w="2600" w:type="dxa"/>
            <w:shd w:val="clear" w:color="auto" w:fill="EFF6F3"/>
            <w:tcMar>
              <w:top w:w="80" w:type="dxa"/>
              <w:left w:w="100" w:type="dxa"/>
              <w:bottom w:w="80" w:type="dxa"/>
              <w:right w:w="100" w:type="dxa"/>
            </w:tcMar>
            <w:vAlign w:val="center"/>
          </w:tcPr>
          <w:p w14:paraId="7EF912F8" w14:textId="77777777" w:rsidR="00F32486" w:rsidRPr="003F6B4B" w:rsidRDefault="00F32486" w:rsidP="005C0088">
            <w:pPr>
              <w:rPr>
                <w:rFonts w:ascii="Arial" w:hAnsi="Arial" w:cs="Arial"/>
              </w:rPr>
            </w:pPr>
            <w:r w:rsidRPr="003F6B4B">
              <w:rPr>
                <w:rFonts w:ascii="Arial" w:hAnsi="Arial" w:cs="Arial"/>
                <w:color w:val="000000"/>
              </w:rPr>
              <w:t>Company-operated control post 23.5 Degrees acquisition</w:t>
            </w:r>
          </w:p>
        </w:tc>
        <w:tc>
          <w:tcPr>
            <w:tcW w:w="900" w:type="dxa"/>
            <w:shd w:val="clear" w:color="auto" w:fill="EFF6F3"/>
            <w:tcMar>
              <w:top w:w="80" w:type="dxa"/>
              <w:left w:w="100" w:type="dxa"/>
              <w:bottom w:w="80" w:type="dxa"/>
              <w:right w:w="100" w:type="dxa"/>
            </w:tcMar>
            <w:vAlign w:val="center"/>
          </w:tcPr>
          <w:p w14:paraId="3459B5A5" w14:textId="77777777" w:rsidR="00F32486" w:rsidRPr="003F6B4B" w:rsidRDefault="00F32486" w:rsidP="005C0088">
            <w:pPr>
              <w:rPr>
                <w:rFonts w:ascii="Arial" w:hAnsi="Arial" w:cs="Arial"/>
              </w:rPr>
            </w:pPr>
            <w:r w:rsidRPr="003F6B4B">
              <w:rPr>
                <w:rFonts w:ascii="Arial" w:hAnsi="Arial" w:cs="Arial"/>
                <w:color w:val="000000"/>
              </w:rPr>
              <w:t>Yes</w:t>
            </w:r>
          </w:p>
        </w:tc>
        <w:tc>
          <w:tcPr>
            <w:tcW w:w="900" w:type="dxa"/>
            <w:shd w:val="clear" w:color="auto" w:fill="EFF6F3"/>
            <w:tcMar>
              <w:top w:w="80" w:type="dxa"/>
              <w:left w:w="100" w:type="dxa"/>
              <w:bottom w:w="80" w:type="dxa"/>
              <w:right w:w="100" w:type="dxa"/>
            </w:tcMar>
            <w:vAlign w:val="center"/>
          </w:tcPr>
          <w:p w14:paraId="709A5707" w14:textId="77777777" w:rsidR="00F32486" w:rsidRPr="003F6B4B" w:rsidRDefault="00F32486" w:rsidP="005C0088">
            <w:pPr>
              <w:rPr>
                <w:rFonts w:ascii="Arial" w:hAnsi="Arial" w:cs="Arial"/>
              </w:rPr>
            </w:pPr>
            <w:r w:rsidRPr="003F6B4B">
              <w:rPr>
                <w:rFonts w:ascii="Arial" w:hAnsi="Arial" w:cs="Arial"/>
                <w:color w:val="000000"/>
              </w:rPr>
              <w:t>Yes (recent)</w:t>
            </w:r>
          </w:p>
        </w:tc>
        <w:tc>
          <w:tcPr>
            <w:tcW w:w="1300" w:type="dxa"/>
            <w:shd w:val="clear" w:color="auto" w:fill="EFF6F3"/>
            <w:tcMar>
              <w:top w:w="80" w:type="dxa"/>
              <w:left w:w="100" w:type="dxa"/>
              <w:bottom w:w="80" w:type="dxa"/>
              <w:right w:w="100" w:type="dxa"/>
            </w:tcMar>
            <w:vAlign w:val="center"/>
          </w:tcPr>
          <w:p w14:paraId="6C098A72" w14:textId="77777777" w:rsidR="00F32486" w:rsidRPr="003F6B4B" w:rsidRDefault="00F32486" w:rsidP="005C0088">
            <w:pPr>
              <w:rPr>
                <w:rFonts w:ascii="Arial" w:hAnsi="Arial" w:cs="Arial"/>
              </w:rPr>
            </w:pPr>
            <w:r w:rsidRPr="003F6B4B">
              <w:rPr>
                <w:rFonts w:ascii="Arial" w:hAnsi="Arial" w:cs="Arial"/>
                <w:color w:val="000000"/>
              </w:rPr>
              <w:t>Moderately</w:t>
            </w:r>
          </w:p>
        </w:tc>
        <w:tc>
          <w:tcPr>
            <w:tcW w:w="900" w:type="dxa"/>
            <w:shd w:val="clear" w:color="auto" w:fill="EFF6F3"/>
            <w:tcMar>
              <w:top w:w="80" w:type="dxa"/>
              <w:left w:w="100" w:type="dxa"/>
              <w:bottom w:w="80" w:type="dxa"/>
              <w:right w:w="100" w:type="dxa"/>
            </w:tcMar>
            <w:vAlign w:val="center"/>
          </w:tcPr>
          <w:p w14:paraId="45112EA0" w14:textId="77777777" w:rsidR="00F32486" w:rsidRPr="003F6B4B" w:rsidRDefault="00F32486" w:rsidP="005C0088">
            <w:pPr>
              <w:rPr>
                <w:rFonts w:ascii="Arial" w:hAnsi="Arial" w:cs="Arial"/>
              </w:rPr>
            </w:pPr>
            <w:r w:rsidRPr="003F6B4B">
              <w:rPr>
                <w:rFonts w:ascii="Arial" w:hAnsi="Arial" w:cs="Arial"/>
                <w:color w:val="000000"/>
              </w:rPr>
              <w:t>Improving</w:t>
            </w:r>
          </w:p>
        </w:tc>
        <w:tc>
          <w:tcPr>
            <w:tcW w:w="2426" w:type="dxa"/>
            <w:shd w:val="clear" w:color="auto" w:fill="EFF6F3"/>
            <w:tcMar>
              <w:top w:w="80" w:type="dxa"/>
              <w:left w:w="100" w:type="dxa"/>
              <w:bottom w:w="80" w:type="dxa"/>
              <w:right w:w="100" w:type="dxa"/>
            </w:tcMar>
            <w:vAlign w:val="center"/>
          </w:tcPr>
          <w:p w14:paraId="3F3689AA" w14:textId="77777777" w:rsidR="00F32486" w:rsidRPr="003F6B4B" w:rsidRDefault="00F32486" w:rsidP="005C0088">
            <w:pPr>
              <w:rPr>
                <w:rFonts w:ascii="Arial" w:hAnsi="Arial" w:cs="Arial"/>
              </w:rPr>
            </w:pPr>
            <w:r w:rsidRPr="003F6B4B">
              <w:rPr>
                <w:rFonts w:ascii="Arial" w:hAnsi="Arial" w:cs="Arial"/>
                <w:color w:val="000000"/>
              </w:rPr>
              <w:t>Emerging temporary advantage</w:t>
            </w:r>
          </w:p>
        </w:tc>
      </w:tr>
      <w:tr w:rsidR="00F32486" w:rsidRPr="003F6B4B" w14:paraId="23BE13AB" w14:textId="77777777" w:rsidTr="005C0088">
        <w:tc>
          <w:tcPr>
            <w:tcW w:w="2600" w:type="dxa"/>
            <w:tcMar>
              <w:top w:w="80" w:type="dxa"/>
              <w:left w:w="100" w:type="dxa"/>
              <w:bottom w:w="80" w:type="dxa"/>
              <w:right w:w="100" w:type="dxa"/>
            </w:tcMar>
            <w:vAlign w:val="center"/>
          </w:tcPr>
          <w:p w14:paraId="44B1933F" w14:textId="77777777" w:rsidR="00F32486" w:rsidRPr="003F6B4B" w:rsidRDefault="00F32486" w:rsidP="005C0088">
            <w:pPr>
              <w:rPr>
                <w:rFonts w:ascii="Arial" w:hAnsi="Arial" w:cs="Arial"/>
              </w:rPr>
            </w:pPr>
            <w:r w:rsidRPr="003F6B4B">
              <w:rPr>
                <w:rFonts w:ascii="Arial" w:hAnsi="Arial" w:cs="Arial"/>
                <w:color w:val="000000"/>
              </w:rPr>
              <w:t>Global scale sourcing &amp; grower relationships (C.A.F.E. Practices network)</w:t>
            </w:r>
          </w:p>
        </w:tc>
        <w:tc>
          <w:tcPr>
            <w:tcW w:w="900" w:type="dxa"/>
            <w:tcMar>
              <w:top w:w="80" w:type="dxa"/>
              <w:left w:w="100" w:type="dxa"/>
              <w:bottom w:w="80" w:type="dxa"/>
              <w:right w:w="100" w:type="dxa"/>
            </w:tcMar>
            <w:vAlign w:val="center"/>
          </w:tcPr>
          <w:p w14:paraId="6B6AA49C" w14:textId="77777777" w:rsidR="00F32486" w:rsidRPr="003F6B4B" w:rsidRDefault="00F32486" w:rsidP="005C0088">
            <w:pPr>
              <w:rPr>
                <w:rFonts w:ascii="Arial" w:hAnsi="Arial" w:cs="Arial"/>
              </w:rPr>
            </w:pPr>
            <w:r w:rsidRPr="003F6B4B">
              <w:rPr>
                <w:rFonts w:ascii="Arial" w:hAnsi="Arial" w:cs="Arial"/>
                <w:color w:val="000000"/>
              </w:rPr>
              <w:t>Yes</w:t>
            </w:r>
          </w:p>
        </w:tc>
        <w:tc>
          <w:tcPr>
            <w:tcW w:w="900" w:type="dxa"/>
            <w:tcMar>
              <w:top w:w="80" w:type="dxa"/>
              <w:left w:w="100" w:type="dxa"/>
              <w:bottom w:w="80" w:type="dxa"/>
              <w:right w:w="100" w:type="dxa"/>
            </w:tcMar>
            <w:vAlign w:val="center"/>
          </w:tcPr>
          <w:p w14:paraId="7539F4DF" w14:textId="77777777" w:rsidR="00F32486" w:rsidRPr="003F6B4B" w:rsidRDefault="00F32486" w:rsidP="005C0088">
            <w:pPr>
              <w:rPr>
                <w:rFonts w:ascii="Arial" w:hAnsi="Arial" w:cs="Arial"/>
              </w:rPr>
            </w:pPr>
            <w:r w:rsidRPr="003F6B4B">
              <w:rPr>
                <w:rFonts w:ascii="Arial" w:hAnsi="Arial" w:cs="Arial"/>
                <w:color w:val="000000"/>
              </w:rPr>
              <w:t>Moderately</w:t>
            </w:r>
          </w:p>
        </w:tc>
        <w:tc>
          <w:tcPr>
            <w:tcW w:w="1300" w:type="dxa"/>
            <w:tcMar>
              <w:top w:w="80" w:type="dxa"/>
              <w:left w:w="100" w:type="dxa"/>
              <w:bottom w:w="80" w:type="dxa"/>
              <w:right w:w="100" w:type="dxa"/>
            </w:tcMar>
            <w:vAlign w:val="center"/>
          </w:tcPr>
          <w:p w14:paraId="4B74071F" w14:textId="77777777" w:rsidR="00F32486" w:rsidRPr="003F6B4B" w:rsidRDefault="00F32486" w:rsidP="005C0088">
            <w:pPr>
              <w:rPr>
                <w:rFonts w:ascii="Arial" w:hAnsi="Arial" w:cs="Arial"/>
              </w:rPr>
            </w:pPr>
            <w:r w:rsidRPr="003F6B4B">
              <w:rPr>
                <w:rFonts w:ascii="Arial" w:hAnsi="Arial" w:cs="Arial"/>
                <w:color w:val="000000"/>
              </w:rPr>
              <w:t>Yes</w:t>
            </w:r>
          </w:p>
        </w:tc>
        <w:tc>
          <w:tcPr>
            <w:tcW w:w="900" w:type="dxa"/>
            <w:tcMar>
              <w:top w:w="80" w:type="dxa"/>
              <w:left w:w="100" w:type="dxa"/>
              <w:bottom w:w="80" w:type="dxa"/>
              <w:right w:w="100" w:type="dxa"/>
            </w:tcMar>
            <w:vAlign w:val="center"/>
          </w:tcPr>
          <w:p w14:paraId="3D4210B2" w14:textId="77777777" w:rsidR="00F32486" w:rsidRPr="003F6B4B" w:rsidRDefault="00F32486" w:rsidP="005C0088">
            <w:pPr>
              <w:rPr>
                <w:rFonts w:ascii="Arial" w:hAnsi="Arial" w:cs="Arial"/>
              </w:rPr>
            </w:pPr>
            <w:r w:rsidRPr="003F6B4B">
              <w:rPr>
                <w:rFonts w:ascii="Arial" w:hAnsi="Arial" w:cs="Arial"/>
                <w:color w:val="000000"/>
              </w:rPr>
              <w:t>Yes</w:t>
            </w:r>
          </w:p>
        </w:tc>
        <w:tc>
          <w:tcPr>
            <w:tcW w:w="2426" w:type="dxa"/>
            <w:tcMar>
              <w:top w:w="80" w:type="dxa"/>
              <w:left w:w="100" w:type="dxa"/>
              <w:bottom w:w="80" w:type="dxa"/>
              <w:right w:w="100" w:type="dxa"/>
            </w:tcMar>
            <w:vAlign w:val="center"/>
          </w:tcPr>
          <w:p w14:paraId="2A874DBD" w14:textId="77777777" w:rsidR="00F32486" w:rsidRPr="003F6B4B" w:rsidRDefault="00F32486" w:rsidP="005C0088">
            <w:pPr>
              <w:rPr>
                <w:rFonts w:ascii="Arial" w:hAnsi="Arial" w:cs="Arial"/>
              </w:rPr>
            </w:pPr>
            <w:r w:rsidRPr="003F6B4B">
              <w:rPr>
                <w:rFonts w:ascii="Arial" w:hAnsi="Arial" w:cs="Arial"/>
                <w:color w:val="000000"/>
              </w:rPr>
              <w:t>Sustained advantage on procurement, but does not offset UK labour-cost structure</w:t>
            </w:r>
          </w:p>
        </w:tc>
      </w:tr>
    </w:tbl>
    <w:p w14:paraId="4E054FF3" w14:textId="77777777" w:rsidR="00F32486" w:rsidRPr="003F6B4B" w:rsidRDefault="00F32486" w:rsidP="00F32486">
      <w:pPr>
        <w:spacing w:before="80" w:after="240"/>
        <w:jc w:val="center"/>
        <w:rPr>
          <w:rFonts w:ascii="Arial" w:hAnsi="Arial" w:cs="Arial"/>
        </w:rPr>
      </w:pPr>
      <w:r w:rsidRPr="003F6B4B">
        <w:rPr>
          <w:rFonts w:ascii="Arial" w:hAnsi="Arial" w:cs="Arial"/>
          <w:i/>
          <w:iCs/>
          <w:color w:val="444444"/>
        </w:rPr>
        <w:t>Table 2: VRIO Analysis – Starbucks UK</w:t>
      </w:r>
    </w:p>
    <w:p w14:paraId="100DE5D1" w14:textId="77777777" w:rsidR="00B97599" w:rsidRDefault="00B97599" w:rsidP="00F32486">
      <w:pPr>
        <w:spacing w:after="160" w:line="360" w:lineRule="auto"/>
        <w:jc w:val="both"/>
        <w:rPr>
          <w:rFonts w:ascii="Arial" w:hAnsi="Arial" w:cs="Arial"/>
        </w:rPr>
      </w:pPr>
    </w:p>
    <w:p w14:paraId="3CD90C66" w14:textId="006078FB" w:rsidR="00F32486" w:rsidRPr="003F6B4B" w:rsidRDefault="00F32486" w:rsidP="00F32486">
      <w:pPr>
        <w:spacing w:after="160" w:line="360" w:lineRule="auto"/>
        <w:jc w:val="both"/>
        <w:rPr>
          <w:rFonts w:ascii="Arial" w:hAnsi="Arial" w:cs="Arial"/>
        </w:rPr>
      </w:pPr>
      <w:r w:rsidRPr="003F6B4B">
        <w:rPr>
          <w:rFonts w:ascii="Arial" w:hAnsi="Arial" w:cs="Arial"/>
        </w:rPr>
        <w:t xml:space="preserve">The VRIO analysis suggests Starbucks UK's most durable, sustained advantage is its global brand equity and premium positioning – a resource built over five decades that is difficult and slow to replicate. However, several capabilities that management often treats as differentiators – the loyalty app, the in-store experience and ethical sourcing </w:t>
      </w:r>
      <w:r w:rsidRPr="003F6B4B">
        <w:rPr>
          <w:rFonts w:ascii="Arial" w:hAnsi="Arial" w:cs="Arial"/>
        </w:rPr>
        <w:lastRenderedPageBreak/>
        <w:t xml:space="preserve">– are only temporary advantages or competitive parity, because well-resourced rivals (notably Costa, backed by The Coca-Cola Company) can and do imitate them. This finding is important: it implies that Starbucks UK cannot rely on experience or sourcing narratives alone to justify its cost </w:t>
      </w:r>
      <w:proofErr w:type="gramStart"/>
      <w:r w:rsidRPr="003F6B4B">
        <w:rPr>
          <w:rFonts w:ascii="Arial" w:hAnsi="Arial" w:cs="Arial"/>
        </w:rPr>
        <w:t>base, and</w:t>
      </w:r>
      <w:proofErr w:type="gramEnd"/>
      <w:r w:rsidRPr="003F6B4B">
        <w:rPr>
          <w:rFonts w:ascii="Arial" w:hAnsi="Arial" w:cs="Arial"/>
        </w:rPr>
        <w:t xml:space="preserve"> helps explain why scale and brand strength have not translated into UK profitability.</w:t>
      </w:r>
    </w:p>
    <w:p w14:paraId="6DBD66D7" w14:textId="77777777" w:rsidR="00F32486" w:rsidRPr="003F6B4B" w:rsidRDefault="00F32486" w:rsidP="00F32486">
      <w:pPr>
        <w:spacing w:after="160" w:line="360" w:lineRule="auto"/>
        <w:jc w:val="both"/>
        <w:rPr>
          <w:rFonts w:ascii="Arial" w:hAnsi="Arial" w:cs="Arial"/>
        </w:rPr>
      </w:pPr>
      <w:r w:rsidRPr="003F6B4B">
        <w:rPr>
          <w:rFonts w:ascii="Arial" w:hAnsi="Arial" w:cs="Arial"/>
        </w:rPr>
        <w:t>The addition of global-scale sourcing to the VRIO review is instructive: Starbucks' grower relationships and forward-buying capability represent a genuinely sustained advantage relative to independent and mid-sized rivals, giving it superior visibility and some insulation against green-coffee price volatility. However, this advantage operates on the cost-of-goods line, not the labour-cost line, and Section 2.1 showed that it is labour cost inflation – not commodity cost – that is driving the widening UK operating loss. In resource-based terms, Starbucks UK's problem is therefore not an absence of valuable resources, but a mismatch between where its sustained advantages sit (brand, sourcing scale) and where its current cost pressure is concentrated (people costs in a labour-intensive, UK-specific regulatory environment) – a gap the strategic recommendations in Section 4 must directly address.</w:t>
      </w:r>
    </w:p>
    <w:p w14:paraId="161F3261" w14:textId="77777777" w:rsidR="00F32486" w:rsidRPr="00B97599" w:rsidRDefault="00F32486" w:rsidP="00F32486">
      <w:pPr>
        <w:pStyle w:val="Heading2"/>
        <w:spacing w:before="300" w:after="150"/>
        <w:rPr>
          <w:rFonts w:ascii="Arial" w:hAnsi="Arial" w:cs="Arial"/>
          <w:sz w:val="28"/>
          <w:szCs w:val="28"/>
        </w:rPr>
      </w:pPr>
      <w:bookmarkStart w:id="5" w:name="_Toc234881552"/>
      <w:r w:rsidRPr="00B97599">
        <w:rPr>
          <w:rFonts w:ascii="Arial" w:hAnsi="Arial" w:cs="Arial"/>
          <w:b/>
          <w:bCs/>
          <w:color w:val="3A7C22" w:themeColor="accent6" w:themeShade="BF"/>
          <w:sz w:val="28"/>
          <w:szCs w:val="28"/>
        </w:rPr>
        <w:t>2.3 SWOT Analysis</w:t>
      </w:r>
      <w:bookmarkEnd w:id="5"/>
    </w:p>
    <w:p w14:paraId="45DC78D9" w14:textId="77777777" w:rsidR="00F32486" w:rsidRPr="003F6B4B" w:rsidRDefault="00F32486" w:rsidP="00F32486">
      <w:pPr>
        <w:spacing w:after="160" w:line="360" w:lineRule="auto"/>
        <w:jc w:val="both"/>
        <w:rPr>
          <w:rFonts w:ascii="Arial" w:hAnsi="Arial" w:cs="Arial"/>
        </w:rPr>
      </w:pPr>
      <w:r w:rsidRPr="003F6B4B">
        <w:rPr>
          <w:rFonts w:ascii="Arial" w:hAnsi="Arial" w:cs="Arial"/>
        </w:rPr>
        <w:t>Synthesising the PESTEL and VRIO findings, the SWOT matrix below consolidates the most decision-relevant internal and external factors.</w:t>
      </w: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463"/>
        <w:gridCol w:w="4463"/>
      </w:tblGrid>
      <w:tr w:rsidR="00F32486" w:rsidRPr="003F6B4B" w14:paraId="3EB3063F" w14:textId="77777777" w:rsidTr="005C0088">
        <w:tc>
          <w:tcPr>
            <w:tcW w:w="4463" w:type="dxa"/>
            <w:shd w:val="clear" w:color="auto" w:fill="00704A"/>
            <w:tcMar>
              <w:top w:w="80" w:type="dxa"/>
              <w:left w:w="100" w:type="dxa"/>
              <w:bottom w:w="80" w:type="dxa"/>
              <w:right w:w="100" w:type="dxa"/>
            </w:tcMar>
            <w:vAlign w:val="center"/>
          </w:tcPr>
          <w:p w14:paraId="3614ECDB" w14:textId="77777777" w:rsidR="00F32486" w:rsidRPr="0047027A" w:rsidRDefault="00F32486" w:rsidP="005C0088">
            <w:pPr>
              <w:rPr>
                <w:rFonts w:ascii="Arial" w:hAnsi="Arial" w:cs="Arial"/>
                <w:sz w:val="18"/>
                <w:szCs w:val="18"/>
              </w:rPr>
            </w:pPr>
            <w:r w:rsidRPr="0047027A">
              <w:rPr>
                <w:rFonts w:ascii="Arial" w:hAnsi="Arial" w:cs="Arial"/>
                <w:b/>
                <w:bCs/>
                <w:color w:val="FFFFFF"/>
                <w:sz w:val="18"/>
                <w:szCs w:val="18"/>
              </w:rPr>
              <w:t>Strengths</w:t>
            </w:r>
          </w:p>
        </w:tc>
        <w:tc>
          <w:tcPr>
            <w:tcW w:w="4463" w:type="dxa"/>
            <w:shd w:val="clear" w:color="auto" w:fill="00704A"/>
            <w:tcMar>
              <w:top w:w="80" w:type="dxa"/>
              <w:left w:w="100" w:type="dxa"/>
              <w:bottom w:w="80" w:type="dxa"/>
              <w:right w:w="100" w:type="dxa"/>
            </w:tcMar>
            <w:vAlign w:val="center"/>
          </w:tcPr>
          <w:p w14:paraId="5BCF6719" w14:textId="77777777" w:rsidR="00F32486" w:rsidRPr="0047027A" w:rsidRDefault="00F32486" w:rsidP="005C0088">
            <w:pPr>
              <w:rPr>
                <w:rFonts w:ascii="Arial" w:hAnsi="Arial" w:cs="Arial"/>
                <w:sz w:val="18"/>
                <w:szCs w:val="18"/>
              </w:rPr>
            </w:pPr>
            <w:r w:rsidRPr="0047027A">
              <w:rPr>
                <w:rFonts w:ascii="Arial" w:hAnsi="Arial" w:cs="Arial"/>
                <w:b/>
                <w:bCs/>
                <w:color w:val="FFFFFF"/>
                <w:sz w:val="18"/>
                <w:szCs w:val="18"/>
              </w:rPr>
              <w:t>Weaknesses</w:t>
            </w:r>
          </w:p>
        </w:tc>
      </w:tr>
      <w:tr w:rsidR="00F32486" w:rsidRPr="00D86338" w14:paraId="1C7E657F" w14:textId="77777777" w:rsidTr="004C1E2B">
        <w:tc>
          <w:tcPr>
            <w:tcW w:w="4463" w:type="dxa"/>
            <w:shd w:val="clear" w:color="auto" w:fill="7030A0"/>
            <w:tcMar>
              <w:top w:w="80" w:type="dxa"/>
              <w:left w:w="100" w:type="dxa"/>
              <w:bottom w:w="80" w:type="dxa"/>
              <w:right w:w="100" w:type="dxa"/>
            </w:tcMar>
            <w:vAlign w:val="center"/>
          </w:tcPr>
          <w:p w14:paraId="75036265" w14:textId="77777777" w:rsidR="00F32486" w:rsidRPr="00D86338" w:rsidRDefault="00F32486" w:rsidP="005C0088">
            <w:pPr>
              <w:rPr>
                <w:rFonts w:ascii="Arial" w:hAnsi="Arial" w:cs="Arial"/>
                <w:color w:val="501549" w:themeColor="accent5" w:themeShade="80"/>
                <w:sz w:val="18"/>
                <w:szCs w:val="18"/>
              </w:rPr>
            </w:pPr>
            <w:r w:rsidRPr="00D86338">
              <w:rPr>
                <w:rFonts w:ascii="Arial" w:hAnsi="Arial" w:cs="Arial"/>
                <w:color w:val="FFFFFF" w:themeColor="background1"/>
                <w:sz w:val="18"/>
                <w:szCs w:val="18"/>
              </w:rPr>
              <w:t>• Strong global/UK brand recognition and premium positioning • 1,354-store UK footprint incl. prime high-street and travel-hub sites • Ethical sourcing credentials (C.A.F.E. Practices, traceability) • “Back to Starbucks” reset improving service and consistency • Greater operational control following the 23.5 Degrees acquisition</w:t>
            </w:r>
          </w:p>
        </w:tc>
        <w:tc>
          <w:tcPr>
            <w:tcW w:w="4463" w:type="dxa"/>
            <w:shd w:val="clear" w:color="auto" w:fill="7030A0"/>
            <w:tcMar>
              <w:top w:w="80" w:type="dxa"/>
              <w:left w:w="100" w:type="dxa"/>
              <w:bottom w:w="80" w:type="dxa"/>
              <w:right w:w="100" w:type="dxa"/>
            </w:tcMar>
            <w:vAlign w:val="center"/>
          </w:tcPr>
          <w:p w14:paraId="1DE2AFC9" w14:textId="77777777" w:rsidR="00F32486" w:rsidRPr="00D86338" w:rsidRDefault="00F32486" w:rsidP="005C0088">
            <w:pPr>
              <w:rPr>
                <w:rFonts w:ascii="Arial" w:hAnsi="Arial" w:cs="Arial"/>
                <w:color w:val="501549" w:themeColor="accent5" w:themeShade="80"/>
                <w:sz w:val="18"/>
                <w:szCs w:val="18"/>
              </w:rPr>
            </w:pPr>
            <w:r w:rsidRPr="004C1E2B">
              <w:rPr>
                <w:rFonts w:ascii="Arial" w:hAnsi="Arial" w:cs="Arial"/>
                <w:color w:val="FFFFFF" w:themeColor="background1"/>
                <w:sz w:val="18"/>
                <w:szCs w:val="18"/>
              </w:rPr>
              <w:t>• Persistent UK operating losses (–£29.8m FY2025, widening from –£27.5m FY2024) • High, largely fixed labour cost base vulnerable to NIC/NLW rises • Premium pricing exposed to cost-of-living trade-down • Employee-relations strain and union organising activity • Heavy reliance on footfall-sensitive real estate</w:t>
            </w:r>
          </w:p>
        </w:tc>
      </w:tr>
    </w:tbl>
    <w:p w14:paraId="38088ACF" w14:textId="77777777" w:rsidR="00F32486" w:rsidRPr="00D86338" w:rsidRDefault="00F32486" w:rsidP="00F32486">
      <w:pPr>
        <w:spacing w:after="120"/>
        <w:rPr>
          <w:rFonts w:ascii="Arial" w:hAnsi="Arial" w:cs="Arial"/>
          <w:color w:val="501549" w:themeColor="accent5" w:themeShade="80"/>
          <w:sz w:val="18"/>
          <w:szCs w:val="18"/>
        </w:rPr>
      </w:pP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463"/>
        <w:gridCol w:w="4463"/>
      </w:tblGrid>
      <w:tr w:rsidR="00F32486" w:rsidRPr="0047027A" w14:paraId="15BB4462" w14:textId="77777777" w:rsidTr="005C0088">
        <w:tc>
          <w:tcPr>
            <w:tcW w:w="4463" w:type="dxa"/>
            <w:shd w:val="clear" w:color="auto" w:fill="00704A"/>
            <w:tcMar>
              <w:top w:w="80" w:type="dxa"/>
              <w:left w:w="100" w:type="dxa"/>
              <w:bottom w:w="80" w:type="dxa"/>
              <w:right w:w="100" w:type="dxa"/>
            </w:tcMar>
            <w:vAlign w:val="center"/>
          </w:tcPr>
          <w:p w14:paraId="3AC20097" w14:textId="77777777" w:rsidR="00F32486" w:rsidRPr="0047027A" w:rsidRDefault="00F32486" w:rsidP="005C0088">
            <w:pPr>
              <w:rPr>
                <w:rFonts w:ascii="Arial" w:hAnsi="Arial" w:cs="Arial"/>
                <w:sz w:val="18"/>
                <w:szCs w:val="18"/>
              </w:rPr>
            </w:pPr>
            <w:r w:rsidRPr="0047027A">
              <w:rPr>
                <w:rFonts w:ascii="Arial" w:hAnsi="Arial" w:cs="Arial"/>
                <w:b/>
                <w:bCs/>
                <w:color w:val="FFFFFF"/>
                <w:sz w:val="18"/>
                <w:szCs w:val="18"/>
              </w:rPr>
              <w:t>Opportunities</w:t>
            </w:r>
          </w:p>
        </w:tc>
        <w:tc>
          <w:tcPr>
            <w:tcW w:w="4463" w:type="dxa"/>
            <w:shd w:val="clear" w:color="auto" w:fill="00704A"/>
            <w:tcMar>
              <w:top w:w="80" w:type="dxa"/>
              <w:left w:w="100" w:type="dxa"/>
              <w:bottom w:w="80" w:type="dxa"/>
              <w:right w:w="100" w:type="dxa"/>
            </w:tcMar>
            <w:vAlign w:val="center"/>
          </w:tcPr>
          <w:p w14:paraId="3F9D6F15" w14:textId="77777777" w:rsidR="00F32486" w:rsidRPr="0047027A" w:rsidRDefault="00F32486" w:rsidP="005C0088">
            <w:pPr>
              <w:rPr>
                <w:rFonts w:ascii="Arial" w:hAnsi="Arial" w:cs="Arial"/>
                <w:sz w:val="18"/>
                <w:szCs w:val="18"/>
              </w:rPr>
            </w:pPr>
            <w:r w:rsidRPr="0047027A">
              <w:rPr>
                <w:rFonts w:ascii="Arial" w:hAnsi="Arial" w:cs="Arial"/>
                <w:b/>
                <w:bCs/>
                <w:color w:val="FFFFFF"/>
                <w:sz w:val="18"/>
                <w:szCs w:val="18"/>
              </w:rPr>
              <w:t>Threats</w:t>
            </w:r>
          </w:p>
        </w:tc>
      </w:tr>
      <w:tr w:rsidR="00F32486" w:rsidRPr="0047027A" w14:paraId="4820B1D3" w14:textId="77777777" w:rsidTr="004C1E2B">
        <w:tc>
          <w:tcPr>
            <w:tcW w:w="4463" w:type="dxa"/>
            <w:shd w:val="clear" w:color="auto" w:fill="7030A0"/>
            <w:tcMar>
              <w:top w:w="80" w:type="dxa"/>
              <w:left w:w="100" w:type="dxa"/>
              <w:bottom w:w="80" w:type="dxa"/>
              <w:right w:w="100" w:type="dxa"/>
            </w:tcMar>
            <w:vAlign w:val="center"/>
          </w:tcPr>
          <w:p w14:paraId="4C3B2F94" w14:textId="77777777" w:rsidR="00F32486" w:rsidRPr="0047027A" w:rsidRDefault="00F32486" w:rsidP="005C0088">
            <w:pPr>
              <w:rPr>
                <w:rFonts w:ascii="Arial" w:hAnsi="Arial" w:cs="Arial"/>
                <w:sz w:val="18"/>
                <w:szCs w:val="18"/>
              </w:rPr>
            </w:pPr>
            <w:r w:rsidRPr="0047027A">
              <w:rPr>
                <w:rFonts w:ascii="Arial" w:hAnsi="Arial" w:cs="Arial"/>
                <w:color w:val="000000"/>
                <w:sz w:val="18"/>
                <w:szCs w:val="18"/>
              </w:rPr>
              <w:t xml:space="preserve">• </w:t>
            </w:r>
            <w:r w:rsidRPr="004C1E2B">
              <w:rPr>
                <w:rFonts w:ascii="Arial" w:hAnsi="Arial" w:cs="Arial"/>
                <w:color w:val="FFFFFF" w:themeColor="background1"/>
                <w:sz w:val="18"/>
                <w:szCs w:val="18"/>
              </w:rPr>
              <w:t>Digital ordering, AI personalisation and loyalty growth to raise frequency/basket size • Sustainability/ESG leadership as a differentiator • Targeted expansion in high-footfall cities and transport hubs • Further consolidation of remaining licensees • Product innovation (plant-based, health-forward, limited-time ranges)</w:t>
            </w:r>
          </w:p>
        </w:tc>
        <w:tc>
          <w:tcPr>
            <w:tcW w:w="4463" w:type="dxa"/>
            <w:shd w:val="clear" w:color="auto" w:fill="7030A0"/>
            <w:tcMar>
              <w:top w:w="80" w:type="dxa"/>
              <w:left w:w="100" w:type="dxa"/>
              <w:bottom w:w="80" w:type="dxa"/>
              <w:right w:w="100" w:type="dxa"/>
            </w:tcMar>
            <w:vAlign w:val="center"/>
          </w:tcPr>
          <w:p w14:paraId="159D21A7" w14:textId="77777777" w:rsidR="00F32486" w:rsidRPr="0047027A" w:rsidRDefault="00F32486" w:rsidP="005C0088">
            <w:pPr>
              <w:rPr>
                <w:rFonts w:ascii="Arial" w:hAnsi="Arial" w:cs="Arial"/>
                <w:sz w:val="18"/>
                <w:szCs w:val="18"/>
              </w:rPr>
            </w:pPr>
            <w:r w:rsidRPr="004C1E2B">
              <w:rPr>
                <w:rFonts w:ascii="Arial" w:hAnsi="Arial" w:cs="Arial"/>
                <w:color w:val="FFFFFF" w:themeColor="background1"/>
                <w:sz w:val="18"/>
                <w:szCs w:val="18"/>
              </w:rPr>
              <w:t>• Structural labour-cost inflation compressing margins • Intensifying competition from value and quality challengers (Greggs, McCafé, Pret, Black Sheep, Gail's) • Unionisation and tightening employment regulation • Consumer trade-down under continued inflation • Climate-driven green coffee price volatility</w:t>
            </w:r>
          </w:p>
        </w:tc>
      </w:tr>
    </w:tbl>
    <w:p w14:paraId="2952C14C" w14:textId="77777777" w:rsidR="00F32486" w:rsidRDefault="00F32486" w:rsidP="00F32486">
      <w:pPr>
        <w:spacing w:before="80" w:after="240"/>
        <w:jc w:val="center"/>
        <w:rPr>
          <w:rFonts w:ascii="Arial" w:hAnsi="Arial" w:cs="Arial"/>
          <w:i/>
          <w:iCs/>
          <w:color w:val="444444"/>
        </w:rPr>
      </w:pPr>
      <w:r w:rsidRPr="003F6B4B">
        <w:rPr>
          <w:rFonts w:ascii="Arial" w:hAnsi="Arial" w:cs="Arial"/>
          <w:i/>
          <w:iCs/>
          <w:color w:val="444444"/>
        </w:rPr>
        <w:t>Table 3: SWOT Matrix – Starbucks UK</w:t>
      </w:r>
    </w:p>
    <w:p w14:paraId="4637674A" w14:textId="77777777" w:rsidR="004C1E2B" w:rsidRPr="003F6B4B" w:rsidRDefault="004C1E2B" w:rsidP="00F32486">
      <w:pPr>
        <w:spacing w:before="80" w:after="240"/>
        <w:jc w:val="center"/>
        <w:rPr>
          <w:rFonts w:ascii="Arial" w:hAnsi="Arial" w:cs="Arial"/>
        </w:rPr>
      </w:pPr>
    </w:p>
    <w:p w14:paraId="256AB776" w14:textId="3F685894" w:rsidR="00F32486" w:rsidRDefault="00E039BF" w:rsidP="00F32486">
      <w:pPr>
        <w:spacing w:after="160" w:line="360" w:lineRule="auto"/>
        <w:jc w:val="both"/>
        <w:rPr>
          <w:rFonts w:ascii="Arial" w:hAnsi="Arial" w:cs="Arial"/>
        </w:rPr>
      </w:pPr>
      <w:r>
        <w:rPr>
          <w:rFonts w:ascii="Arial" w:hAnsi="Arial" w:cs="Arial"/>
        </w:rPr>
        <w:lastRenderedPageBreak/>
        <w:t xml:space="preserve">The SWOT matrix crystallises a central strategic tension: Starbucks UK has genuine brand and footprint strengths and faces </w:t>
      </w:r>
      <w:proofErr w:type="gramStart"/>
      <w:r>
        <w:rPr>
          <w:rFonts w:ascii="Arial" w:hAnsi="Arial" w:cs="Arial"/>
        </w:rPr>
        <w:t>real</w:t>
      </w:r>
      <w:proofErr w:type="gramEnd"/>
      <w:r>
        <w:rPr>
          <w:rFonts w:ascii="Arial" w:hAnsi="Arial" w:cs="Arial"/>
        </w:rPr>
        <w:t xml:space="preserve"> digital and sustainability opportunities, yet these are outweighed by a cost structure (weaknesses) that collides with a hostile cost environment (threats). The strategic priority emerging from Sections 2.1–2.3 is therefore not to abandon differentiation, but to defend it more efficiently – a theme developed through the Balanced Scorecard and the strategic recommendations in Sections 3 and 4.</w:t>
      </w:r>
    </w:p>
    <w:p w14:paraId="4E74A974" w14:textId="351CEF5A" w:rsidR="00CF3959" w:rsidRPr="003F6B4B" w:rsidRDefault="00D2160B" w:rsidP="00CF3959">
      <w:pPr>
        <w:spacing w:after="160" w:line="360" w:lineRule="auto"/>
        <w:jc w:val="both"/>
        <w:rPr>
          <w:rFonts w:ascii="Arial" w:hAnsi="Arial" w:cs="Arial"/>
        </w:rPr>
      </w:pPr>
      <w:r>
        <w:rPr>
          <w:rFonts w:ascii="Arial" w:hAnsi="Arial" w:cs="Arial"/>
        </w:rPr>
        <w:t xml:space="preserve"> A Strengths-Opportunities pairing (brand equity plus digital/loyalty growth) points towards accelerating app-led personalisation to defend premium pricing; a Weaknesses-Threats pairing (high fixed labour costs plus intensifying value competition) is the most dangerous combination, since it is precisely where Starbucks UK is currently least well defended and where a passive strategy risks continued losses; a Strengths-Threats pairing (real estate footprint plus footfall volatility) suggests using granular location-level data to prune underperforming sites rather than defending the whole estate uniformly; and a Weaknesses-Opportunities pairing (cost base plus sustainability trends) suggests that efficiency and environmental initiatives (for example, energy-efficient “Greener Store” formats) can be framed as simultaneously cost-reducing and brand-reinforcing. The SWOT matrix crystallises a central strategic tension: Starbucks UK possesses genuine brand and footprint strengths and faces genuine digital and sustainability opportunities, yet these are currently outweighed by a cost structure (weaknesses) colliding with a hostile cost environment (threats). </w:t>
      </w:r>
    </w:p>
    <w:p w14:paraId="6C95A22D" w14:textId="77777777" w:rsidR="00CF3959" w:rsidRPr="003F6B4B" w:rsidRDefault="00CF3959" w:rsidP="00CF3959">
      <w:pPr>
        <w:spacing w:before="200" w:after="60"/>
        <w:jc w:val="center"/>
        <w:rPr>
          <w:rFonts w:ascii="Arial" w:hAnsi="Arial" w:cs="Arial"/>
        </w:rPr>
      </w:pPr>
      <w:r w:rsidRPr="003F6B4B">
        <w:rPr>
          <w:rFonts w:ascii="Arial" w:hAnsi="Arial" w:cs="Arial"/>
          <w:noProof/>
        </w:rPr>
        <w:lastRenderedPageBreak/>
        <w:drawing>
          <wp:inline distT="0" distB="0" distL="0" distR="0" wp14:anchorId="3AB9D9DF" wp14:editId="3D19DD51">
            <wp:extent cx="4762500" cy="3048000"/>
            <wp:effectExtent l="0" t="0" r="0" b="0"/>
            <wp:docPr id="1" name="Picture 1" descr="A bar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ar graph with different colored bars&#10;&#10;AI-generated content may be incorrect."/>
                    <pic:cNvPicPr>
                      <a:picLocks noChangeAspect="1" noChangeArrowheads="1"/>
                    </pic:cNvPicPr>
                  </pic:nvPicPr>
                  <pic:blipFill>
                    <a:blip r:embed="rId11"/>
                    <a:srcRect/>
                    <a:stretch>
                      <a:fillRect/>
                    </a:stretch>
                  </pic:blipFill>
                  <pic:spPr bwMode="auto">
                    <a:xfrm>
                      <a:off x="0" y="0"/>
                      <a:ext cx="4762500" cy="3048000"/>
                    </a:xfrm>
                    <a:prstGeom prst="rect">
                      <a:avLst/>
                    </a:prstGeom>
                  </pic:spPr>
                </pic:pic>
              </a:graphicData>
            </a:graphic>
          </wp:inline>
        </w:drawing>
      </w:r>
    </w:p>
    <w:p w14:paraId="437B8CC9" w14:textId="77777777" w:rsidR="00CF3959" w:rsidRPr="003F6B4B" w:rsidRDefault="00CF3959" w:rsidP="00CF3959">
      <w:pPr>
        <w:spacing w:before="80" w:after="240"/>
        <w:jc w:val="center"/>
        <w:rPr>
          <w:rFonts w:ascii="Arial" w:hAnsi="Arial" w:cs="Arial"/>
        </w:rPr>
      </w:pPr>
      <w:r w:rsidRPr="003F6B4B">
        <w:rPr>
          <w:rFonts w:ascii="Arial" w:hAnsi="Arial" w:cs="Arial"/>
          <w:i/>
          <w:iCs/>
          <w:color w:val="444444"/>
        </w:rPr>
        <w:t>Figure 1: UK Branded Coffee Shop Market Share, 2025 (Sources: World Coffee Portal, 2025; Statista, 2025)</w:t>
      </w:r>
    </w:p>
    <w:p w14:paraId="75D4DF32" w14:textId="77777777" w:rsidR="00CF3959" w:rsidRPr="00B946CC" w:rsidRDefault="00CF3959" w:rsidP="00CF3959">
      <w:pPr>
        <w:pStyle w:val="Heading1"/>
        <w:spacing w:before="400" w:after="200"/>
        <w:rPr>
          <w:rFonts w:ascii="Arial" w:hAnsi="Arial" w:cs="Arial"/>
          <w:sz w:val="28"/>
          <w:szCs w:val="28"/>
        </w:rPr>
      </w:pPr>
      <w:bookmarkStart w:id="6" w:name="_Toc234881553"/>
      <w:r w:rsidRPr="00B946CC">
        <w:rPr>
          <w:rFonts w:ascii="Arial" w:hAnsi="Arial" w:cs="Arial"/>
          <w:b/>
          <w:bCs/>
          <w:color w:val="00704A"/>
          <w:sz w:val="28"/>
          <w:szCs w:val="28"/>
        </w:rPr>
        <w:t>3. Comprehensive and Holistic View of the Organisation</w:t>
      </w:r>
      <w:bookmarkEnd w:id="6"/>
    </w:p>
    <w:p w14:paraId="02837BC0" w14:textId="77777777" w:rsidR="00CF3959" w:rsidRPr="0056114B" w:rsidRDefault="00CF3959" w:rsidP="00CF3959">
      <w:pPr>
        <w:pStyle w:val="Heading2"/>
        <w:spacing w:before="300" w:after="150"/>
        <w:rPr>
          <w:rFonts w:ascii="Arial" w:hAnsi="Arial" w:cs="Arial"/>
          <w:sz w:val="28"/>
          <w:szCs w:val="28"/>
        </w:rPr>
      </w:pPr>
      <w:bookmarkStart w:id="7" w:name="_Toc234881554"/>
      <w:r w:rsidRPr="0056114B">
        <w:rPr>
          <w:rFonts w:ascii="Arial" w:hAnsi="Arial" w:cs="Arial"/>
          <w:b/>
          <w:bCs/>
          <w:color w:val="3A7C22" w:themeColor="accent6" w:themeShade="BF"/>
          <w:sz w:val="28"/>
          <w:szCs w:val="28"/>
        </w:rPr>
        <w:t>3.1 Corporate Social Responsibility Strategy</w:t>
      </w:r>
      <w:bookmarkEnd w:id="7"/>
    </w:p>
    <w:p w14:paraId="092F2E86" w14:textId="5790E936" w:rsidR="00CF3959" w:rsidRPr="003F6B4B" w:rsidRDefault="00CF3959" w:rsidP="00CF3959">
      <w:pPr>
        <w:spacing w:after="160" w:line="360" w:lineRule="auto"/>
        <w:jc w:val="both"/>
        <w:rPr>
          <w:rFonts w:ascii="Arial" w:hAnsi="Arial" w:cs="Arial"/>
        </w:rPr>
      </w:pPr>
      <w:r w:rsidRPr="003F6B4B">
        <w:rPr>
          <w:rFonts w:ascii="Arial" w:hAnsi="Arial" w:cs="Arial"/>
        </w:rPr>
        <w:t>Starbucks' global CSR strategy rests on three pillars: ethical sourcing, environmental stewardship and community/partner investment. Through its C.A.F.E. Practices programme, most of Starbucks' coffee is verified against environmental, social and quality standards, increasingly supported by blockchain-based traceability tools; the company has distributed more than 80 million climate-resilient coffee trees toward a target of 100 million (Starbucks Corporation, 2025; Sustainability Magazine, 2025). Environmentally, Starbucks has certified over 3,500 “Greener Stores” globally against a 10,000-store ambition and is working to make reusable cups the default customer choice. In the UK specifically, Starbucks operates surplus-food donation partnerships (e.g. via Neighbourly/FoodShare) and invests in barista apprenticeships and “Green Apron” training.</w:t>
      </w:r>
    </w:p>
    <w:p w14:paraId="72187FE1" w14:textId="5DD8BB95" w:rsidR="00CF3959" w:rsidRPr="003F6B4B" w:rsidRDefault="00CF3959" w:rsidP="00CF3959">
      <w:pPr>
        <w:spacing w:after="160" w:line="360" w:lineRule="auto"/>
        <w:jc w:val="both"/>
        <w:rPr>
          <w:rFonts w:ascii="Arial" w:hAnsi="Arial" w:cs="Arial"/>
        </w:rPr>
      </w:pPr>
      <w:r w:rsidRPr="003F6B4B">
        <w:rPr>
          <w:rFonts w:ascii="Arial" w:hAnsi="Arial" w:cs="Arial"/>
        </w:rPr>
        <w:t xml:space="preserve">Critically, however, the alignment between this CSR narrative and Starbucks UK's lived business reality is uneven. The company's “third place” and community-oriented messaging sits in tension with the September 2025 restructuring, in which stores were closed and Workers United formally requested information and effects bargaining over the impact on unionised employees (New Food Magazine, 2025; Business Chief, </w:t>
      </w:r>
      <w:r w:rsidRPr="003F6B4B">
        <w:rPr>
          <w:rFonts w:ascii="Arial" w:hAnsi="Arial" w:cs="Arial"/>
        </w:rPr>
        <w:lastRenderedPageBreak/>
        <w:t>2026). Similarly, while Starbucks pays above the National Minimum Wage, it is not a Living Wage Foundation accredited employer in the way some UK hospitality competitors are, which weakens the credibility of its “belonging” and “partner” value proposition. This is a common CSR-strategy misalignment identified in the literature: firms invest heavily in supply-chain and environmental CSR, which is visible to consumers and low-cost relative to labour CSR, while under-investing in employee-facing CSR, which is costlier but arguably more material to a labour-intensive service brand</w:t>
      </w:r>
      <w:r w:rsidR="000536CA">
        <w:rPr>
          <w:rFonts w:ascii="Arial" w:hAnsi="Arial" w:cs="Arial"/>
        </w:rPr>
        <w:t>.</w:t>
      </w:r>
    </w:p>
    <w:p w14:paraId="30EECA39" w14:textId="77777777" w:rsidR="00CF3959" w:rsidRPr="003F6B4B" w:rsidRDefault="00CF3959" w:rsidP="00CF3959">
      <w:pPr>
        <w:spacing w:after="160" w:line="360" w:lineRule="auto"/>
        <w:jc w:val="both"/>
        <w:rPr>
          <w:rFonts w:ascii="Arial" w:hAnsi="Arial" w:cs="Arial"/>
        </w:rPr>
      </w:pPr>
      <w:r w:rsidRPr="003F6B4B">
        <w:rPr>
          <w:rFonts w:ascii="Arial" w:hAnsi="Arial" w:cs="Arial"/>
        </w:rPr>
        <w:t>Viewed through Carroll's (1991) CSR pyramid – which layers economic, legal, ethical and philanthropic responsibilities – Starbucks performs strongly on the philanthropic and environmental layers (coffee-tree distribution, Greener Stores, the Starbucks Foundation's community grants, and the “Bean Stock” equity scheme that gives eligible UK partners a stake in company performance) but is more exposed at the ethical layer, where fair treatment of employees during restructuring and freedom to organise are judged. Carroll's model is useful precisely because it shows that philanthropic CSR cannot substitute for ethical CSR: a well-funded coffee-tree programme does not offset perceived unfairness toward a company's own workforce in the eyes of increasingly CSR-literate UK consumers and employees.</w:t>
      </w:r>
    </w:p>
    <w:p w14:paraId="53D0C20D" w14:textId="77777777" w:rsidR="00CF3959" w:rsidRPr="003F6B4B" w:rsidRDefault="00CF3959" w:rsidP="00CF3959">
      <w:pPr>
        <w:spacing w:after="160" w:line="360" w:lineRule="auto"/>
        <w:jc w:val="both"/>
        <w:rPr>
          <w:rFonts w:ascii="Arial" w:hAnsi="Arial" w:cs="Arial"/>
        </w:rPr>
      </w:pPr>
      <w:r w:rsidRPr="003F6B4B">
        <w:rPr>
          <w:rFonts w:ascii="Arial" w:hAnsi="Arial" w:cs="Arial"/>
        </w:rPr>
        <w:t>For the Board, the recommendation is to rebalance CSR investment toward the labour-relations (ethical) pillar – for example, pursuing Living Wage accreditation, formalising union engagement protocols, and linking partner welfare metrics to executive incentives – to protect the brand equity that Section 2.2 identified as Starbucks UK's most sustained source of competitive advantage. A brand built on “inspiring the human spirit” is reputationally fragile if it is seen to under-deliver for its own workforce.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CF3959" w:rsidRPr="003F58CE" w14:paraId="03DFB02C" w14:textId="77777777" w:rsidTr="005C0088">
        <w:tc>
          <w:tcPr>
            <w:tcW w:w="9026" w:type="dxa"/>
            <w:shd w:val="clear" w:color="auto" w:fill="EFF6F3"/>
            <w:tcMar>
              <w:top w:w="160" w:type="dxa"/>
              <w:left w:w="200" w:type="dxa"/>
              <w:bottom w:w="160" w:type="dxa"/>
              <w:right w:w="200" w:type="dxa"/>
            </w:tcMar>
          </w:tcPr>
          <w:p w14:paraId="0AB1424B" w14:textId="77777777" w:rsidR="00CF3959" w:rsidRPr="003F58CE" w:rsidRDefault="00CF3959" w:rsidP="005C0088">
            <w:pPr>
              <w:spacing w:after="100" w:line="360" w:lineRule="auto"/>
              <w:rPr>
                <w:rFonts w:ascii="Arial" w:hAnsi="Arial" w:cs="Arial"/>
                <w:sz w:val="18"/>
                <w:szCs w:val="18"/>
              </w:rPr>
            </w:pPr>
            <w:r w:rsidRPr="003F58CE">
              <w:rPr>
                <w:rFonts w:ascii="Arial" w:hAnsi="Arial" w:cs="Arial"/>
                <w:b/>
                <w:bCs/>
                <w:color w:val="1E3932"/>
                <w:sz w:val="18"/>
                <w:szCs w:val="18"/>
              </w:rPr>
              <w:t xml:space="preserve"> The 23.5 Degrees Acquisition and the September 2025 Restructuring</w:t>
            </w:r>
            <w:r>
              <w:rPr>
                <w:rFonts w:ascii="Arial" w:hAnsi="Arial" w:cs="Arial"/>
                <w:b/>
                <w:bCs/>
                <w:color w:val="1E3932"/>
                <w:sz w:val="18"/>
                <w:szCs w:val="18"/>
              </w:rPr>
              <w:t xml:space="preserve"> (case study)</w:t>
            </w:r>
          </w:p>
          <w:p w14:paraId="4D48FB5B" w14:textId="77777777" w:rsidR="00CF3959" w:rsidRPr="003F58CE" w:rsidRDefault="00CF3959" w:rsidP="005C0088">
            <w:pPr>
              <w:spacing w:line="360" w:lineRule="auto"/>
              <w:jc w:val="both"/>
              <w:rPr>
                <w:rFonts w:ascii="Arial" w:hAnsi="Arial" w:cs="Arial"/>
                <w:sz w:val="18"/>
                <w:szCs w:val="18"/>
              </w:rPr>
            </w:pPr>
            <w:r w:rsidRPr="003F58CE">
              <w:rPr>
                <w:rFonts w:ascii="Arial" w:hAnsi="Arial" w:cs="Arial"/>
                <w:sz w:val="18"/>
                <w:szCs w:val="18"/>
              </w:rPr>
              <w:t xml:space="preserve">In October 2024, Starbucks acquired 23.5 Degrees Limited, its largest UK licensee, bringing 113 stores into the company-operated estate to standardise service quality and support the “Back to Starbucks” reset (Starbucks Stories EMEA, 2026). Less than a year later, in September 2025, Starbucks closed several underperforming UK stores as part of a wider global restructuring that removed 627 stores worldwide, prompting Workers United to formally request information and effects bargaining for affected unionised employees (New Food Magazine, 2025; Business Chief, 2026). The episode is a compact illustration of the tension running through this report: a strategically sound move to increase control and consistency (supporting the VRIO-identified real-estate and operational-control resources) was followed almost immediately by a </w:t>
            </w:r>
            <w:r w:rsidRPr="003F58CE">
              <w:rPr>
                <w:rFonts w:ascii="Arial" w:hAnsi="Arial" w:cs="Arial"/>
                <w:sz w:val="18"/>
                <w:szCs w:val="18"/>
              </w:rPr>
              <w:lastRenderedPageBreak/>
              <w:t>restructuring that undercut the CSR narrative of “belonging” and community, exposing the gap between Starbucks' stated values and its labour-relations practice discussed in Section 3.1.</w:t>
            </w:r>
          </w:p>
        </w:tc>
      </w:tr>
    </w:tbl>
    <w:p w14:paraId="377640DB" w14:textId="77777777" w:rsidR="00CF3959" w:rsidRPr="003F58CE" w:rsidRDefault="00CF3959" w:rsidP="00CF3959">
      <w:pPr>
        <w:spacing w:after="120" w:line="360" w:lineRule="auto"/>
        <w:rPr>
          <w:rFonts w:ascii="Arial" w:hAnsi="Arial" w:cs="Arial"/>
          <w:sz w:val="18"/>
          <w:szCs w:val="18"/>
        </w:rPr>
      </w:pPr>
    </w:p>
    <w:p w14:paraId="4EA2E63A" w14:textId="77777777" w:rsidR="00CF3959" w:rsidRPr="0056114B" w:rsidRDefault="00CF3959" w:rsidP="00CF3959">
      <w:pPr>
        <w:pStyle w:val="Heading2"/>
        <w:spacing w:before="300" w:after="150"/>
        <w:rPr>
          <w:rFonts w:ascii="Arial" w:hAnsi="Arial" w:cs="Arial"/>
          <w:sz w:val="28"/>
          <w:szCs w:val="28"/>
        </w:rPr>
      </w:pPr>
      <w:bookmarkStart w:id="8" w:name="_Toc234881555"/>
      <w:r w:rsidRPr="0056114B">
        <w:rPr>
          <w:rFonts w:ascii="Arial" w:hAnsi="Arial" w:cs="Arial"/>
          <w:b/>
          <w:bCs/>
          <w:color w:val="1E3932"/>
          <w:sz w:val="28"/>
          <w:szCs w:val="28"/>
        </w:rPr>
        <w:t>3.2 Balanced Scorecard</w:t>
      </w:r>
      <w:bookmarkEnd w:id="8"/>
    </w:p>
    <w:p w14:paraId="5A6722A6" w14:textId="77777777" w:rsidR="00CF3959" w:rsidRPr="003F6B4B" w:rsidRDefault="00CF3959" w:rsidP="00CF3959">
      <w:pPr>
        <w:spacing w:after="160" w:line="360" w:lineRule="auto"/>
        <w:jc w:val="both"/>
        <w:rPr>
          <w:rFonts w:ascii="Arial" w:hAnsi="Arial" w:cs="Arial"/>
        </w:rPr>
      </w:pPr>
      <w:r w:rsidRPr="003F6B4B">
        <w:rPr>
          <w:rFonts w:ascii="Arial" w:hAnsi="Arial" w:cs="Arial"/>
        </w:rPr>
        <w:t>The Balanced Scorecard (Kaplan and Norton, 1992) translates Starbucks UK's mission and “Back to Starbucks” strategy into measurable objectives across four perspectives, linking non-financial drivers to financial outcomes.</w:t>
      </w: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48"/>
        <w:gridCol w:w="1885"/>
        <w:gridCol w:w="2085"/>
        <w:gridCol w:w="1883"/>
        <w:gridCol w:w="1525"/>
      </w:tblGrid>
      <w:tr w:rsidR="00CF3959" w:rsidRPr="003F6B4B" w14:paraId="61B85B14" w14:textId="77777777" w:rsidTr="005C0088">
        <w:tc>
          <w:tcPr>
            <w:tcW w:w="1500" w:type="dxa"/>
            <w:shd w:val="clear" w:color="auto" w:fill="00704A"/>
            <w:tcMar>
              <w:top w:w="80" w:type="dxa"/>
              <w:left w:w="100" w:type="dxa"/>
              <w:bottom w:w="80" w:type="dxa"/>
              <w:right w:w="100" w:type="dxa"/>
            </w:tcMar>
            <w:vAlign w:val="center"/>
          </w:tcPr>
          <w:p w14:paraId="41A92381" w14:textId="77777777" w:rsidR="00CF3959" w:rsidRPr="003F6B4B" w:rsidRDefault="00CF3959" w:rsidP="005C0088">
            <w:pPr>
              <w:rPr>
                <w:rFonts w:ascii="Arial" w:hAnsi="Arial" w:cs="Arial"/>
              </w:rPr>
            </w:pPr>
            <w:r w:rsidRPr="003F6B4B">
              <w:rPr>
                <w:rFonts w:ascii="Arial" w:hAnsi="Arial" w:cs="Arial"/>
                <w:b/>
                <w:bCs/>
                <w:color w:val="FFFFFF"/>
              </w:rPr>
              <w:t>Perspective</w:t>
            </w:r>
          </w:p>
        </w:tc>
        <w:tc>
          <w:tcPr>
            <w:tcW w:w="1900" w:type="dxa"/>
            <w:shd w:val="clear" w:color="auto" w:fill="00704A"/>
            <w:tcMar>
              <w:top w:w="80" w:type="dxa"/>
              <w:left w:w="100" w:type="dxa"/>
              <w:bottom w:w="80" w:type="dxa"/>
              <w:right w:w="100" w:type="dxa"/>
            </w:tcMar>
            <w:vAlign w:val="center"/>
          </w:tcPr>
          <w:p w14:paraId="10C3E69B" w14:textId="77777777" w:rsidR="00CF3959" w:rsidRPr="003F6B4B" w:rsidRDefault="00CF3959" w:rsidP="005C0088">
            <w:pPr>
              <w:rPr>
                <w:rFonts w:ascii="Arial" w:hAnsi="Arial" w:cs="Arial"/>
              </w:rPr>
            </w:pPr>
            <w:r w:rsidRPr="003F6B4B">
              <w:rPr>
                <w:rFonts w:ascii="Arial" w:hAnsi="Arial" w:cs="Arial"/>
                <w:b/>
                <w:bCs/>
                <w:color w:val="FFFFFF"/>
              </w:rPr>
              <w:t>Objective</w:t>
            </w:r>
          </w:p>
        </w:tc>
        <w:tc>
          <w:tcPr>
            <w:tcW w:w="2100" w:type="dxa"/>
            <w:shd w:val="clear" w:color="auto" w:fill="00704A"/>
            <w:tcMar>
              <w:top w:w="80" w:type="dxa"/>
              <w:left w:w="100" w:type="dxa"/>
              <w:bottom w:w="80" w:type="dxa"/>
              <w:right w:w="100" w:type="dxa"/>
            </w:tcMar>
            <w:vAlign w:val="center"/>
          </w:tcPr>
          <w:p w14:paraId="46727A83" w14:textId="77777777" w:rsidR="00CF3959" w:rsidRPr="003F6B4B" w:rsidRDefault="00CF3959" w:rsidP="005C0088">
            <w:pPr>
              <w:rPr>
                <w:rFonts w:ascii="Arial" w:hAnsi="Arial" w:cs="Arial"/>
              </w:rPr>
            </w:pPr>
            <w:r w:rsidRPr="003F6B4B">
              <w:rPr>
                <w:rFonts w:ascii="Arial" w:hAnsi="Arial" w:cs="Arial"/>
                <w:b/>
                <w:bCs/>
                <w:color w:val="FFFFFF"/>
              </w:rPr>
              <w:t>KPI</w:t>
            </w:r>
          </w:p>
        </w:tc>
        <w:tc>
          <w:tcPr>
            <w:tcW w:w="1900" w:type="dxa"/>
            <w:shd w:val="clear" w:color="auto" w:fill="00704A"/>
            <w:tcMar>
              <w:top w:w="80" w:type="dxa"/>
              <w:left w:w="100" w:type="dxa"/>
              <w:bottom w:w="80" w:type="dxa"/>
              <w:right w:w="100" w:type="dxa"/>
            </w:tcMar>
            <w:vAlign w:val="center"/>
          </w:tcPr>
          <w:p w14:paraId="30D2C1E4" w14:textId="77777777" w:rsidR="00CF3959" w:rsidRPr="003F6B4B" w:rsidRDefault="00CF3959" w:rsidP="005C0088">
            <w:pPr>
              <w:rPr>
                <w:rFonts w:ascii="Arial" w:hAnsi="Arial" w:cs="Arial"/>
              </w:rPr>
            </w:pPr>
            <w:r w:rsidRPr="003F6B4B">
              <w:rPr>
                <w:rFonts w:ascii="Arial" w:hAnsi="Arial" w:cs="Arial"/>
                <w:b/>
                <w:bCs/>
                <w:color w:val="FFFFFF"/>
              </w:rPr>
              <w:t>Target</w:t>
            </w:r>
          </w:p>
        </w:tc>
        <w:tc>
          <w:tcPr>
            <w:tcW w:w="1526" w:type="dxa"/>
            <w:shd w:val="clear" w:color="auto" w:fill="00704A"/>
            <w:tcMar>
              <w:top w:w="80" w:type="dxa"/>
              <w:left w:w="100" w:type="dxa"/>
              <w:bottom w:w="80" w:type="dxa"/>
              <w:right w:w="100" w:type="dxa"/>
            </w:tcMar>
            <w:vAlign w:val="center"/>
          </w:tcPr>
          <w:p w14:paraId="20651A8D" w14:textId="77777777" w:rsidR="00CF3959" w:rsidRPr="003F6B4B" w:rsidRDefault="00CF3959" w:rsidP="005C0088">
            <w:pPr>
              <w:rPr>
                <w:rFonts w:ascii="Arial" w:hAnsi="Arial" w:cs="Arial"/>
              </w:rPr>
            </w:pPr>
            <w:r w:rsidRPr="003F6B4B">
              <w:rPr>
                <w:rFonts w:ascii="Arial" w:hAnsi="Arial" w:cs="Arial"/>
                <w:b/>
                <w:bCs/>
                <w:color w:val="FFFFFF"/>
              </w:rPr>
              <w:t>Key initiative</w:t>
            </w:r>
          </w:p>
        </w:tc>
      </w:tr>
      <w:tr w:rsidR="00CF3959" w:rsidRPr="003F6B4B" w14:paraId="189AD9F2" w14:textId="77777777" w:rsidTr="005C0088">
        <w:tc>
          <w:tcPr>
            <w:tcW w:w="1500" w:type="dxa"/>
            <w:tcMar>
              <w:top w:w="80" w:type="dxa"/>
              <w:left w:w="100" w:type="dxa"/>
              <w:bottom w:w="80" w:type="dxa"/>
              <w:right w:w="100" w:type="dxa"/>
            </w:tcMar>
            <w:vAlign w:val="center"/>
          </w:tcPr>
          <w:p w14:paraId="788AEF85" w14:textId="77777777" w:rsidR="00CF3959" w:rsidRPr="003F6B4B" w:rsidRDefault="00CF3959" w:rsidP="005C0088">
            <w:pPr>
              <w:rPr>
                <w:rFonts w:ascii="Arial" w:hAnsi="Arial" w:cs="Arial"/>
              </w:rPr>
            </w:pPr>
            <w:r w:rsidRPr="003F6B4B">
              <w:rPr>
                <w:rFonts w:ascii="Arial" w:hAnsi="Arial" w:cs="Arial"/>
                <w:color w:val="000000"/>
              </w:rPr>
              <w:t>Financial</w:t>
            </w:r>
          </w:p>
        </w:tc>
        <w:tc>
          <w:tcPr>
            <w:tcW w:w="1900" w:type="dxa"/>
            <w:tcMar>
              <w:top w:w="80" w:type="dxa"/>
              <w:left w:w="100" w:type="dxa"/>
              <w:bottom w:w="80" w:type="dxa"/>
              <w:right w:w="100" w:type="dxa"/>
            </w:tcMar>
            <w:vAlign w:val="center"/>
          </w:tcPr>
          <w:p w14:paraId="0513B8AE"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Restore sustainable UK profitability</w:t>
            </w:r>
          </w:p>
        </w:tc>
        <w:tc>
          <w:tcPr>
            <w:tcW w:w="2100" w:type="dxa"/>
            <w:tcMar>
              <w:top w:w="80" w:type="dxa"/>
              <w:left w:w="100" w:type="dxa"/>
              <w:bottom w:w="80" w:type="dxa"/>
              <w:right w:w="100" w:type="dxa"/>
            </w:tcMar>
            <w:vAlign w:val="center"/>
          </w:tcPr>
          <w:p w14:paraId="60A0AC52"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Operating margin; comparable store sales growth</w:t>
            </w:r>
          </w:p>
        </w:tc>
        <w:tc>
          <w:tcPr>
            <w:tcW w:w="1900" w:type="dxa"/>
            <w:tcMar>
              <w:top w:w="80" w:type="dxa"/>
              <w:left w:w="100" w:type="dxa"/>
              <w:bottom w:w="80" w:type="dxa"/>
              <w:right w:w="100" w:type="dxa"/>
            </w:tcMar>
            <w:vAlign w:val="center"/>
          </w:tcPr>
          <w:p w14:paraId="0EFFC013"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Move from –£29.8m operating loss toward breakeven within 24 months; sustain 4–6% comp sales growth</w:t>
            </w:r>
          </w:p>
        </w:tc>
        <w:tc>
          <w:tcPr>
            <w:tcW w:w="1526" w:type="dxa"/>
            <w:tcMar>
              <w:top w:w="80" w:type="dxa"/>
              <w:left w:w="100" w:type="dxa"/>
              <w:bottom w:w="80" w:type="dxa"/>
              <w:right w:w="100" w:type="dxa"/>
            </w:tcMar>
            <w:vAlign w:val="center"/>
          </w:tcPr>
          <w:p w14:paraId="04785D2A"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Cost discipline, selective portfolio rationalisation, food/attachment upsell</w:t>
            </w:r>
          </w:p>
        </w:tc>
      </w:tr>
      <w:tr w:rsidR="00CF3959" w:rsidRPr="003F6B4B" w14:paraId="3E97AF23" w14:textId="77777777" w:rsidTr="005C0088">
        <w:tc>
          <w:tcPr>
            <w:tcW w:w="1500" w:type="dxa"/>
            <w:shd w:val="clear" w:color="auto" w:fill="EFF6F3"/>
            <w:tcMar>
              <w:top w:w="80" w:type="dxa"/>
              <w:left w:w="100" w:type="dxa"/>
              <w:bottom w:w="80" w:type="dxa"/>
              <w:right w:w="100" w:type="dxa"/>
            </w:tcMar>
            <w:vAlign w:val="center"/>
          </w:tcPr>
          <w:p w14:paraId="07A7C98C" w14:textId="77777777" w:rsidR="00CF3959" w:rsidRPr="003F6B4B" w:rsidRDefault="00CF3959" w:rsidP="005C0088">
            <w:pPr>
              <w:rPr>
                <w:rFonts w:ascii="Arial" w:hAnsi="Arial" w:cs="Arial"/>
              </w:rPr>
            </w:pPr>
            <w:r w:rsidRPr="003F6B4B">
              <w:rPr>
                <w:rFonts w:ascii="Arial" w:hAnsi="Arial" w:cs="Arial"/>
                <w:color w:val="000000"/>
              </w:rPr>
              <w:t>Customer</w:t>
            </w:r>
          </w:p>
        </w:tc>
        <w:tc>
          <w:tcPr>
            <w:tcW w:w="1900" w:type="dxa"/>
            <w:shd w:val="clear" w:color="auto" w:fill="EFF6F3"/>
            <w:tcMar>
              <w:top w:w="80" w:type="dxa"/>
              <w:left w:w="100" w:type="dxa"/>
              <w:bottom w:w="80" w:type="dxa"/>
              <w:right w:w="100" w:type="dxa"/>
            </w:tcMar>
            <w:vAlign w:val="center"/>
          </w:tcPr>
          <w:p w14:paraId="4AEBAEEA"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Elevate experience and deepen loyalty</w:t>
            </w:r>
          </w:p>
        </w:tc>
        <w:tc>
          <w:tcPr>
            <w:tcW w:w="2100" w:type="dxa"/>
            <w:shd w:val="clear" w:color="auto" w:fill="EFF6F3"/>
            <w:tcMar>
              <w:top w:w="80" w:type="dxa"/>
              <w:left w:w="100" w:type="dxa"/>
              <w:bottom w:w="80" w:type="dxa"/>
              <w:right w:w="100" w:type="dxa"/>
            </w:tcMar>
            <w:vAlign w:val="center"/>
          </w:tcPr>
          <w:p w14:paraId="4EA2238B"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Net Promoter Score; active Rewards membership; average service time</w:t>
            </w:r>
          </w:p>
        </w:tc>
        <w:tc>
          <w:tcPr>
            <w:tcW w:w="1900" w:type="dxa"/>
            <w:shd w:val="clear" w:color="auto" w:fill="EFF6F3"/>
            <w:tcMar>
              <w:top w:w="80" w:type="dxa"/>
              <w:left w:w="100" w:type="dxa"/>
              <w:bottom w:w="80" w:type="dxa"/>
              <w:right w:w="100" w:type="dxa"/>
            </w:tcMar>
            <w:vAlign w:val="center"/>
          </w:tcPr>
          <w:p w14:paraId="3D3A71D9"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+15% active UK Rewards members in 2 years; reduce average order time</w:t>
            </w:r>
          </w:p>
        </w:tc>
        <w:tc>
          <w:tcPr>
            <w:tcW w:w="1526" w:type="dxa"/>
            <w:shd w:val="clear" w:color="auto" w:fill="EFF6F3"/>
            <w:tcMar>
              <w:top w:w="80" w:type="dxa"/>
              <w:left w:w="100" w:type="dxa"/>
              <w:bottom w:w="80" w:type="dxa"/>
              <w:right w:w="100" w:type="dxa"/>
            </w:tcMar>
            <w:vAlign w:val="center"/>
          </w:tcPr>
          <w:p w14:paraId="062E7052"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“Back to Starbucks” service redesign; menu simplification; app enhancements</w:t>
            </w:r>
          </w:p>
        </w:tc>
      </w:tr>
      <w:tr w:rsidR="00CF3959" w:rsidRPr="003F6B4B" w14:paraId="3EC4F7BF" w14:textId="77777777" w:rsidTr="005C0088">
        <w:tc>
          <w:tcPr>
            <w:tcW w:w="1500" w:type="dxa"/>
            <w:tcMar>
              <w:top w:w="80" w:type="dxa"/>
              <w:left w:w="100" w:type="dxa"/>
              <w:bottom w:w="80" w:type="dxa"/>
              <w:right w:w="100" w:type="dxa"/>
            </w:tcMar>
            <w:vAlign w:val="center"/>
          </w:tcPr>
          <w:p w14:paraId="5C26B824" w14:textId="77777777" w:rsidR="00CF3959" w:rsidRPr="003F6B4B" w:rsidRDefault="00CF3959" w:rsidP="005C0088">
            <w:pPr>
              <w:rPr>
                <w:rFonts w:ascii="Arial" w:hAnsi="Arial" w:cs="Arial"/>
              </w:rPr>
            </w:pPr>
            <w:r w:rsidRPr="003F6B4B">
              <w:rPr>
                <w:rFonts w:ascii="Arial" w:hAnsi="Arial" w:cs="Arial"/>
                <w:color w:val="000000"/>
              </w:rPr>
              <w:t>Internal Business Processes</w:t>
            </w:r>
          </w:p>
        </w:tc>
        <w:tc>
          <w:tcPr>
            <w:tcW w:w="1900" w:type="dxa"/>
            <w:tcMar>
              <w:top w:w="80" w:type="dxa"/>
              <w:left w:w="100" w:type="dxa"/>
              <w:bottom w:w="80" w:type="dxa"/>
              <w:right w:w="100" w:type="dxa"/>
            </w:tcMar>
            <w:vAlign w:val="center"/>
          </w:tcPr>
          <w:p w14:paraId="54732288"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Operational efficiency and consistency</w:t>
            </w:r>
          </w:p>
        </w:tc>
        <w:tc>
          <w:tcPr>
            <w:tcW w:w="2100" w:type="dxa"/>
            <w:tcMar>
              <w:top w:w="80" w:type="dxa"/>
              <w:left w:w="100" w:type="dxa"/>
              <w:bottom w:w="80" w:type="dxa"/>
              <w:right w:w="100" w:type="dxa"/>
            </w:tcMar>
            <w:vAlign w:val="center"/>
          </w:tcPr>
          <w:p w14:paraId="600092FF"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Order accuracy/speed; store energy &amp; waste metrics; supplier lead time</w:t>
            </w:r>
          </w:p>
        </w:tc>
        <w:tc>
          <w:tcPr>
            <w:tcW w:w="1900" w:type="dxa"/>
            <w:tcMar>
              <w:top w:w="80" w:type="dxa"/>
              <w:left w:w="100" w:type="dxa"/>
              <w:bottom w:w="80" w:type="dxa"/>
              <w:right w:w="100" w:type="dxa"/>
            </w:tcMar>
            <w:vAlign w:val="center"/>
          </w:tcPr>
          <w:p w14:paraId="11142771"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90%+ orders within target service time; Greener Store certification across UK estate</w:t>
            </w:r>
          </w:p>
        </w:tc>
        <w:tc>
          <w:tcPr>
            <w:tcW w:w="1526" w:type="dxa"/>
            <w:tcMar>
              <w:top w:w="80" w:type="dxa"/>
              <w:left w:w="100" w:type="dxa"/>
              <w:bottom w:w="80" w:type="dxa"/>
              <w:right w:w="100" w:type="dxa"/>
            </w:tcMar>
            <w:vAlign w:val="center"/>
          </w:tcPr>
          <w:p w14:paraId="4D39D59E"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Streamlined equipment investment; store-format redesign; reusable-cup rollout</w:t>
            </w:r>
          </w:p>
        </w:tc>
      </w:tr>
      <w:tr w:rsidR="00CF3959" w:rsidRPr="003F6B4B" w14:paraId="1337A62E" w14:textId="77777777" w:rsidTr="005C0088">
        <w:tc>
          <w:tcPr>
            <w:tcW w:w="1500" w:type="dxa"/>
            <w:shd w:val="clear" w:color="auto" w:fill="EFF6F3"/>
            <w:tcMar>
              <w:top w:w="80" w:type="dxa"/>
              <w:left w:w="100" w:type="dxa"/>
              <w:bottom w:w="80" w:type="dxa"/>
              <w:right w:w="100" w:type="dxa"/>
            </w:tcMar>
            <w:vAlign w:val="center"/>
          </w:tcPr>
          <w:p w14:paraId="25614310" w14:textId="77777777" w:rsidR="00CF3959" w:rsidRPr="003F6B4B" w:rsidRDefault="00CF3959" w:rsidP="005C0088">
            <w:pPr>
              <w:rPr>
                <w:rFonts w:ascii="Arial" w:hAnsi="Arial" w:cs="Arial"/>
              </w:rPr>
            </w:pPr>
            <w:r w:rsidRPr="003F6B4B">
              <w:rPr>
                <w:rFonts w:ascii="Arial" w:hAnsi="Arial" w:cs="Arial"/>
                <w:color w:val="000000"/>
              </w:rPr>
              <w:t>Learning &amp; Growth</w:t>
            </w:r>
          </w:p>
        </w:tc>
        <w:tc>
          <w:tcPr>
            <w:tcW w:w="1900" w:type="dxa"/>
            <w:shd w:val="clear" w:color="auto" w:fill="EFF6F3"/>
            <w:tcMar>
              <w:top w:w="80" w:type="dxa"/>
              <w:left w:w="100" w:type="dxa"/>
              <w:bottom w:w="80" w:type="dxa"/>
              <w:right w:w="100" w:type="dxa"/>
            </w:tcMar>
            <w:vAlign w:val="center"/>
          </w:tcPr>
          <w:p w14:paraId="1F568D23"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Engaged, skilled workforce (“partners”)</w:t>
            </w:r>
          </w:p>
        </w:tc>
        <w:tc>
          <w:tcPr>
            <w:tcW w:w="2100" w:type="dxa"/>
            <w:shd w:val="clear" w:color="auto" w:fill="EFF6F3"/>
            <w:tcMar>
              <w:top w:w="80" w:type="dxa"/>
              <w:left w:w="100" w:type="dxa"/>
              <w:bottom w:w="80" w:type="dxa"/>
              <w:right w:w="100" w:type="dxa"/>
            </w:tcMar>
            <w:vAlign w:val="center"/>
          </w:tcPr>
          <w:p w14:paraId="567146C3"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Partner turnover rate; training hours per partner; engagement survey score; pay vs Real Living Wage</w:t>
            </w:r>
          </w:p>
        </w:tc>
        <w:tc>
          <w:tcPr>
            <w:tcW w:w="1900" w:type="dxa"/>
            <w:shd w:val="clear" w:color="auto" w:fill="EFF6F3"/>
            <w:tcMar>
              <w:top w:w="80" w:type="dxa"/>
              <w:left w:w="100" w:type="dxa"/>
              <w:bottom w:w="80" w:type="dxa"/>
              <w:right w:w="100" w:type="dxa"/>
            </w:tcMar>
            <w:vAlign w:val="center"/>
          </w:tcPr>
          <w:p w14:paraId="52B498E1"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Reduce partner turnover; pursue Living Wage accreditation</w:t>
            </w:r>
          </w:p>
        </w:tc>
        <w:tc>
          <w:tcPr>
            <w:tcW w:w="1526" w:type="dxa"/>
            <w:shd w:val="clear" w:color="auto" w:fill="EFF6F3"/>
            <w:tcMar>
              <w:top w:w="80" w:type="dxa"/>
              <w:left w:w="100" w:type="dxa"/>
              <w:bottom w:w="80" w:type="dxa"/>
              <w:right w:w="100" w:type="dxa"/>
            </w:tcMar>
            <w:vAlign w:val="center"/>
          </w:tcPr>
          <w:p w14:paraId="7559DB1C" w14:textId="77777777" w:rsidR="00CF3959" w:rsidRPr="003F58CE" w:rsidRDefault="00CF3959" w:rsidP="005C0088">
            <w:pPr>
              <w:rPr>
                <w:rFonts w:ascii="Arial" w:hAnsi="Arial" w:cs="Arial"/>
                <w:sz w:val="18"/>
                <w:szCs w:val="18"/>
              </w:rPr>
            </w:pPr>
            <w:r w:rsidRPr="003F58CE">
              <w:rPr>
                <w:rFonts w:ascii="Arial" w:hAnsi="Arial" w:cs="Arial"/>
                <w:color w:val="000000"/>
                <w:sz w:val="18"/>
                <w:szCs w:val="18"/>
              </w:rPr>
              <w:t>Green Apron training; career pathways; structured union engagement</w:t>
            </w:r>
          </w:p>
        </w:tc>
      </w:tr>
    </w:tbl>
    <w:p w14:paraId="58EEE07E" w14:textId="77777777" w:rsidR="00CF3959" w:rsidRPr="003F6B4B" w:rsidRDefault="00CF3959" w:rsidP="00CF3959">
      <w:pPr>
        <w:spacing w:before="80" w:after="240"/>
        <w:jc w:val="center"/>
        <w:rPr>
          <w:rFonts w:ascii="Arial" w:hAnsi="Arial" w:cs="Arial"/>
        </w:rPr>
      </w:pPr>
      <w:r w:rsidRPr="003F6B4B">
        <w:rPr>
          <w:rFonts w:ascii="Arial" w:hAnsi="Arial" w:cs="Arial"/>
          <w:i/>
          <w:iCs/>
          <w:color w:val="444444"/>
        </w:rPr>
        <w:t>Table 4: Balanced Scorecard – Starbucks UK</w:t>
      </w:r>
    </w:p>
    <w:p w14:paraId="5F271AF0" w14:textId="77777777" w:rsidR="00CF3959" w:rsidRPr="003F6B4B" w:rsidRDefault="00CF3959" w:rsidP="00CF3959">
      <w:pPr>
        <w:spacing w:after="160" w:line="360" w:lineRule="auto"/>
        <w:jc w:val="both"/>
        <w:rPr>
          <w:rFonts w:ascii="Arial" w:hAnsi="Arial" w:cs="Arial"/>
        </w:rPr>
      </w:pPr>
      <w:r w:rsidRPr="003F6B4B">
        <w:rPr>
          <w:rFonts w:ascii="Arial" w:hAnsi="Arial" w:cs="Arial"/>
        </w:rPr>
        <w:t xml:space="preserve">The scorecard makes explicit the causal chain implicit in Starbucks' own strategy: investment in Learning &amp; Growth (partner training and fair pay) should improve Internal Process consistency, which should raise Customer satisfaction and loyalty, which should ultimately restore financial performance. This reinforces the Section 3.1 recommendation that Learning </w:t>
      </w:r>
      <w:r>
        <w:rPr>
          <w:rFonts w:ascii="Arial" w:hAnsi="Arial" w:cs="Arial"/>
        </w:rPr>
        <w:t>and</w:t>
      </w:r>
      <w:r w:rsidRPr="003F6B4B">
        <w:rPr>
          <w:rFonts w:ascii="Arial" w:hAnsi="Arial" w:cs="Arial"/>
        </w:rPr>
        <w:t xml:space="preserve"> Growth/CSR metrics deserve Board-level attention equal to financial KPIs, not a secondary reporting role.</w:t>
      </w:r>
    </w:p>
    <w:p w14:paraId="7A4148DE" w14:textId="2B9DBF8A" w:rsidR="00CF3959" w:rsidRPr="003F6B4B" w:rsidRDefault="00CF3959" w:rsidP="00CF3959">
      <w:pPr>
        <w:spacing w:after="160" w:line="360" w:lineRule="auto"/>
        <w:jc w:val="both"/>
        <w:rPr>
          <w:rFonts w:ascii="Arial" w:hAnsi="Arial" w:cs="Arial"/>
        </w:rPr>
      </w:pPr>
      <w:r w:rsidRPr="003F6B4B">
        <w:rPr>
          <w:rFonts w:ascii="Arial" w:hAnsi="Arial" w:cs="Arial"/>
        </w:rPr>
        <w:lastRenderedPageBreak/>
        <w:t xml:space="preserve">Kaplan and Norton (1992) themselves caution that the Balanced Scorecard's four perspectives can pull in different directions in the short run, and Starbucks UK is a clear illustration: Financial-perspective pressure to restore margin creates an incentive to defer Learning </w:t>
      </w:r>
      <w:r w:rsidR="00165AF1">
        <w:rPr>
          <w:rFonts w:ascii="Arial" w:hAnsi="Arial" w:cs="Arial"/>
        </w:rPr>
        <w:t>and</w:t>
      </w:r>
      <w:r w:rsidRPr="003F6B4B">
        <w:rPr>
          <w:rFonts w:ascii="Arial" w:hAnsi="Arial" w:cs="Arial"/>
        </w:rPr>
        <w:t xml:space="preserve"> Growth investment (training hours, wage premiums), yet Section 2.2's VRIO analysis suggests it is precisely workforce-related capability that most needs reinforcing. The Board should therefore treat the Learning </w:t>
      </w:r>
      <w:r w:rsidR="00EA6259">
        <w:rPr>
          <w:rFonts w:ascii="Arial" w:hAnsi="Arial" w:cs="Arial"/>
        </w:rPr>
        <w:t>and</w:t>
      </w:r>
      <w:r w:rsidRPr="003F6B4B">
        <w:rPr>
          <w:rFonts w:ascii="Arial" w:hAnsi="Arial" w:cs="Arial"/>
        </w:rPr>
        <w:t xml:space="preserve"> Growth targets in Table 4 as protected, ring-fenced investments during the turnaround period rather than the first cost line to be cut, since eroding them would undermine the Customer and Internal Process improvements the recovery plan depends on.</w:t>
      </w:r>
    </w:p>
    <w:p w14:paraId="35956B21" w14:textId="77777777" w:rsidR="00CF3959" w:rsidRPr="003F6B4B" w:rsidRDefault="00CF3959" w:rsidP="00CF3959">
      <w:pPr>
        <w:spacing w:before="200" w:after="60"/>
        <w:jc w:val="center"/>
        <w:rPr>
          <w:rFonts w:ascii="Arial" w:hAnsi="Arial" w:cs="Arial"/>
        </w:rPr>
      </w:pPr>
      <w:r w:rsidRPr="003F6B4B">
        <w:rPr>
          <w:rFonts w:ascii="Arial" w:hAnsi="Arial" w:cs="Arial"/>
          <w:noProof/>
        </w:rPr>
        <w:drawing>
          <wp:inline distT="0" distB="0" distL="0" distR="0" wp14:anchorId="11AD4C70" wp14:editId="244C33FC">
            <wp:extent cx="4762500" cy="3048000"/>
            <wp:effectExtent l="0" t="0" r="0" b="0"/>
            <wp:docPr id="1573426076" name="Picture 1573426076" descr="A graph showing the growth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426076" name="Picture 1573426076" descr="A graph showing the growth of a company&#10;&#10;AI-generated content may be incorrect."/>
                    <pic:cNvPicPr>
                      <a:picLocks noChangeAspect="1" noChangeArrowheads="1"/>
                    </pic:cNvPicPr>
                  </pic:nvPicPr>
                  <pic:blipFill>
                    <a:blip r:embed="rId12"/>
                    <a:srcRect/>
                    <a:stretch>
                      <a:fillRect/>
                    </a:stretch>
                  </pic:blipFill>
                  <pic:spPr bwMode="auto">
                    <a:xfrm>
                      <a:off x="0" y="0"/>
                      <a:ext cx="4762500" cy="3048000"/>
                    </a:xfrm>
                    <a:prstGeom prst="rect">
                      <a:avLst/>
                    </a:prstGeom>
                  </pic:spPr>
                </pic:pic>
              </a:graphicData>
            </a:graphic>
          </wp:inline>
        </w:drawing>
      </w:r>
    </w:p>
    <w:p w14:paraId="403B9BD8" w14:textId="77777777" w:rsidR="00CF3959" w:rsidRPr="003F6B4B" w:rsidRDefault="00CF3959" w:rsidP="00CF3959">
      <w:pPr>
        <w:spacing w:before="80" w:after="240"/>
        <w:jc w:val="center"/>
        <w:rPr>
          <w:rFonts w:ascii="Arial" w:hAnsi="Arial" w:cs="Arial"/>
        </w:rPr>
      </w:pPr>
      <w:r w:rsidRPr="003F6B4B">
        <w:rPr>
          <w:rFonts w:ascii="Arial" w:hAnsi="Arial" w:cs="Arial"/>
          <w:i/>
          <w:iCs/>
          <w:color w:val="444444"/>
        </w:rPr>
        <w:t>Figure 2: Starbucks UK Revenue Growth vs Operating Result, FY2021–FY2025 (Source: Starbucks Stories EMEA, 2026; figures for FY2021–FY2023 are indicative trend estimates; FY2024–FY2025 are as reported)</w:t>
      </w:r>
    </w:p>
    <w:p w14:paraId="49D6728D" w14:textId="77777777" w:rsidR="00CF3959" w:rsidRPr="0056114B" w:rsidRDefault="00CF3959" w:rsidP="00CF3959">
      <w:pPr>
        <w:pStyle w:val="Heading1"/>
        <w:spacing w:before="400" w:after="200"/>
        <w:rPr>
          <w:rFonts w:ascii="Arial" w:hAnsi="Arial" w:cs="Arial"/>
          <w:sz w:val="28"/>
          <w:szCs w:val="28"/>
        </w:rPr>
      </w:pPr>
      <w:bookmarkStart w:id="9" w:name="_Toc234881556"/>
      <w:r w:rsidRPr="00165AF1">
        <w:rPr>
          <w:rFonts w:ascii="Arial" w:hAnsi="Arial" w:cs="Arial"/>
          <w:b/>
          <w:bCs/>
          <w:color w:val="196B24" w:themeColor="accent3"/>
          <w:sz w:val="28"/>
          <w:szCs w:val="28"/>
        </w:rPr>
        <w:t>4. Strategic Choices and Implementation</w:t>
      </w:r>
      <w:bookmarkEnd w:id="9"/>
    </w:p>
    <w:p w14:paraId="42F57732" w14:textId="77777777" w:rsidR="00CF3959" w:rsidRPr="0056114B" w:rsidRDefault="00CF3959" w:rsidP="00CF3959">
      <w:pPr>
        <w:pStyle w:val="Heading2"/>
        <w:spacing w:before="300" w:after="150"/>
        <w:rPr>
          <w:rFonts w:ascii="Arial" w:hAnsi="Arial" w:cs="Arial"/>
          <w:sz w:val="24"/>
          <w:szCs w:val="24"/>
        </w:rPr>
      </w:pPr>
      <w:bookmarkStart w:id="10" w:name="_Toc234881557"/>
      <w:r w:rsidRPr="00165AF1">
        <w:rPr>
          <w:rFonts w:ascii="Arial" w:hAnsi="Arial" w:cs="Arial"/>
          <w:b/>
          <w:bCs/>
          <w:color w:val="196B24" w:themeColor="accent3"/>
          <w:sz w:val="24"/>
          <w:szCs w:val="24"/>
        </w:rPr>
        <w:t>4.1 Business-Level Strategic Choices</w:t>
      </w:r>
      <w:bookmarkEnd w:id="10"/>
    </w:p>
    <w:p w14:paraId="5DEA8930" w14:textId="608743CA" w:rsidR="00CF3959" w:rsidRPr="00AF34D8" w:rsidRDefault="00CF3959" w:rsidP="00CF3959">
      <w:pPr>
        <w:spacing w:after="160" w:line="360" w:lineRule="auto"/>
        <w:jc w:val="both"/>
        <w:rPr>
          <w:rFonts w:ascii="Arial" w:hAnsi="Arial" w:cs="Arial"/>
          <w:sz w:val="22"/>
          <w:szCs w:val="22"/>
        </w:rPr>
      </w:pPr>
      <w:r w:rsidRPr="003F6B4B">
        <w:rPr>
          <w:rFonts w:ascii="Arial" w:hAnsi="Arial" w:cs="Arial"/>
        </w:rPr>
        <w:t xml:space="preserve">At the business level, Porter's (1985) generic strategies frame three broad options for Starbucks UK. A cost leadership strategy is not credible: Starbucks' premium real estate, staffing model and sourcing standards make it structurally unable to match the cost base of Greggs, McCafé or supermarket coffee counters. A differentiation strategy – competing on brand, experience, product quality and ethical credentials – builds on the sustained advantage identified in the VRIO analysis. A focused </w:t>
      </w:r>
      <w:r w:rsidRPr="003F6B4B">
        <w:rPr>
          <w:rFonts w:ascii="Arial" w:hAnsi="Arial" w:cs="Arial"/>
        </w:rPr>
        <w:lastRenderedPageBreak/>
        <w:t>differentiation strategy (e.g. concentrating solely on flagship urban/travel-hub locations) would shrink the estate and sacrifice scale benefits</w:t>
      </w:r>
      <w:r w:rsidR="00C8765B" w:rsidRPr="00C8765B">
        <w:t xml:space="preserve"> </w:t>
      </w:r>
      <w:r w:rsidR="00C8765B" w:rsidRPr="00AF34D8">
        <w:rPr>
          <w:rFonts w:ascii="Arial" w:hAnsi="Arial" w:cs="Arial"/>
          <w:sz w:val="22"/>
          <w:szCs w:val="22"/>
        </w:rPr>
        <w:t xml:space="preserve">(Kim and </w:t>
      </w:r>
      <w:proofErr w:type="spellStart"/>
      <w:r w:rsidR="00C8765B" w:rsidRPr="00AF34D8">
        <w:rPr>
          <w:rFonts w:ascii="Arial" w:hAnsi="Arial" w:cs="Arial"/>
          <w:sz w:val="22"/>
          <w:szCs w:val="22"/>
        </w:rPr>
        <w:t>Makadok</w:t>
      </w:r>
      <w:proofErr w:type="spellEnd"/>
      <w:r w:rsidR="00C8765B" w:rsidRPr="00AF34D8">
        <w:rPr>
          <w:rFonts w:ascii="Arial" w:hAnsi="Arial" w:cs="Arial"/>
          <w:sz w:val="22"/>
          <w:szCs w:val="22"/>
        </w:rPr>
        <w:t>, 2023).</w:t>
      </w:r>
    </w:p>
    <w:p w14:paraId="099DCFFB" w14:textId="044CD308" w:rsidR="00CF3959" w:rsidRPr="003F6B4B" w:rsidRDefault="00CF3959" w:rsidP="00CF3959">
      <w:pPr>
        <w:spacing w:after="160" w:line="360" w:lineRule="auto"/>
        <w:jc w:val="both"/>
        <w:rPr>
          <w:rFonts w:ascii="Arial" w:hAnsi="Arial" w:cs="Arial"/>
        </w:rPr>
      </w:pPr>
      <w:r w:rsidRPr="003F6B4B">
        <w:rPr>
          <w:rFonts w:ascii="Arial" w:hAnsi="Arial" w:cs="Arial"/>
        </w:rPr>
        <w:t xml:space="preserve">Bowman's Strategy Clock offers a finer-grained view of the same choice. Positions 1–2 (low price/low added value) are ruled out for the reasons above; position 3 (hybrid – low price, some differentiation) is closer to Greggs' and McCafé's current market position and would dilute Starbucks' premium equity if pursued directly; </w:t>
      </w:r>
      <w:r w:rsidR="002C7771">
        <w:rPr>
          <w:rFonts w:ascii="Arial" w:hAnsi="Arial" w:cs="Arial"/>
        </w:rPr>
        <w:t>positions</w:t>
      </w:r>
      <w:r w:rsidRPr="003F6B4B">
        <w:rPr>
          <w:rFonts w:ascii="Arial" w:hAnsi="Arial" w:cs="Arial"/>
        </w:rPr>
        <w:t xml:space="preserve"> 4 (differentiation) and position 5 (focused differentiation) are the credible options. Given the scale of the existing 1,354-store UK estate and the fixed-cost base already committed to it, an outright focused-differentiation retreat (position 5) would forfeit hard-won scale and brand-recall benefits for uncertain margin gain. The best-fitting position is therefore a broad differentiation strategy – position 4 – built on digitally-enabled experience and reinforced by disciplined cost management, which best matches Starbucks UK's resource base and the competitive map established in Section 2.</w:t>
      </w:r>
    </w:p>
    <w:p w14:paraId="064085FC" w14:textId="77777777" w:rsidR="00CF3959" w:rsidRPr="0056114B" w:rsidRDefault="00CF3959" w:rsidP="00CF3959">
      <w:pPr>
        <w:pStyle w:val="Heading2"/>
        <w:spacing w:before="300" w:after="150"/>
        <w:rPr>
          <w:rFonts w:ascii="Arial" w:hAnsi="Arial" w:cs="Arial"/>
          <w:sz w:val="28"/>
          <w:szCs w:val="28"/>
        </w:rPr>
      </w:pPr>
      <w:bookmarkStart w:id="11" w:name="_Toc234881558"/>
      <w:r w:rsidRPr="00640575">
        <w:rPr>
          <w:rFonts w:ascii="Arial" w:hAnsi="Arial" w:cs="Arial"/>
          <w:b/>
          <w:bCs/>
          <w:color w:val="196B24" w:themeColor="accent3"/>
          <w:sz w:val="28"/>
          <w:szCs w:val="28"/>
        </w:rPr>
        <w:t>4.2 Recommended Strategy and Validation</w:t>
      </w:r>
      <w:bookmarkEnd w:id="11"/>
    </w:p>
    <w:p w14:paraId="42689903" w14:textId="770C5D64" w:rsidR="00430553" w:rsidRPr="003F6B4B" w:rsidRDefault="00CF3959" w:rsidP="00750AEF">
      <w:pPr>
        <w:spacing w:after="160" w:line="360" w:lineRule="auto"/>
        <w:jc w:val="both"/>
        <w:rPr>
          <w:rFonts w:ascii="Arial" w:hAnsi="Arial" w:cs="Arial"/>
        </w:rPr>
      </w:pPr>
      <w:r w:rsidRPr="003F6B4B">
        <w:rPr>
          <w:rFonts w:ascii="Arial" w:hAnsi="Arial" w:cs="Arial"/>
        </w:rPr>
        <w:t>The recommended business-level strategy is broad differentiation, anchored in digital-enabled experience and reinforced by disciplined cost management. This is validated below using Porter's Five Forces, which tests whether differentiation is defensible given industry structure, and Ansoff's Matrix, which sequences the growth activity needed to deliver it.</w:t>
      </w: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6726"/>
      </w:tblGrid>
      <w:tr w:rsidR="00CF3959" w:rsidRPr="003F6B4B" w14:paraId="1F12DF1D" w14:textId="77777777" w:rsidTr="005C0088">
        <w:tc>
          <w:tcPr>
            <w:tcW w:w="2200" w:type="dxa"/>
            <w:shd w:val="clear" w:color="auto" w:fill="00704A"/>
            <w:tcMar>
              <w:top w:w="80" w:type="dxa"/>
              <w:left w:w="100" w:type="dxa"/>
              <w:bottom w:w="80" w:type="dxa"/>
              <w:right w:w="100" w:type="dxa"/>
            </w:tcMar>
            <w:vAlign w:val="center"/>
          </w:tcPr>
          <w:p w14:paraId="424D842D" w14:textId="77777777" w:rsidR="00CF3959" w:rsidRPr="003F6B4B" w:rsidRDefault="00CF3959" w:rsidP="005C0088">
            <w:pPr>
              <w:rPr>
                <w:rFonts w:ascii="Arial" w:hAnsi="Arial" w:cs="Arial"/>
              </w:rPr>
            </w:pPr>
            <w:r w:rsidRPr="003F6B4B">
              <w:rPr>
                <w:rFonts w:ascii="Arial" w:hAnsi="Arial" w:cs="Arial"/>
                <w:b/>
                <w:bCs/>
                <w:color w:val="FFFFFF"/>
              </w:rPr>
              <w:t>Force</w:t>
            </w:r>
          </w:p>
        </w:tc>
        <w:tc>
          <w:tcPr>
            <w:tcW w:w="6726" w:type="dxa"/>
            <w:shd w:val="clear" w:color="auto" w:fill="00704A"/>
            <w:tcMar>
              <w:top w:w="80" w:type="dxa"/>
              <w:left w:w="100" w:type="dxa"/>
              <w:bottom w:w="80" w:type="dxa"/>
              <w:right w:w="100" w:type="dxa"/>
            </w:tcMar>
            <w:vAlign w:val="center"/>
          </w:tcPr>
          <w:p w14:paraId="32D48C30" w14:textId="77777777" w:rsidR="00CF3959" w:rsidRPr="003F6B4B" w:rsidRDefault="00CF3959" w:rsidP="005C0088">
            <w:pPr>
              <w:rPr>
                <w:rFonts w:ascii="Arial" w:hAnsi="Arial" w:cs="Arial"/>
              </w:rPr>
            </w:pPr>
            <w:r w:rsidRPr="003F6B4B">
              <w:rPr>
                <w:rFonts w:ascii="Arial" w:hAnsi="Arial" w:cs="Arial"/>
                <w:b/>
                <w:bCs/>
                <w:color w:val="FFFFFF"/>
              </w:rPr>
              <w:t>Assessment and implication for strategy</w:t>
            </w:r>
          </w:p>
        </w:tc>
      </w:tr>
      <w:tr w:rsidR="00CF3959" w:rsidRPr="003F6B4B" w14:paraId="424211E3" w14:textId="77777777" w:rsidTr="005C0088">
        <w:tc>
          <w:tcPr>
            <w:tcW w:w="2200" w:type="dxa"/>
            <w:tcMar>
              <w:top w:w="80" w:type="dxa"/>
              <w:left w:w="100" w:type="dxa"/>
              <w:bottom w:w="80" w:type="dxa"/>
              <w:right w:w="100" w:type="dxa"/>
            </w:tcMar>
            <w:vAlign w:val="center"/>
          </w:tcPr>
          <w:p w14:paraId="32060E90" w14:textId="77777777" w:rsidR="00CF3959" w:rsidRPr="00A51456" w:rsidRDefault="00CF3959" w:rsidP="005C0088">
            <w:pPr>
              <w:rPr>
                <w:rFonts w:ascii="Arial" w:hAnsi="Arial" w:cs="Arial"/>
                <w:b/>
                <w:bCs/>
                <w:sz w:val="20"/>
                <w:szCs w:val="20"/>
              </w:rPr>
            </w:pPr>
            <w:r w:rsidRPr="00A51456">
              <w:rPr>
                <w:rFonts w:ascii="Arial" w:hAnsi="Arial" w:cs="Arial"/>
                <w:b/>
                <w:bCs/>
                <w:color w:val="000000"/>
                <w:sz w:val="20"/>
                <w:szCs w:val="20"/>
              </w:rPr>
              <w:t>Threat of new entrants</w:t>
            </w:r>
          </w:p>
        </w:tc>
        <w:tc>
          <w:tcPr>
            <w:tcW w:w="6726" w:type="dxa"/>
            <w:tcMar>
              <w:top w:w="80" w:type="dxa"/>
              <w:left w:w="100" w:type="dxa"/>
              <w:bottom w:w="80" w:type="dxa"/>
              <w:right w:w="100" w:type="dxa"/>
            </w:tcMar>
            <w:vAlign w:val="center"/>
          </w:tcPr>
          <w:p w14:paraId="2D69788A" w14:textId="77777777" w:rsidR="00CF3959" w:rsidRPr="00A51456" w:rsidRDefault="00CF3959" w:rsidP="005C0088">
            <w:pPr>
              <w:rPr>
                <w:rFonts w:ascii="Arial" w:hAnsi="Arial" w:cs="Arial"/>
                <w:sz w:val="18"/>
                <w:szCs w:val="18"/>
              </w:rPr>
            </w:pPr>
            <w:r w:rsidRPr="00A51456">
              <w:rPr>
                <w:rFonts w:ascii="Arial" w:hAnsi="Arial" w:cs="Arial"/>
                <w:color w:val="000000"/>
                <w:sz w:val="18"/>
                <w:szCs w:val="18"/>
              </w:rPr>
              <w:t xml:space="preserve">Moderate-to-low for scaled chains (high capital and real-estate requirements) but low for independent artisanal entrants (Black Sheep, </w:t>
            </w:r>
            <w:proofErr w:type="spellStart"/>
            <w:r w:rsidRPr="00A51456">
              <w:rPr>
                <w:rFonts w:ascii="Arial" w:hAnsi="Arial" w:cs="Arial"/>
                <w:color w:val="000000"/>
                <w:sz w:val="18"/>
                <w:szCs w:val="18"/>
              </w:rPr>
              <w:t>WatchHouse</w:t>
            </w:r>
            <w:proofErr w:type="spellEnd"/>
            <w:r w:rsidRPr="00A51456">
              <w:rPr>
                <w:rFonts w:ascii="Arial" w:hAnsi="Arial" w:cs="Arial"/>
                <w:color w:val="000000"/>
                <w:sz w:val="18"/>
                <w:szCs w:val="18"/>
              </w:rPr>
              <w:t>), who erode the premium segment from above – reinforces need to keep differentiating on experience, not just brand heritage.</w:t>
            </w:r>
          </w:p>
        </w:tc>
      </w:tr>
      <w:tr w:rsidR="00CF3959" w:rsidRPr="003F6B4B" w14:paraId="64A27D6B" w14:textId="77777777" w:rsidTr="005C0088">
        <w:tc>
          <w:tcPr>
            <w:tcW w:w="2200" w:type="dxa"/>
            <w:shd w:val="clear" w:color="auto" w:fill="EFF6F3"/>
            <w:tcMar>
              <w:top w:w="80" w:type="dxa"/>
              <w:left w:w="100" w:type="dxa"/>
              <w:bottom w:w="80" w:type="dxa"/>
              <w:right w:w="100" w:type="dxa"/>
            </w:tcMar>
            <w:vAlign w:val="center"/>
          </w:tcPr>
          <w:p w14:paraId="7BB4FD70" w14:textId="77777777" w:rsidR="00CF3959" w:rsidRPr="00A51456" w:rsidRDefault="00CF3959" w:rsidP="005C0088">
            <w:pPr>
              <w:rPr>
                <w:rFonts w:ascii="Arial" w:hAnsi="Arial" w:cs="Arial"/>
                <w:b/>
                <w:bCs/>
                <w:sz w:val="20"/>
                <w:szCs w:val="20"/>
              </w:rPr>
            </w:pPr>
            <w:r w:rsidRPr="00A51456">
              <w:rPr>
                <w:rFonts w:ascii="Arial" w:hAnsi="Arial" w:cs="Arial"/>
                <w:b/>
                <w:bCs/>
                <w:color w:val="000000"/>
                <w:sz w:val="20"/>
                <w:szCs w:val="20"/>
              </w:rPr>
              <w:t>Bargaining power of buyers</w:t>
            </w:r>
          </w:p>
        </w:tc>
        <w:tc>
          <w:tcPr>
            <w:tcW w:w="6726" w:type="dxa"/>
            <w:shd w:val="clear" w:color="auto" w:fill="EFF6F3"/>
            <w:tcMar>
              <w:top w:w="80" w:type="dxa"/>
              <w:left w:w="100" w:type="dxa"/>
              <w:bottom w:w="80" w:type="dxa"/>
              <w:right w:w="100" w:type="dxa"/>
            </w:tcMar>
            <w:vAlign w:val="center"/>
          </w:tcPr>
          <w:p w14:paraId="696BB8EE" w14:textId="77777777" w:rsidR="00CF3959" w:rsidRPr="00A51456" w:rsidRDefault="00CF3959" w:rsidP="005C0088">
            <w:pPr>
              <w:rPr>
                <w:rFonts w:ascii="Arial" w:hAnsi="Arial" w:cs="Arial"/>
                <w:sz w:val="18"/>
                <w:szCs w:val="18"/>
              </w:rPr>
            </w:pPr>
            <w:r w:rsidRPr="00A51456">
              <w:rPr>
                <w:rFonts w:ascii="Arial" w:hAnsi="Arial" w:cs="Arial"/>
                <w:color w:val="000000"/>
                <w:sz w:val="18"/>
                <w:szCs w:val="18"/>
              </w:rPr>
              <w:t>Rising, as cost-of-living pressure increases consumers' price sensitivity and willingness to switch to value operators – favours loyalty-scheme lock-in and perceived value-for-money.</w:t>
            </w:r>
          </w:p>
        </w:tc>
      </w:tr>
      <w:tr w:rsidR="00CF3959" w:rsidRPr="003F6B4B" w14:paraId="06AEAABB" w14:textId="77777777" w:rsidTr="005C0088">
        <w:tc>
          <w:tcPr>
            <w:tcW w:w="2200" w:type="dxa"/>
            <w:tcMar>
              <w:top w:w="80" w:type="dxa"/>
              <w:left w:w="100" w:type="dxa"/>
              <w:bottom w:w="80" w:type="dxa"/>
              <w:right w:w="100" w:type="dxa"/>
            </w:tcMar>
            <w:vAlign w:val="center"/>
          </w:tcPr>
          <w:p w14:paraId="48B24E7B" w14:textId="77777777" w:rsidR="00CF3959" w:rsidRPr="00A51456" w:rsidRDefault="00CF3959" w:rsidP="005C0088">
            <w:pPr>
              <w:rPr>
                <w:rFonts w:ascii="Arial" w:hAnsi="Arial" w:cs="Arial"/>
                <w:b/>
                <w:bCs/>
                <w:sz w:val="20"/>
                <w:szCs w:val="20"/>
              </w:rPr>
            </w:pPr>
            <w:r w:rsidRPr="00A51456">
              <w:rPr>
                <w:rFonts w:ascii="Arial" w:hAnsi="Arial" w:cs="Arial"/>
                <w:b/>
                <w:bCs/>
                <w:color w:val="000000"/>
                <w:sz w:val="20"/>
                <w:szCs w:val="20"/>
              </w:rPr>
              <w:t>Bargaining power of suppliers</w:t>
            </w:r>
          </w:p>
        </w:tc>
        <w:tc>
          <w:tcPr>
            <w:tcW w:w="6726" w:type="dxa"/>
            <w:tcMar>
              <w:top w:w="80" w:type="dxa"/>
              <w:left w:w="100" w:type="dxa"/>
              <w:bottom w:w="80" w:type="dxa"/>
              <w:right w:w="100" w:type="dxa"/>
            </w:tcMar>
            <w:vAlign w:val="center"/>
          </w:tcPr>
          <w:p w14:paraId="7B79B200" w14:textId="77777777" w:rsidR="00CF3959" w:rsidRPr="00A51456" w:rsidRDefault="00CF3959" w:rsidP="005C0088">
            <w:pPr>
              <w:rPr>
                <w:rFonts w:ascii="Arial" w:hAnsi="Arial" w:cs="Arial"/>
                <w:sz w:val="18"/>
                <w:szCs w:val="18"/>
              </w:rPr>
            </w:pPr>
            <w:r w:rsidRPr="00A51456">
              <w:rPr>
                <w:rFonts w:ascii="Arial" w:hAnsi="Arial" w:cs="Arial"/>
                <w:color w:val="000000"/>
                <w:sz w:val="18"/>
                <w:szCs w:val="18"/>
              </w:rPr>
              <w:t>Moderate-to-high; climate change and commodity volatility affect green coffee prices – favours long-term ethical sourcing contracts and hedging.</w:t>
            </w:r>
          </w:p>
        </w:tc>
      </w:tr>
      <w:tr w:rsidR="00CF3959" w:rsidRPr="003F6B4B" w14:paraId="3C816009" w14:textId="77777777" w:rsidTr="005C0088">
        <w:tc>
          <w:tcPr>
            <w:tcW w:w="2200" w:type="dxa"/>
            <w:shd w:val="clear" w:color="auto" w:fill="EFF6F3"/>
            <w:tcMar>
              <w:top w:w="80" w:type="dxa"/>
              <w:left w:w="100" w:type="dxa"/>
              <w:bottom w:w="80" w:type="dxa"/>
              <w:right w:w="100" w:type="dxa"/>
            </w:tcMar>
            <w:vAlign w:val="center"/>
          </w:tcPr>
          <w:p w14:paraId="75D87DA7" w14:textId="77777777" w:rsidR="00CF3959" w:rsidRPr="00A51456" w:rsidRDefault="00CF3959" w:rsidP="005C0088">
            <w:pPr>
              <w:rPr>
                <w:rFonts w:ascii="Arial" w:hAnsi="Arial" w:cs="Arial"/>
                <w:b/>
                <w:bCs/>
                <w:sz w:val="20"/>
                <w:szCs w:val="20"/>
              </w:rPr>
            </w:pPr>
            <w:r w:rsidRPr="00A51456">
              <w:rPr>
                <w:rFonts w:ascii="Arial" w:hAnsi="Arial" w:cs="Arial"/>
                <w:b/>
                <w:bCs/>
                <w:color w:val="000000"/>
                <w:sz w:val="20"/>
                <w:szCs w:val="20"/>
              </w:rPr>
              <w:t>Threat of substitutes</w:t>
            </w:r>
          </w:p>
        </w:tc>
        <w:tc>
          <w:tcPr>
            <w:tcW w:w="6726" w:type="dxa"/>
            <w:shd w:val="clear" w:color="auto" w:fill="EFF6F3"/>
            <w:tcMar>
              <w:top w:w="80" w:type="dxa"/>
              <w:left w:w="100" w:type="dxa"/>
              <w:bottom w:w="80" w:type="dxa"/>
              <w:right w:w="100" w:type="dxa"/>
            </w:tcMar>
            <w:vAlign w:val="center"/>
          </w:tcPr>
          <w:p w14:paraId="0D5978F1" w14:textId="77777777" w:rsidR="00CF3959" w:rsidRPr="00A51456" w:rsidRDefault="00CF3959" w:rsidP="005C0088">
            <w:pPr>
              <w:rPr>
                <w:rFonts w:ascii="Arial" w:hAnsi="Arial" w:cs="Arial"/>
                <w:sz w:val="18"/>
                <w:szCs w:val="18"/>
              </w:rPr>
            </w:pPr>
            <w:r w:rsidRPr="00A51456">
              <w:rPr>
                <w:rFonts w:ascii="Arial" w:hAnsi="Arial" w:cs="Arial"/>
                <w:color w:val="000000"/>
                <w:sz w:val="18"/>
                <w:szCs w:val="18"/>
              </w:rPr>
              <w:t>High – home brewing, instant/pod coffee and value chains are readily available substitutes – reinforces the need for an experience Starbucks' price premium can be justified against.</w:t>
            </w:r>
          </w:p>
        </w:tc>
      </w:tr>
      <w:tr w:rsidR="00CF3959" w:rsidRPr="003F6B4B" w14:paraId="77C12867" w14:textId="77777777" w:rsidTr="005C0088">
        <w:tc>
          <w:tcPr>
            <w:tcW w:w="2200" w:type="dxa"/>
            <w:tcMar>
              <w:top w:w="80" w:type="dxa"/>
              <w:left w:w="100" w:type="dxa"/>
              <w:bottom w:w="80" w:type="dxa"/>
              <w:right w:w="100" w:type="dxa"/>
            </w:tcMar>
            <w:vAlign w:val="center"/>
          </w:tcPr>
          <w:p w14:paraId="4A4E12BC" w14:textId="77777777" w:rsidR="00CF3959" w:rsidRPr="00A51456" w:rsidRDefault="00CF3959" w:rsidP="005C0088">
            <w:pPr>
              <w:rPr>
                <w:rFonts w:ascii="Arial" w:hAnsi="Arial" w:cs="Arial"/>
                <w:b/>
                <w:bCs/>
                <w:sz w:val="20"/>
                <w:szCs w:val="20"/>
              </w:rPr>
            </w:pPr>
            <w:r w:rsidRPr="00A51456">
              <w:rPr>
                <w:rFonts w:ascii="Arial" w:hAnsi="Arial" w:cs="Arial"/>
                <w:b/>
                <w:bCs/>
                <w:color w:val="000000"/>
                <w:sz w:val="20"/>
                <w:szCs w:val="20"/>
              </w:rPr>
              <w:t>Competitive rivalry</w:t>
            </w:r>
          </w:p>
        </w:tc>
        <w:tc>
          <w:tcPr>
            <w:tcW w:w="6726" w:type="dxa"/>
            <w:tcMar>
              <w:top w:w="80" w:type="dxa"/>
              <w:left w:w="100" w:type="dxa"/>
              <w:bottom w:w="80" w:type="dxa"/>
              <w:right w:w="100" w:type="dxa"/>
            </w:tcMar>
            <w:vAlign w:val="center"/>
          </w:tcPr>
          <w:p w14:paraId="30318B7E" w14:textId="77777777" w:rsidR="00CF3959" w:rsidRPr="00A51456" w:rsidRDefault="00CF3959" w:rsidP="005C0088">
            <w:pPr>
              <w:rPr>
                <w:rFonts w:ascii="Arial" w:hAnsi="Arial" w:cs="Arial"/>
                <w:sz w:val="18"/>
                <w:szCs w:val="18"/>
              </w:rPr>
            </w:pPr>
            <w:r w:rsidRPr="00A51456">
              <w:rPr>
                <w:rFonts w:ascii="Arial" w:hAnsi="Arial" w:cs="Arial"/>
                <w:color w:val="000000"/>
                <w:sz w:val="18"/>
                <w:szCs w:val="18"/>
              </w:rPr>
              <w:t>Intense – Costa's scale leadership, Greggs' rapid value-led growth, and independents' quality positioning squeeze Starbucks from multiple directions – differentiation must be visibly superior, not merely claimed.</w:t>
            </w:r>
          </w:p>
        </w:tc>
      </w:tr>
    </w:tbl>
    <w:p w14:paraId="4837EA22" w14:textId="77777777" w:rsidR="00CF3959" w:rsidRDefault="00CF3959" w:rsidP="00CF3959">
      <w:pPr>
        <w:spacing w:before="80" w:after="240"/>
        <w:jc w:val="center"/>
        <w:rPr>
          <w:rFonts w:ascii="Arial" w:hAnsi="Arial" w:cs="Arial"/>
          <w:i/>
          <w:iCs/>
          <w:color w:val="444444"/>
        </w:rPr>
      </w:pPr>
      <w:r w:rsidRPr="003F6B4B">
        <w:rPr>
          <w:rFonts w:ascii="Arial" w:hAnsi="Arial" w:cs="Arial"/>
          <w:i/>
          <w:iCs/>
          <w:color w:val="444444"/>
        </w:rPr>
        <w:t>Table 5: Porter's Five Forces – UK Branded Coffee Shop Market</w:t>
      </w:r>
    </w:p>
    <w:p w14:paraId="6E704177" w14:textId="77777777" w:rsidR="00430553" w:rsidRPr="003F6B4B" w:rsidRDefault="00430553" w:rsidP="00CF3959">
      <w:pPr>
        <w:spacing w:before="80" w:after="240"/>
        <w:jc w:val="center"/>
        <w:rPr>
          <w:rFonts w:ascii="Arial" w:hAnsi="Arial" w:cs="Arial"/>
        </w:rPr>
      </w:pPr>
    </w:p>
    <w:p w14:paraId="241DF7CA" w14:textId="77777777" w:rsidR="00CF3959" w:rsidRPr="003F6B4B" w:rsidRDefault="00CF3959" w:rsidP="00962455">
      <w:pPr>
        <w:spacing w:after="160" w:line="360" w:lineRule="auto"/>
        <w:jc w:val="both"/>
        <w:rPr>
          <w:rFonts w:ascii="Arial" w:hAnsi="Arial" w:cs="Arial"/>
        </w:rPr>
      </w:pPr>
      <w:r w:rsidRPr="003F6B4B">
        <w:rPr>
          <w:rFonts w:ascii="Arial" w:hAnsi="Arial" w:cs="Arial"/>
        </w:rPr>
        <w:t>The Five Forces analysis confirms that price-based competition would be value-destroying for Starbucks UK given high buyer power and substitute availability, validating differentiation as the only strategy consistent with the firm's resource base and the industry structure.</w:t>
      </w: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6726"/>
      </w:tblGrid>
      <w:tr w:rsidR="00CF3959" w:rsidRPr="003F6B4B" w14:paraId="203B524B" w14:textId="77777777" w:rsidTr="005C0088">
        <w:tc>
          <w:tcPr>
            <w:tcW w:w="2200" w:type="dxa"/>
            <w:shd w:val="clear" w:color="auto" w:fill="00704A"/>
            <w:tcMar>
              <w:top w:w="80" w:type="dxa"/>
              <w:left w:w="100" w:type="dxa"/>
              <w:bottom w:w="80" w:type="dxa"/>
              <w:right w:w="100" w:type="dxa"/>
            </w:tcMar>
            <w:vAlign w:val="center"/>
          </w:tcPr>
          <w:p w14:paraId="2CB7C744" w14:textId="77777777" w:rsidR="00CF3959" w:rsidRPr="003F6B4B" w:rsidRDefault="00CF3959" w:rsidP="005C0088">
            <w:pPr>
              <w:rPr>
                <w:rFonts w:ascii="Arial" w:hAnsi="Arial" w:cs="Arial"/>
              </w:rPr>
            </w:pPr>
            <w:r w:rsidRPr="003F6B4B">
              <w:rPr>
                <w:rFonts w:ascii="Arial" w:hAnsi="Arial" w:cs="Arial"/>
                <w:b/>
                <w:bCs/>
                <w:color w:val="FFFFFF"/>
              </w:rPr>
              <w:t>Ansoff quadrant</w:t>
            </w:r>
          </w:p>
        </w:tc>
        <w:tc>
          <w:tcPr>
            <w:tcW w:w="6726" w:type="dxa"/>
            <w:shd w:val="clear" w:color="auto" w:fill="00704A"/>
            <w:tcMar>
              <w:top w:w="80" w:type="dxa"/>
              <w:left w:w="100" w:type="dxa"/>
              <w:bottom w:w="80" w:type="dxa"/>
              <w:right w:w="100" w:type="dxa"/>
            </w:tcMar>
            <w:vAlign w:val="center"/>
          </w:tcPr>
          <w:p w14:paraId="21644F1A" w14:textId="77777777" w:rsidR="00CF3959" w:rsidRPr="003F6B4B" w:rsidRDefault="00CF3959" w:rsidP="005C0088">
            <w:pPr>
              <w:rPr>
                <w:rFonts w:ascii="Arial" w:hAnsi="Arial" w:cs="Arial"/>
              </w:rPr>
            </w:pPr>
            <w:r w:rsidRPr="003F6B4B">
              <w:rPr>
                <w:rFonts w:ascii="Arial" w:hAnsi="Arial" w:cs="Arial"/>
                <w:b/>
                <w:bCs/>
                <w:color w:val="FFFFFF"/>
              </w:rPr>
              <w:t>Application to Starbucks UK and recommended priority</w:t>
            </w:r>
          </w:p>
        </w:tc>
      </w:tr>
      <w:tr w:rsidR="00CF3959" w:rsidRPr="003F6B4B" w14:paraId="0680B873" w14:textId="77777777" w:rsidTr="005C0088">
        <w:tc>
          <w:tcPr>
            <w:tcW w:w="2200" w:type="dxa"/>
            <w:tcMar>
              <w:top w:w="80" w:type="dxa"/>
              <w:left w:w="100" w:type="dxa"/>
              <w:bottom w:w="80" w:type="dxa"/>
              <w:right w:w="100" w:type="dxa"/>
            </w:tcMar>
            <w:vAlign w:val="center"/>
          </w:tcPr>
          <w:p w14:paraId="1ED0C36A" w14:textId="77777777" w:rsidR="00CF3959" w:rsidRPr="00A51456" w:rsidRDefault="00CF3959" w:rsidP="005C0088">
            <w:pPr>
              <w:rPr>
                <w:rFonts w:ascii="Arial" w:hAnsi="Arial" w:cs="Arial"/>
                <w:b/>
                <w:bCs/>
                <w:sz w:val="18"/>
                <w:szCs w:val="18"/>
              </w:rPr>
            </w:pPr>
            <w:r w:rsidRPr="00A51456">
              <w:rPr>
                <w:rFonts w:ascii="Arial" w:hAnsi="Arial" w:cs="Arial"/>
                <w:b/>
                <w:bCs/>
                <w:color w:val="000000"/>
                <w:sz w:val="18"/>
                <w:szCs w:val="18"/>
              </w:rPr>
              <w:t>Market penetration (existing products, existing markets)</w:t>
            </w:r>
          </w:p>
        </w:tc>
        <w:tc>
          <w:tcPr>
            <w:tcW w:w="6726" w:type="dxa"/>
            <w:tcMar>
              <w:top w:w="80" w:type="dxa"/>
              <w:left w:w="100" w:type="dxa"/>
              <w:bottom w:w="80" w:type="dxa"/>
              <w:right w:w="100" w:type="dxa"/>
            </w:tcMar>
            <w:vAlign w:val="center"/>
          </w:tcPr>
          <w:p w14:paraId="49E58DE0" w14:textId="77777777" w:rsidR="00CF3959" w:rsidRPr="00A51456" w:rsidRDefault="00CF3959" w:rsidP="005C0088">
            <w:pPr>
              <w:rPr>
                <w:rFonts w:ascii="Arial" w:hAnsi="Arial" w:cs="Arial"/>
                <w:sz w:val="18"/>
                <w:szCs w:val="18"/>
              </w:rPr>
            </w:pPr>
            <w:r w:rsidRPr="00A51456">
              <w:rPr>
                <w:rFonts w:ascii="Arial" w:hAnsi="Arial" w:cs="Arial"/>
                <w:color w:val="000000"/>
                <w:sz w:val="18"/>
                <w:szCs w:val="18"/>
              </w:rPr>
              <w:t>Priority 1 (immediate). Deepen share within the existing UK estate via the Starbucks Rewards app, AI-personalised offers, and “Back to Starbucks” service improvements to increase visit frequency and basket size without new capital-intensive expansion.</w:t>
            </w:r>
          </w:p>
        </w:tc>
      </w:tr>
      <w:tr w:rsidR="00CF3959" w:rsidRPr="003F6B4B" w14:paraId="5ECCFF6B" w14:textId="77777777" w:rsidTr="005C0088">
        <w:tc>
          <w:tcPr>
            <w:tcW w:w="2200" w:type="dxa"/>
            <w:shd w:val="clear" w:color="auto" w:fill="EFF6F3"/>
            <w:tcMar>
              <w:top w:w="80" w:type="dxa"/>
              <w:left w:w="100" w:type="dxa"/>
              <w:bottom w:w="80" w:type="dxa"/>
              <w:right w:w="100" w:type="dxa"/>
            </w:tcMar>
            <w:vAlign w:val="center"/>
          </w:tcPr>
          <w:p w14:paraId="1330C0BD" w14:textId="77777777" w:rsidR="00CF3959" w:rsidRPr="00A51456" w:rsidRDefault="00CF3959" w:rsidP="005C0088">
            <w:pPr>
              <w:rPr>
                <w:rFonts w:ascii="Arial" w:hAnsi="Arial" w:cs="Arial"/>
                <w:b/>
                <w:bCs/>
                <w:sz w:val="18"/>
                <w:szCs w:val="18"/>
              </w:rPr>
            </w:pPr>
            <w:r w:rsidRPr="00A51456">
              <w:rPr>
                <w:rFonts w:ascii="Arial" w:hAnsi="Arial" w:cs="Arial"/>
                <w:b/>
                <w:bCs/>
                <w:color w:val="000000"/>
                <w:sz w:val="18"/>
                <w:szCs w:val="18"/>
              </w:rPr>
              <w:t>Product development (new products, existing markets)</w:t>
            </w:r>
          </w:p>
        </w:tc>
        <w:tc>
          <w:tcPr>
            <w:tcW w:w="6726" w:type="dxa"/>
            <w:shd w:val="clear" w:color="auto" w:fill="EFF6F3"/>
            <w:tcMar>
              <w:top w:w="80" w:type="dxa"/>
              <w:left w:w="100" w:type="dxa"/>
              <w:bottom w:w="80" w:type="dxa"/>
              <w:right w:w="100" w:type="dxa"/>
            </w:tcMar>
            <w:vAlign w:val="center"/>
          </w:tcPr>
          <w:p w14:paraId="505EC589" w14:textId="77777777" w:rsidR="00CF3959" w:rsidRPr="00A51456" w:rsidRDefault="00CF3959" w:rsidP="005C0088">
            <w:pPr>
              <w:rPr>
                <w:rFonts w:ascii="Arial" w:hAnsi="Arial" w:cs="Arial"/>
                <w:sz w:val="18"/>
                <w:szCs w:val="18"/>
              </w:rPr>
            </w:pPr>
            <w:r w:rsidRPr="00A51456">
              <w:rPr>
                <w:rFonts w:ascii="Arial" w:hAnsi="Arial" w:cs="Arial"/>
                <w:color w:val="000000"/>
                <w:sz w:val="18"/>
                <w:szCs w:val="18"/>
              </w:rPr>
              <w:t>Priority 2 (12–24 months). Expand plant-based, health-forward and limited-time ranges to capture social/health trends identified in the PESTEL analysis, protecting premium price points.</w:t>
            </w:r>
          </w:p>
        </w:tc>
      </w:tr>
      <w:tr w:rsidR="00CF3959" w:rsidRPr="003F6B4B" w14:paraId="48456B52" w14:textId="77777777" w:rsidTr="005C0088">
        <w:tc>
          <w:tcPr>
            <w:tcW w:w="2200" w:type="dxa"/>
            <w:tcMar>
              <w:top w:w="80" w:type="dxa"/>
              <w:left w:w="100" w:type="dxa"/>
              <w:bottom w:w="80" w:type="dxa"/>
              <w:right w:w="100" w:type="dxa"/>
            </w:tcMar>
            <w:vAlign w:val="center"/>
          </w:tcPr>
          <w:p w14:paraId="796FA63A" w14:textId="77777777" w:rsidR="00CF3959" w:rsidRPr="00A51456" w:rsidRDefault="00CF3959" w:rsidP="005C0088">
            <w:pPr>
              <w:rPr>
                <w:rFonts w:ascii="Arial" w:hAnsi="Arial" w:cs="Arial"/>
                <w:b/>
                <w:bCs/>
                <w:sz w:val="18"/>
                <w:szCs w:val="18"/>
              </w:rPr>
            </w:pPr>
            <w:r w:rsidRPr="00A51456">
              <w:rPr>
                <w:rFonts w:ascii="Arial" w:hAnsi="Arial" w:cs="Arial"/>
                <w:b/>
                <w:bCs/>
                <w:color w:val="000000"/>
                <w:sz w:val="18"/>
                <w:szCs w:val="18"/>
              </w:rPr>
              <w:t>Market development (existing products, new markets)</w:t>
            </w:r>
          </w:p>
        </w:tc>
        <w:tc>
          <w:tcPr>
            <w:tcW w:w="6726" w:type="dxa"/>
            <w:tcMar>
              <w:top w:w="80" w:type="dxa"/>
              <w:left w:w="100" w:type="dxa"/>
              <w:bottom w:w="80" w:type="dxa"/>
              <w:right w:w="100" w:type="dxa"/>
            </w:tcMar>
            <w:vAlign w:val="center"/>
          </w:tcPr>
          <w:p w14:paraId="4B48F0A9" w14:textId="77777777" w:rsidR="00CF3959" w:rsidRPr="00A51456" w:rsidRDefault="00CF3959" w:rsidP="005C0088">
            <w:pPr>
              <w:rPr>
                <w:rFonts w:ascii="Arial" w:hAnsi="Arial" w:cs="Arial"/>
                <w:sz w:val="18"/>
                <w:szCs w:val="18"/>
              </w:rPr>
            </w:pPr>
            <w:r w:rsidRPr="00A51456">
              <w:rPr>
                <w:rFonts w:ascii="Arial" w:hAnsi="Arial" w:cs="Arial"/>
                <w:color w:val="000000"/>
                <w:sz w:val="18"/>
                <w:szCs w:val="18"/>
              </w:rPr>
              <w:t>Priority 3 (selective, 24+ months). Targeted openings in recovering high-footfall UK cities (e.g. Edinburgh, York, Cambridge) and transport hubs, informed by footfall data rather than blanket expansion.</w:t>
            </w:r>
          </w:p>
        </w:tc>
      </w:tr>
      <w:tr w:rsidR="00CF3959" w:rsidRPr="003F6B4B" w14:paraId="04DDD3E5" w14:textId="77777777" w:rsidTr="005C0088">
        <w:tc>
          <w:tcPr>
            <w:tcW w:w="2200" w:type="dxa"/>
            <w:shd w:val="clear" w:color="auto" w:fill="EFF6F3"/>
            <w:tcMar>
              <w:top w:w="80" w:type="dxa"/>
              <w:left w:w="100" w:type="dxa"/>
              <w:bottom w:w="80" w:type="dxa"/>
              <w:right w:w="100" w:type="dxa"/>
            </w:tcMar>
            <w:vAlign w:val="center"/>
          </w:tcPr>
          <w:p w14:paraId="2A330028" w14:textId="77777777" w:rsidR="00CF3959" w:rsidRPr="00A51456" w:rsidRDefault="00CF3959" w:rsidP="005C0088">
            <w:pPr>
              <w:rPr>
                <w:rFonts w:ascii="Arial" w:hAnsi="Arial" w:cs="Arial"/>
                <w:b/>
                <w:bCs/>
                <w:sz w:val="18"/>
                <w:szCs w:val="18"/>
              </w:rPr>
            </w:pPr>
            <w:r w:rsidRPr="00A51456">
              <w:rPr>
                <w:rFonts w:ascii="Arial" w:hAnsi="Arial" w:cs="Arial"/>
                <w:b/>
                <w:bCs/>
                <w:color w:val="000000"/>
                <w:sz w:val="18"/>
                <w:szCs w:val="18"/>
              </w:rPr>
              <w:t>Diversification (new products, new markets)</w:t>
            </w:r>
          </w:p>
        </w:tc>
        <w:tc>
          <w:tcPr>
            <w:tcW w:w="6726" w:type="dxa"/>
            <w:shd w:val="clear" w:color="auto" w:fill="EFF6F3"/>
            <w:tcMar>
              <w:top w:w="80" w:type="dxa"/>
              <w:left w:w="100" w:type="dxa"/>
              <w:bottom w:w="80" w:type="dxa"/>
              <w:right w:w="100" w:type="dxa"/>
            </w:tcMar>
            <w:vAlign w:val="center"/>
          </w:tcPr>
          <w:p w14:paraId="0199D06F" w14:textId="77777777" w:rsidR="00CF3959" w:rsidRPr="00A51456" w:rsidRDefault="00CF3959" w:rsidP="005C0088">
            <w:pPr>
              <w:rPr>
                <w:rFonts w:ascii="Arial" w:hAnsi="Arial" w:cs="Arial"/>
                <w:sz w:val="18"/>
                <w:szCs w:val="18"/>
              </w:rPr>
            </w:pPr>
            <w:r w:rsidRPr="00A51456">
              <w:rPr>
                <w:rFonts w:ascii="Arial" w:hAnsi="Arial" w:cs="Arial"/>
                <w:color w:val="000000"/>
                <w:sz w:val="18"/>
                <w:szCs w:val="18"/>
              </w:rPr>
              <w:t>Not recommended currently. Given the existing UK operating loss, unrelated diversification would dilute management attention and capital better directed at fixing the core estate.</w:t>
            </w:r>
          </w:p>
        </w:tc>
      </w:tr>
    </w:tbl>
    <w:p w14:paraId="4D16BA0E" w14:textId="77777777" w:rsidR="00CF3959" w:rsidRPr="003F6B4B" w:rsidRDefault="00CF3959" w:rsidP="00CF3959">
      <w:pPr>
        <w:spacing w:before="80" w:after="240"/>
        <w:jc w:val="center"/>
        <w:rPr>
          <w:rFonts w:ascii="Arial" w:hAnsi="Arial" w:cs="Arial"/>
        </w:rPr>
      </w:pPr>
      <w:r w:rsidRPr="003F6B4B">
        <w:rPr>
          <w:rFonts w:ascii="Arial" w:hAnsi="Arial" w:cs="Arial"/>
          <w:i/>
          <w:iCs/>
          <w:color w:val="444444"/>
        </w:rPr>
        <w:t>Table 6: Ansoff Matrix – Growth Sequencing for Starbucks UK</w:t>
      </w:r>
    </w:p>
    <w:p w14:paraId="7BEC8376" w14:textId="77777777" w:rsidR="00CF3959" w:rsidRPr="003F6B4B" w:rsidRDefault="00CF3959" w:rsidP="00CF3959">
      <w:pPr>
        <w:spacing w:after="160" w:line="360" w:lineRule="auto"/>
        <w:jc w:val="both"/>
        <w:rPr>
          <w:rFonts w:ascii="Arial" w:hAnsi="Arial" w:cs="Arial"/>
        </w:rPr>
      </w:pPr>
      <w:r w:rsidRPr="003F6B4B">
        <w:rPr>
          <w:rFonts w:ascii="Arial" w:hAnsi="Arial" w:cs="Arial"/>
        </w:rPr>
        <w:t>Sequencing growth through the Ansoff Matrix ensures Starbucks UK consolidates profitability in its core estate (market penetration) before committing further capital to expansion, aligning strategic ambition with the financial discipline demanded by the Balanced Scorecard's Financial perspective.</w:t>
      </w:r>
    </w:p>
    <w:p w14:paraId="3B7C3C54" w14:textId="77777777" w:rsidR="00CF3959" w:rsidRPr="00430553" w:rsidRDefault="00CF3959" w:rsidP="00CF3959">
      <w:pPr>
        <w:pStyle w:val="Heading2"/>
        <w:spacing w:before="300" w:after="150"/>
        <w:rPr>
          <w:rFonts w:ascii="Arial" w:hAnsi="Arial" w:cs="Arial"/>
          <w:sz w:val="28"/>
          <w:szCs w:val="28"/>
        </w:rPr>
      </w:pPr>
      <w:bookmarkStart w:id="12" w:name="_Toc234881559"/>
      <w:r w:rsidRPr="00324539">
        <w:rPr>
          <w:rFonts w:ascii="Arial" w:hAnsi="Arial" w:cs="Arial"/>
          <w:b/>
          <w:bCs/>
          <w:color w:val="196B24" w:themeColor="accent3"/>
          <w:sz w:val="28"/>
          <w:szCs w:val="28"/>
        </w:rPr>
        <w:t>4.3 Delivering Optimum Performance and Competitive Advantage</w:t>
      </w:r>
      <w:bookmarkEnd w:id="12"/>
    </w:p>
    <w:p w14:paraId="2823431A" w14:textId="77777777" w:rsidR="00CF3959" w:rsidRPr="003F6B4B" w:rsidRDefault="00CF3959" w:rsidP="00CF3959">
      <w:pPr>
        <w:spacing w:after="160" w:line="360" w:lineRule="auto"/>
        <w:jc w:val="both"/>
        <w:rPr>
          <w:rFonts w:ascii="Arial" w:hAnsi="Arial" w:cs="Arial"/>
        </w:rPr>
      </w:pPr>
      <w:r w:rsidRPr="003F6B4B">
        <w:rPr>
          <w:rFonts w:ascii="Arial" w:hAnsi="Arial" w:cs="Arial"/>
        </w:rPr>
        <w:t xml:space="preserve">This differentiation strategy delivers competitive advantage by reinforcing precisely the resources the VRIO analysis identified as sustained advantages – brand equity and prime real estate – while using digital and process investment (Internal Business Processes perspective of the Balanced Scorecard) to address the cost-base weakness that erodes profitability. A relevant real-world precedent is CEO Brian Niccol's earlier turnaround of Chipotle Mexican Grill, where menu simplification and faster, more consistent service restored differentiation-based growth without resorting to discounting; the “Back to Starbucks” plan applies the same logic to Starbucks globally, and early FY2026 results (4% global comparable sales growth) suggest the approach is gaining traction (CNBC, 2026). Applied specifically to the UK, the combination of loyalty-driven market penetration, disciplined cost management and </w:t>
      </w:r>
      <w:r w:rsidRPr="003F6B4B">
        <w:rPr>
          <w:rFonts w:ascii="Arial" w:hAnsi="Arial" w:cs="Arial"/>
        </w:rPr>
        <w:lastRenderedPageBreak/>
        <w:t>selective, data-led expansion should allow Starbucks UK to defend its premium price position while narrowing its operating loss.</w:t>
      </w:r>
    </w:p>
    <w:p w14:paraId="6BD1F517" w14:textId="77777777" w:rsidR="00CF3959" w:rsidRPr="00430553" w:rsidRDefault="00CF3959" w:rsidP="00CF3959">
      <w:pPr>
        <w:pStyle w:val="Heading2"/>
        <w:spacing w:before="300" w:after="150"/>
        <w:rPr>
          <w:rFonts w:ascii="Arial" w:hAnsi="Arial" w:cs="Arial"/>
          <w:sz w:val="28"/>
          <w:szCs w:val="28"/>
        </w:rPr>
      </w:pPr>
      <w:bookmarkStart w:id="13" w:name="_Toc234881560"/>
      <w:r w:rsidRPr="00324539">
        <w:rPr>
          <w:rFonts w:ascii="Arial" w:hAnsi="Arial" w:cs="Arial"/>
          <w:b/>
          <w:bCs/>
          <w:color w:val="196B24" w:themeColor="accent3"/>
          <w:sz w:val="28"/>
          <w:szCs w:val="28"/>
        </w:rPr>
        <w:t>4.4 Implementation Challenges and Mitigations</w:t>
      </w:r>
      <w:bookmarkEnd w:id="13"/>
    </w:p>
    <w:p w14:paraId="70B4597B" w14:textId="77777777" w:rsidR="00CF3959" w:rsidRPr="003F6B4B" w:rsidRDefault="00CF3959" w:rsidP="00CF3959">
      <w:pPr>
        <w:spacing w:after="160" w:line="360" w:lineRule="auto"/>
        <w:jc w:val="both"/>
        <w:rPr>
          <w:rFonts w:ascii="Arial" w:hAnsi="Arial" w:cs="Arial"/>
        </w:rPr>
      </w:pPr>
      <w:r w:rsidRPr="003F6B4B">
        <w:rPr>
          <w:rFonts w:ascii="Arial" w:hAnsi="Arial" w:cs="Arial"/>
        </w:rPr>
        <w:t>Three implementation risks are salient. First, continued input and labour cost inflation could outpace efficiency gains; this can be mitigated through coffee price hedging and phased, KPI-monitored rollout of the Back to Starbucks reset rather than a single large-scale change programme. Second, further store closures or restructuring risk deepening employee-relations conflict with Workers United, as the mini case study in Section 3.1 illustrated; the Board should adopt transparent, proactive union engagement and a fair, well-communicated consultation process to protect brand reputation. Third, execution risk in large-scale technology and store-redesign rollouts could disrupt operations; piloting changes in a representative subset of stores, then scaling only once KPIs (Section 3.2) confirm success, will reduce this risk while generating an evidence base for the Board.</w:t>
      </w:r>
    </w:p>
    <w:p w14:paraId="51D9B3B3" w14:textId="77777777" w:rsidR="00CF3959" w:rsidRPr="003F6B4B" w:rsidRDefault="00CF3959" w:rsidP="00CF3959">
      <w:pPr>
        <w:spacing w:after="160" w:line="360" w:lineRule="auto"/>
        <w:jc w:val="both"/>
        <w:rPr>
          <w:rFonts w:ascii="Arial" w:hAnsi="Arial" w:cs="Arial"/>
        </w:rPr>
      </w:pPr>
      <w:r w:rsidRPr="003F6B4B">
        <w:rPr>
          <w:rFonts w:ascii="Arial" w:hAnsi="Arial" w:cs="Arial"/>
        </w:rPr>
        <w:t>Kotter's (1996) eight-step model for leading change offers the Board a practical implementation discipline for managing these risks. Establishing a genuine sense of urgency around the FY2025 operating loss, building a guiding coalition that includes UK store-level management and, where appropriate, union representatives, and generating visible short-term wins from early pilot stores would all reduce the risk of the reset stalling – a common failure mode Kotter identifies when change is announced top-down without embedding it in day-to-day store practice. Anchoring the changes in the Learning &amp; Growth perspective of the Balanced Scorecard (Section 3.2) – rather than treating them as a one-off restructuring exercise – would help ensure the gains from “Back to Starbucks” are sustained rather than eroding once initial cost-cutting pressure eases.</w:t>
      </w:r>
    </w:p>
    <w:p w14:paraId="27CFC926" w14:textId="77777777" w:rsidR="00CF3959" w:rsidRPr="003F6B4B" w:rsidRDefault="00CF3959" w:rsidP="00CF3959">
      <w:pPr>
        <w:spacing w:line="360" w:lineRule="auto"/>
        <w:rPr>
          <w:rFonts w:ascii="Arial" w:hAnsi="Arial" w:cs="Arial"/>
        </w:rPr>
      </w:pPr>
      <w:r w:rsidRPr="003F6B4B">
        <w:rPr>
          <w:rFonts w:ascii="Arial" w:hAnsi="Arial" w:cs="Arial"/>
        </w:rPr>
        <w:br w:type="page"/>
      </w:r>
    </w:p>
    <w:p w14:paraId="69647897" w14:textId="77777777" w:rsidR="00CF3959" w:rsidRPr="00430553" w:rsidRDefault="00CF3959" w:rsidP="00CF3959">
      <w:pPr>
        <w:pStyle w:val="Heading1"/>
        <w:spacing w:before="400" w:after="200"/>
        <w:rPr>
          <w:rFonts w:ascii="Arial" w:hAnsi="Arial" w:cs="Arial"/>
          <w:sz w:val="28"/>
          <w:szCs w:val="28"/>
        </w:rPr>
      </w:pPr>
      <w:bookmarkStart w:id="14" w:name="_Toc234881561"/>
      <w:r w:rsidRPr="00430553">
        <w:rPr>
          <w:rFonts w:ascii="Arial" w:hAnsi="Arial" w:cs="Arial"/>
          <w:b/>
          <w:bCs/>
          <w:color w:val="00704A"/>
          <w:sz w:val="28"/>
          <w:szCs w:val="28"/>
        </w:rPr>
        <w:lastRenderedPageBreak/>
        <w:t>Section 2: Reflecti</w:t>
      </w:r>
      <w:bookmarkEnd w:id="14"/>
      <w:r w:rsidRPr="00430553">
        <w:rPr>
          <w:rFonts w:ascii="Arial" w:hAnsi="Arial" w:cs="Arial"/>
          <w:b/>
          <w:bCs/>
          <w:color w:val="00704A"/>
          <w:sz w:val="28"/>
          <w:szCs w:val="28"/>
        </w:rPr>
        <w:t>on</w:t>
      </w:r>
    </w:p>
    <w:p w14:paraId="32642886" w14:textId="6718A5F5" w:rsidR="00CF3959" w:rsidRPr="00F3733C" w:rsidRDefault="00CF3959" w:rsidP="00F3733C">
      <w:pPr>
        <w:spacing w:after="160" w:line="360" w:lineRule="auto"/>
        <w:jc w:val="both"/>
        <w:rPr>
          <w:rFonts w:ascii="Arial" w:hAnsi="Arial" w:cs="Arial"/>
        </w:rPr>
      </w:pPr>
      <w:r w:rsidRPr="003F6B4B">
        <w:rPr>
          <w:rFonts w:ascii="Arial" w:hAnsi="Arial" w:cs="Arial"/>
        </w:rPr>
        <w:t>This reflection uses Gibbs' (1988) Reflective Cycle – Description, Feelings, Evaluation, Analysis, Conclusion and Action Plan – to critically consider the process of researching, analysing and preparing the Starbucks UK strategic report.</w:t>
      </w:r>
    </w:p>
    <w:p w14:paraId="3112BAF5" w14:textId="7BFB19EE" w:rsidR="00CF3959" w:rsidRPr="003F6B4B" w:rsidRDefault="00CF3959" w:rsidP="004B5E81">
      <w:pPr>
        <w:spacing w:after="160" w:line="360" w:lineRule="auto"/>
        <w:jc w:val="both"/>
        <w:rPr>
          <w:rFonts w:ascii="Arial" w:hAnsi="Arial" w:cs="Arial"/>
        </w:rPr>
      </w:pPr>
      <w:r w:rsidRPr="003F6B4B">
        <w:rPr>
          <w:rFonts w:ascii="Arial" w:hAnsi="Arial" w:cs="Arial"/>
        </w:rPr>
        <w:t xml:space="preserve">The assignment required selecting a single organisation and market, applying multiple strategic frameworks (PESTEL, VRIO, SWOT, CSR review, Balanced Scorecard, Five Forces and Ansoff's Matrix), and producing Board-ready recommendations. I chose Starbucks' UK operations because the company is well documented yet currently at a genuine strategic </w:t>
      </w:r>
      <w:r w:rsidR="004B5E81">
        <w:rPr>
          <w:rFonts w:ascii="Arial" w:hAnsi="Arial" w:cs="Arial"/>
        </w:rPr>
        <w:t>inflexion</w:t>
      </w:r>
      <w:r w:rsidRPr="003F6B4B">
        <w:rPr>
          <w:rFonts w:ascii="Arial" w:hAnsi="Arial" w:cs="Arial"/>
        </w:rPr>
        <w:t xml:space="preserve"> point – growing revenue alongside a widening operating loss – which made the analysis feel consequential rather than academic. My process began with broad orientation research (company history, mission, industry structure), before moving to targeted searches for UK-specific financial, regulatory and competitive data, and finally to synthesis across frameworks.</w:t>
      </w:r>
    </w:p>
    <w:p w14:paraId="78DF46C6" w14:textId="7FABC50D" w:rsidR="00CF3959" w:rsidRPr="003F6B4B" w:rsidRDefault="00CF3959" w:rsidP="004B5E81">
      <w:pPr>
        <w:spacing w:after="160" w:line="360" w:lineRule="auto"/>
        <w:jc w:val="both"/>
        <w:rPr>
          <w:rFonts w:ascii="Arial" w:hAnsi="Arial" w:cs="Arial"/>
        </w:rPr>
      </w:pPr>
      <w:r w:rsidRPr="003F6B4B">
        <w:rPr>
          <w:rFonts w:ascii="Arial" w:hAnsi="Arial" w:cs="Arial"/>
        </w:rPr>
        <w:t>Early in the process I felt a degree of uncertainty about scope: Starbucks is a heavily documented global brand, and it was initially tempting to default to globally available data rather than insisting on UK-specific evidence. Once I located Starbucks' UK statutory accounts and UK-focused market data (e.g. Lumina Intelligence, World Coffee Portal), I felt considerably more confident, because the analysis could be grounded in verifiable, current figures rather than generic brand narrative. Building the Balanced Scorecard was the most intellectually satisfying stage, as it required translating qualitative strategic judgements into specific, measurable KPIs – a discipline that is easy to describe in theory but harder to execute credibly in practice.</w:t>
      </w:r>
    </w:p>
    <w:p w14:paraId="28AB21A0" w14:textId="77777777" w:rsidR="00CF3959" w:rsidRPr="003F6B4B" w:rsidRDefault="00CF3959" w:rsidP="00CF3959">
      <w:pPr>
        <w:spacing w:after="160" w:line="360" w:lineRule="auto"/>
        <w:jc w:val="both"/>
        <w:rPr>
          <w:rFonts w:ascii="Arial" w:hAnsi="Arial" w:cs="Arial"/>
        </w:rPr>
      </w:pPr>
      <w:r w:rsidRPr="003F6B4B">
        <w:rPr>
          <w:rFonts w:ascii="Arial" w:hAnsi="Arial" w:cs="Arial"/>
        </w:rPr>
        <w:t>What went well was the triangulation of multiple independent sources (company disclosures, trade press, market intelligence providers) to cross-check figures such as market share and cost inflation, which reduced the risk of relying on a single, potentially biased source. What was more difficult was maintaining genuine UK specificity throughout – several sources (for example on CSR and turnaround strategy) reported at global or US level, requiring careful judgement about what could reasonably be extrapolated to the UK context versus what needed an explicit caveat. I was also conscious of the risk of confirmation bias: having identified an appealing “differentiation” narrative early, I had to consciously revisit the Five Forces and VRIO evidence to check it was not simply being used to justify a predetermined conclusion.</w:t>
      </w:r>
    </w:p>
    <w:p w14:paraId="4835CF2A" w14:textId="07D7DA6E" w:rsidR="00CF3959" w:rsidRPr="003F6B4B" w:rsidRDefault="00CF3959" w:rsidP="00AF0C67">
      <w:pPr>
        <w:spacing w:after="160" w:line="360" w:lineRule="auto"/>
        <w:jc w:val="both"/>
        <w:rPr>
          <w:rFonts w:ascii="Arial" w:hAnsi="Arial" w:cs="Arial"/>
        </w:rPr>
      </w:pPr>
      <w:r w:rsidRPr="003F6B4B">
        <w:rPr>
          <w:rFonts w:ascii="Arial" w:hAnsi="Arial" w:cs="Arial"/>
        </w:rPr>
        <w:lastRenderedPageBreak/>
        <w:t>A further evaluative point concerns currency of data: strategic management as a discipline assumes a reasonably stable evidence base, yet several of the facts underpinning this report – store closure numbers, operating losses, wage legislation – were only months old at the time of writing and are likely to be superseded again before the Board acts on any recommendation. This taught me that a Board-facing strategy report needs to state explicitly, as I have tried to do throughout, the date and source of each figure, so that the reader can judge for themselves how much has likely changed since.</w:t>
      </w:r>
    </w:p>
    <w:p w14:paraId="53596881" w14:textId="77777777" w:rsidR="00CF3959" w:rsidRPr="003F6B4B" w:rsidRDefault="00CF3959" w:rsidP="00CF3959">
      <w:pPr>
        <w:pStyle w:val="Heading2"/>
        <w:spacing w:before="300" w:after="150"/>
        <w:rPr>
          <w:rFonts w:ascii="Arial" w:hAnsi="Arial" w:cs="Arial"/>
          <w:sz w:val="22"/>
          <w:szCs w:val="22"/>
        </w:rPr>
      </w:pPr>
      <w:bookmarkStart w:id="15" w:name="_Toc234881565"/>
      <w:r w:rsidRPr="003F6B4B">
        <w:rPr>
          <w:rFonts w:ascii="Arial" w:hAnsi="Arial" w:cs="Arial"/>
          <w:b/>
          <w:bCs/>
          <w:color w:val="1E3932"/>
          <w:sz w:val="22"/>
          <w:szCs w:val="22"/>
        </w:rPr>
        <w:t>Analysis</w:t>
      </w:r>
      <w:bookmarkEnd w:id="15"/>
    </w:p>
    <w:p w14:paraId="280B0C6F" w14:textId="77777777" w:rsidR="00CF3959" w:rsidRPr="003F6B4B" w:rsidRDefault="00CF3959" w:rsidP="00CF3959">
      <w:pPr>
        <w:spacing w:after="160" w:line="360" w:lineRule="auto"/>
        <w:jc w:val="both"/>
        <w:rPr>
          <w:rFonts w:ascii="Arial" w:hAnsi="Arial" w:cs="Arial"/>
        </w:rPr>
      </w:pPr>
      <w:r w:rsidRPr="003F6B4B">
        <w:rPr>
          <w:rFonts w:ascii="Arial" w:hAnsi="Arial" w:cs="Arial"/>
        </w:rPr>
        <w:t>Using Kolb's (1984) experiential learning cycle as a complementary lens, this task moved me through concrete experience (grappling with genuinely conflicting and dispersed data sources), reflective observation (recognising where my initial assumptions about Starbucks' brand strength were not fully supported by the VRIO evidence, particularly regarding the imitability of loyalty schemes), abstract conceptualisation (understanding that frameworks are only as reliable as the evidence populating them, and that Board-level recommendations require explicit acknowledgement of data limitations), and active experimentation (deliberately structuring the report so each framework built on, and was cross-checked against, the previous one, rather than treating PESTEL, VRIO and SWOT as isolated exercises). This reinforced a core strategic management lesson: frameworks do not generate insight on their own – they are only valuable when populated with current, market-specific evidence and interrogated critically rather than applied mechanically.</w:t>
      </w:r>
    </w:p>
    <w:p w14:paraId="4AE8C38F" w14:textId="77777777" w:rsidR="00CF3959" w:rsidRPr="003F6B4B" w:rsidRDefault="00CF3959" w:rsidP="00CF3959">
      <w:pPr>
        <w:pStyle w:val="Heading2"/>
        <w:spacing w:before="300" w:after="150"/>
        <w:rPr>
          <w:rFonts w:ascii="Arial" w:hAnsi="Arial" w:cs="Arial"/>
          <w:sz w:val="22"/>
          <w:szCs w:val="22"/>
        </w:rPr>
      </w:pPr>
      <w:bookmarkStart w:id="16" w:name="_Toc234881566"/>
      <w:r w:rsidRPr="003F6B4B">
        <w:rPr>
          <w:rFonts w:ascii="Arial" w:hAnsi="Arial" w:cs="Arial"/>
          <w:b/>
          <w:bCs/>
          <w:color w:val="1E3932"/>
          <w:sz w:val="22"/>
          <w:szCs w:val="22"/>
        </w:rPr>
        <w:t>Conclusion</w:t>
      </w:r>
      <w:bookmarkEnd w:id="16"/>
    </w:p>
    <w:p w14:paraId="5EA3187E" w14:textId="77777777" w:rsidR="00CF3959" w:rsidRPr="003F6B4B" w:rsidRDefault="00CF3959" w:rsidP="00CF3959">
      <w:pPr>
        <w:spacing w:after="160" w:line="360" w:lineRule="auto"/>
        <w:jc w:val="both"/>
        <w:rPr>
          <w:rFonts w:ascii="Arial" w:hAnsi="Arial" w:cs="Arial"/>
        </w:rPr>
      </w:pPr>
      <w:r w:rsidRPr="003F6B4B">
        <w:rPr>
          <w:rFonts w:ascii="Arial" w:hAnsi="Arial" w:cs="Arial"/>
        </w:rPr>
        <w:t>Overall, the exercise strengthened my ability to integrate multiple strategic frameworks into a single, internally consistent argument rather than presenting them as disconnected checklist items, and improved my discipline around evidencing claims with dated, sourced data appropriate for a fast-moving competitive environment. I could have strengthened the analysis further with primary research (for example, interviewing UK store managers or surveying customers), which time constraints did not permit, and I should be more systematic in flagging where global data has been used as a reasonable proxy for UK-specific insight.</w:t>
      </w:r>
    </w:p>
    <w:p w14:paraId="31EF87EB" w14:textId="77777777" w:rsidR="00CF3959" w:rsidRPr="003F6B4B" w:rsidRDefault="00CF3959" w:rsidP="00CF3959">
      <w:pPr>
        <w:pStyle w:val="Heading2"/>
        <w:spacing w:before="300" w:after="150" w:line="360" w:lineRule="auto"/>
        <w:rPr>
          <w:rFonts w:ascii="Arial" w:hAnsi="Arial" w:cs="Arial"/>
          <w:sz w:val="22"/>
          <w:szCs w:val="22"/>
        </w:rPr>
      </w:pPr>
      <w:bookmarkStart w:id="17" w:name="_Toc234881567"/>
      <w:r w:rsidRPr="003F6B4B">
        <w:rPr>
          <w:rFonts w:ascii="Arial" w:hAnsi="Arial" w:cs="Arial"/>
          <w:b/>
          <w:bCs/>
          <w:color w:val="1E3932"/>
          <w:sz w:val="22"/>
          <w:szCs w:val="22"/>
        </w:rPr>
        <w:lastRenderedPageBreak/>
        <w:t>Action Plan</w:t>
      </w:r>
      <w:bookmarkEnd w:id="17"/>
    </w:p>
    <w:p w14:paraId="4D3E1CA9" w14:textId="77777777" w:rsidR="00CF3959" w:rsidRDefault="00CF3959" w:rsidP="00CF3959">
      <w:pPr>
        <w:spacing w:after="160" w:line="360" w:lineRule="auto"/>
        <w:jc w:val="both"/>
        <w:rPr>
          <w:rFonts w:ascii="Arial" w:hAnsi="Arial" w:cs="Arial"/>
        </w:rPr>
      </w:pPr>
      <w:r w:rsidRPr="003F6B4B">
        <w:rPr>
          <w:rFonts w:ascii="Arial" w:hAnsi="Arial" w:cs="Arial"/>
        </w:rPr>
        <w:t>In future strategic analyses I will, first, build a structured evidence log at the outset that records each data point's source, date and geographic scope, to make gaps and proxies visible early rather than discovering them late in the writing process; second, deliberately seek disconfirming evidence for my preferred strategic recommendation before finalising it, to guard against confirmation bias; and third, where possible, supplement secondary research with at least limited primary data collection to strengthen the practical credibility of Board-facing recommendations.</w:t>
      </w:r>
    </w:p>
    <w:p w14:paraId="68530134" w14:textId="77777777" w:rsidR="001367B0" w:rsidRDefault="001367B0" w:rsidP="00CF3959">
      <w:pPr>
        <w:spacing w:after="160" w:line="360" w:lineRule="auto"/>
        <w:jc w:val="both"/>
        <w:rPr>
          <w:rFonts w:ascii="Arial" w:hAnsi="Arial" w:cs="Arial"/>
        </w:rPr>
      </w:pPr>
    </w:p>
    <w:p w14:paraId="2ABAC236" w14:textId="77777777" w:rsidR="006063A4" w:rsidRDefault="006063A4" w:rsidP="00CF3959">
      <w:pPr>
        <w:spacing w:after="160" w:line="360" w:lineRule="auto"/>
        <w:jc w:val="both"/>
        <w:rPr>
          <w:rFonts w:ascii="Arial" w:hAnsi="Arial" w:cs="Arial"/>
        </w:rPr>
      </w:pPr>
    </w:p>
    <w:p w14:paraId="34C44581" w14:textId="77777777" w:rsidR="006063A4" w:rsidRDefault="006063A4" w:rsidP="00CF3959">
      <w:pPr>
        <w:spacing w:after="160" w:line="360" w:lineRule="auto"/>
        <w:jc w:val="both"/>
        <w:rPr>
          <w:rFonts w:ascii="Arial" w:hAnsi="Arial" w:cs="Arial"/>
        </w:rPr>
      </w:pPr>
    </w:p>
    <w:p w14:paraId="66084B2C" w14:textId="77777777" w:rsidR="006063A4" w:rsidRDefault="006063A4" w:rsidP="00CF3959">
      <w:pPr>
        <w:spacing w:after="160" w:line="360" w:lineRule="auto"/>
        <w:jc w:val="both"/>
        <w:rPr>
          <w:rFonts w:ascii="Arial" w:hAnsi="Arial" w:cs="Arial"/>
        </w:rPr>
      </w:pPr>
    </w:p>
    <w:p w14:paraId="2E7E28A4" w14:textId="77777777" w:rsidR="006063A4" w:rsidRDefault="006063A4" w:rsidP="00CF3959">
      <w:pPr>
        <w:spacing w:after="160" w:line="360" w:lineRule="auto"/>
        <w:jc w:val="both"/>
        <w:rPr>
          <w:rFonts w:ascii="Arial" w:hAnsi="Arial" w:cs="Arial"/>
        </w:rPr>
      </w:pPr>
    </w:p>
    <w:p w14:paraId="6D1748A4" w14:textId="77777777" w:rsidR="00C967ED" w:rsidRDefault="00C967ED" w:rsidP="00CF3959">
      <w:pPr>
        <w:spacing w:after="160" w:line="360" w:lineRule="auto"/>
        <w:jc w:val="both"/>
        <w:rPr>
          <w:rFonts w:ascii="Arial" w:hAnsi="Arial" w:cs="Arial"/>
        </w:rPr>
      </w:pPr>
    </w:p>
    <w:p w14:paraId="15280945" w14:textId="77777777" w:rsidR="00C967ED" w:rsidRDefault="00C967ED" w:rsidP="00CF3959">
      <w:pPr>
        <w:spacing w:after="160" w:line="360" w:lineRule="auto"/>
        <w:jc w:val="both"/>
        <w:rPr>
          <w:rFonts w:ascii="Arial" w:hAnsi="Arial" w:cs="Arial"/>
        </w:rPr>
      </w:pPr>
    </w:p>
    <w:p w14:paraId="02ECC51E" w14:textId="77777777" w:rsidR="00C967ED" w:rsidRDefault="00C967ED" w:rsidP="00CF3959">
      <w:pPr>
        <w:spacing w:after="160" w:line="360" w:lineRule="auto"/>
        <w:jc w:val="both"/>
        <w:rPr>
          <w:rFonts w:ascii="Arial" w:hAnsi="Arial" w:cs="Arial"/>
        </w:rPr>
      </w:pPr>
    </w:p>
    <w:p w14:paraId="1678557D" w14:textId="77777777" w:rsidR="00C967ED" w:rsidRDefault="00C967ED" w:rsidP="00CF3959">
      <w:pPr>
        <w:spacing w:after="160" w:line="360" w:lineRule="auto"/>
        <w:jc w:val="both"/>
        <w:rPr>
          <w:rFonts w:ascii="Arial" w:hAnsi="Arial" w:cs="Arial"/>
        </w:rPr>
      </w:pPr>
    </w:p>
    <w:p w14:paraId="590CEF75" w14:textId="77777777" w:rsidR="00C967ED" w:rsidRDefault="00C967ED" w:rsidP="00CF3959">
      <w:pPr>
        <w:spacing w:after="160" w:line="360" w:lineRule="auto"/>
        <w:jc w:val="both"/>
        <w:rPr>
          <w:rFonts w:ascii="Arial" w:hAnsi="Arial" w:cs="Arial"/>
        </w:rPr>
      </w:pPr>
    </w:p>
    <w:p w14:paraId="6E6D763E" w14:textId="77777777" w:rsidR="00C967ED" w:rsidRDefault="00C967ED" w:rsidP="00CF3959">
      <w:pPr>
        <w:spacing w:after="160" w:line="360" w:lineRule="auto"/>
        <w:jc w:val="both"/>
        <w:rPr>
          <w:rFonts w:ascii="Arial" w:hAnsi="Arial" w:cs="Arial"/>
        </w:rPr>
      </w:pPr>
    </w:p>
    <w:p w14:paraId="11A5C2A5" w14:textId="77777777" w:rsidR="00C967ED" w:rsidRDefault="00C967ED" w:rsidP="00CF3959">
      <w:pPr>
        <w:spacing w:after="160" w:line="360" w:lineRule="auto"/>
        <w:jc w:val="both"/>
        <w:rPr>
          <w:rFonts w:ascii="Arial" w:hAnsi="Arial" w:cs="Arial"/>
        </w:rPr>
      </w:pPr>
    </w:p>
    <w:p w14:paraId="2AC140A2" w14:textId="77777777" w:rsidR="00C967ED" w:rsidRDefault="00C967ED" w:rsidP="00CF3959">
      <w:pPr>
        <w:spacing w:after="160" w:line="360" w:lineRule="auto"/>
        <w:jc w:val="both"/>
        <w:rPr>
          <w:rFonts w:ascii="Arial" w:hAnsi="Arial" w:cs="Arial"/>
        </w:rPr>
      </w:pPr>
    </w:p>
    <w:p w14:paraId="260EB0A9" w14:textId="77777777" w:rsidR="00C967ED" w:rsidRDefault="00C967ED" w:rsidP="00CF3959">
      <w:pPr>
        <w:spacing w:after="160" w:line="360" w:lineRule="auto"/>
        <w:jc w:val="both"/>
        <w:rPr>
          <w:rFonts w:ascii="Arial" w:hAnsi="Arial" w:cs="Arial"/>
        </w:rPr>
      </w:pPr>
    </w:p>
    <w:p w14:paraId="0EBEB3A3" w14:textId="77777777" w:rsidR="00C967ED" w:rsidRDefault="00C967ED" w:rsidP="00CF3959">
      <w:pPr>
        <w:spacing w:after="160" w:line="360" w:lineRule="auto"/>
        <w:jc w:val="both"/>
        <w:rPr>
          <w:rFonts w:ascii="Arial" w:hAnsi="Arial" w:cs="Arial"/>
        </w:rPr>
      </w:pPr>
    </w:p>
    <w:p w14:paraId="1DA82526" w14:textId="77777777" w:rsidR="00324FF1" w:rsidRDefault="00324FF1" w:rsidP="001367B0">
      <w:pPr>
        <w:pStyle w:val="Heading1"/>
        <w:spacing w:before="400" w:after="200"/>
        <w:rPr>
          <w:rFonts w:ascii="Arial" w:hAnsi="Arial" w:cs="Arial"/>
          <w:b/>
          <w:bCs/>
          <w:color w:val="00704A"/>
          <w:sz w:val="22"/>
          <w:szCs w:val="22"/>
        </w:rPr>
      </w:pPr>
      <w:bookmarkStart w:id="18" w:name="_Toc234881568"/>
    </w:p>
    <w:p w14:paraId="1DA71130" w14:textId="7F98A2BD" w:rsidR="001367B0" w:rsidRPr="00C02B1C" w:rsidRDefault="001367B0" w:rsidP="001367B0">
      <w:pPr>
        <w:pStyle w:val="Heading1"/>
        <w:spacing w:before="400" w:after="200"/>
        <w:rPr>
          <w:rFonts w:ascii="Arial" w:hAnsi="Arial" w:cs="Arial"/>
          <w:b/>
          <w:bCs/>
          <w:color w:val="00704A"/>
          <w:sz w:val="28"/>
          <w:szCs w:val="28"/>
        </w:rPr>
      </w:pPr>
      <w:r w:rsidRPr="00C02B1C">
        <w:rPr>
          <w:rFonts w:ascii="Arial" w:hAnsi="Arial" w:cs="Arial"/>
          <w:b/>
          <w:bCs/>
          <w:color w:val="00704A"/>
          <w:sz w:val="28"/>
          <w:szCs w:val="28"/>
        </w:rPr>
        <w:t>References</w:t>
      </w:r>
      <w:bookmarkEnd w:id="18"/>
    </w:p>
    <w:p w14:paraId="71E2DB7F" w14:textId="0D526FBC" w:rsidR="001D0587" w:rsidRPr="001D0587" w:rsidRDefault="001D0587" w:rsidP="001D0587">
      <w:pPr>
        <w:rPr>
          <w:rFonts w:ascii="Arial" w:hAnsi="Arial" w:cs="Arial"/>
        </w:rPr>
      </w:pPr>
      <w:proofErr w:type="spellStart"/>
      <w:r w:rsidRPr="001D0587">
        <w:rPr>
          <w:rFonts w:ascii="Arial" w:hAnsi="Arial" w:cs="Arial"/>
          <w:lang w:val="it-IT"/>
        </w:rPr>
        <w:t>Appelbaum</w:t>
      </w:r>
      <w:proofErr w:type="spellEnd"/>
      <w:r w:rsidRPr="001D0587">
        <w:rPr>
          <w:rFonts w:ascii="Arial" w:hAnsi="Arial" w:cs="Arial"/>
          <w:lang w:val="it-IT"/>
        </w:rPr>
        <w:t xml:space="preserve">, S.H. </w:t>
      </w:r>
      <w:r w:rsidRPr="001D0587">
        <w:rPr>
          <w:rFonts w:ascii="Arial" w:hAnsi="Arial" w:cs="Arial"/>
          <w:i/>
          <w:iCs/>
          <w:lang w:val="it-IT"/>
        </w:rPr>
        <w:t>et al.</w:t>
      </w:r>
      <w:r w:rsidRPr="001D0587">
        <w:rPr>
          <w:rFonts w:ascii="Arial" w:hAnsi="Arial" w:cs="Arial"/>
          <w:lang w:val="it-IT"/>
        </w:rPr>
        <w:t xml:space="preserve"> </w:t>
      </w:r>
      <w:r w:rsidRPr="001D0587">
        <w:rPr>
          <w:rFonts w:ascii="Arial" w:hAnsi="Arial" w:cs="Arial"/>
        </w:rPr>
        <w:t xml:space="preserve">(2012) “Back to the future: revisiting Kotter’s 1996 change model,” </w:t>
      </w:r>
      <w:r w:rsidRPr="001D0587">
        <w:rPr>
          <w:rFonts w:ascii="Arial" w:hAnsi="Arial" w:cs="Arial"/>
          <w:i/>
          <w:iCs/>
        </w:rPr>
        <w:t>The Journal of management development</w:t>
      </w:r>
      <w:r w:rsidRPr="001D0587">
        <w:rPr>
          <w:rFonts w:ascii="Arial" w:hAnsi="Arial" w:cs="Arial"/>
        </w:rPr>
        <w:t xml:space="preserve">, 31(8), pp. 764–782. Available at: </w:t>
      </w:r>
      <w:hyperlink r:id="rId13" w:history="1">
        <w:r w:rsidR="00371B9E" w:rsidRPr="001D0587">
          <w:rPr>
            <w:rStyle w:val="Hyperlink"/>
            <w:rFonts w:ascii="Arial" w:hAnsi="Arial" w:cs="Arial"/>
          </w:rPr>
          <w:t>https://doi.org/10.1108/02621711211253231</w:t>
        </w:r>
      </w:hyperlink>
      <w:r w:rsidR="00371B9E" w:rsidRPr="00AE4ADF">
        <w:rPr>
          <w:rFonts w:ascii="Arial" w:hAnsi="Arial" w:cs="Arial"/>
        </w:rPr>
        <w:t>( Accessed 12 July 2026).</w:t>
      </w:r>
    </w:p>
    <w:p w14:paraId="1009180F" w14:textId="77777777" w:rsidR="001D0587" w:rsidRPr="00AE4ADF" w:rsidRDefault="001D0587" w:rsidP="001D0587">
      <w:pPr>
        <w:rPr>
          <w:rFonts w:ascii="Arial" w:hAnsi="Arial" w:cs="Arial"/>
          <w:lang w:eastAsia="en-US"/>
        </w:rPr>
      </w:pPr>
    </w:p>
    <w:p w14:paraId="04A5A039" w14:textId="5AC77AE0" w:rsidR="000D6222" w:rsidRPr="00AE4ADF" w:rsidRDefault="009336B4" w:rsidP="000D6222">
      <w:pPr>
        <w:spacing w:after="160" w:line="276" w:lineRule="auto"/>
        <w:jc w:val="both"/>
        <w:rPr>
          <w:rFonts w:ascii="Arial" w:hAnsi="Arial" w:cs="Arial"/>
        </w:rPr>
      </w:pPr>
      <w:r w:rsidRPr="00AE4ADF">
        <w:rPr>
          <w:rFonts w:ascii="Arial" w:hAnsi="Arial" w:cs="Arial"/>
        </w:rPr>
        <w:t xml:space="preserve">Barney, J. (1991) “Firm Resources and Sustained Competitive Advantage,” </w:t>
      </w:r>
      <w:r w:rsidRPr="00AE4ADF">
        <w:rPr>
          <w:rFonts w:ascii="Arial" w:hAnsi="Arial" w:cs="Arial"/>
          <w:i/>
          <w:iCs/>
        </w:rPr>
        <w:t>Journal of management</w:t>
      </w:r>
      <w:r w:rsidRPr="00AE4ADF">
        <w:rPr>
          <w:rFonts w:ascii="Arial" w:hAnsi="Arial" w:cs="Arial"/>
        </w:rPr>
        <w:t xml:space="preserve">, 17(1), pp. 99–120. Available at: </w:t>
      </w:r>
      <w:hyperlink r:id="rId14" w:history="1">
        <w:r w:rsidR="000D6222" w:rsidRPr="00AE4ADF">
          <w:rPr>
            <w:rStyle w:val="Hyperlink"/>
            <w:rFonts w:ascii="Arial" w:hAnsi="Arial" w:cs="Arial"/>
          </w:rPr>
          <w:t>https://doi.org/10.1177/014920639101700108</w:t>
        </w:r>
      </w:hyperlink>
      <w:r w:rsidR="000D6222" w:rsidRPr="00AE4ADF">
        <w:rPr>
          <w:rFonts w:ascii="Arial" w:hAnsi="Arial" w:cs="Arial"/>
        </w:rPr>
        <w:t xml:space="preserve"> </w:t>
      </w:r>
    </w:p>
    <w:p w14:paraId="2D4B1A02" w14:textId="186F4E30" w:rsidR="001367B0" w:rsidRPr="00AE4ADF" w:rsidRDefault="0034300E" w:rsidP="001367B0">
      <w:pPr>
        <w:spacing w:after="160" w:line="276" w:lineRule="auto"/>
        <w:jc w:val="both"/>
        <w:rPr>
          <w:rFonts w:ascii="Arial" w:hAnsi="Arial" w:cs="Arial"/>
        </w:rPr>
      </w:pPr>
      <w:r w:rsidRPr="00AE4ADF">
        <w:rPr>
          <w:rFonts w:ascii="Arial" w:hAnsi="Arial" w:cs="Arial"/>
        </w:rPr>
        <w:t>(Accessed on 12 July 2026).</w:t>
      </w:r>
    </w:p>
    <w:p w14:paraId="353181B7" w14:textId="67A0F750" w:rsidR="001367B0" w:rsidRPr="00AE4ADF" w:rsidRDefault="003F7AE9" w:rsidP="003F7AE9">
      <w:pPr>
        <w:spacing w:after="160" w:line="276" w:lineRule="auto"/>
        <w:jc w:val="both"/>
        <w:rPr>
          <w:rFonts w:ascii="Arial" w:hAnsi="Arial" w:cs="Arial"/>
        </w:rPr>
      </w:pPr>
      <w:r w:rsidRPr="00AE4ADF">
        <w:rPr>
          <w:rFonts w:ascii="Arial" w:hAnsi="Arial" w:cs="Arial"/>
        </w:rPr>
        <w:t>Browne, M., Banerjee, B., Fulop, L. and Linstead, S., 1999. Managing strategically. In </w:t>
      </w:r>
      <w:r w:rsidRPr="00AE4ADF">
        <w:rPr>
          <w:rFonts w:ascii="Arial" w:hAnsi="Arial" w:cs="Arial"/>
          <w:i/>
          <w:iCs/>
        </w:rPr>
        <w:t>Management: A critical text</w:t>
      </w:r>
      <w:r w:rsidRPr="00AE4ADF">
        <w:rPr>
          <w:rFonts w:ascii="Arial" w:hAnsi="Arial" w:cs="Arial"/>
        </w:rPr>
        <w:t> (pp. 364-413). London: Macmillan Education UK</w:t>
      </w:r>
      <w:r w:rsidR="008D4AF9" w:rsidRPr="00AE4ADF">
        <w:rPr>
          <w:rFonts w:ascii="Arial" w:hAnsi="Arial" w:cs="Arial"/>
        </w:rPr>
        <w:t xml:space="preserve"> Available at: </w:t>
      </w:r>
      <w:hyperlink r:id="rId15" w:history="1">
        <w:r w:rsidR="003347A3" w:rsidRPr="00AE4ADF">
          <w:rPr>
            <w:rStyle w:val="Hyperlink"/>
            <w:rFonts w:ascii="Arial" w:hAnsi="Arial" w:cs="Arial"/>
          </w:rPr>
          <w:t>file:///C:/Users/concy/Downloads/10.4324_9780203984642_previewpdf.pdf</w:t>
        </w:r>
      </w:hyperlink>
      <w:r w:rsidR="003347A3" w:rsidRPr="00AE4ADF">
        <w:rPr>
          <w:rFonts w:ascii="Arial" w:hAnsi="Arial" w:cs="Arial"/>
        </w:rPr>
        <w:t xml:space="preserve"> (Accessed on 13 July 2026).</w:t>
      </w:r>
    </w:p>
    <w:p w14:paraId="474A0BCB" w14:textId="1AD1460D" w:rsidR="001367B0" w:rsidRPr="00AE4ADF" w:rsidRDefault="001367B0" w:rsidP="001367B0">
      <w:pPr>
        <w:spacing w:after="160" w:line="276" w:lineRule="auto"/>
        <w:jc w:val="both"/>
        <w:rPr>
          <w:rFonts w:ascii="Arial" w:hAnsi="Arial" w:cs="Arial"/>
        </w:rPr>
      </w:pPr>
      <w:r w:rsidRPr="00AE4ADF">
        <w:rPr>
          <w:rFonts w:ascii="Arial" w:hAnsi="Arial" w:cs="Arial"/>
        </w:rPr>
        <w:t>Carroll, A.B. (1991) 'The pyramid of corporate social responsibility: toward the moral management of organizational stakeholders', Business Horizons, 34(4), pp. 39–48</w:t>
      </w:r>
      <w:r w:rsidR="002F7D92" w:rsidRPr="00AE4ADF">
        <w:rPr>
          <w:rFonts w:ascii="Arial" w:hAnsi="Arial" w:cs="Arial"/>
        </w:rPr>
        <w:t xml:space="preserve"> Available at: </w:t>
      </w:r>
      <w:hyperlink r:id="rId16" w:history="1">
        <w:r w:rsidR="00767AE2" w:rsidRPr="00AE4ADF">
          <w:rPr>
            <w:rStyle w:val="Hyperlink"/>
            <w:rFonts w:ascii="Arial" w:hAnsi="Arial" w:cs="Arial"/>
          </w:rPr>
          <w:t>https://www.researchgate.net/publication/4883660_The_Pyramid_of_Corporate_Social_Responsibility_Toward_the_Moral_Management_of_Organizational_Stakeholders</w:t>
        </w:r>
      </w:hyperlink>
      <w:r w:rsidR="00767AE2" w:rsidRPr="00AE4ADF">
        <w:rPr>
          <w:rFonts w:ascii="Arial" w:hAnsi="Arial" w:cs="Arial"/>
        </w:rPr>
        <w:t xml:space="preserve"> (Accessed on 12 July 2026).</w:t>
      </w:r>
    </w:p>
    <w:p w14:paraId="5EAF2F9E" w14:textId="77777777" w:rsidR="00324FF1" w:rsidRPr="00AE4ADF" w:rsidRDefault="00324FF1" w:rsidP="00324FF1">
      <w:pPr>
        <w:spacing w:after="160" w:line="276" w:lineRule="auto"/>
        <w:jc w:val="both"/>
        <w:rPr>
          <w:rFonts w:ascii="Arial" w:hAnsi="Arial" w:cs="Arial"/>
        </w:rPr>
      </w:pPr>
      <w:r w:rsidRPr="00AE4ADF">
        <w:rPr>
          <w:rFonts w:ascii="Arial" w:hAnsi="Arial" w:cs="Arial"/>
        </w:rPr>
        <w:t>CNBC (2026) Starbucks Investor Day Updates: Brian Niccol Speaks on Turnaround. Available at: https://www.cnbc.com/2026/01/29/starbucks-investor-day-updates-brian-niccol-turnaround.html (Accessed: 14 July 2026).</w:t>
      </w:r>
    </w:p>
    <w:p w14:paraId="0512C25B" w14:textId="744CD841" w:rsidR="006F3A55" w:rsidRPr="00AE4ADF" w:rsidRDefault="006F3A55" w:rsidP="006F3A55">
      <w:pPr>
        <w:spacing w:after="160" w:line="276" w:lineRule="auto"/>
        <w:jc w:val="both"/>
        <w:rPr>
          <w:rFonts w:ascii="Arial" w:hAnsi="Arial" w:cs="Arial"/>
        </w:rPr>
      </w:pPr>
      <w:r w:rsidRPr="00AE4ADF">
        <w:rPr>
          <w:rFonts w:ascii="Arial" w:hAnsi="Arial" w:cs="Arial"/>
        </w:rPr>
        <w:t xml:space="preserve">Johnson, G., Whittington, R., Scholes, K., Angwin, D. and </w:t>
      </w:r>
      <w:proofErr w:type="spellStart"/>
      <w:r w:rsidRPr="00AE4ADF">
        <w:rPr>
          <w:rFonts w:ascii="Arial" w:hAnsi="Arial" w:cs="Arial"/>
        </w:rPr>
        <w:t>Regnér</w:t>
      </w:r>
      <w:proofErr w:type="spellEnd"/>
      <w:r w:rsidRPr="00AE4ADF">
        <w:rPr>
          <w:rFonts w:ascii="Arial" w:hAnsi="Arial" w:cs="Arial"/>
        </w:rPr>
        <w:t xml:space="preserve">, P. (2020) Exploring Strategy: Text and Cases. 12th </w:t>
      </w:r>
      <w:proofErr w:type="spellStart"/>
      <w:r w:rsidRPr="00AE4ADF">
        <w:rPr>
          <w:rFonts w:ascii="Arial" w:hAnsi="Arial" w:cs="Arial"/>
        </w:rPr>
        <w:t>edn</w:t>
      </w:r>
      <w:proofErr w:type="spellEnd"/>
      <w:r w:rsidRPr="00AE4ADF">
        <w:rPr>
          <w:rFonts w:ascii="Arial" w:hAnsi="Arial" w:cs="Arial"/>
        </w:rPr>
        <w:t xml:space="preserve">. Harlow: Pearson Available at: </w:t>
      </w:r>
      <w:hyperlink r:id="rId17" w:history="1">
        <w:r w:rsidRPr="00AE4ADF">
          <w:rPr>
            <w:rStyle w:val="Hyperlink"/>
            <w:rFonts w:ascii="Arial" w:hAnsi="Arial" w:cs="Arial"/>
          </w:rPr>
          <w:t>https://ebookcentral.proquest.com/lib/trinity/reader.action?docID=5987036&amp;c=UERG&amp;ppg=</w:t>
        </w:r>
      </w:hyperlink>
      <w:r w:rsidR="00FD6597" w:rsidRPr="00AE4ADF">
        <w:rPr>
          <w:rFonts w:ascii="Arial" w:hAnsi="Arial" w:cs="Arial"/>
        </w:rPr>
        <w:t xml:space="preserve"> </w:t>
      </w:r>
      <w:r w:rsidRPr="00AE4ADF">
        <w:rPr>
          <w:rFonts w:ascii="Arial" w:hAnsi="Arial" w:cs="Arial"/>
        </w:rPr>
        <w:t>(Accessed14 July 2026).</w:t>
      </w:r>
    </w:p>
    <w:p w14:paraId="4A0BD8A6" w14:textId="0FB237DB" w:rsidR="001367B0" w:rsidRPr="00AE4ADF" w:rsidRDefault="001367B0" w:rsidP="001367B0">
      <w:pPr>
        <w:spacing w:after="160" w:line="276" w:lineRule="auto"/>
        <w:jc w:val="both"/>
        <w:rPr>
          <w:rFonts w:ascii="Arial" w:hAnsi="Arial" w:cs="Arial"/>
        </w:rPr>
      </w:pPr>
      <w:r w:rsidRPr="00AE4ADF">
        <w:rPr>
          <w:rFonts w:ascii="Arial" w:hAnsi="Arial" w:cs="Arial"/>
        </w:rPr>
        <w:t>Kaplan, R.S. and Norton, D.P. (1992) 'The balanced scorecard – measures that drive performance', Harvard Business Review, 70(1), pp. 71–79</w:t>
      </w:r>
      <w:r w:rsidR="0051722A" w:rsidRPr="00AE4ADF">
        <w:rPr>
          <w:rFonts w:ascii="Arial" w:hAnsi="Arial" w:cs="Arial"/>
        </w:rPr>
        <w:t xml:space="preserve"> Available at: </w:t>
      </w:r>
      <w:hyperlink r:id="rId18" w:history="1">
        <w:r w:rsidR="00696E37" w:rsidRPr="00AE4ADF">
          <w:rPr>
            <w:rStyle w:val="Hyperlink"/>
            <w:rFonts w:ascii="Arial" w:hAnsi="Arial" w:cs="Arial"/>
          </w:rPr>
          <w:t>https://hbr.org/2005/07/the-balanced-scorecard-measures-that-drive-performance</w:t>
        </w:r>
      </w:hyperlink>
      <w:r w:rsidR="00696E37" w:rsidRPr="00AE4ADF">
        <w:rPr>
          <w:rFonts w:ascii="Arial" w:hAnsi="Arial" w:cs="Arial"/>
        </w:rPr>
        <w:t xml:space="preserve"> (Accessed 12 July 2026).</w:t>
      </w:r>
    </w:p>
    <w:p w14:paraId="43EC5173" w14:textId="77777777" w:rsidR="006063A4" w:rsidRPr="00AE4ADF" w:rsidRDefault="006063A4" w:rsidP="006063A4">
      <w:pPr>
        <w:rPr>
          <w:rFonts w:ascii="Arial" w:hAnsi="Arial" w:cs="Arial"/>
        </w:rPr>
      </w:pPr>
      <w:r w:rsidRPr="00AE4ADF">
        <w:rPr>
          <w:rFonts w:ascii="Arial" w:hAnsi="Arial" w:cs="Arial"/>
        </w:rPr>
        <w:t xml:space="preserve">Kim, J. and </w:t>
      </w:r>
      <w:proofErr w:type="spellStart"/>
      <w:r w:rsidRPr="00AE4ADF">
        <w:rPr>
          <w:rFonts w:ascii="Arial" w:hAnsi="Arial" w:cs="Arial"/>
        </w:rPr>
        <w:t>Makadok</w:t>
      </w:r>
      <w:proofErr w:type="spellEnd"/>
      <w:r w:rsidRPr="00AE4ADF">
        <w:rPr>
          <w:rFonts w:ascii="Arial" w:hAnsi="Arial" w:cs="Arial"/>
        </w:rPr>
        <w:t xml:space="preserve">, R. (2023) “Unpacking the ‘O’ in VRIO: The role of workflow interdependence in the loss and replacement of strategic human capital,” </w:t>
      </w:r>
      <w:r w:rsidRPr="00AE4ADF">
        <w:rPr>
          <w:rFonts w:ascii="Arial" w:hAnsi="Arial" w:cs="Arial"/>
          <w:i/>
          <w:iCs/>
        </w:rPr>
        <w:t>Strategic management journal</w:t>
      </w:r>
      <w:r w:rsidRPr="00AE4ADF">
        <w:rPr>
          <w:rFonts w:ascii="Arial" w:hAnsi="Arial" w:cs="Arial"/>
        </w:rPr>
        <w:t>, 44(6), pp. 1453–1487. Available at: https://doi.org/10.1002/smj.3358.</w:t>
      </w:r>
    </w:p>
    <w:p w14:paraId="3EDB4506" w14:textId="77777777" w:rsidR="00BB7983" w:rsidRPr="00AE4ADF" w:rsidRDefault="00BB7983" w:rsidP="001367B0">
      <w:pPr>
        <w:spacing w:after="160" w:line="276" w:lineRule="auto"/>
        <w:jc w:val="both"/>
        <w:rPr>
          <w:rFonts w:ascii="Arial" w:hAnsi="Arial" w:cs="Arial"/>
        </w:rPr>
      </w:pPr>
    </w:p>
    <w:p w14:paraId="43833930" w14:textId="343DDCCC" w:rsidR="001367B0" w:rsidRPr="00AE4ADF" w:rsidRDefault="001367B0" w:rsidP="001367B0">
      <w:pPr>
        <w:spacing w:after="160" w:line="276" w:lineRule="auto"/>
        <w:jc w:val="both"/>
        <w:rPr>
          <w:rFonts w:ascii="Arial" w:hAnsi="Arial" w:cs="Arial"/>
        </w:rPr>
      </w:pPr>
      <w:r w:rsidRPr="00AE4ADF">
        <w:rPr>
          <w:rFonts w:ascii="Arial" w:hAnsi="Arial" w:cs="Arial"/>
        </w:rPr>
        <w:t>Kolb, D.A. (1984) Experiential Learning: Experience as the Source of Learning and Development. Englewood Cliffs, NJ: Prentice Hall</w:t>
      </w:r>
      <w:r w:rsidR="00D20BE9" w:rsidRPr="00AE4ADF">
        <w:rPr>
          <w:rFonts w:ascii="Arial" w:hAnsi="Arial" w:cs="Arial"/>
        </w:rPr>
        <w:t xml:space="preserve"> Available at: </w:t>
      </w:r>
      <w:hyperlink r:id="rId19" w:history="1">
        <w:r w:rsidR="00D20BE9" w:rsidRPr="00AE4ADF">
          <w:rPr>
            <w:rStyle w:val="Hyperlink"/>
            <w:rFonts w:ascii="Arial" w:hAnsi="Arial" w:cs="Arial"/>
          </w:rPr>
          <w:t>https://www.researchgate.net/publication/235701029_Experiential_Learning_Experience_As_The_Source_Of_Learning_And_Development</w:t>
        </w:r>
      </w:hyperlink>
      <w:r w:rsidR="00D20BE9" w:rsidRPr="00AE4ADF">
        <w:rPr>
          <w:rFonts w:ascii="Arial" w:hAnsi="Arial" w:cs="Arial"/>
        </w:rPr>
        <w:t xml:space="preserve"> (Accessed </w:t>
      </w:r>
      <w:r w:rsidR="003552B7" w:rsidRPr="00AE4ADF">
        <w:rPr>
          <w:rFonts w:ascii="Arial" w:hAnsi="Arial" w:cs="Arial"/>
        </w:rPr>
        <w:t>13 July 2026).</w:t>
      </w:r>
    </w:p>
    <w:p w14:paraId="5B8FF198" w14:textId="77777777" w:rsidR="00FD6597" w:rsidRPr="00AE4ADF" w:rsidRDefault="00FD6597" w:rsidP="00FD6597">
      <w:pPr>
        <w:spacing w:line="360" w:lineRule="atLeast"/>
        <w:rPr>
          <w:rFonts w:ascii="Arial" w:hAnsi="Arial" w:cs="Arial"/>
        </w:rPr>
      </w:pPr>
      <w:r w:rsidRPr="00AE4ADF">
        <w:rPr>
          <w:rFonts w:ascii="Arial" w:hAnsi="Arial" w:cs="Arial"/>
        </w:rPr>
        <w:t xml:space="preserve">Kotter, J. (2012). </w:t>
      </w:r>
      <w:r w:rsidRPr="00AE4ADF">
        <w:rPr>
          <w:rFonts w:ascii="Arial" w:hAnsi="Arial" w:cs="Arial"/>
          <w:i/>
          <w:iCs/>
        </w:rPr>
        <w:t xml:space="preserve">Leading Change Why Transformation Efforts </w:t>
      </w:r>
      <w:proofErr w:type="gramStart"/>
      <w:r w:rsidRPr="00AE4ADF">
        <w:rPr>
          <w:rFonts w:ascii="Arial" w:hAnsi="Arial" w:cs="Arial"/>
          <w:i/>
          <w:iCs/>
        </w:rPr>
        <w:t xml:space="preserve">Fail </w:t>
      </w:r>
      <w:r w:rsidRPr="00AE4ADF">
        <w:rPr>
          <w:rFonts w:ascii="Arial" w:hAnsi="Arial" w:cs="Arial"/>
        </w:rPr>
        <w:t>.</w:t>
      </w:r>
      <w:proofErr w:type="gramEnd"/>
      <w:r w:rsidRPr="00AE4ADF">
        <w:rPr>
          <w:rFonts w:ascii="Arial" w:hAnsi="Arial" w:cs="Arial"/>
        </w:rPr>
        <w:t xml:space="preserve"> [online] </w:t>
      </w:r>
      <w:r w:rsidRPr="00AE4ADF">
        <w:rPr>
          <w:rFonts w:ascii="Arial" w:hAnsi="Arial" w:cs="Arial"/>
          <w:i/>
          <w:iCs/>
        </w:rPr>
        <w:t>Harvard Business Review</w:t>
      </w:r>
      <w:r w:rsidRPr="00AE4ADF">
        <w:rPr>
          <w:rFonts w:ascii="Arial" w:hAnsi="Arial" w:cs="Arial"/>
        </w:rPr>
        <w:t>. Available at: https://irp-cdn.multiscreensite.com/6e5efd05/files/uploaded/Leading%20Change.pdf [Accessed 15 July 2026].</w:t>
      </w:r>
    </w:p>
    <w:p w14:paraId="1C35BAF6" w14:textId="2A16C6B8" w:rsidR="001367B0" w:rsidRPr="00AE4ADF" w:rsidRDefault="001367B0" w:rsidP="001367B0">
      <w:pPr>
        <w:spacing w:after="160" w:line="276" w:lineRule="auto"/>
        <w:jc w:val="both"/>
        <w:rPr>
          <w:rFonts w:ascii="Arial" w:hAnsi="Arial" w:cs="Arial"/>
        </w:rPr>
      </w:pPr>
      <w:r w:rsidRPr="00AE4ADF">
        <w:rPr>
          <w:rFonts w:ascii="Arial" w:hAnsi="Arial" w:cs="Arial"/>
        </w:rPr>
        <w:t xml:space="preserve">Lumina Intelligence (2025) UK Coffee Market: Size, Growth and Share Statistics 2025. Available at: </w:t>
      </w:r>
      <w:hyperlink r:id="rId20" w:history="1">
        <w:r w:rsidRPr="00AE4ADF">
          <w:rPr>
            <w:rStyle w:val="Hyperlink"/>
            <w:rFonts w:ascii="Arial" w:hAnsi="Arial" w:cs="Arial"/>
          </w:rPr>
          <w:t>https://www.lumina-intelligence.com/blog/foodservice/uk-coffee-market-size-growth-share-statistics-2025/</w:t>
        </w:r>
      </w:hyperlink>
      <w:r w:rsidRPr="00AE4ADF">
        <w:rPr>
          <w:rFonts w:ascii="Arial" w:hAnsi="Arial" w:cs="Arial"/>
        </w:rPr>
        <w:t xml:space="preserve"> (Accessed: 14 July 2026).</w:t>
      </w:r>
    </w:p>
    <w:p w14:paraId="2B611D36" w14:textId="77777777" w:rsidR="00A025C0" w:rsidRPr="00AE4ADF" w:rsidRDefault="00A025C0" w:rsidP="00A025C0">
      <w:pPr>
        <w:spacing w:after="160" w:line="276" w:lineRule="auto"/>
        <w:jc w:val="both"/>
        <w:rPr>
          <w:rFonts w:ascii="Arial" w:hAnsi="Arial" w:cs="Arial"/>
        </w:rPr>
      </w:pPr>
      <w:proofErr w:type="spellStart"/>
      <w:r w:rsidRPr="00AE4ADF">
        <w:rPr>
          <w:rFonts w:ascii="Arial" w:hAnsi="Arial" w:cs="Arial"/>
        </w:rPr>
        <w:t>Paspartoo</w:t>
      </w:r>
      <w:proofErr w:type="spellEnd"/>
      <w:r w:rsidRPr="00AE4ADF">
        <w:rPr>
          <w:rFonts w:ascii="Arial" w:hAnsi="Arial" w:cs="Arial"/>
        </w:rPr>
        <w:t xml:space="preserve"> (2025). </w:t>
      </w:r>
      <w:r w:rsidRPr="00AE4ADF">
        <w:rPr>
          <w:rFonts w:ascii="Arial" w:hAnsi="Arial" w:cs="Arial"/>
          <w:i/>
          <w:iCs/>
        </w:rPr>
        <w:t xml:space="preserve">Value Takes </w:t>
      </w:r>
      <w:proofErr w:type="spellStart"/>
      <w:r w:rsidRPr="00AE4ADF">
        <w:rPr>
          <w:rFonts w:ascii="Arial" w:hAnsi="Arial" w:cs="Arial"/>
          <w:i/>
          <w:iCs/>
        </w:rPr>
        <w:t>Center</w:t>
      </w:r>
      <w:proofErr w:type="spellEnd"/>
      <w:r w:rsidRPr="00AE4ADF">
        <w:rPr>
          <w:rFonts w:ascii="Arial" w:hAnsi="Arial" w:cs="Arial"/>
          <w:i/>
          <w:iCs/>
        </w:rPr>
        <w:t xml:space="preserve"> Stage as Competition Intensifies in UK’s £6.1bn Branded Coffee Shop Market</w:t>
      </w:r>
      <w:r w:rsidRPr="00AE4ADF">
        <w:rPr>
          <w:rFonts w:ascii="Arial" w:hAnsi="Arial" w:cs="Arial"/>
        </w:rPr>
        <w:t>. [online] SENS COFFEE. Available at: https://senscoffee.com/blogs/news/value-takes-center-stage-as-competition-intensifies-in-uks-6-1bn-branded-coffee-shop-market-nbsp-nbsp [Accessed 14 July 2026].</w:t>
      </w:r>
    </w:p>
    <w:p w14:paraId="38101053" w14:textId="6702BC57" w:rsidR="007F0249" w:rsidRPr="00AE4ADF" w:rsidRDefault="007F0249" w:rsidP="007F0249">
      <w:pPr>
        <w:spacing w:after="160" w:line="276" w:lineRule="auto"/>
        <w:jc w:val="both"/>
        <w:rPr>
          <w:rFonts w:ascii="Arial" w:hAnsi="Arial" w:cs="Arial"/>
        </w:rPr>
      </w:pPr>
      <w:r w:rsidRPr="00AE4ADF">
        <w:rPr>
          <w:rFonts w:ascii="Arial" w:hAnsi="Arial" w:cs="Arial"/>
        </w:rPr>
        <w:t xml:space="preserve">Pearce, T. (2025). </w:t>
      </w:r>
      <w:r w:rsidRPr="00AE4ADF">
        <w:rPr>
          <w:rFonts w:ascii="Arial" w:hAnsi="Arial" w:cs="Arial"/>
          <w:i/>
          <w:iCs/>
        </w:rPr>
        <w:t>Value in the spotlight as competition heats up in £6.1bn UK branded coffee shop market</w:t>
      </w:r>
      <w:r w:rsidRPr="00AE4ADF">
        <w:rPr>
          <w:rFonts w:ascii="Arial" w:hAnsi="Arial" w:cs="Arial"/>
        </w:rPr>
        <w:t>. [online] World Coffee Portal. Available at: https://www.worldcoffeeportal.com/news/value-in-the-spotlight-as-competition-heats-up-in-6-1bn-uk-branded-coffee-shop-market/ [Accessed 14 July 2026].</w:t>
      </w:r>
    </w:p>
    <w:p w14:paraId="49385B9B" w14:textId="77777777" w:rsidR="00FD6597" w:rsidRPr="00AE4ADF" w:rsidRDefault="00997717" w:rsidP="00FD6597">
      <w:pPr>
        <w:spacing w:after="160" w:line="276" w:lineRule="auto"/>
        <w:jc w:val="both"/>
        <w:rPr>
          <w:rFonts w:ascii="Arial" w:hAnsi="Arial" w:cs="Arial"/>
        </w:rPr>
      </w:pPr>
      <w:r w:rsidRPr="00AE4ADF">
        <w:rPr>
          <w:rFonts w:ascii="Arial" w:hAnsi="Arial" w:cs="Arial"/>
        </w:rPr>
        <w:t xml:space="preserve">Ryder, M. and Downs, C. (2022) “Rethinking reflective practice: John Boyd’s OODA loop as an alternative to Kolb,” </w:t>
      </w:r>
      <w:r w:rsidRPr="00AE4ADF">
        <w:rPr>
          <w:rFonts w:ascii="Arial" w:hAnsi="Arial" w:cs="Arial"/>
          <w:i/>
          <w:iCs/>
        </w:rPr>
        <w:t>The international journal of management education</w:t>
      </w:r>
      <w:r w:rsidRPr="00AE4ADF">
        <w:rPr>
          <w:rFonts w:ascii="Arial" w:hAnsi="Arial" w:cs="Arial"/>
        </w:rPr>
        <w:t xml:space="preserve">, 20(3). Available at: </w:t>
      </w:r>
      <w:hyperlink r:id="rId21" w:history="1">
        <w:r w:rsidR="00FD6597" w:rsidRPr="00AE4ADF">
          <w:rPr>
            <w:rStyle w:val="Hyperlink"/>
            <w:rFonts w:ascii="Arial" w:hAnsi="Arial" w:cs="Arial"/>
          </w:rPr>
          <w:t>https://doi.org/10.1016/j.ijme.2022.100703</w:t>
        </w:r>
      </w:hyperlink>
      <w:r w:rsidR="00FD6597" w:rsidRPr="00AE4ADF">
        <w:rPr>
          <w:rFonts w:ascii="Arial" w:hAnsi="Arial" w:cs="Arial"/>
        </w:rPr>
        <w:t xml:space="preserve"> </w:t>
      </w:r>
      <w:r w:rsidR="00FD6597" w:rsidRPr="00AE4ADF">
        <w:rPr>
          <w:rFonts w:ascii="Arial" w:hAnsi="Arial" w:cs="Arial"/>
        </w:rPr>
        <w:t>[Accessed 14 July 2026].</w:t>
      </w:r>
    </w:p>
    <w:p w14:paraId="5F9310D7" w14:textId="5815EC18" w:rsidR="005275EC" w:rsidRPr="00AE4ADF" w:rsidRDefault="00703461" w:rsidP="00703461">
      <w:pPr>
        <w:spacing w:after="160" w:line="276" w:lineRule="auto"/>
        <w:jc w:val="both"/>
        <w:rPr>
          <w:rFonts w:ascii="Arial" w:hAnsi="Arial" w:cs="Arial"/>
        </w:rPr>
      </w:pPr>
      <w:r w:rsidRPr="00AE4ADF">
        <w:rPr>
          <w:rFonts w:ascii="Arial" w:hAnsi="Arial" w:cs="Arial"/>
        </w:rPr>
        <w:t xml:space="preserve">SHAHZAD, K., BAJWA, S.U. and ZIA, S.A., 2013. Competitive Strategy: Techniques for </w:t>
      </w:r>
      <w:proofErr w:type="spellStart"/>
      <w:r w:rsidRPr="00AE4ADF">
        <w:rPr>
          <w:rFonts w:ascii="Arial" w:hAnsi="Arial" w:cs="Arial"/>
        </w:rPr>
        <w:t>Analyzing</w:t>
      </w:r>
      <w:proofErr w:type="spellEnd"/>
      <w:r w:rsidRPr="00AE4ADF">
        <w:rPr>
          <w:rFonts w:ascii="Arial" w:hAnsi="Arial" w:cs="Arial"/>
        </w:rPr>
        <w:t xml:space="preserve"> Industries &amp; Competitors. </w:t>
      </w:r>
      <w:r w:rsidRPr="00AE4ADF">
        <w:rPr>
          <w:rFonts w:ascii="Arial" w:hAnsi="Arial" w:cs="Arial"/>
          <w:i/>
          <w:iCs/>
        </w:rPr>
        <w:t>South Asian Journal of Management, </w:t>
      </w:r>
      <w:r w:rsidRPr="00AE4ADF">
        <w:rPr>
          <w:rFonts w:ascii="Arial" w:hAnsi="Arial" w:cs="Arial"/>
          <w:b/>
          <w:bCs/>
        </w:rPr>
        <w:t>20</w:t>
      </w:r>
      <w:r w:rsidRPr="00AE4ADF">
        <w:rPr>
          <w:rFonts w:ascii="Arial" w:hAnsi="Arial" w:cs="Arial"/>
        </w:rPr>
        <w:t>(3), pp. 194-199.</w:t>
      </w:r>
      <w:r w:rsidR="001112B5" w:rsidRPr="00AE4ADF">
        <w:rPr>
          <w:rFonts w:ascii="Arial" w:hAnsi="Arial" w:cs="Arial"/>
        </w:rPr>
        <w:t xml:space="preserve">Available at: </w:t>
      </w:r>
      <w:hyperlink r:id="rId22" w:history="1">
        <w:r w:rsidR="001112B5" w:rsidRPr="00AE4ADF">
          <w:rPr>
            <w:rStyle w:val="Hyperlink"/>
            <w:rFonts w:ascii="Arial" w:hAnsi="Arial" w:cs="Arial"/>
          </w:rPr>
          <w:t>file:///C:/Users/concy/Downloads/Competitive_Strategy_Techniqu.pdf</w:t>
        </w:r>
      </w:hyperlink>
      <w:r w:rsidR="001112B5" w:rsidRPr="00AE4ADF">
        <w:rPr>
          <w:rFonts w:ascii="Arial" w:hAnsi="Arial" w:cs="Arial"/>
        </w:rPr>
        <w:t xml:space="preserve"> (</w:t>
      </w:r>
      <w:r w:rsidR="009A5C88" w:rsidRPr="00AE4ADF">
        <w:rPr>
          <w:rFonts w:ascii="Arial" w:hAnsi="Arial" w:cs="Arial"/>
        </w:rPr>
        <w:t>A</w:t>
      </w:r>
      <w:r w:rsidR="001112B5" w:rsidRPr="00AE4ADF">
        <w:rPr>
          <w:rFonts w:ascii="Arial" w:hAnsi="Arial" w:cs="Arial"/>
        </w:rPr>
        <w:t xml:space="preserve">ccessed </w:t>
      </w:r>
      <w:r w:rsidR="009A5C88" w:rsidRPr="00AE4ADF">
        <w:rPr>
          <w:rFonts w:ascii="Arial" w:hAnsi="Arial" w:cs="Arial"/>
        </w:rPr>
        <w:t>14 July 2026).</w:t>
      </w:r>
    </w:p>
    <w:p w14:paraId="0A6CFF83" w14:textId="77777777" w:rsidR="008575A2" w:rsidRPr="00AE4ADF" w:rsidRDefault="008575A2" w:rsidP="008575A2">
      <w:pPr>
        <w:spacing w:line="360" w:lineRule="atLeast"/>
        <w:rPr>
          <w:rFonts w:ascii="Arial" w:hAnsi="Arial" w:cs="Arial"/>
        </w:rPr>
      </w:pPr>
      <w:r w:rsidRPr="00AE4ADF">
        <w:rPr>
          <w:rFonts w:ascii="Arial" w:hAnsi="Arial" w:cs="Arial"/>
        </w:rPr>
        <w:t xml:space="preserve">Starbucks (2024). </w:t>
      </w:r>
      <w:r w:rsidRPr="00AE4ADF">
        <w:rPr>
          <w:rFonts w:ascii="Arial" w:hAnsi="Arial" w:cs="Arial"/>
          <w:i/>
          <w:iCs/>
        </w:rPr>
        <w:t>Starbucks files UK and EMEA accounts for the fiscal year ended October 2023 - Starbucks Stories EMEA</w:t>
      </w:r>
      <w:r w:rsidRPr="00AE4ADF">
        <w:rPr>
          <w:rFonts w:ascii="Arial" w:hAnsi="Arial" w:cs="Arial"/>
        </w:rPr>
        <w:t>. [online] Starbucks Stories EMEA. Available at: https://stories.starbucks.com/emea/stories/2024/starbucks-files-uk-and-emea-accounts-for-the-fiscal-year-ended-october-2023/ [Accessed 15 July 2026].</w:t>
      </w:r>
    </w:p>
    <w:p w14:paraId="2D44465B" w14:textId="77777777" w:rsidR="00511F8D" w:rsidRPr="00AE4ADF" w:rsidRDefault="00511F8D" w:rsidP="00511F8D">
      <w:pPr>
        <w:spacing w:after="160" w:line="276" w:lineRule="auto"/>
        <w:jc w:val="both"/>
        <w:rPr>
          <w:rFonts w:ascii="Arial" w:hAnsi="Arial" w:cs="Arial"/>
        </w:rPr>
      </w:pPr>
      <w:r w:rsidRPr="00AE4ADF">
        <w:rPr>
          <w:rFonts w:ascii="Arial" w:hAnsi="Arial" w:cs="Arial"/>
        </w:rPr>
        <w:t xml:space="preserve">Starbucks.com. (2025). </w:t>
      </w:r>
      <w:r w:rsidRPr="00AE4ADF">
        <w:rPr>
          <w:rFonts w:ascii="Arial" w:hAnsi="Arial" w:cs="Arial"/>
          <w:i/>
          <w:iCs/>
        </w:rPr>
        <w:t>Starbucks Reports Q4 and Full Fiscal Year 2025 Results</w:t>
      </w:r>
      <w:r w:rsidRPr="00AE4ADF">
        <w:rPr>
          <w:rFonts w:ascii="Arial" w:hAnsi="Arial" w:cs="Arial"/>
        </w:rPr>
        <w:t>. [online] Available at: https://investor.starbucks.com/news/financial-releases/news-details/2025/Starbucks-Reports-Q4-and-Full-Fiscal-Year-2025-Results/default.aspx [Accessed 14 July 2026].</w:t>
      </w:r>
    </w:p>
    <w:p w14:paraId="1D85F546" w14:textId="7BD5A409" w:rsidR="00CC328E" w:rsidRPr="00AE4ADF" w:rsidRDefault="001367B0" w:rsidP="00324FF1">
      <w:pPr>
        <w:spacing w:after="160" w:line="276" w:lineRule="auto"/>
        <w:jc w:val="both"/>
        <w:rPr>
          <w:rFonts w:ascii="Arial" w:hAnsi="Arial" w:cs="Arial"/>
        </w:rPr>
      </w:pPr>
      <w:r w:rsidRPr="00AE4ADF">
        <w:rPr>
          <w:rFonts w:ascii="Arial" w:hAnsi="Arial" w:cs="Arial"/>
        </w:rPr>
        <w:t>World Coffee Portal (2025) Value in the Spotlight as Competition Heats Up in £6.1bn UK Branded Coffee Shop Market. Available at: https://www.worldcoffeeportal.com/news/value-in-the-spotlight-as-competition-heats-up-in-6-1bn-uk-branded-coffee-shop-market/ (Accessed: 14 July 2026)</w:t>
      </w:r>
    </w:p>
    <w:p w14:paraId="462A5E02" w14:textId="77777777" w:rsidR="00CC328E" w:rsidRDefault="00CC328E" w:rsidP="00324FF1">
      <w:pPr>
        <w:spacing w:before="600"/>
        <w:rPr>
          <w:i/>
          <w:iCs/>
          <w:color w:val="555555"/>
          <w:sz w:val="20"/>
          <w:szCs w:val="20"/>
        </w:rPr>
      </w:pPr>
    </w:p>
    <w:p w14:paraId="1F279DA7" w14:textId="77777777" w:rsidR="001524CA" w:rsidRDefault="001524CA" w:rsidP="001524CA">
      <w:pPr>
        <w:spacing w:before="600"/>
        <w:jc w:val="center"/>
      </w:pPr>
    </w:p>
    <w:p w14:paraId="55A96D86" w14:textId="77777777" w:rsidR="0017550B" w:rsidRDefault="0017550B"/>
    <w:sectPr w:rsidR="0017550B">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46A3BA" w14:textId="77777777" w:rsidR="001E4959" w:rsidRDefault="001E4959" w:rsidP="00A8374B">
      <w:r>
        <w:separator/>
      </w:r>
    </w:p>
  </w:endnote>
  <w:endnote w:type="continuationSeparator" w:id="0">
    <w:p w14:paraId="4219AA1A" w14:textId="77777777" w:rsidR="001E4959" w:rsidRDefault="001E4959" w:rsidP="00A837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Iskoola Pota">
    <w:panose1 w:val="020B0502040204020203"/>
    <w:charset w:val="00"/>
    <w:family w:val="swiss"/>
    <w:pitch w:val="variable"/>
    <w:sig w:usb0="00000003" w:usb1="00000000" w:usb2="00000200" w:usb3="00000000" w:csb0="00000001" w:csb1="00000000"/>
  </w:font>
  <w:font w:name="Aptos Display">
    <w:panose1 w:val="020B00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49425216"/>
      <w:docPartObj>
        <w:docPartGallery w:val="Page Numbers (Bottom of Page)"/>
        <w:docPartUnique/>
      </w:docPartObj>
    </w:sdtPr>
    <w:sdtEndPr>
      <w:rPr>
        <w:rStyle w:val="PageNumber"/>
      </w:rPr>
    </w:sdtEndPr>
    <w:sdtContent>
      <w:p w14:paraId="7C5E4428" w14:textId="3C1D51ED" w:rsidR="00A8374B" w:rsidRDefault="00A8374B" w:rsidP="00EF0E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03A859" w14:textId="77777777" w:rsidR="00A8374B" w:rsidRDefault="00A8374B" w:rsidP="00A837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67010728"/>
      <w:docPartObj>
        <w:docPartGallery w:val="Page Numbers (Bottom of Page)"/>
        <w:docPartUnique/>
      </w:docPartObj>
    </w:sdtPr>
    <w:sdtEndPr>
      <w:rPr>
        <w:rStyle w:val="PageNumber"/>
      </w:rPr>
    </w:sdtEndPr>
    <w:sdtContent>
      <w:p w14:paraId="2CCC70B7" w14:textId="7B019516" w:rsidR="00A8374B" w:rsidRDefault="00A8374B" w:rsidP="00EF0E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0A7E5D42" w14:textId="77777777" w:rsidR="00A8374B" w:rsidRDefault="00A8374B" w:rsidP="00A837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8C129D" w14:textId="77777777" w:rsidR="001E4959" w:rsidRDefault="001E4959" w:rsidP="00A8374B">
      <w:r>
        <w:separator/>
      </w:r>
    </w:p>
  </w:footnote>
  <w:footnote w:type="continuationSeparator" w:id="0">
    <w:p w14:paraId="4076ECC0" w14:textId="77777777" w:rsidR="001E4959" w:rsidRDefault="001E4959" w:rsidP="00A837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7D7AFA"/>
    <w:multiLevelType w:val="hybridMultilevel"/>
    <w:tmpl w:val="C0586B06"/>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16cid:durableId="1099062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4CA"/>
    <w:rsid w:val="00003D75"/>
    <w:rsid w:val="0002140C"/>
    <w:rsid w:val="00024CD4"/>
    <w:rsid w:val="0004358D"/>
    <w:rsid w:val="000536CA"/>
    <w:rsid w:val="00060554"/>
    <w:rsid w:val="00086CF2"/>
    <w:rsid w:val="000A1DBD"/>
    <w:rsid w:val="000B5EA2"/>
    <w:rsid w:val="000B7946"/>
    <w:rsid w:val="000D6222"/>
    <w:rsid w:val="000F5DB4"/>
    <w:rsid w:val="001112B5"/>
    <w:rsid w:val="00115A2F"/>
    <w:rsid w:val="00127758"/>
    <w:rsid w:val="001367B0"/>
    <w:rsid w:val="0014089F"/>
    <w:rsid w:val="001524CA"/>
    <w:rsid w:val="00164E16"/>
    <w:rsid w:val="00165AF1"/>
    <w:rsid w:val="0017550B"/>
    <w:rsid w:val="001A7620"/>
    <w:rsid w:val="001C4113"/>
    <w:rsid w:val="001D0587"/>
    <w:rsid w:val="001E4959"/>
    <w:rsid w:val="001E707D"/>
    <w:rsid w:val="00223D22"/>
    <w:rsid w:val="00226500"/>
    <w:rsid w:val="002474AD"/>
    <w:rsid w:val="00251A06"/>
    <w:rsid w:val="00292F77"/>
    <w:rsid w:val="00297E81"/>
    <w:rsid w:val="002C464F"/>
    <w:rsid w:val="002C7771"/>
    <w:rsid w:val="002D03C4"/>
    <w:rsid w:val="002E2363"/>
    <w:rsid w:val="002F7D92"/>
    <w:rsid w:val="00302048"/>
    <w:rsid w:val="00302F25"/>
    <w:rsid w:val="0031570D"/>
    <w:rsid w:val="00324539"/>
    <w:rsid w:val="00324FF1"/>
    <w:rsid w:val="003347A3"/>
    <w:rsid w:val="0034300E"/>
    <w:rsid w:val="003552B7"/>
    <w:rsid w:val="003657CD"/>
    <w:rsid w:val="00371B9E"/>
    <w:rsid w:val="00371EB1"/>
    <w:rsid w:val="003B4826"/>
    <w:rsid w:val="003F7AE9"/>
    <w:rsid w:val="00422A63"/>
    <w:rsid w:val="0043015B"/>
    <w:rsid w:val="00430553"/>
    <w:rsid w:val="004765F6"/>
    <w:rsid w:val="004B5E81"/>
    <w:rsid w:val="004C1E2B"/>
    <w:rsid w:val="004C2676"/>
    <w:rsid w:val="004C7034"/>
    <w:rsid w:val="004D427B"/>
    <w:rsid w:val="004E5086"/>
    <w:rsid w:val="004F608D"/>
    <w:rsid w:val="00511F8D"/>
    <w:rsid w:val="0051722A"/>
    <w:rsid w:val="005275EC"/>
    <w:rsid w:val="0056114B"/>
    <w:rsid w:val="005A4ADA"/>
    <w:rsid w:val="005C3E19"/>
    <w:rsid w:val="005C48DB"/>
    <w:rsid w:val="005C567D"/>
    <w:rsid w:val="006063A4"/>
    <w:rsid w:val="00610749"/>
    <w:rsid w:val="00626DCC"/>
    <w:rsid w:val="00634D25"/>
    <w:rsid w:val="00635C65"/>
    <w:rsid w:val="00640575"/>
    <w:rsid w:val="0064688D"/>
    <w:rsid w:val="00655710"/>
    <w:rsid w:val="00655C39"/>
    <w:rsid w:val="00695D08"/>
    <w:rsid w:val="00696E37"/>
    <w:rsid w:val="006C3337"/>
    <w:rsid w:val="006D4CC5"/>
    <w:rsid w:val="006E6044"/>
    <w:rsid w:val="006F3A55"/>
    <w:rsid w:val="007002E8"/>
    <w:rsid w:val="00703461"/>
    <w:rsid w:val="00703D2E"/>
    <w:rsid w:val="0071127C"/>
    <w:rsid w:val="00732FA2"/>
    <w:rsid w:val="007368E9"/>
    <w:rsid w:val="00750AEF"/>
    <w:rsid w:val="007672BB"/>
    <w:rsid w:val="00767AE2"/>
    <w:rsid w:val="007720B1"/>
    <w:rsid w:val="007B4E97"/>
    <w:rsid w:val="007F0249"/>
    <w:rsid w:val="0081129F"/>
    <w:rsid w:val="00837E4F"/>
    <w:rsid w:val="00842F59"/>
    <w:rsid w:val="008452DB"/>
    <w:rsid w:val="008575A2"/>
    <w:rsid w:val="008A63E5"/>
    <w:rsid w:val="008D1C08"/>
    <w:rsid w:val="008D4AF9"/>
    <w:rsid w:val="008D5913"/>
    <w:rsid w:val="008F1DC5"/>
    <w:rsid w:val="008F7761"/>
    <w:rsid w:val="00917B75"/>
    <w:rsid w:val="009336B4"/>
    <w:rsid w:val="00951BF1"/>
    <w:rsid w:val="00962455"/>
    <w:rsid w:val="00965872"/>
    <w:rsid w:val="00997717"/>
    <w:rsid w:val="009A5C88"/>
    <w:rsid w:val="009C7F0C"/>
    <w:rsid w:val="00A000F4"/>
    <w:rsid w:val="00A025C0"/>
    <w:rsid w:val="00A107F7"/>
    <w:rsid w:val="00A36C63"/>
    <w:rsid w:val="00A4522F"/>
    <w:rsid w:val="00A5276E"/>
    <w:rsid w:val="00A8374B"/>
    <w:rsid w:val="00A979ED"/>
    <w:rsid w:val="00AD11AB"/>
    <w:rsid w:val="00AE4ADF"/>
    <w:rsid w:val="00AF0C67"/>
    <w:rsid w:val="00AF34D8"/>
    <w:rsid w:val="00B24D38"/>
    <w:rsid w:val="00B30B7A"/>
    <w:rsid w:val="00B46CE5"/>
    <w:rsid w:val="00B502A1"/>
    <w:rsid w:val="00B742F8"/>
    <w:rsid w:val="00B946CC"/>
    <w:rsid w:val="00B97599"/>
    <w:rsid w:val="00BB68DD"/>
    <w:rsid w:val="00BB7983"/>
    <w:rsid w:val="00BC2178"/>
    <w:rsid w:val="00BF69B2"/>
    <w:rsid w:val="00C02B1C"/>
    <w:rsid w:val="00C038E4"/>
    <w:rsid w:val="00C23101"/>
    <w:rsid w:val="00C234AC"/>
    <w:rsid w:val="00C3129F"/>
    <w:rsid w:val="00C3741A"/>
    <w:rsid w:val="00C8765B"/>
    <w:rsid w:val="00C967ED"/>
    <w:rsid w:val="00CB63C8"/>
    <w:rsid w:val="00CC328E"/>
    <w:rsid w:val="00CD4130"/>
    <w:rsid w:val="00CE5426"/>
    <w:rsid w:val="00CF3959"/>
    <w:rsid w:val="00D20BE9"/>
    <w:rsid w:val="00D2160B"/>
    <w:rsid w:val="00D86338"/>
    <w:rsid w:val="00DB0C44"/>
    <w:rsid w:val="00E039BF"/>
    <w:rsid w:val="00E10F18"/>
    <w:rsid w:val="00E203D5"/>
    <w:rsid w:val="00E23C15"/>
    <w:rsid w:val="00E331C6"/>
    <w:rsid w:val="00E92A78"/>
    <w:rsid w:val="00EA6259"/>
    <w:rsid w:val="00EB1962"/>
    <w:rsid w:val="00EC33C9"/>
    <w:rsid w:val="00EC699A"/>
    <w:rsid w:val="00EF5F11"/>
    <w:rsid w:val="00F32486"/>
    <w:rsid w:val="00F3733C"/>
    <w:rsid w:val="00F41AD3"/>
    <w:rsid w:val="00FD6597"/>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2FD08"/>
  <w15:chartTrackingRefBased/>
  <w15:docId w15:val="{79F39C85-5308-E04B-BE5C-B7CEC8CB6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si-LK"/>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717"/>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524C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1524C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524CA"/>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524CA"/>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1524CA"/>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1524CA"/>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1524CA"/>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1524CA"/>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1524CA"/>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4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24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24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24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24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24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24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24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24CA"/>
    <w:rPr>
      <w:rFonts w:eastAsiaTheme="majorEastAsia" w:cstheme="majorBidi"/>
      <w:color w:val="272727" w:themeColor="text1" w:themeTint="D8"/>
    </w:rPr>
  </w:style>
  <w:style w:type="paragraph" w:styleId="Title">
    <w:name w:val="Title"/>
    <w:basedOn w:val="Normal"/>
    <w:next w:val="Normal"/>
    <w:link w:val="TitleChar"/>
    <w:uiPriority w:val="10"/>
    <w:qFormat/>
    <w:rsid w:val="001524CA"/>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524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24CA"/>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524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24CA"/>
    <w:pPr>
      <w:spacing w:before="160" w:after="160" w:line="278" w:lineRule="auto"/>
      <w:jc w:val="center"/>
    </w:pPr>
    <w:rPr>
      <w:rFonts w:asciiTheme="minorHAnsi" w:eastAsiaTheme="minorHAnsi" w:hAnsiTheme="minorHAnsi" w:cs="Arial Unicode MS"/>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1524CA"/>
    <w:rPr>
      <w:rFonts w:cs="Arial Unicode MS"/>
      <w:i/>
      <w:iCs/>
      <w:color w:val="404040" w:themeColor="text1" w:themeTint="BF"/>
    </w:rPr>
  </w:style>
  <w:style w:type="paragraph" w:styleId="ListParagraph">
    <w:name w:val="List Paragraph"/>
    <w:basedOn w:val="Normal"/>
    <w:uiPriority w:val="34"/>
    <w:qFormat/>
    <w:rsid w:val="001524CA"/>
    <w:pPr>
      <w:spacing w:after="160" w:line="278" w:lineRule="auto"/>
      <w:ind w:left="720"/>
      <w:contextualSpacing/>
    </w:pPr>
    <w:rPr>
      <w:rFonts w:asciiTheme="minorHAnsi" w:eastAsiaTheme="minorHAnsi" w:hAnsiTheme="minorHAnsi" w:cs="Arial Unicode MS"/>
      <w:kern w:val="2"/>
      <w:lang w:eastAsia="en-US"/>
      <w14:ligatures w14:val="standardContextual"/>
    </w:rPr>
  </w:style>
  <w:style w:type="character" w:styleId="IntenseEmphasis">
    <w:name w:val="Intense Emphasis"/>
    <w:basedOn w:val="DefaultParagraphFont"/>
    <w:uiPriority w:val="21"/>
    <w:qFormat/>
    <w:rsid w:val="001524CA"/>
    <w:rPr>
      <w:i/>
      <w:iCs/>
      <w:color w:val="0F4761" w:themeColor="accent1" w:themeShade="BF"/>
    </w:rPr>
  </w:style>
  <w:style w:type="paragraph" w:styleId="IntenseQuote">
    <w:name w:val="Intense Quote"/>
    <w:basedOn w:val="Normal"/>
    <w:next w:val="Normal"/>
    <w:link w:val="IntenseQuoteChar"/>
    <w:uiPriority w:val="30"/>
    <w:qFormat/>
    <w:rsid w:val="001524C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Arial Unicode MS"/>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1524CA"/>
    <w:rPr>
      <w:rFonts w:cs="Arial Unicode MS"/>
      <w:i/>
      <w:iCs/>
      <w:color w:val="0F4761" w:themeColor="accent1" w:themeShade="BF"/>
    </w:rPr>
  </w:style>
  <w:style w:type="character" w:styleId="IntenseReference">
    <w:name w:val="Intense Reference"/>
    <w:basedOn w:val="DefaultParagraphFont"/>
    <w:uiPriority w:val="32"/>
    <w:qFormat/>
    <w:rsid w:val="001524CA"/>
    <w:rPr>
      <w:b/>
      <w:bCs/>
      <w:smallCaps/>
      <w:color w:val="0F4761" w:themeColor="accent1" w:themeShade="BF"/>
      <w:spacing w:val="5"/>
    </w:rPr>
  </w:style>
  <w:style w:type="paragraph" w:styleId="TOCHeading">
    <w:name w:val="TOC Heading"/>
    <w:basedOn w:val="Heading1"/>
    <w:next w:val="Normal"/>
    <w:uiPriority w:val="39"/>
    <w:unhideWhenUsed/>
    <w:qFormat/>
    <w:rsid w:val="002C464F"/>
    <w:pPr>
      <w:spacing w:before="480" w:after="0" w:line="276" w:lineRule="auto"/>
      <w:outlineLvl w:val="9"/>
    </w:pPr>
    <w:rPr>
      <w:b/>
      <w:bCs/>
      <w:kern w:val="0"/>
      <w:sz w:val="28"/>
      <w:szCs w:val="28"/>
      <w:lang w:val="en-US" w:bidi="ar-SA"/>
      <w14:ligatures w14:val="none"/>
    </w:rPr>
  </w:style>
  <w:style w:type="paragraph" w:styleId="TOC2">
    <w:name w:val="toc 2"/>
    <w:basedOn w:val="Normal"/>
    <w:next w:val="Normal"/>
    <w:autoRedefine/>
    <w:uiPriority w:val="39"/>
    <w:unhideWhenUsed/>
    <w:rsid w:val="002C464F"/>
    <w:pPr>
      <w:pBdr>
        <w:between w:val="double" w:sz="6" w:space="0" w:color="auto"/>
      </w:pBdr>
      <w:spacing w:before="120" w:after="120"/>
      <w:jc w:val="center"/>
    </w:pPr>
    <w:rPr>
      <w:rFonts w:asciiTheme="minorHAnsi" w:eastAsia="Calibri" w:hAnsiTheme="minorHAnsi" w:cs="Iskoola Pota"/>
      <w:i/>
      <w:iCs/>
      <w:sz w:val="20"/>
      <w:szCs w:val="20"/>
    </w:rPr>
  </w:style>
  <w:style w:type="paragraph" w:styleId="TOC1">
    <w:name w:val="toc 1"/>
    <w:basedOn w:val="Normal"/>
    <w:next w:val="Normal"/>
    <w:autoRedefine/>
    <w:uiPriority w:val="39"/>
    <w:unhideWhenUsed/>
    <w:rsid w:val="002C464F"/>
    <w:pPr>
      <w:pBdr>
        <w:between w:val="double" w:sz="6" w:space="0" w:color="auto"/>
      </w:pBdr>
      <w:spacing w:before="120" w:after="120"/>
      <w:jc w:val="center"/>
    </w:pPr>
    <w:rPr>
      <w:rFonts w:asciiTheme="minorHAnsi" w:eastAsia="Calibri" w:hAnsiTheme="minorHAnsi" w:cs="Iskoola Pota"/>
      <w:b/>
      <w:bCs/>
      <w:i/>
      <w:iCs/>
    </w:rPr>
  </w:style>
  <w:style w:type="paragraph" w:styleId="TOC3">
    <w:name w:val="toc 3"/>
    <w:basedOn w:val="Normal"/>
    <w:next w:val="Normal"/>
    <w:autoRedefine/>
    <w:uiPriority w:val="39"/>
    <w:unhideWhenUsed/>
    <w:rsid w:val="002C464F"/>
    <w:pPr>
      <w:pBdr>
        <w:between w:val="double" w:sz="6" w:space="0" w:color="auto"/>
      </w:pBdr>
      <w:spacing w:before="120" w:after="120"/>
      <w:ind w:left="220"/>
      <w:jc w:val="center"/>
    </w:pPr>
    <w:rPr>
      <w:rFonts w:asciiTheme="minorHAnsi" w:eastAsia="Calibri" w:hAnsiTheme="minorHAnsi" w:cs="Iskoola Pota"/>
      <w:sz w:val="20"/>
      <w:szCs w:val="20"/>
    </w:rPr>
  </w:style>
  <w:style w:type="paragraph" w:styleId="TOC4">
    <w:name w:val="toc 4"/>
    <w:basedOn w:val="Normal"/>
    <w:next w:val="Normal"/>
    <w:autoRedefine/>
    <w:uiPriority w:val="39"/>
    <w:semiHidden/>
    <w:unhideWhenUsed/>
    <w:rsid w:val="002C464F"/>
    <w:pPr>
      <w:pBdr>
        <w:between w:val="double" w:sz="6" w:space="0" w:color="auto"/>
      </w:pBdr>
      <w:spacing w:before="120" w:after="120"/>
      <w:ind w:left="440"/>
      <w:jc w:val="center"/>
    </w:pPr>
    <w:rPr>
      <w:rFonts w:asciiTheme="minorHAnsi" w:eastAsia="Calibri" w:hAnsiTheme="minorHAnsi" w:cs="Iskoola Pota"/>
      <w:sz w:val="20"/>
      <w:szCs w:val="20"/>
    </w:rPr>
  </w:style>
  <w:style w:type="paragraph" w:styleId="TOC5">
    <w:name w:val="toc 5"/>
    <w:basedOn w:val="Normal"/>
    <w:next w:val="Normal"/>
    <w:autoRedefine/>
    <w:uiPriority w:val="39"/>
    <w:semiHidden/>
    <w:unhideWhenUsed/>
    <w:rsid w:val="002C464F"/>
    <w:pPr>
      <w:pBdr>
        <w:between w:val="double" w:sz="6" w:space="0" w:color="auto"/>
      </w:pBdr>
      <w:spacing w:before="120" w:after="120"/>
      <w:ind w:left="660"/>
      <w:jc w:val="center"/>
    </w:pPr>
    <w:rPr>
      <w:rFonts w:asciiTheme="minorHAnsi" w:eastAsia="Calibri" w:hAnsiTheme="minorHAnsi" w:cs="Iskoola Pota"/>
      <w:sz w:val="20"/>
      <w:szCs w:val="20"/>
    </w:rPr>
  </w:style>
  <w:style w:type="paragraph" w:styleId="TOC6">
    <w:name w:val="toc 6"/>
    <w:basedOn w:val="Normal"/>
    <w:next w:val="Normal"/>
    <w:autoRedefine/>
    <w:uiPriority w:val="39"/>
    <w:semiHidden/>
    <w:unhideWhenUsed/>
    <w:rsid w:val="002C464F"/>
    <w:pPr>
      <w:pBdr>
        <w:between w:val="double" w:sz="6" w:space="0" w:color="auto"/>
      </w:pBdr>
      <w:spacing w:before="120" w:after="120"/>
      <w:ind w:left="880"/>
      <w:jc w:val="center"/>
    </w:pPr>
    <w:rPr>
      <w:rFonts w:asciiTheme="minorHAnsi" w:eastAsia="Calibri" w:hAnsiTheme="minorHAnsi" w:cs="Iskoola Pota"/>
      <w:sz w:val="20"/>
      <w:szCs w:val="20"/>
    </w:rPr>
  </w:style>
  <w:style w:type="paragraph" w:styleId="TOC7">
    <w:name w:val="toc 7"/>
    <w:basedOn w:val="Normal"/>
    <w:next w:val="Normal"/>
    <w:autoRedefine/>
    <w:uiPriority w:val="39"/>
    <w:semiHidden/>
    <w:unhideWhenUsed/>
    <w:rsid w:val="002C464F"/>
    <w:pPr>
      <w:pBdr>
        <w:between w:val="double" w:sz="6" w:space="0" w:color="auto"/>
      </w:pBdr>
      <w:spacing w:before="120" w:after="120"/>
      <w:ind w:left="1100"/>
      <w:jc w:val="center"/>
    </w:pPr>
    <w:rPr>
      <w:rFonts w:asciiTheme="minorHAnsi" w:eastAsia="Calibri" w:hAnsiTheme="minorHAnsi" w:cs="Iskoola Pota"/>
      <w:sz w:val="20"/>
      <w:szCs w:val="20"/>
    </w:rPr>
  </w:style>
  <w:style w:type="paragraph" w:styleId="TOC8">
    <w:name w:val="toc 8"/>
    <w:basedOn w:val="Normal"/>
    <w:next w:val="Normal"/>
    <w:autoRedefine/>
    <w:uiPriority w:val="39"/>
    <w:semiHidden/>
    <w:unhideWhenUsed/>
    <w:rsid w:val="002C464F"/>
    <w:pPr>
      <w:pBdr>
        <w:between w:val="double" w:sz="6" w:space="0" w:color="auto"/>
      </w:pBdr>
      <w:spacing w:before="120" w:after="120"/>
      <w:ind w:left="1320"/>
      <w:jc w:val="center"/>
    </w:pPr>
    <w:rPr>
      <w:rFonts w:asciiTheme="minorHAnsi" w:eastAsia="Calibri" w:hAnsiTheme="minorHAnsi" w:cs="Iskoola Pota"/>
      <w:sz w:val="20"/>
      <w:szCs w:val="20"/>
    </w:rPr>
  </w:style>
  <w:style w:type="paragraph" w:styleId="TOC9">
    <w:name w:val="toc 9"/>
    <w:basedOn w:val="Normal"/>
    <w:next w:val="Normal"/>
    <w:autoRedefine/>
    <w:uiPriority w:val="39"/>
    <w:semiHidden/>
    <w:unhideWhenUsed/>
    <w:rsid w:val="002C464F"/>
    <w:pPr>
      <w:pBdr>
        <w:between w:val="double" w:sz="6" w:space="0" w:color="auto"/>
      </w:pBdr>
      <w:spacing w:before="120" w:after="120"/>
      <w:ind w:left="1540"/>
      <w:jc w:val="center"/>
    </w:pPr>
    <w:rPr>
      <w:rFonts w:asciiTheme="minorHAnsi" w:eastAsia="Calibri" w:hAnsiTheme="minorHAnsi" w:cs="Iskoola Pota"/>
      <w:sz w:val="20"/>
      <w:szCs w:val="20"/>
    </w:rPr>
  </w:style>
  <w:style w:type="character" w:styleId="Hyperlink">
    <w:name w:val="Hyperlink"/>
    <w:uiPriority w:val="99"/>
    <w:unhideWhenUsed/>
    <w:rsid w:val="002C464F"/>
    <w:rPr>
      <w:color w:val="0563C1"/>
      <w:u w:val="single"/>
    </w:rPr>
  </w:style>
  <w:style w:type="paragraph" w:styleId="Footer">
    <w:name w:val="footer"/>
    <w:basedOn w:val="Normal"/>
    <w:link w:val="FooterChar"/>
    <w:uiPriority w:val="99"/>
    <w:unhideWhenUsed/>
    <w:rsid w:val="00A8374B"/>
    <w:pPr>
      <w:tabs>
        <w:tab w:val="center" w:pos="4513"/>
        <w:tab w:val="right" w:pos="9026"/>
      </w:tabs>
    </w:pPr>
    <w:rPr>
      <w:rFonts w:ascii="Calibri" w:eastAsia="Calibri" w:hAnsi="Calibri" w:cs="Arial Unicode MS"/>
      <w:sz w:val="22"/>
      <w:szCs w:val="22"/>
    </w:rPr>
  </w:style>
  <w:style w:type="character" w:customStyle="1" w:styleId="FooterChar">
    <w:name w:val="Footer Char"/>
    <w:basedOn w:val="DefaultParagraphFont"/>
    <w:link w:val="Footer"/>
    <w:uiPriority w:val="99"/>
    <w:rsid w:val="00A8374B"/>
    <w:rPr>
      <w:rFonts w:ascii="Calibri" w:eastAsia="Calibri" w:hAnsi="Calibri" w:cs="Arial Unicode MS"/>
      <w:kern w:val="0"/>
      <w:sz w:val="22"/>
      <w:szCs w:val="22"/>
      <w:lang w:eastAsia="en-GB"/>
      <w14:ligatures w14:val="none"/>
    </w:rPr>
  </w:style>
  <w:style w:type="character" w:styleId="PageNumber">
    <w:name w:val="page number"/>
    <w:basedOn w:val="DefaultParagraphFont"/>
    <w:uiPriority w:val="99"/>
    <w:semiHidden/>
    <w:unhideWhenUsed/>
    <w:rsid w:val="00A8374B"/>
  </w:style>
  <w:style w:type="character" w:styleId="UnresolvedMention">
    <w:name w:val="Unresolved Mention"/>
    <w:basedOn w:val="DefaultParagraphFont"/>
    <w:uiPriority w:val="99"/>
    <w:semiHidden/>
    <w:unhideWhenUsed/>
    <w:rsid w:val="000D62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02621711211253231" TargetMode="External"/><Relationship Id="rId18" Type="http://schemas.openxmlformats.org/officeDocument/2006/relationships/hyperlink" Target="https://hbr.org/2005/07/the-balanced-scorecard-measures-that-drive-performanc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ijme.2022.100703"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ebookcentral.proquest.com/lib/trinity/reader.action?docID=5987036&amp;c=UERG&amp;ppg="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4883660_The_Pyramid_of_Corporate_Social_Responsibility_Toward_the_Moral_Management_of_Organizational_Stakeholders" TargetMode="External"/><Relationship Id="rId20" Type="http://schemas.openxmlformats.org/officeDocument/2006/relationships/hyperlink" Target="https://www.lumina-intelligence.com/blog/foodservice/uk-coffee-market-size-growth-share-statistics-20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file:///C:/Users/concy/Downloads/10.4324_9780203984642_previewpdf.pdf" TargetMode="External"/><Relationship Id="rId23" Type="http://schemas.openxmlformats.org/officeDocument/2006/relationships/footer" Target="footer1.xml"/><Relationship Id="rId10" Type="http://schemas.openxmlformats.org/officeDocument/2006/relationships/hyperlink" Target="https://pixabay.com/en/starbucks-coffee-abstract-logo-1069758/" TargetMode="External"/><Relationship Id="rId19" Type="http://schemas.openxmlformats.org/officeDocument/2006/relationships/hyperlink" Target="https://www.researchgate.net/publication/235701029_Experiential_Learning_Experience_As_The_Source_Of_Learning_And_Development"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doi.org/10.1177/014920639101700108" TargetMode="External"/><Relationship Id="rId22" Type="http://schemas.openxmlformats.org/officeDocument/2006/relationships/hyperlink" Target="file:///C:/Users/concy/Downloads/Competitive_Strategy_Techniqu.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EFA955-6227-3242-95C6-C0FE25A46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6344</Words>
  <Characters>36163</Characters>
  <Application>Microsoft Office Word</Application>
  <DocSecurity>0</DocSecurity>
  <Lines>301</Lines>
  <Paragraphs>84</Paragraphs>
  <ScaleCrop>false</ScaleCrop>
  <Company/>
  <LinksUpToDate>false</LinksUpToDate>
  <CharactersWithSpaces>42423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Concy Jeya Prem Kumar Rasanayagam (2226962)</dc:creator>
  <cp:keywords/>
  <dc:description/>
  <cp:lastModifiedBy>Concy Jeya Prem Kumar Rasanayagam (2226962)</cp:lastModifiedBy>
  <cp:revision>2</cp:revision>
  <dcterms:created xsi:type="dcterms:W3CDTF">2026-07-15T22:08:00Z</dcterms:created>
  <dcterms:modified xsi:type="dcterms:W3CDTF">2026-07-15T22:08:00Z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fcd3ce65-81f3-485b-8413-061b33401676</vt:lpwstr>
  </property>
</Properties>
</file>