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784E6" w14:textId="77777777" w:rsidR="004354A5" w:rsidRDefault="004354A5" w:rsidP="004354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40D66C9" w14:textId="77777777" w:rsidR="004354A5" w:rsidRDefault="004354A5" w:rsidP="004354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8670C57" w14:textId="77777777" w:rsidR="004354A5" w:rsidRDefault="004354A5" w:rsidP="004354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5A13C5D" w14:textId="55B433A0" w:rsidR="004354A5" w:rsidRPr="004354A5" w:rsidRDefault="004354A5" w:rsidP="00845D0E">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354A5">
        <w:rPr>
          <w:rFonts w:ascii="Times New Roman" w:eastAsia="Times New Roman" w:hAnsi="Times New Roman" w:cs="Times New Roman"/>
          <w:b/>
          <w:bCs/>
          <w:kern w:val="36"/>
          <w:sz w:val="48"/>
          <w:szCs w:val="48"/>
          <w:lang w:eastAsia="en-GB"/>
          <w14:ligatures w14:val="none"/>
        </w:rPr>
        <w:t>Assignment: Component 1: Written report Freestyle Libre</w:t>
      </w:r>
    </w:p>
    <w:p w14:paraId="6FBAB26B" w14:textId="77777777" w:rsidR="004354A5" w:rsidRDefault="004354A5" w:rsidP="004354A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DD85558" w14:textId="77777777" w:rsidR="004354A5" w:rsidRDefault="004354A5" w:rsidP="004354A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59595FF" w14:textId="685B9E64"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Module:</w:t>
      </w:r>
      <w:r w:rsidRPr="004354A5">
        <w:rPr>
          <w:rFonts w:ascii="Times New Roman" w:eastAsia="Times New Roman" w:hAnsi="Times New Roman" w:cs="Times New Roman"/>
          <w:kern w:val="0"/>
          <w:lang w:eastAsia="en-GB"/>
          <w14:ligatures w14:val="none"/>
        </w:rPr>
        <w:t xml:space="preserve"> BMHP 6026: Digital Transformation in the Health and Social Care Professions</w:t>
      </w:r>
    </w:p>
    <w:p w14:paraId="66A84C26" w14:textId="7777777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Lecturer:</w:t>
      </w:r>
      <w:r w:rsidRPr="004354A5">
        <w:rPr>
          <w:rFonts w:ascii="Times New Roman" w:eastAsia="Times New Roman" w:hAnsi="Times New Roman" w:cs="Times New Roman"/>
          <w:kern w:val="0"/>
          <w:lang w:eastAsia="en-GB"/>
          <w14:ligatures w14:val="none"/>
        </w:rPr>
        <w:t xml:space="preserve"> Martin Svejda</w:t>
      </w:r>
    </w:p>
    <w:p w14:paraId="617E38F3" w14:textId="7777777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Student:</w:t>
      </w:r>
      <w:r w:rsidRPr="004354A5">
        <w:rPr>
          <w:rFonts w:ascii="Times New Roman" w:eastAsia="Times New Roman" w:hAnsi="Times New Roman" w:cs="Times New Roman"/>
          <w:kern w:val="0"/>
          <w:lang w:eastAsia="en-GB"/>
          <w14:ligatures w14:val="none"/>
        </w:rPr>
        <w:t xml:space="preserve"> Precious Lewis 2328179</w:t>
      </w:r>
    </w:p>
    <w:p w14:paraId="425BB8BD" w14:textId="7777777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Submission Date:</w:t>
      </w:r>
      <w:r w:rsidRPr="004354A5">
        <w:rPr>
          <w:rFonts w:ascii="Times New Roman" w:eastAsia="Times New Roman" w:hAnsi="Times New Roman" w:cs="Times New Roman"/>
          <w:kern w:val="0"/>
          <w:lang w:eastAsia="en-GB"/>
          <w14:ligatures w14:val="none"/>
        </w:rPr>
        <w:t xml:space="preserve"> 5th July 2026</w:t>
      </w:r>
    </w:p>
    <w:p w14:paraId="08B96ADC"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66CA266"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C02C9C3"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D98E9E5"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D3E48B"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80F8113"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C897CFA"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496019"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1D9EEB9"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764BA92"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D29C3EF"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CB0B2B" w14:textId="5E563B32" w:rsidR="004354A5" w:rsidRP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354A5">
        <w:rPr>
          <w:rFonts w:ascii="Times New Roman" w:eastAsia="Times New Roman" w:hAnsi="Times New Roman" w:cs="Times New Roman"/>
          <w:b/>
          <w:bCs/>
          <w:kern w:val="0"/>
          <w:sz w:val="36"/>
          <w:szCs w:val="36"/>
          <w:lang w:eastAsia="en-GB"/>
          <w14:ligatures w14:val="none"/>
        </w:rPr>
        <w:t>Introduction to Freestyle Libre</w:t>
      </w:r>
    </w:p>
    <w:p w14:paraId="2F7848AA" w14:textId="292EDEF5" w:rsidR="004354A5" w:rsidRPr="002D030A"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 xml:space="preserve">This report focuses on the implementation of the </w:t>
      </w:r>
      <w:r w:rsidR="00C12EFD" w:rsidRPr="002D030A">
        <w:rPr>
          <w:rFonts w:ascii="Arial" w:eastAsia="Times New Roman" w:hAnsi="Arial" w:cs="Arial"/>
          <w:kern w:val="0"/>
          <w:sz w:val="22"/>
          <w:szCs w:val="22"/>
          <w:lang w:eastAsia="en-GB"/>
          <w14:ligatures w14:val="none"/>
        </w:rPr>
        <w:t>Freestyle</w:t>
      </w:r>
      <w:r w:rsidRPr="002D030A">
        <w:rPr>
          <w:rFonts w:ascii="Arial" w:eastAsia="Times New Roman" w:hAnsi="Arial" w:cs="Arial"/>
          <w:kern w:val="0"/>
          <w:sz w:val="22"/>
          <w:szCs w:val="22"/>
          <w:lang w:eastAsia="en-GB"/>
          <w14:ligatures w14:val="none"/>
        </w:rPr>
        <w:t xml:space="preserve"> Libre system, critically evaluating its impact on diabetic patients, clinical service delivery, and healthcare workforce professionals. By examining its usefulness, accessibility, and clinical ease of use, this paper </w:t>
      </w:r>
      <w:r w:rsidR="00FA5C7C" w:rsidRPr="002D030A">
        <w:rPr>
          <w:rFonts w:ascii="Arial" w:eastAsia="Times New Roman" w:hAnsi="Arial" w:cs="Arial"/>
          <w:kern w:val="0"/>
          <w:sz w:val="22"/>
          <w:szCs w:val="22"/>
          <w:lang w:eastAsia="en-GB"/>
          <w14:ligatures w14:val="none"/>
        </w:rPr>
        <w:t>compares</w:t>
      </w:r>
      <w:r w:rsidRPr="002D030A">
        <w:rPr>
          <w:rFonts w:ascii="Arial" w:eastAsia="Times New Roman" w:hAnsi="Arial" w:cs="Arial"/>
          <w:kern w:val="0"/>
          <w:sz w:val="22"/>
          <w:szCs w:val="22"/>
          <w:lang w:eastAsia="en-GB"/>
          <w14:ligatures w14:val="none"/>
        </w:rPr>
        <w:t xml:space="preserve"> the system against traditional self-help tools and previous capillary blood glucose devices. To contextualize this digital transformation, the report first outlines the broader societal and individual burdens of diabetes. Following this foundational overview, the paper will explore the technological evolution of flash glucose monitoring, </w:t>
      </w:r>
      <w:r w:rsidR="00FA5C7C" w:rsidRPr="002D030A">
        <w:rPr>
          <w:rFonts w:ascii="Arial" w:eastAsia="Times New Roman" w:hAnsi="Arial" w:cs="Arial"/>
          <w:kern w:val="0"/>
          <w:sz w:val="22"/>
          <w:szCs w:val="22"/>
          <w:lang w:eastAsia="en-GB"/>
          <w14:ligatures w14:val="none"/>
        </w:rPr>
        <w:t>analyse</w:t>
      </w:r>
      <w:r w:rsidRPr="002D030A">
        <w:rPr>
          <w:rFonts w:ascii="Arial" w:eastAsia="Times New Roman" w:hAnsi="Arial" w:cs="Arial"/>
          <w:kern w:val="0"/>
          <w:sz w:val="22"/>
          <w:szCs w:val="22"/>
          <w:lang w:eastAsia="en-GB"/>
          <w14:ligatures w14:val="none"/>
        </w:rPr>
        <w:t xml:space="preserve"> its financial and workforce implications for the National Health Service (NHS), examine patient-reported outcomes, and conclude with strategic recommendations for future clinical access.</w:t>
      </w:r>
    </w:p>
    <w:p w14:paraId="348865A5" w14:textId="15631A4E" w:rsidR="004354A5" w:rsidRPr="002D030A"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The UK is currently facing an unprecedented diabetes crisis, with cases reaching an all-time high of over 5.8 million people. This staggering figure comprises nearly 4.6 million individuals who have received a formal diagnosis, alongside an estimated 1.3 million people currently living with the condition undiagnosed. Consequently, the NHS allocates approximately £10.07 billion annually to identify, prevent, and treat diabetes (NHS, 2025)</w:t>
      </w:r>
      <w:r w:rsidR="00FA5C7C">
        <w:rPr>
          <w:rFonts w:ascii="Arial" w:eastAsia="Times New Roman" w:hAnsi="Arial" w:cs="Arial"/>
          <w:kern w:val="0"/>
          <w:sz w:val="22"/>
          <w:szCs w:val="22"/>
          <w:lang w:eastAsia="en-GB"/>
          <w14:ligatures w14:val="none"/>
        </w:rPr>
        <w:t>.</w:t>
      </w:r>
    </w:p>
    <w:p w14:paraId="55CD5B0A" w14:textId="24CFFD2B" w:rsidR="004354A5" w:rsidRPr="002D030A"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The UK National Health Service (NHS) highlights key distinctions between type 1 and type 2 diabetes, focusing primarily on their distinct causes, prevention, and management strategies</w:t>
      </w:r>
      <w:r w:rsidR="00FA164A">
        <w:rPr>
          <w:rFonts w:ascii="Arial" w:eastAsia="Times New Roman" w:hAnsi="Arial" w:cs="Arial"/>
          <w:kern w:val="0"/>
          <w:sz w:val="22"/>
          <w:szCs w:val="22"/>
          <w:lang w:eastAsia="en-GB"/>
          <w14:ligatures w14:val="none"/>
        </w:rPr>
        <w:t>:</w:t>
      </w:r>
    </w:p>
    <w:p w14:paraId="422A622E" w14:textId="728FF400" w:rsidR="004354A5" w:rsidRPr="002D030A" w:rsidRDefault="004354A5" w:rsidP="004354A5">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b/>
          <w:bCs/>
          <w:kern w:val="0"/>
          <w:sz w:val="22"/>
          <w:szCs w:val="22"/>
          <w:lang w:eastAsia="en-GB"/>
          <w14:ligatures w14:val="none"/>
        </w:rPr>
        <w:t>Type 1 Diabetes:</w:t>
      </w:r>
      <w:r w:rsidRPr="002D030A">
        <w:rPr>
          <w:rFonts w:ascii="Arial" w:eastAsia="Times New Roman" w:hAnsi="Arial" w:cs="Arial"/>
          <w:kern w:val="0"/>
          <w:sz w:val="22"/>
          <w:szCs w:val="22"/>
          <w:lang w:eastAsia="en-GB"/>
          <w14:ligatures w14:val="none"/>
        </w:rPr>
        <w:t xml:space="preserve"> This is an autoimmune condition in which the immune system mistakenly attacks and destroys insulin-producing cells within the </w:t>
      </w:r>
      <w:r w:rsidR="00F44DEF" w:rsidRPr="002D030A">
        <w:rPr>
          <w:rFonts w:ascii="Arial" w:eastAsia="Times New Roman" w:hAnsi="Arial" w:cs="Arial"/>
          <w:kern w:val="0"/>
          <w:sz w:val="22"/>
          <w:szCs w:val="22"/>
          <w:lang w:eastAsia="en-GB"/>
          <w14:ligatures w14:val="none"/>
        </w:rPr>
        <w:t>pancreas.</w:t>
      </w:r>
      <w:r w:rsidRPr="002D030A">
        <w:rPr>
          <w:rFonts w:ascii="Arial" w:eastAsia="Times New Roman" w:hAnsi="Arial" w:cs="Arial"/>
          <w:kern w:val="0"/>
          <w:sz w:val="22"/>
          <w:szCs w:val="22"/>
          <w:lang w:eastAsia="en-GB"/>
          <w14:ligatures w14:val="none"/>
        </w:rPr>
        <w:t xml:space="preserve"> Because the body cannot produce its own insulin, individuals with type 1 diabetes require lifelong, daily insulin therapy to manage blood sugar </w:t>
      </w:r>
      <w:r w:rsidR="00F44DEF" w:rsidRPr="002D030A">
        <w:rPr>
          <w:rFonts w:ascii="Arial" w:eastAsia="Times New Roman" w:hAnsi="Arial" w:cs="Arial"/>
          <w:kern w:val="0"/>
          <w:sz w:val="22"/>
          <w:szCs w:val="22"/>
          <w:lang w:eastAsia="en-GB"/>
          <w14:ligatures w14:val="none"/>
        </w:rPr>
        <w:t>levels.</w:t>
      </w:r>
      <w:r w:rsidRPr="002D030A">
        <w:rPr>
          <w:rFonts w:ascii="Arial" w:eastAsia="Times New Roman" w:hAnsi="Arial" w:cs="Arial"/>
          <w:kern w:val="0"/>
          <w:sz w:val="22"/>
          <w:szCs w:val="22"/>
          <w:lang w:eastAsia="en-GB"/>
          <w14:ligatures w14:val="none"/>
        </w:rPr>
        <w:t xml:space="preserve"> It cannot be prevented through lifestyle modifications (NHS, 2025)</w:t>
      </w:r>
      <w:r w:rsidR="00F44DEF">
        <w:rPr>
          <w:rFonts w:ascii="Arial" w:eastAsia="Times New Roman" w:hAnsi="Arial" w:cs="Arial"/>
          <w:kern w:val="0"/>
          <w:sz w:val="22"/>
          <w:szCs w:val="22"/>
          <w:lang w:eastAsia="en-GB"/>
          <w14:ligatures w14:val="none"/>
        </w:rPr>
        <w:t>.</w:t>
      </w:r>
    </w:p>
    <w:p w14:paraId="6F05467D" w14:textId="779238F8" w:rsidR="004354A5" w:rsidRPr="002D030A" w:rsidRDefault="004354A5" w:rsidP="004354A5">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b/>
          <w:bCs/>
          <w:kern w:val="0"/>
          <w:sz w:val="22"/>
          <w:szCs w:val="22"/>
          <w:lang w:eastAsia="en-GB"/>
          <w14:ligatures w14:val="none"/>
        </w:rPr>
        <w:t>Type 2 Diabetes:</w:t>
      </w:r>
      <w:r w:rsidRPr="002D030A">
        <w:rPr>
          <w:rFonts w:ascii="Arial" w:eastAsia="Times New Roman" w:hAnsi="Arial" w:cs="Arial"/>
          <w:kern w:val="0"/>
          <w:sz w:val="22"/>
          <w:szCs w:val="22"/>
          <w:lang w:eastAsia="en-GB"/>
          <w14:ligatures w14:val="none"/>
        </w:rPr>
        <w:t xml:space="preserve"> This condition develops when the body either produces insufficient quantities of insulin or when peripheral cells become resistant to the insulin produced, resulting in unsafely elevated blood sugar </w:t>
      </w:r>
      <w:r w:rsidR="00F44DEF" w:rsidRPr="002D030A">
        <w:rPr>
          <w:rFonts w:ascii="Arial" w:eastAsia="Times New Roman" w:hAnsi="Arial" w:cs="Arial"/>
          <w:kern w:val="0"/>
          <w:sz w:val="22"/>
          <w:szCs w:val="22"/>
          <w:lang w:eastAsia="en-GB"/>
          <w14:ligatures w14:val="none"/>
        </w:rPr>
        <w:t>levels.</w:t>
      </w:r>
      <w:r w:rsidRPr="002D030A">
        <w:rPr>
          <w:rFonts w:ascii="Arial" w:eastAsia="Times New Roman" w:hAnsi="Arial" w:cs="Arial"/>
          <w:kern w:val="0"/>
          <w:sz w:val="22"/>
          <w:szCs w:val="22"/>
          <w:lang w:eastAsia="en-GB"/>
          <w14:ligatures w14:val="none"/>
        </w:rPr>
        <w:t xml:space="preserve"> Unlike type 1, type 2 diabetes is strongly linked to lifestyle factors. It can often be prevented or managed through a healthy, balanced diet and regular physical exercise, though clinical progression may require supplementary medication or insulin over time (NHS, 2025)</w:t>
      </w:r>
      <w:r w:rsidR="00F44DEF">
        <w:rPr>
          <w:rFonts w:ascii="Arial" w:eastAsia="Times New Roman" w:hAnsi="Arial" w:cs="Arial"/>
          <w:kern w:val="0"/>
          <w:sz w:val="22"/>
          <w:szCs w:val="22"/>
          <w:lang w:eastAsia="en-GB"/>
          <w14:ligatures w14:val="none"/>
        </w:rPr>
        <w:t>.</w:t>
      </w:r>
    </w:p>
    <w:p w14:paraId="386E2A10" w14:textId="74E6585F" w:rsidR="004354A5" w:rsidRPr="002D030A"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 xml:space="preserve">Currently, type 2 diabetes patients do not automatically meet the procurement requirements for the device unless they utilize insulin to manage their symptoms and concurrently present with at least one of the following clinical </w:t>
      </w:r>
      <w:r w:rsidR="00947D3F" w:rsidRPr="002D030A">
        <w:rPr>
          <w:rFonts w:ascii="Arial" w:eastAsia="Times New Roman" w:hAnsi="Arial" w:cs="Arial"/>
          <w:kern w:val="0"/>
          <w:sz w:val="22"/>
          <w:szCs w:val="22"/>
          <w:lang w:eastAsia="en-GB"/>
          <w14:ligatures w14:val="none"/>
        </w:rPr>
        <w:t>indicators</w:t>
      </w:r>
      <w:r w:rsidR="00FA164A">
        <w:rPr>
          <w:rFonts w:ascii="Arial" w:eastAsia="Times New Roman" w:hAnsi="Arial" w:cs="Arial"/>
          <w:kern w:val="0"/>
          <w:sz w:val="22"/>
          <w:szCs w:val="22"/>
          <w:lang w:eastAsia="en-GB"/>
          <w14:ligatures w14:val="none"/>
        </w:rPr>
        <w:t xml:space="preserve"> </w:t>
      </w:r>
      <w:r w:rsidR="00B555F1">
        <w:rPr>
          <w:rFonts w:ascii="Arial" w:eastAsia="Times New Roman" w:hAnsi="Arial" w:cs="Arial"/>
          <w:kern w:val="0"/>
          <w:sz w:val="22"/>
          <w:szCs w:val="22"/>
          <w:lang w:eastAsia="en-GB"/>
          <w14:ligatures w14:val="none"/>
        </w:rPr>
        <w:t>(NHS,202</w:t>
      </w:r>
      <w:r w:rsidR="00E169E8">
        <w:rPr>
          <w:rFonts w:ascii="Arial" w:eastAsia="Times New Roman" w:hAnsi="Arial" w:cs="Arial"/>
          <w:kern w:val="0"/>
          <w:sz w:val="22"/>
          <w:szCs w:val="22"/>
          <w:lang w:eastAsia="en-GB"/>
          <w14:ligatures w14:val="none"/>
        </w:rPr>
        <w:t>5)</w:t>
      </w:r>
      <w:r w:rsidR="00947D3F" w:rsidRPr="002D030A">
        <w:rPr>
          <w:rFonts w:ascii="Arial" w:eastAsia="Times New Roman" w:hAnsi="Arial" w:cs="Arial"/>
          <w:kern w:val="0"/>
          <w:sz w:val="22"/>
          <w:szCs w:val="22"/>
          <w:lang w:eastAsia="en-GB"/>
          <w14:ligatures w14:val="none"/>
        </w:rPr>
        <w:t>:</w:t>
      </w:r>
    </w:p>
    <w:p w14:paraId="75507D01"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Recurrent hypoglycaemia</w:t>
      </w:r>
    </w:p>
    <w:p w14:paraId="2BD87D5C"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Severe Hypoglycaemia</w:t>
      </w:r>
    </w:p>
    <w:p w14:paraId="2B4DFEC7"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Impaired hypo awareness</w:t>
      </w:r>
    </w:p>
    <w:p w14:paraId="6A33CF4A"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Disability or cognitive impairment</w:t>
      </w:r>
    </w:p>
    <w:p w14:paraId="662DFEF7" w14:textId="77777777" w:rsidR="00E371D9" w:rsidRDefault="004354A5" w:rsidP="00E371D9">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High monitoring need</w:t>
      </w:r>
      <w:r w:rsidR="00E371D9">
        <w:rPr>
          <w:rFonts w:ascii="Arial" w:eastAsia="Times New Roman" w:hAnsi="Arial" w:cs="Arial"/>
          <w:kern w:val="0"/>
          <w:sz w:val="22"/>
          <w:szCs w:val="22"/>
          <w:lang w:eastAsia="en-GB"/>
          <w14:ligatures w14:val="none"/>
        </w:rPr>
        <w:t>s</w:t>
      </w:r>
    </w:p>
    <w:p w14:paraId="15D86C6A" w14:textId="65576E43" w:rsidR="004354A5" w:rsidRPr="00411CC7" w:rsidRDefault="004354A5" w:rsidP="00E371D9">
      <w:pPr>
        <w:spacing w:before="100" w:beforeAutospacing="1" w:after="100" w:afterAutospacing="1" w:line="240" w:lineRule="auto"/>
        <w:ind w:left="360"/>
        <w:rPr>
          <w:rFonts w:ascii="Arial" w:eastAsia="Times New Roman" w:hAnsi="Arial" w:cs="Arial"/>
          <w:kern w:val="0"/>
          <w:sz w:val="18"/>
          <w:szCs w:val="18"/>
          <w:lang w:eastAsia="en-GB"/>
          <w14:ligatures w14:val="none"/>
        </w:rPr>
      </w:pPr>
      <w:r w:rsidRPr="00411CC7">
        <w:rPr>
          <w:rFonts w:ascii="Arial" w:eastAsia="Times New Roman" w:hAnsi="Arial" w:cs="Arial"/>
          <w:kern w:val="0"/>
          <w:sz w:val="18"/>
          <w:szCs w:val="18"/>
          <w:lang w:eastAsia="en-GB"/>
          <w14:ligatures w14:val="none"/>
        </w:rPr>
        <w:t>(Abbott, 2026)</w:t>
      </w:r>
    </w:p>
    <w:p w14:paraId="2AC3D7FB" w14:textId="5DC90C1F" w:rsidR="004354A5" w:rsidRPr="002D030A"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 xml:space="preserve">To mitigate these challenges, the NHS constantly reviews innovative clinical methodologies to improve patient experiences and outcomes by preventing acute health and social care needs from </w:t>
      </w:r>
      <w:r w:rsidR="001F685E" w:rsidRPr="002D030A">
        <w:rPr>
          <w:rFonts w:ascii="Arial" w:eastAsia="Times New Roman" w:hAnsi="Arial" w:cs="Arial"/>
          <w:kern w:val="0"/>
          <w:sz w:val="22"/>
          <w:szCs w:val="22"/>
          <w:lang w:eastAsia="en-GB"/>
          <w14:ligatures w14:val="none"/>
        </w:rPr>
        <w:t>escalating.</w:t>
      </w:r>
      <w:r w:rsidRPr="002D030A">
        <w:rPr>
          <w:rFonts w:ascii="Arial" w:eastAsia="Times New Roman" w:hAnsi="Arial" w:cs="Arial"/>
          <w:kern w:val="0"/>
          <w:sz w:val="22"/>
          <w:szCs w:val="22"/>
          <w:lang w:eastAsia="en-GB"/>
          <w14:ligatures w14:val="none"/>
        </w:rPr>
        <w:t xml:space="preserve"> A core objective of NHS England is to deliver personalized, person-centered care that actively reduces disparities and promotes equality (NHS ENGLAND, 2022). To this end, the NHS launched the 'Healthier You' diabetes prevention programme in 2016, which provides personal support to individuals at high risk of developing type 2 </w:t>
      </w:r>
      <w:r w:rsidR="001F685E" w:rsidRPr="002D030A">
        <w:rPr>
          <w:rFonts w:ascii="Arial" w:eastAsia="Times New Roman" w:hAnsi="Arial" w:cs="Arial"/>
          <w:kern w:val="0"/>
          <w:sz w:val="22"/>
          <w:szCs w:val="22"/>
          <w:lang w:eastAsia="en-GB"/>
          <w14:ligatures w14:val="none"/>
        </w:rPr>
        <w:lastRenderedPageBreak/>
        <w:t>diabetes.</w:t>
      </w:r>
      <w:r w:rsidRPr="002D030A">
        <w:rPr>
          <w:rFonts w:ascii="Arial" w:eastAsia="Times New Roman" w:hAnsi="Arial" w:cs="Arial"/>
          <w:kern w:val="0"/>
          <w:sz w:val="22"/>
          <w:szCs w:val="22"/>
          <w:lang w:eastAsia="en-GB"/>
          <w14:ligatures w14:val="none"/>
        </w:rPr>
        <w:t xml:space="preserve"> This digital and personal lifestyle initiative has proven highly successful, yielding a 37% reduction in diabetes diagnoses among active participants (NHS ENGLAND, 2026)</w:t>
      </w:r>
      <w:r w:rsidR="00E371D9">
        <w:rPr>
          <w:rFonts w:ascii="Arial" w:eastAsia="Times New Roman" w:hAnsi="Arial" w:cs="Arial"/>
          <w:kern w:val="0"/>
          <w:sz w:val="22"/>
          <w:szCs w:val="22"/>
          <w:lang w:eastAsia="en-GB"/>
          <w14:ligatures w14:val="none"/>
        </w:rPr>
        <w:t>.</w:t>
      </w:r>
    </w:p>
    <w:p w14:paraId="364177E0" w14:textId="19C870E7" w:rsidR="004354A5" w:rsidRPr="00334F1E" w:rsidRDefault="001F685E"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334F1E">
        <w:rPr>
          <w:rFonts w:ascii="Arial" w:eastAsia="Times New Roman" w:hAnsi="Arial" w:cs="Arial"/>
          <w:b/>
          <w:bCs/>
          <w:kern w:val="0"/>
          <w:lang w:eastAsia="en-GB"/>
          <w14:ligatures w14:val="none"/>
        </w:rPr>
        <w:t>Freestyle</w:t>
      </w:r>
      <w:r w:rsidR="004354A5" w:rsidRPr="00334F1E">
        <w:rPr>
          <w:rFonts w:ascii="Arial" w:eastAsia="Times New Roman" w:hAnsi="Arial" w:cs="Arial"/>
          <w:b/>
          <w:bCs/>
          <w:kern w:val="0"/>
          <w:lang w:eastAsia="en-GB"/>
          <w14:ligatures w14:val="none"/>
        </w:rPr>
        <w:t xml:space="preserve"> Libre Systems: The Evolution and Impact of Flash Glucose Monitoring</w:t>
      </w:r>
    </w:p>
    <w:p w14:paraId="08A08EFD" w14:textId="305ECC5E"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The </w:t>
      </w:r>
      <w:r w:rsidR="001F685E" w:rsidRPr="004354A5">
        <w:rPr>
          <w:rFonts w:ascii="Times New Roman" w:eastAsia="Times New Roman" w:hAnsi="Times New Roman" w:cs="Times New Roman"/>
          <w:kern w:val="0"/>
          <w:lang w:eastAsia="en-GB"/>
          <w14:ligatures w14:val="none"/>
        </w:rPr>
        <w:t>Freestyle</w:t>
      </w:r>
      <w:r w:rsidRPr="004354A5">
        <w:rPr>
          <w:rFonts w:ascii="Times New Roman" w:eastAsia="Times New Roman" w:hAnsi="Times New Roman" w:cs="Times New Roman"/>
          <w:kern w:val="0"/>
          <w:lang w:eastAsia="en-GB"/>
          <w14:ligatures w14:val="none"/>
        </w:rPr>
        <w:t xml:space="preserve"> Libre (FSL), developed by Abbott Diabetes Care, represents a significant paradigm shift in continuous glucose monitoring (CGM) systems designed to help patients track blood sugar levels. Historically, FSL technology was a rarely encountered device, limited primarily to a select group of individuals with type 1 diabetes who possessed the financial means to self-fund the system (</w:t>
      </w:r>
      <w:r w:rsidR="001F685E">
        <w:rPr>
          <w:rFonts w:ascii="Times New Roman" w:eastAsia="Times New Roman" w:hAnsi="Times New Roman" w:cs="Times New Roman"/>
          <w:kern w:val="0"/>
          <w:lang w:eastAsia="en-GB"/>
          <w14:ligatures w14:val="none"/>
        </w:rPr>
        <w:t>Freestyle</w:t>
      </w:r>
      <w:r w:rsidR="007A70A5">
        <w:rPr>
          <w:rFonts w:ascii="Times New Roman" w:eastAsia="Times New Roman" w:hAnsi="Times New Roman" w:cs="Times New Roman"/>
          <w:kern w:val="0"/>
          <w:lang w:eastAsia="en-GB"/>
          <w14:ligatures w14:val="none"/>
        </w:rPr>
        <w:t xml:space="preserve"> Libre)</w:t>
      </w:r>
      <w:r w:rsidRPr="004354A5">
        <w:rPr>
          <w:rFonts w:ascii="Times New Roman" w:eastAsia="Times New Roman" w:hAnsi="Times New Roman" w:cs="Times New Roman"/>
          <w:kern w:val="0"/>
          <w:lang w:eastAsia="en-GB"/>
          <w14:ligatures w14:val="none"/>
        </w:rPr>
        <w:t>. Today, however, FSL has become the standard of care within NHS type 1 diabetes clinics for both adults and children, and its clinical footprint is expanding rapidly into other environments, ranging from expanded clinical indications to fuel management in elite sports (NHS, 2024). The national rollout of this device offers crucial insights as the healthcare sector continues to advance diabetes technology (Crabtree et al, 2022).</w:t>
      </w:r>
    </w:p>
    <w:p w14:paraId="129A45BF" w14:textId="337B748C"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Technologically, the foundational FSL platform is classified as intermittently scanned continuous glucose monitoring (</w:t>
      </w:r>
      <w:proofErr w:type="spellStart"/>
      <w:r w:rsidRPr="005A6D3D">
        <w:rPr>
          <w:rFonts w:ascii="Times New Roman" w:eastAsia="Times New Roman" w:hAnsi="Times New Roman" w:cs="Times New Roman"/>
          <w:kern w:val="0"/>
          <w:lang w:eastAsia="en-GB"/>
          <w14:ligatures w14:val="none"/>
        </w:rPr>
        <w:t>is</w:t>
      </w:r>
      <w:r w:rsidRPr="004354A5">
        <w:rPr>
          <w:rFonts w:ascii="Times New Roman" w:eastAsia="Times New Roman" w:hAnsi="Times New Roman" w:cs="Times New Roman"/>
          <w:kern w:val="0"/>
          <w:lang w:eastAsia="en-GB"/>
          <w14:ligatures w14:val="none"/>
        </w:rPr>
        <w:t>CGM</w:t>
      </w:r>
      <w:proofErr w:type="spellEnd"/>
      <w:r w:rsidRPr="004354A5">
        <w:rPr>
          <w:rFonts w:ascii="Times New Roman" w:eastAsia="Times New Roman" w:hAnsi="Times New Roman" w:cs="Times New Roman"/>
          <w:kern w:val="0"/>
          <w:lang w:eastAsia="en-GB"/>
          <w14:ligatures w14:val="none"/>
        </w:rPr>
        <w:t>), or flash glucose monitoring (FGM). Launched in 2014 as a potential alternative to capillary blood glucose testing, the device was added to the NHS Drug Tariff in 2017. FSL entered the market as a more cost-effective alternative to real-time continuous glucose monitoring (</w:t>
      </w:r>
      <w:proofErr w:type="spellStart"/>
      <w:r w:rsidRPr="004354A5">
        <w:rPr>
          <w:rFonts w:ascii="Times New Roman" w:eastAsia="Times New Roman" w:hAnsi="Times New Roman" w:cs="Times New Roman"/>
          <w:kern w:val="0"/>
          <w:lang w:eastAsia="en-GB"/>
          <w14:ligatures w14:val="none"/>
        </w:rPr>
        <w:t>rtCGM</w:t>
      </w:r>
      <w:proofErr w:type="spellEnd"/>
      <w:r w:rsidRPr="004354A5">
        <w:rPr>
          <w:rFonts w:ascii="Times New Roman" w:eastAsia="Times New Roman" w:hAnsi="Times New Roman" w:cs="Times New Roman"/>
          <w:kern w:val="0"/>
          <w:lang w:eastAsia="en-GB"/>
          <w14:ligatures w14:val="none"/>
        </w:rPr>
        <w:t>) devices (NHS ENGLAND, 2022). The original iteration monitors interstitial glucose levels</w:t>
      </w:r>
      <w:r w:rsidR="00FD08F0">
        <w:rPr>
          <w:rFonts w:ascii="Times New Roman" w:eastAsia="Times New Roman" w:hAnsi="Times New Roman" w:cs="Times New Roman"/>
          <w:kern w:val="0"/>
          <w:lang w:eastAsia="en-GB"/>
          <w14:ligatures w14:val="none"/>
        </w:rPr>
        <w:t xml:space="preserve"> and requires</w:t>
      </w:r>
      <w:r w:rsidRPr="004354A5">
        <w:rPr>
          <w:rFonts w:ascii="Times New Roman" w:eastAsia="Times New Roman" w:hAnsi="Times New Roman" w:cs="Times New Roman"/>
          <w:kern w:val="0"/>
          <w:lang w:eastAsia="en-GB"/>
          <w14:ligatures w14:val="none"/>
        </w:rPr>
        <w:t xml:space="preserve"> the user to scan the sensor with a mobile phone or a dedicated reader to view real-time data. Crucially, the device stores historical data, allowing older data to be retrieved and reviewed</w:t>
      </w:r>
      <w:r w:rsidR="006355C1">
        <w:rPr>
          <w:rFonts w:ascii="Times New Roman" w:eastAsia="Times New Roman" w:hAnsi="Times New Roman" w:cs="Times New Roman"/>
          <w:kern w:val="0"/>
          <w:lang w:eastAsia="en-GB"/>
          <w14:ligatures w14:val="none"/>
        </w:rPr>
        <w:t xml:space="preserve"> </w:t>
      </w:r>
      <w:r w:rsidR="0051090E">
        <w:rPr>
          <w:rFonts w:ascii="Times New Roman" w:eastAsia="Times New Roman" w:hAnsi="Times New Roman" w:cs="Times New Roman"/>
          <w:kern w:val="0"/>
          <w:lang w:eastAsia="en-GB"/>
          <w14:ligatures w14:val="none"/>
        </w:rPr>
        <w:t>(Abbott,2026</w:t>
      </w:r>
      <w:r w:rsidR="00B555F1">
        <w:rPr>
          <w:rFonts w:ascii="Times New Roman" w:eastAsia="Times New Roman" w:hAnsi="Times New Roman" w:cs="Times New Roman"/>
          <w:kern w:val="0"/>
          <w:lang w:eastAsia="en-GB"/>
          <w14:ligatures w14:val="none"/>
        </w:rPr>
        <w:t>)</w:t>
      </w:r>
      <w:r w:rsidRPr="004354A5">
        <w:rPr>
          <w:rFonts w:ascii="Times New Roman" w:eastAsia="Times New Roman" w:hAnsi="Times New Roman" w:cs="Times New Roman"/>
          <w:kern w:val="0"/>
          <w:lang w:eastAsia="en-GB"/>
          <w14:ligatures w14:val="none"/>
        </w:rPr>
        <w:t>.</w:t>
      </w:r>
    </w:p>
    <w:p w14:paraId="43726EF4" w14:textId="37F40A61"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The subsequent FSL 2 updated this infrastructure by introducing Bluetooth-activated alarms. These alerts actively notify users when glucose levels cross individually customi</w:t>
      </w:r>
      <w:r w:rsidRPr="004320F8">
        <w:rPr>
          <w:rFonts w:ascii="Times New Roman" w:eastAsia="Times New Roman" w:hAnsi="Times New Roman" w:cs="Times New Roman"/>
          <w:color w:val="C00000"/>
          <w:kern w:val="0"/>
          <w:lang w:eastAsia="en-GB"/>
          <w14:ligatures w14:val="none"/>
        </w:rPr>
        <w:t>z</w:t>
      </w:r>
      <w:r w:rsidRPr="004354A5">
        <w:rPr>
          <w:rFonts w:ascii="Times New Roman" w:eastAsia="Times New Roman" w:hAnsi="Times New Roman" w:cs="Times New Roman"/>
          <w:kern w:val="0"/>
          <w:lang w:eastAsia="en-GB"/>
          <w14:ligatures w14:val="none"/>
        </w:rPr>
        <w:t>ed high or low thresholds, requiring interactive engagement and prompt clinical reaction from the patient when an alert is triggered (Blissett et al, 2022).</w:t>
      </w:r>
    </w:p>
    <w:p w14:paraId="181753D2" w14:textId="77777777" w:rsidR="004354A5" w:rsidRPr="00334F1E"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334F1E">
        <w:rPr>
          <w:rFonts w:ascii="Arial" w:eastAsia="Times New Roman" w:hAnsi="Arial" w:cs="Arial"/>
          <w:b/>
          <w:bCs/>
          <w:kern w:val="0"/>
          <w:lang w:eastAsia="en-GB"/>
          <w14:ligatures w14:val="none"/>
        </w:rPr>
        <w:t>Workforce Impact</w:t>
      </w:r>
    </w:p>
    <w:p w14:paraId="51F75636" w14:textId="59703352"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The National Institute for Health and Care Excellence (NICE) outlines practical advice for users and clinical teams setting up these </w:t>
      </w:r>
      <w:r w:rsidR="001F685E" w:rsidRPr="004354A5">
        <w:rPr>
          <w:rFonts w:ascii="Times New Roman" w:eastAsia="Times New Roman" w:hAnsi="Times New Roman" w:cs="Times New Roman"/>
          <w:kern w:val="0"/>
          <w:lang w:eastAsia="en-GB"/>
          <w14:ligatures w14:val="none"/>
        </w:rPr>
        <w:t>devices:</w:t>
      </w:r>
    </w:p>
    <w:p w14:paraId="18B334EE" w14:textId="2232DBB4" w:rsidR="004354A5" w:rsidRPr="004354A5" w:rsidRDefault="004354A5" w:rsidP="004354A5">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Shared Decision-Making:</w:t>
      </w:r>
      <w:r w:rsidRPr="004354A5">
        <w:rPr>
          <w:rFonts w:ascii="Times New Roman" w:eastAsia="Times New Roman" w:hAnsi="Times New Roman" w:cs="Times New Roman"/>
          <w:kern w:val="0"/>
          <w:lang w:eastAsia="en-GB"/>
          <w14:ligatures w14:val="none"/>
        </w:rPr>
        <w:t xml:space="preserve"> If multiple CGM devices align equally well with a patient's clinical needs and lifestyle preferences, the NHS recommends choosing the device with the lowest acquisition cost (which often </w:t>
      </w:r>
      <w:r w:rsidR="00DE39D2">
        <w:rPr>
          <w:rFonts w:ascii="Times New Roman" w:eastAsia="Times New Roman" w:hAnsi="Times New Roman" w:cs="Times New Roman"/>
          <w:kern w:val="0"/>
          <w:lang w:eastAsia="en-GB"/>
          <w14:ligatures w14:val="none"/>
        </w:rPr>
        <w:t>f</w:t>
      </w:r>
      <w:r w:rsidR="00DE39D2" w:rsidRPr="004354A5">
        <w:rPr>
          <w:rFonts w:ascii="Times New Roman" w:eastAsia="Times New Roman" w:hAnsi="Times New Roman" w:cs="Times New Roman"/>
          <w:kern w:val="0"/>
          <w:lang w:eastAsia="en-GB"/>
          <w14:ligatures w14:val="none"/>
        </w:rPr>
        <w:t>avours</w:t>
      </w:r>
      <w:r w:rsidRPr="004354A5">
        <w:rPr>
          <w:rFonts w:ascii="Times New Roman" w:eastAsia="Times New Roman" w:hAnsi="Times New Roman" w:cs="Times New Roman"/>
          <w:kern w:val="0"/>
          <w:lang w:eastAsia="en-GB"/>
          <w14:ligatures w14:val="none"/>
        </w:rPr>
        <w:t xml:space="preserve"> the Freestyle Libre family).</w:t>
      </w:r>
    </w:p>
    <w:p w14:paraId="2E0243BD" w14:textId="2920DA15" w:rsidR="004354A5" w:rsidRPr="004354A5" w:rsidRDefault="004354A5" w:rsidP="004354A5">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Mandatory Back-Up Testing:</w:t>
      </w:r>
      <w:r w:rsidRPr="004354A5">
        <w:rPr>
          <w:rFonts w:ascii="Times New Roman" w:eastAsia="Times New Roman" w:hAnsi="Times New Roman" w:cs="Times New Roman"/>
          <w:kern w:val="0"/>
          <w:lang w:eastAsia="en-GB"/>
          <w14:ligatures w14:val="none"/>
        </w:rPr>
        <w:t xml:space="preserve"> NICE advises that users must be provided with enough manual blood glucose test strips as a </w:t>
      </w:r>
      <w:r w:rsidR="001F685E" w:rsidRPr="004354A5">
        <w:rPr>
          <w:rFonts w:ascii="Times New Roman" w:eastAsia="Times New Roman" w:hAnsi="Times New Roman" w:cs="Times New Roman"/>
          <w:kern w:val="0"/>
          <w:lang w:eastAsia="en-GB"/>
          <w14:ligatures w14:val="none"/>
        </w:rPr>
        <w:t>backup.</w:t>
      </w:r>
      <w:r w:rsidRPr="004354A5">
        <w:rPr>
          <w:rFonts w:ascii="Times New Roman" w:eastAsia="Times New Roman" w:hAnsi="Times New Roman" w:cs="Times New Roman"/>
          <w:kern w:val="0"/>
          <w:lang w:eastAsia="en-GB"/>
          <w14:ligatures w14:val="none"/>
        </w:rPr>
        <w:t xml:space="preserve"> Finger-pricks remain mandatory if the sensor is warming up, if readings do not match presenting physical symptoms, or during phases of rapidly changing glucose </w:t>
      </w:r>
      <w:r w:rsidR="001F685E" w:rsidRPr="004354A5">
        <w:rPr>
          <w:rFonts w:ascii="Times New Roman" w:eastAsia="Times New Roman" w:hAnsi="Times New Roman" w:cs="Times New Roman"/>
          <w:kern w:val="0"/>
          <w:lang w:eastAsia="en-GB"/>
          <w14:ligatures w14:val="none"/>
        </w:rPr>
        <w:t>levels.</w:t>
      </w:r>
    </w:p>
    <w:p w14:paraId="27ED62C2" w14:textId="0099E4E0" w:rsidR="004354A5" w:rsidRPr="004354A5" w:rsidRDefault="004354A5" w:rsidP="004354A5">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Structured Education:</w:t>
      </w:r>
      <w:r w:rsidRPr="004354A5">
        <w:rPr>
          <w:rFonts w:ascii="Times New Roman" w:eastAsia="Times New Roman" w:hAnsi="Times New Roman" w:cs="Times New Roman"/>
          <w:kern w:val="0"/>
          <w:lang w:eastAsia="en-GB"/>
          <w14:ligatures w14:val="none"/>
        </w:rPr>
        <w:t xml:space="preserve"> Healthcare teams must provide comprehensive training on how to interpret real-time data trends and how to respond appropriately to automated smartphone </w:t>
      </w:r>
      <w:r w:rsidR="001F685E" w:rsidRPr="004354A5">
        <w:rPr>
          <w:rFonts w:ascii="Times New Roman" w:eastAsia="Times New Roman" w:hAnsi="Times New Roman" w:cs="Times New Roman"/>
          <w:kern w:val="0"/>
          <w:lang w:eastAsia="en-GB"/>
          <w14:ligatures w14:val="none"/>
        </w:rPr>
        <w:t>alarms.</w:t>
      </w:r>
    </w:p>
    <w:p w14:paraId="58F26FB0" w14:textId="6E10EAE6"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The clinical utility of this technology is heavily supported by audit data. An audit conducted by the Association of British Clinical Diabetologists (ABCD) on the Freestyle Libre found </w:t>
      </w:r>
      <w:r w:rsidRPr="004354A5">
        <w:rPr>
          <w:rFonts w:ascii="Times New Roman" w:eastAsia="Times New Roman" w:hAnsi="Times New Roman" w:cs="Times New Roman"/>
          <w:kern w:val="0"/>
          <w:lang w:eastAsia="en-GB"/>
          <w14:ligatures w14:val="none"/>
        </w:rPr>
        <w:lastRenderedPageBreak/>
        <w:t>that the system significantly improved glycaemic control and reduced hospital admission rates (Blissett et al, 2022</w:t>
      </w:r>
      <w:r w:rsidR="00DE39D2" w:rsidRPr="004354A5">
        <w:rPr>
          <w:rFonts w:ascii="Times New Roman" w:eastAsia="Times New Roman" w:hAnsi="Times New Roman" w:cs="Times New Roman"/>
          <w:kern w:val="0"/>
          <w:lang w:eastAsia="en-GB"/>
          <w14:ligatures w14:val="none"/>
        </w:rPr>
        <w:t>).</w:t>
      </w:r>
      <w:r w:rsidRPr="004354A5">
        <w:rPr>
          <w:rFonts w:ascii="Times New Roman" w:eastAsia="Times New Roman" w:hAnsi="Times New Roman" w:cs="Times New Roman"/>
          <w:kern w:val="0"/>
          <w:lang w:eastAsia="en-GB"/>
          <w14:ligatures w14:val="none"/>
        </w:rPr>
        <w:t xml:space="preserve"> Similarly, a clinical trial conducted by Haak et al (2017) specifically observed a reduction in hypoglycemia without a significant change in baseline HbA1c in individuals with type 2 </w:t>
      </w:r>
      <w:r w:rsidR="001F685E" w:rsidRPr="004354A5">
        <w:rPr>
          <w:rFonts w:ascii="Times New Roman" w:eastAsia="Times New Roman" w:hAnsi="Times New Roman" w:cs="Times New Roman"/>
          <w:kern w:val="0"/>
          <w:lang w:eastAsia="en-GB"/>
          <w14:ligatures w14:val="none"/>
        </w:rPr>
        <w:t>diabetes.</w:t>
      </w:r>
    </w:p>
    <w:p w14:paraId="67B38A27" w14:textId="0352CDB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Furthermore, real-world observational studies conducted by Yadegarfar (2022) demonstrate that real-world data paint a broader picture, showing notable reductions in HbA1c for both type 1 and type 2 diabetic individuals, alongside decreased diabetes distress, improved treatment satisfaction, and validated reductions in </w:t>
      </w:r>
      <w:r w:rsidR="001F685E" w:rsidRPr="004354A5">
        <w:rPr>
          <w:rFonts w:ascii="Times New Roman" w:eastAsia="Times New Roman" w:hAnsi="Times New Roman" w:cs="Times New Roman"/>
          <w:kern w:val="0"/>
          <w:lang w:eastAsia="en-GB"/>
          <w14:ligatures w14:val="none"/>
        </w:rPr>
        <w:t>hypoglycemia.</w:t>
      </w:r>
      <w:r w:rsidRPr="004354A5">
        <w:rPr>
          <w:rFonts w:ascii="Times New Roman" w:eastAsia="Times New Roman" w:hAnsi="Times New Roman" w:cs="Times New Roman"/>
          <w:kern w:val="0"/>
          <w:lang w:eastAsia="en-GB"/>
          <w14:ligatures w14:val="none"/>
        </w:rPr>
        <w:t xml:space="preserve"> Adverse events associated with FSL remain rare and are generally limited to localized cutaneous reactions at the sensor insertion </w:t>
      </w:r>
      <w:r w:rsidR="001F685E" w:rsidRPr="004354A5">
        <w:rPr>
          <w:rFonts w:ascii="Times New Roman" w:eastAsia="Times New Roman" w:hAnsi="Times New Roman" w:cs="Times New Roman"/>
          <w:kern w:val="0"/>
          <w:lang w:eastAsia="en-GB"/>
          <w14:ligatures w14:val="none"/>
        </w:rPr>
        <w:t>site,</w:t>
      </w:r>
      <w:r w:rsidRPr="004354A5">
        <w:rPr>
          <w:rFonts w:ascii="Times New Roman" w:eastAsia="Times New Roman" w:hAnsi="Times New Roman" w:cs="Times New Roman"/>
          <w:kern w:val="0"/>
          <w:lang w:eastAsia="en-GB"/>
          <w14:ligatures w14:val="none"/>
        </w:rPr>
        <w:t xml:space="preserve"> causing mild redness and rashes (Yadegarfar, 2022</w:t>
      </w:r>
      <w:r w:rsidR="00DE39D2" w:rsidRPr="004354A5">
        <w:rPr>
          <w:rFonts w:ascii="Times New Roman" w:eastAsia="Times New Roman" w:hAnsi="Times New Roman" w:cs="Times New Roman"/>
          <w:kern w:val="0"/>
          <w:lang w:eastAsia="en-GB"/>
          <w14:ligatures w14:val="none"/>
        </w:rPr>
        <w:t>).</w:t>
      </w:r>
    </w:p>
    <w:p w14:paraId="6DC7E47D" w14:textId="77777777" w:rsidR="004354A5" w:rsidRPr="00D60168"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D60168">
        <w:rPr>
          <w:rFonts w:ascii="Arial" w:eastAsia="Times New Roman" w:hAnsi="Arial" w:cs="Arial"/>
          <w:b/>
          <w:bCs/>
          <w:kern w:val="0"/>
          <w:lang w:eastAsia="en-GB"/>
          <w14:ligatures w14:val="none"/>
        </w:rPr>
        <w:t>The Advantage of Using AI and Modern Innovation</w:t>
      </w:r>
    </w:p>
    <w:p w14:paraId="289585F3" w14:textId="1E1F5C27" w:rsidR="004354A5" w:rsidRPr="00D60168" w:rsidRDefault="00D14E47" w:rsidP="004354A5">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w:t>
      </w:r>
      <w:r w:rsidR="004354A5" w:rsidRPr="00D60168">
        <w:rPr>
          <w:rFonts w:ascii="Arial" w:eastAsia="Times New Roman" w:hAnsi="Arial" w:cs="Arial"/>
          <w:kern w:val="0"/>
          <w:sz w:val="22"/>
          <w:szCs w:val="22"/>
          <w:lang w:eastAsia="en-GB"/>
          <w14:ligatures w14:val="none"/>
        </w:rPr>
        <w:t>utomating administrative burdens and clinical logging so that doctors, nurses, and social care workers can focus heavily on direct human care rather than screen time eases the frontline workforce's workload (Blissett et al 2022</w:t>
      </w:r>
      <w:r w:rsidR="00DE39D2" w:rsidRPr="00D60168">
        <w:rPr>
          <w:rFonts w:ascii="Arial" w:eastAsia="Times New Roman" w:hAnsi="Arial" w:cs="Arial"/>
          <w:kern w:val="0"/>
          <w:sz w:val="22"/>
          <w:szCs w:val="22"/>
          <w:lang w:eastAsia="en-GB"/>
          <w14:ligatures w14:val="none"/>
        </w:rPr>
        <w:t>).</w:t>
      </w:r>
    </w:p>
    <w:p w14:paraId="0B407C8B" w14:textId="5BA4CFCB" w:rsidR="004354A5" w:rsidRPr="00D60168"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The digital transformation of health and social care remains a top priority for the Department of Health and Social Care (DHSC) and NHS England (NHSE</w:t>
      </w:r>
      <w:r w:rsidR="00DE39D2" w:rsidRPr="00D60168">
        <w:rPr>
          <w:rFonts w:ascii="Arial" w:eastAsia="Times New Roman" w:hAnsi="Arial" w:cs="Arial"/>
          <w:kern w:val="0"/>
          <w:sz w:val="22"/>
          <w:szCs w:val="22"/>
          <w:lang w:eastAsia="en-GB"/>
          <w14:ligatures w14:val="none"/>
        </w:rPr>
        <w:t>).</w:t>
      </w:r>
      <w:r w:rsidRPr="00D60168">
        <w:rPr>
          <w:rFonts w:ascii="Arial" w:eastAsia="Times New Roman" w:hAnsi="Arial" w:cs="Arial"/>
          <w:kern w:val="0"/>
          <w:sz w:val="22"/>
          <w:szCs w:val="22"/>
          <w:lang w:eastAsia="en-GB"/>
          <w14:ligatures w14:val="none"/>
        </w:rPr>
        <w:t xml:space="preserve"> Frameworks from the Secretary of State, Sajid Javid, state that any new digital innovation will need to meet the following four </w:t>
      </w:r>
      <w:r w:rsidR="00DE39D2" w:rsidRPr="00D60168">
        <w:rPr>
          <w:rFonts w:ascii="Arial" w:eastAsia="Times New Roman" w:hAnsi="Arial" w:cs="Arial"/>
          <w:kern w:val="0"/>
          <w:sz w:val="22"/>
          <w:szCs w:val="22"/>
          <w:lang w:eastAsia="en-GB"/>
          <w14:ligatures w14:val="none"/>
        </w:rPr>
        <w:t>criteria:</w:t>
      </w:r>
    </w:p>
    <w:p w14:paraId="43F69BFD"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Prevent people’s health and social care needs from escalating</w:t>
      </w:r>
    </w:p>
    <w:p w14:paraId="66CB1B4A"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Personalise health and social care and reduce health disparities</w:t>
      </w:r>
    </w:p>
    <w:p w14:paraId="18E2D2AE"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Improve the experience and impact of people providing services</w:t>
      </w:r>
    </w:p>
    <w:p w14:paraId="50B92D29"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Transform performance</w:t>
      </w:r>
    </w:p>
    <w:p w14:paraId="6B065077"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(Gov.uk, 2022)</w:t>
      </w:r>
    </w:p>
    <w:p w14:paraId="6C49C583" w14:textId="59505864" w:rsidR="004354A5" w:rsidRPr="00D60168"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To support this transformation, a £150 million investment has been allocated to build the fundamental groundwork required for improving and modernizing health and social care delivery. It explicitly targets three main pillars: high-speed connectivity, digital skills, and cyber resilience, protecting sensitive patient and resident data from cyber threats by reinforcing security protocols across care provider networks and ensuring these practices strictly align with the Data Protection Act 2018 and the GDPR (2016) (GOV.UK, 2022). Accordingly, NHS England continuously reviews data architectures and digital systems to ensure they remain robust, safe, and secure (Bennion et al., 2025).</w:t>
      </w:r>
    </w:p>
    <w:p w14:paraId="652B1C29" w14:textId="3EEC7D11" w:rsidR="004354A5" w:rsidRPr="00D60168"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D60168">
        <w:rPr>
          <w:rFonts w:ascii="Arial" w:eastAsia="Times New Roman" w:hAnsi="Arial" w:cs="Arial"/>
          <w:b/>
          <w:bCs/>
          <w:kern w:val="0"/>
          <w:lang w:eastAsia="en-GB"/>
          <w14:ligatures w14:val="none"/>
        </w:rPr>
        <w:t>Cost Comparison of Treating Diabetes</w:t>
      </w:r>
    </w:p>
    <w:p w14:paraId="41E44E8D" w14:textId="5E88817F"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While the initial acquisition cost of the </w:t>
      </w:r>
      <w:r w:rsidR="00EC1328" w:rsidRPr="004354A5">
        <w:rPr>
          <w:rFonts w:ascii="Times New Roman" w:eastAsia="Times New Roman" w:hAnsi="Times New Roman" w:cs="Times New Roman"/>
          <w:kern w:val="0"/>
          <w:lang w:eastAsia="en-GB"/>
          <w14:ligatures w14:val="none"/>
        </w:rPr>
        <w:t>Freestyle</w:t>
      </w:r>
      <w:r w:rsidRPr="004354A5">
        <w:rPr>
          <w:rFonts w:ascii="Times New Roman" w:eastAsia="Times New Roman" w:hAnsi="Times New Roman" w:cs="Times New Roman"/>
          <w:kern w:val="0"/>
          <w:lang w:eastAsia="en-GB"/>
          <w14:ligatures w14:val="none"/>
        </w:rPr>
        <w:t xml:space="preserve"> Libre system is higher than </w:t>
      </w:r>
      <w:r>
        <w:rPr>
          <w:rFonts w:ascii="Times New Roman" w:eastAsia="Times New Roman" w:hAnsi="Times New Roman" w:cs="Times New Roman"/>
          <w:kern w:val="0"/>
          <w:lang w:eastAsia="en-GB"/>
          <w14:ligatures w14:val="none"/>
        </w:rPr>
        <w:t>that of traditional Self-Monitoring of Blood Glucose (SMBG) systems, it yields</w:t>
      </w:r>
      <w:r w:rsidRPr="004354A5">
        <w:rPr>
          <w:rFonts w:ascii="Times New Roman" w:eastAsia="Times New Roman" w:hAnsi="Times New Roman" w:cs="Times New Roman"/>
          <w:kern w:val="0"/>
          <w:lang w:eastAsia="en-GB"/>
          <w14:ligatures w14:val="none"/>
        </w:rPr>
        <w:t xml:space="preserve"> savings by reducing downstream healthcare resource utilization.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2"/>
        <w:gridCol w:w="2295"/>
        <w:gridCol w:w="1829"/>
      </w:tblGrid>
      <w:tr w:rsidR="004354A5" w:rsidRPr="004354A5" w14:paraId="6EA1D881" w14:textId="77777777">
        <w:trPr>
          <w:tblHeader/>
          <w:tblCellSpacing w:w="15" w:type="dxa"/>
        </w:trPr>
        <w:tc>
          <w:tcPr>
            <w:tcW w:w="0" w:type="auto"/>
            <w:vAlign w:val="center"/>
            <w:hideMark/>
          </w:tcPr>
          <w:p w14:paraId="6EA64226" w14:textId="77777777" w:rsidR="004354A5" w:rsidRPr="004354A5" w:rsidRDefault="004354A5" w:rsidP="004354A5">
            <w:pPr>
              <w:spacing w:after="0" w:line="240" w:lineRule="auto"/>
              <w:jc w:val="center"/>
              <w:rPr>
                <w:rFonts w:ascii="Times New Roman" w:eastAsia="Times New Roman" w:hAnsi="Times New Roman" w:cs="Times New Roman"/>
                <w:b/>
                <w:bCs/>
                <w:kern w:val="0"/>
                <w:lang w:eastAsia="en-GB"/>
                <w14:ligatures w14:val="none"/>
              </w:rPr>
            </w:pPr>
            <w:r w:rsidRPr="004354A5">
              <w:rPr>
                <w:rFonts w:ascii="Times New Roman" w:eastAsia="Times New Roman" w:hAnsi="Times New Roman" w:cs="Times New Roman"/>
                <w:b/>
                <w:bCs/>
                <w:kern w:val="0"/>
                <w:lang w:eastAsia="en-GB"/>
                <w14:ligatures w14:val="none"/>
              </w:rPr>
              <w:t>Cost Element</w:t>
            </w:r>
          </w:p>
        </w:tc>
        <w:tc>
          <w:tcPr>
            <w:tcW w:w="0" w:type="auto"/>
            <w:vAlign w:val="center"/>
            <w:hideMark/>
          </w:tcPr>
          <w:p w14:paraId="7B449E38" w14:textId="77777777" w:rsidR="004354A5" w:rsidRPr="004354A5" w:rsidRDefault="004354A5" w:rsidP="004354A5">
            <w:pPr>
              <w:spacing w:after="0" w:line="240" w:lineRule="auto"/>
              <w:jc w:val="center"/>
              <w:rPr>
                <w:rFonts w:ascii="Times New Roman" w:eastAsia="Times New Roman" w:hAnsi="Times New Roman" w:cs="Times New Roman"/>
                <w:b/>
                <w:bCs/>
                <w:kern w:val="0"/>
                <w:lang w:eastAsia="en-GB"/>
                <w14:ligatures w14:val="none"/>
              </w:rPr>
            </w:pPr>
            <w:r w:rsidRPr="004354A5">
              <w:rPr>
                <w:rFonts w:ascii="Times New Roman" w:eastAsia="Times New Roman" w:hAnsi="Times New Roman" w:cs="Times New Roman"/>
                <w:b/>
                <w:bCs/>
                <w:kern w:val="0"/>
                <w:lang w:eastAsia="en-GB"/>
                <w14:ligatures w14:val="none"/>
              </w:rPr>
              <w:t>FREESTYLE LIBRE</w:t>
            </w:r>
          </w:p>
        </w:tc>
        <w:tc>
          <w:tcPr>
            <w:tcW w:w="0" w:type="auto"/>
            <w:vAlign w:val="center"/>
            <w:hideMark/>
          </w:tcPr>
          <w:p w14:paraId="1276B246" w14:textId="77777777" w:rsidR="004354A5" w:rsidRPr="004354A5" w:rsidRDefault="004354A5" w:rsidP="004354A5">
            <w:pPr>
              <w:spacing w:after="0" w:line="240" w:lineRule="auto"/>
              <w:jc w:val="center"/>
              <w:rPr>
                <w:rFonts w:ascii="Times New Roman" w:eastAsia="Times New Roman" w:hAnsi="Times New Roman" w:cs="Times New Roman"/>
                <w:b/>
                <w:bCs/>
                <w:kern w:val="0"/>
                <w:lang w:eastAsia="en-GB"/>
                <w14:ligatures w14:val="none"/>
              </w:rPr>
            </w:pPr>
            <w:r w:rsidRPr="004354A5">
              <w:rPr>
                <w:rFonts w:ascii="Times New Roman" w:eastAsia="Times New Roman" w:hAnsi="Times New Roman" w:cs="Times New Roman"/>
                <w:b/>
                <w:bCs/>
                <w:kern w:val="0"/>
                <w:lang w:eastAsia="en-GB"/>
                <w14:ligatures w14:val="none"/>
              </w:rPr>
              <w:t>SMBG SYSTEM</w:t>
            </w:r>
          </w:p>
        </w:tc>
      </w:tr>
      <w:tr w:rsidR="004354A5" w:rsidRPr="004354A5" w14:paraId="2AFD4614" w14:textId="77777777">
        <w:trPr>
          <w:tblCellSpacing w:w="15" w:type="dxa"/>
        </w:trPr>
        <w:tc>
          <w:tcPr>
            <w:tcW w:w="0" w:type="auto"/>
            <w:vAlign w:val="center"/>
            <w:hideMark/>
          </w:tcPr>
          <w:p w14:paraId="51FBCC17"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Acquisition costs</w:t>
            </w:r>
          </w:p>
        </w:tc>
        <w:tc>
          <w:tcPr>
            <w:tcW w:w="0" w:type="auto"/>
            <w:vAlign w:val="center"/>
            <w:hideMark/>
          </w:tcPr>
          <w:p w14:paraId="43D178AE"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£937</w:t>
            </w:r>
          </w:p>
        </w:tc>
        <w:tc>
          <w:tcPr>
            <w:tcW w:w="0" w:type="auto"/>
            <w:vAlign w:val="center"/>
            <w:hideMark/>
          </w:tcPr>
          <w:p w14:paraId="560F7B62"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£552</w:t>
            </w:r>
          </w:p>
        </w:tc>
      </w:tr>
      <w:tr w:rsidR="004354A5" w:rsidRPr="004354A5" w14:paraId="2FBDF71C" w14:textId="77777777">
        <w:trPr>
          <w:tblCellSpacing w:w="15" w:type="dxa"/>
        </w:trPr>
        <w:tc>
          <w:tcPr>
            <w:tcW w:w="0" w:type="auto"/>
            <w:vAlign w:val="center"/>
            <w:hideMark/>
          </w:tcPr>
          <w:p w14:paraId="5176412F"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Healthcare resource</w:t>
            </w:r>
          </w:p>
        </w:tc>
        <w:tc>
          <w:tcPr>
            <w:tcW w:w="0" w:type="auto"/>
            <w:vAlign w:val="center"/>
            <w:hideMark/>
          </w:tcPr>
          <w:p w14:paraId="40AF92B3"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£200</w:t>
            </w:r>
          </w:p>
        </w:tc>
        <w:tc>
          <w:tcPr>
            <w:tcW w:w="0" w:type="auto"/>
            <w:vAlign w:val="center"/>
            <w:hideMark/>
          </w:tcPr>
          <w:p w14:paraId="2A9BA2B6"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£396</w:t>
            </w:r>
          </w:p>
        </w:tc>
      </w:tr>
      <w:tr w:rsidR="004354A5" w:rsidRPr="004354A5" w14:paraId="3F3EFAD9" w14:textId="77777777">
        <w:trPr>
          <w:tblCellSpacing w:w="15" w:type="dxa"/>
        </w:trPr>
        <w:tc>
          <w:tcPr>
            <w:tcW w:w="0" w:type="auto"/>
            <w:vAlign w:val="center"/>
            <w:hideMark/>
          </w:tcPr>
          <w:p w14:paraId="25BDC298"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Cost avoided</w:t>
            </w:r>
          </w:p>
        </w:tc>
        <w:tc>
          <w:tcPr>
            <w:tcW w:w="0" w:type="auto"/>
            <w:vAlign w:val="center"/>
            <w:hideMark/>
          </w:tcPr>
          <w:p w14:paraId="7BDEF763"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-£21</w:t>
            </w:r>
          </w:p>
        </w:tc>
        <w:tc>
          <w:tcPr>
            <w:tcW w:w="0" w:type="auto"/>
            <w:vAlign w:val="center"/>
            <w:hideMark/>
          </w:tcPr>
          <w:p w14:paraId="33C59DAE"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w:t>
            </w:r>
          </w:p>
        </w:tc>
      </w:tr>
      <w:tr w:rsidR="004354A5" w:rsidRPr="004354A5" w14:paraId="401321CC" w14:textId="77777777">
        <w:trPr>
          <w:tblCellSpacing w:w="15" w:type="dxa"/>
        </w:trPr>
        <w:tc>
          <w:tcPr>
            <w:tcW w:w="0" w:type="auto"/>
            <w:vAlign w:val="center"/>
            <w:hideMark/>
          </w:tcPr>
          <w:p w14:paraId="6E2A1A1D"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Annual Total</w:t>
            </w:r>
          </w:p>
        </w:tc>
        <w:tc>
          <w:tcPr>
            <w:tcW w:w="0" w:type="auto"/>
            <w:vAlign w:val="center"/>
            <w:hideMark/>
          </w:tcPr>
          <w:p w14:paraId="6038CF15"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£1116</w:t>
            </w:r>
          </w:p>
        </w:tc>
        <w:tc>
          <w:tcPr>
            <w:tcW w:w="0" w:type="auto"/>
            <w:vAlign w:val="center"/>
            <w:hideMark/>
          </w:tcPr>
          <w:p w14:paraId="7E6D3EE7"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£948</w:t>
            </w:r>
          </w:p>
        </w:tc>
      </w:tr>
      <w:tr w:rsidR="004354A5" w:rsidRPr="004354A5" w14:paraId="516330A4" w14:textId="77777777">
        <w:trPr>
          <w:tblCellSpacing w:w="15" w:type="dxa"/>
        </w:trPr>
        <w:tc>
          <w:tcPr>
            <w:tcW w:w="0" w:type="auto"/>
            <w:vAlign w:val="center"/>
            <w:hideMark/>
          </w:tcPr>
          <w:p w14:paraId="39046EF2"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Annual difference in cost</w:t>
            </w:r>
          </w:p>
        </w:tc>
        <w:tc>
          <w:tcPr>
            <w:tcW w:w="0" w:type="auto"/>
            <w:vAlign w:val="center"/>
            <w:hideMark/>
          </w:tcPr>
          <w:p w14:paraId="7A20F99A"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£168</w:t>
            </w:r>
          </w:p>
        </w:tc>
        <w:tc>
          <w:tcPr>
            <w:tcW w:w="0" w:type="auto"/>
            <w:vAlign w:val="center"/>
            <w:hideMark/>
          </w:tcPr>
          <w:p w14:paraId="5E1471EB"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w:t>
            </w:r>
          </w:p>
        </w:tc>
      </w:tr>
    </w:tbl>
    <w:p w14:paraId="56EB28F4" w14:textId="6A3FFFE7" w:rsidR="002F306E" w:rsidRDefault="004354A5" w:rsidP="00973DE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377F0">
        <w:rPr>
          <w:rFonts w:ascii="Times New Roman" w:eastAsia="Times New Roman" w:hAnsi="Times New Roman" w:cs="Times New Roman"/>
          <w:kern w:val="0"/>
          <w:lang w:eastAsia="en-GB"/>
          <w14:ligatures w14:val="none"/>
        </w:rPr>
        <w:lastRenderedPageBreak/>
        <w:t>Table 1.</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 xml:space="preserve">Price comparison chart comparing the old SMBG system with the FSL (Blissett et </w:t>
      </w:r>
      <w:r w:rsidR="000313F5">
        <w:rPr>
          <w:rFonts w:ascii="Times New Roman" w:eastAsia="Times New Roman" w:hAnsi="Times New Roman" w:cs="Times New Roman"/>
          <w:i/>
          <w:iCs/>
          <w:kern w:val="0"/>
          <w:lang w:eastAsia="en-GB"/>
          <w14:ligatures w14:val="none"/>
        </w:rPr>
        <w:t>D</w:t>
      </w:r>
      <w:r w:rsidRPr="004354A5">
        <w:rPr>
          <w:rFonts w:ascii="Times New Roman" w:eastAsia="Times New Roman" w:hAnsi="Times New Roman" w:cs="Times New Roman"/>
          <w:i/>
          <w:iCs/>
          <w:kern w:val="0"/>
          <w:lang w:eastAsia="en-GB"/>
          <w14:ligatures w14:val="none"/>
        </w:rPr>
        <w:t>al, 2022)</w:t>
      </w:r>
      <w:r w:rsidRPr="004354A5">
        <w:rPr>
          <w:rFonts w:ascii="Times New Roman" w:eastAsia="Times New Roman" w:hAnsi="Times New Roman" w:cs="Times New Roman"/>
          <w:kern w:val="0"/>
          <w:lang w:eastAsia="en-GB"/>
          <w14:ligatures w14:val="none"/>
        </w:rPr>
        <w:t>.</w:t>
      </w:r>
      <w:r w:rsidR="000313F5">
        <w:rPr>
          <w:rFonts w:ascii="Times New Roman" w:eastAsia="Times New Roman" w:hAnsi="Times New Roman" w:cs="Times New Roman"/>
          <w:kern w:val="0"/>
          <w:lang w:eastAsia="en-GB"/>
          <w14:ligatures w14:val="none"/>
        </w:rPr>
        <w:t xml:space="preserve">  </w:t>
      </w:r>
    </w:p>
    <w:p w14:paraId="79E8E45F" w14:textId="321B2870" w:rsidR="004354A5" w:rsidRPr="00973DEA" w:rsidRDefault="00637D0C" w:rsidP="00973DEA">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drawing>
          <wp:inline distT="0" distB="0" distL="0" distR="0" wp14:anchorId="5657484D" wp14:editId="24230C9E">
            <wp:extent cx="3270250" cy="2038350"/>
            <wp:effectExtent l="0" t="0" r="0" b="0"/>
            <wp:docPr id="1" name="Picture 1" descr="FreeStyle Libre 2 sensor and the FreeStyle LibreLink app shown on a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Style Libre 2 sensor and the FreeStyle LibreLink app shown on a smartpho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70250" cy="2038350"/>
                    </a:xfrm>
                    <a:prstGeom prst="rect">
                      <a:avLst/>
                    </a:prstGeom>
                    <a:noFill/>
                    <a:ln>
                      <a:noFill/>
                    </a:ln>
                  </pic:spPr>
                </pic:pic>
              </a:graphicData>
            </a:graphic>
          </wp:inline>
        </w:drawing>
      </w:r>
      <w:r w:rsidRPr="004354A5">
        <w:rPr>
          <w:rFonts w:ascii="Courier New" w:eastAsia="Times New Roman" w:hAnsi="Courier New" w:cs="Courier New"/>
          <w:kern w:val="0"/>
          <w:sz w:val="20"/>
          <w:szCs w:val="20"/>
          <w:lang w:eastAsia="en-GB"/>
          <w14:ligatures w14:val="none"/>
        </w:rPr>
        <w:t xml:space="preserve"> </w:t>
      </w:r>
    </w:p>
    <w:p w14:paraId="768E1488" w14:textId="0EE3E44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i/>
          <w:iCs/>
          <w:kern w:val="0"/>
          <w:lang w:eastAsia="en-GB"/>
          <w14:ligatures w14:val="none"/>
        </w:rPr>
        <w:t xml:space="preserve">Picture 1. Freestyle libre </w:t>
      </w:r>
      <w:r w:rsidR="002F306E">
        <w:rPr>
          <w:rFonts w:ascii="Times New Roman" w:eastAsia="Times New Roman" w:hAnsi="Times New Roman" w:cs="Times New Roman"/>
          <w:i/>
          <w:iCs/>
          <w:kern w:val="0"/>
          <w:lang w:eastAsia="en-GB"/>
          <w14:ligatures w14:val="none"/>
        </w:rPr>
        <w:t>2</w:t>
      </w:r>
      <w:r w:rsidR="001F685E">
        <w:rPr>
          <w:rFonts w:ascii="Times New Roman" w:eastAsia="Times New Roman" w:hAnsi="Times New Roman" w:cs="Times New Roman"/>
          <w:i/>
          <w:iCs/>
          <w:kern w:val="0"/>
          <w:lang w:eastAsia="en-GB"/>
          <w14:ligatures w14:val="none"/>
        </w:rPr>
        <w:t xml:space="preserve"> plus</w:t>
      </w:r>
      <w:r w:rsidR="001D78BC">
        <w:rPr>
          <w:rFonts w:ascii="Times New Roman" w:eastAsia="Times New Roman" w:hAnsi="Times New Roman" w:cs="Times New Roman"/>
          <w:i/>
          <w:iCs/>
          <w:kern w:val="0"/>
          <w:lang w:eastAsia="en-GB"/>
          <w14:ligatures w14:val="none"/>
        </w:rPr>
        <w:t xml:space="preserve"> </w:t>
      </w:r>
      <w:r w:rsidR="001F685E" w:rsidRPr="004354A5">
        <w:rPr>
          <w:rFonts w:ascii="Times New Roman" w:eastAsia="Times New Roman" w:hAnsi="Times New Roman" w:cs="Times New Roman"/>
          <w:i/>
          <w:iCs/>
          <w:kern w:val="0"/>
          <w:lang w:eastAsia="en-GB"/>
          <w14:ligatures w14:val="none"/>
        </w:rPr>
        <w:t>(Abbott</w:t>
      </w:r>
      <w:r w:rsidRPr="004354A5">
        <w:rPr>
          <w:rFonts w:ascii="Times New Roman" w:eastAsia="Times New Roman" w:hAnsi="Times New Roman" w:cs="Times New Roman"/>
          <w:i/>
          <w:iCs/>
          <w:kern w:val="0"/>
          <w:lang w:eastAsia="en-GB"/>
          <w14:ligatures w14:val="none"/>
        </w:rPr>
        <w:t xml:space="preserve"> Diabetes Care</w:t>
      </w:r>
      <w:r w:rsidR="002F306E">
        <w:rPr>
          <w:rFonts w:ascii="Times New Roman" w:eastAsia="Times New Roman" w:hAnsi="Times New Roman" w:cs="Times New Roman"/>
          <w:i/>
          <w:iCs/>
          <w:kern w:val="0"/>
          <w:lang w:eastAsia="en-GB"/>
          <w14:ligatures w14:val="none"/>
        </w:rPr>
        <w:t>,2026</w:t>
      </w:r>
      <w:r w:rsidR="009377F0" w:rsidRPr="004354A5">
        <w:rPr>
          <w:rFonts w:ascii="Times New Roman" w:eastAsia="Times New Roman" w:hAnsi="Times New Roman" w:cs="Times New Roman"/>
          <w:i/>
          <w:iCs/>
          <w:kern w:val="0"/>
          <w:lang w:eastAsia="en-GB"/>
          <w14:ligatures w14:val="none"/>
        </w:rPr>
        <w:t>)</w:t>
      </w:r>
      <w:r w:rsidR="009377F0" w:rsidRPr="004354A5">
        <w:rPr>
          <w:rFonts w:ascii="Times New Roman" w:eastAsia="Times New Roman" w:hAnsi="Times New Roman" w:cs="Times New Roman"/>
          <w:kern w:val="0"/>
          <w:lang w:eastAsia="en-GB"/>
          <w14:ligatures w14:val="none"/>
        </w:rPr>
        <w:t>.</w:t>
      </w:r>
    </w:p>
    <w:p w14:paraId="43B6A7B5" w14:textId="77777777" w:rsidR="004354A5" w:rsidRPr="00AD7C72"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AD7C72">
        <w:rPr>
          <w:rFonts w:ascii="Arial" w:eastAsia="Times New Roman" w:hAnsi="Arial" w:cs="Arial"/>
          <w:b/>
          <w:bCs/>
          <w:kern w:val="0"/>
          <w:lang w:eastAsia="en-GB"/>
          <w14:ligatures w14:val="none"/>
        </w:rPr>
        <w:t>Patients Impact</w:t>
      </w:r>
    </w:p>
    <w:p w14:paraId="514C9FCC" w14:textId="751961A4"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The FSL3 is approved globally for individuals aged 4 and older, which leaves out toddlers under 4, where competitors like the Dexcom G6/G7 are cleared down to age 2 (Alva et al., 2023; Nguyen &amp; White, 2022). In terms of product availability, the Freestyle libre 2 has been phased out as of April 2026 and has now been replaced with the FSL 2 plus and the FSL 3 (Abbott, 2026</w:t>
      </w:r>
      <w:r w:rsidR="00845E42">
        <w:rPr>
          <w:rFonts w:ascii="Times New Roman" w:eastAsia="Times New Roman" w:hAnsi="Times New Roman" w:cs="Times New Roman"/>
          <w:kern w:val="0"/>
          <w:lang w:eastAsia="en-GB"/>
          <w14:ligatures w14:val="none"/>
        </w:rPr>
        <w:t>)</w:t>
      </w:r>
      <w:r w:rsidRPr="004354A5">
        <w:rPr>
          <w:rFonts w:ascii="Times New Roman" w:eastAsia="Times New Roman" w:hAnsi="Times New Roman" w:cs="Times New Roman"/>
          <w:kern w:val="0"/>
          <w:lang w:eastAsia="en-GB"/>
          <w14:ligatures w14:val="none"/>
        </w:rPr>
        <w:t>.</w:t>
      </w:r>
    </w:p>
    <w:p w14:paraId="039B352C" w14:textId="57B93C0D"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The FSL3 features a redesigned, one-piece sensor applicator that is substantially smaller than previous models, roughly the size of a UK 2p coin (Nguyen &amp; White, 2022). Users report that this 70% reduction in on-body size makes the sensor highly discreet and notably enhances comfort during continuous 14-day wear (Alva et al., 2023; Nguyen &amp; White, 2022). Furthermore, feedback consistently shows that applying the subcutaneous electrochemical sensor causes little to no pain (Nguyen &amp; White, 2022).</w:t>
      </w:r>
    </w:p>
    <w:p w14:paraId="74538736" w14:textId="64573215"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The most significant functional shift from the older "Flash" models to the FSL3 is its transition to true real-time streaming via Bluetooth Low Energy (BLE) (Alva et al., 2023). Users express high satisfaction with the removal of the requirement to physically wave a phone or reader over the sensor to pull data (Sehgal et al., 2023). Data streams automatically every minute, causing fewer missing readings (Alva et al., 2023). Users report peace of mind knowing that gaps in data are minimized, as they no longer miss critical overnight readings by forgetting to scan before the older versions' 8-hour data-overwrite window closed (Nguyen &amp; White, 2022).</w:t>
      </w:r>
    </w:p>
    <w:p w14:paraId="43772598" w14:textId="31879ED3"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In terms of market accuracy benchmarks, FSL 3 has the lowest MARD on the market. The system boasts an overall Mean Absolute Relative Difference (MARD) of 7.8% to 7.9% in adults and older children (Alva et al., 2023; Nguyen &amp; White, 2022</w:t>
      </w:r>
      <w:r w:rsidR="00AD7C72" w:rsidRPr="004354A5">
        <w:rPr>
          <w:rFonts w:ascii="Times New Roman" w:eastAsia="Times New Roman" w:hAnsi="Times New Roman" w:cs="Times New Roman"/>
          <w:kern w:val="0"/>
          <w:lang w:eastAsia="en-GB"/>
          <w14:ligatures w14:val="none"/>
        </w:rPr>
        <w:t>).</w:t>
      </w:r>
      <w:r w:rsidRPr="004354A5">
        <w:rPr>
          <w:rFonts w:ascii="Times New Roman" w:eastAsia="Times New Roman" w:hAnsi="Times New Roman" w:cs="Times New Roman"/>
          <w:kern w:val="0"/>
          <w:lang w:eastAsia="en-GB"/>
          <w14:ligatures w14:val="none"/>
        </w:rPr>
        <w:t xml:space="preserve"> In the CGM industry, a lower MARD means higher accuracy; FSL3 registers among the lowest clinically validated </w:t>
      </w:r>
      <w:r w:rsidR="00AD7C72" w:rsidRPr="004354A5">
        <w:rPr>
          <w:rFonts w:ascii="Times New Roman" w:eastAsia="Times New Roman" w:hAnsi="Times New Roman" w:cs="Times New Roman"/>
          <w:kern w:val="0"/>
          <w:lang w:eastAsia="en-GB"/>
          <w14:ligatures w14:val="none"/>
        </w:rPr>
        <w:t>scores.</w:t>
      </w:r>
      <w:r w:rsidRPr="004354A5">
        <w:rPr>
          <w:rFonts w:ascii="Times New Roman" w:eastAsia="Times New Roman" w:hAnsi="Times New Roman" w:cs="Times New Roman"/>
          <w:kern w:val="0"/>
          <w:lang w:eastAsia="en-GB"/>
          <w14:ligatures w14:val="none"/>
        </w:rPr>
        <w:t xml:space="preserve"> In clinical accuracy tracking trials, the FSL3 demonstrated a significantly lower overall MARD compared directly against its primary competitor, the Dexcom G7 (8.9% vs. 13.6%, respectively), particularly excelling in tracking accuracy after the first 12 hours of wear (Hanson et al., 2024). Users heavily praise the "factory-calibrated" nature of the device, </w:t>
      </w:r>
      <w:r w:rsidRPr="004354A5">
        <w:rPr>
          <w:rFonts w:ascii="Times New Roman" w:eastAsia="Times New Roman" w:hAnsi="Times New Roman" w:cs="Times New Roman"/>
          <w:kern w:val="0"/>
          <w:lang w:eastAsia="en-GB"/>
          <w14:ligatures w14:val="none"/>
        </w:rPr>
        <w:lastRenderedPageBreak/>
        <w:t>eliminating the painful and tedious requirement for daily finger-prick blood glucose calibrations (Nguyen &amp; White, 2022; Sehgal et al., 2023).</w:t>
      </w:r>
    </w:p>
    <w:p w14:paraId="4CE9FF2D" w14:textId="2D34CBEE"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The clinical and psychological impact of the </w:t>
      </w:r>
      <w:r w:rsidR="00C470A6" w:rsidRPr="004354A5">
        <w:rPr>
          <w:rFonts w:ascii="Times New Roman" w:eastAsia="Times New Roman" w:hAnsi="Times New Roman" w:cs="Times New Roman"/>
          <w:kern w:val="0"/>
          <w:lang w:eastAsia="en-GB"/>
          <w14:ligatures w14:val="none"/>
        </w:rPr>
        <w:t>Freestyle</w:t>
      </w:r>
      <w:r w:rsidRPr="004354A5">
        <w:rPr>
          <w:rFonts w:ascii="Times New Roman" w:eastAsia="Times New Roman" w:hAnsi="Times New Roman" w:cs="Times New Roman"/>
          <w:kern w:val="0"/>
          <w:lang w:eastAsia="en-GB"/>
          <w14:ligatures w14:val="none"/>
        </w:rPr>
        <w:t xml:space="preserve"> Libre (FSL) on patients living with diabetes is heavily documented across both randomized controlled trials (RCTs) and extensive real-world observational registries. The device fundamentally alters how individuals engage with their condition by shifting care from reactive symptom management to proactive, data-driven self-regulation. Living with diabetes requires constant tracking and causes a distinct psychological burden known as diabetes distress. Eliminating the daily friction of painful, invasive capillary finger-pricking directly improves mental health outcomes, correlating directly with an improved quality of life, reduced work absenteeism (a 58% reduction), and elevated treatment satisfaction (Abbott, 2025).</w:t>
      </w:r>
    </w:p>
    <w:p w14:paraId="47EF3BB6" w14:textId="0DCC435C"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Furthermore, data points to an Abbott-reported 52% reduction in stroke-related hospitalizations and a 36% reduction in admissions for acute myocardial infarctions (heart attacks) due to improved systemic metabolic stability (Abbott, 2025</w:t>
      </w:r>
      <w:r w:rsidR="00227EB1">
        <w:rPr>
          <w:rFonts w:ascii="Times New Roman" w:eastAsia="Times New Roman" w:hAnsi="Times New Roman" w:cs="Times New Roman"/>
          <w:kern w:val="0"/>
          <w:lang w:eastAsia="en-GB"/>
          <w14:ligatures w14:val="none"/>
        </w:rPr>
        <w:t>)</w:t>
      </w:r>
      <w:r w:rsidRPr="004354A5">
        <w:rPr>
          <w:rFonts w:ascii="Times New Roman" w:eastAsia="Times New Roman" w:hAnsi="Times New Roman" w:cs="Times New Roman"/>
          <w:kern w:val="0"/>
          <w:lang w:eastAsia="en-GB"/>
          <w14:ligatures w14:val="none"/>
        </w:rPr>
        <w:t>. From a care-network perspective, primary healthcare providers or a diabetes nurse will have access to the device's data, and users can also choose to have friends and family receive updates. This provides clear peace of mind to concerned family and friends, as well as the user (Abbot UK, 2026).</w:t>
      </w:r>
    </w:p>
    <w:p w14:paraId="3FD29134" w14:textId="77777777" w:rsidR="004354A5" w:rsidRPr="00227EB1"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227EB1">
        <w:rPr>
          <w:rFonts w:ascii="Arial" w:eastAsia="Times New Roman" w:hAnsi="Arial" w:cs="Arial"/>
          <w:b/>
          <w:bCs/>
          <w:kern w:val="0"/>
          <w:lang w:eastAsia="en-GB"/>
          <w14:ligatures w14:val="none"/>
        </w:rPr>
        <w:t>Conclusion</w:t>
      </w:r>
    </w:p>
    <w:p w14:paraId="0C195ACD" w14:textId="6E3BB4F5"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Large-scale retrospective health data tracking shows that using the Freestyle Libre significantly decreases hospital admission rates caused by severe acute diabetes events (such as diabetic ketoacidosis and severe hypoglycemia) by up to 67% for patients managing their condition with insulin therapy (Abbott UK, 2022). Beyond physical improvements, the continuous stream of data and directional trend arrows </w:t>
      </w:r>
      <w:r w:rsidR="00227EB1">
        <w:rPr>
          <w:rFonts w:ascii="Times New Roman" w:eastAsia="Times New Roman" w:hAnsi="Times New Roman" w:cs="Times New Roman"/>
          <w:kern w:val="0"/>
          <w:lang w:eastAsia="en-GB"/>
          <w14:ligatures w14:val="none"/>
        </w:rPr>
        <w:t>provides</w:t>
      </w:r>
      <w:r w:rsidRPr="004354A5">
        <w:rPr>
          <w:rFonts w:ascii="Times New Roman" w:eastAsia="Times New Roman" w:hAnsi="Times New Roman" w:cs="Times New Roman"/>
          <w:kern w:val="0"/>
          <w:lang w:eastAsia="en-GB"/>
          <w14:ligatures w14:val="none"/>
        </w:rPr>
        <w:t xml:space="preserve"> users with immediate clarity. Studies show that 95% of users report a significantly better understanding of their glucose fluctuations, making it easier to regulate insulin dosing around meals (Proven Outcomes, n.d.). Consequently, those switching to the device experience reduced levels of diabetes-specific psychological distress and enhanced everyday quality of life (Garden et al., 2021; Yadegarfar et al., 2020).</w:t>
      </w:r>
    </w:p>
    <w:p w14:paraId="43BD14F5" w14:textId="2C1354A5" w:rsid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Due to the positive impact the FSL has had on those suffering </w:t>
      </w:r>
      <w:r w:rsidR="00227EB1">
        <w:rPr>
          <w:rFonts w:ascii="Times New Roman" w:eastAsia="Times New Roman" w:hAnsi="Times New Roman" w:cs="Times New Roman"/>
          <w:kern w:val="0"/>
          <w:lang w:eastAsia="en-GB"/>
          <w14:ligatures w14:val="none"/>
        </w:rPr>
        <w:t>from</w:t>
      </w:r>
      <w:r w:rsidRPr="004354A5">
        <w:rPr>
          <w:rFonts w:ascii="Times New Roman" w:eastAsia="Times New Roman" w:hAnsi="Times New Roman" w:cs="Times New Roman"/>
          <w:kern w:val="0"/>
          <w:lang w:eastAsia="en-GB"/>
          <w14:ligatures w14:val="none"/>
        </w:rPr>
        <w:t xml:space="preserve"> T</w:t>
      </w:r>
      <w:r w:rsidR="00E17435">
        <w:rPr>
          <w:rFonts w:ascii="Times New Roman" w:eastAsia="Times New Roman" w:hAnsi="Times New Roman" w:cs="Times New Roman"/>
          <w:kern w:val="0"/>
          <w:lang w:eastAsia="en-GB"/>
          <w14:ligatures w14:val="none"/>
        </w:rPr>
        <w:t xml:space="preserve">ype </w:t>
      </w:r>
      <w:r w:rsidRPr="004354A5">
        <w:rPr>
          <w:rFonts w:ascii="Times New Roman" w:eastAsia="Times New Roman" w:hAnsi="Times New Roman" w:cs="Times New Roman"/>
          <w:kern w:val="0"/>
          <w:lang w:eastAsia="en-GB"/>
          <w14:ligatures w14:val="none"/>
        </w:rPr>
        <w:t>1D</w:t>
      </w:r>
      <w:r w:rsidR="00E17435">
        <w:rPr>
          <w:rFonts w:ascii="Times New Roman" w:eastAsia="Times New Roman" w:hAnsi="Times New Roman" w:cs="Times New Roman"/>
          <w:kern w:val="0"/>
          <w:lang w:eastAsia="en-GB"/>
          <w14:ligatures w14:val="none"/>
        </w:rPr>
        <w:t>iabetes</w:t>
      </w:r>
      <w:r w:rsidRPr="004354A5">
        <w:rPr>
          <w:rFonts w:ascii="Times New Roman" w:eastAsia="Times New Roman" w:hAnsi="Times New Roman" w:cs="Times New Roman"/>
          <w:kern w:val="0"/>
          <w:lang w:eastAsia="en-GB"/>
          <w14:ligatures w14:val="none"/>
        </w:rPr>
        <w:t xml:space="preserve">, I would recommend the device being available to all diabetes sufferers without cost and additional complications. It may turn out to be an effective preventative measure that may even allow those with T2D diabetes to put their diabetes in remission or even eradicate it once the individual has learnt how to manage their </w:t>
      </w:r>
      <w:r w:rsidR="00E17435" w:rsidRPr="004354A5">
        <w:rPr>
          <w:rFonts w:ascii="Times New Roman" w:eastAsia="Times New Roman" w:hAnsi="Times New Roman" w:cs="Times New Roman"/>
          <w:kern w:val="0"/>
          <w:lang w:eastAsia="en-GB"/>
          <w14:ligatures w14:val="none"/>
        </w:rPr>
        <w:t>diabetes.</w:t>
      </w:r>
    </w:p>
    <w:p w14:paraId="5866891F" w14:textId="2FF97250" w:rsidR="00F02327" w:rsidRPr="004A70AB" w:rsidRDefault="00B04E5E" w:rsidP="004354A5">
      <w:pPr>
        <w:spacing w:before="100" w:beforeAutospacing="1" w:after="100" w:afterAutospacing="1" w:line="240" w:lineRule="auto"/>
        <w:rPr>
          <w:rFonts w:ascii="Times New Roman" w:eastAsia="Times New Roman" w:hAnsi="Times New Roman" w:cs="Times New Roman"/>
          <w:color w:val="C00000"/>
          <w:kern w:val="0"/>
          <w:lang w:eastAsia="en-GB"/>
          <w14:ligatures w14:val="none"/>
        </w:rPr>
      </w:pPr>
      <w:r>
        <w:rPr>
          <w:rFonts w:ascii="Times New Roman" w:eastAsia="Times New Roman" w:hAnsi="Times New Roman" w:cs="Times New Roman"/>
          <w:kern w:val="0"/>
          <w:lang w:eastAsia="en-GB"/>
          <w14:ligatures w14:val="none"/>
        </w:rPr>
        <w:t xml:space="preserve">The </w:t>
      </w:r>
      <w:r w:rsidR="007F2CD2">
        <w:rPr>
          <w:rFonts w:ascii="Times New Roman" w:eastAsia="Times New Roman" w:hAnsi="Times New Roman" w:cs="Times New Roman"/>
          <w:kern w:val="0"/>
          <w:lang w:eastAsia="en-GB"/>
          <w14:ligatures w14:val="none"/>
        </w:rPr>
        <w:t xml:space="preserve">Freestyle Libre </w:t>
      </w:r>
      <w:r w:rsidR="00CE038D">
        <w:rPr>
          <w:rFonts w:ascii="Times New Roman" w:eastAsia="Times New Roman" w:hAnsi="Times New Roman" w:cs="Times New Roman"/>
          <w:kern w:val="0"/>
          <w:lang w:eastAsia="en-GB"/>
          <w14:ligatures w14:val="none"/>
        </w:rPr>
        <w:t xml:space="preserve">statistics </w:t>
      </w:r>
      <w:r w:rsidR="00FB235E">
        <w:t xml:space="preserve">In Year 1, 30% of the T1D population is assumed to use the </w:t>
      </w:r>
      <w:r w:rsidR="00CE038D">
        <w:t>Freestyle</w:t>
      </w:r>
      <w:r w:rsidR="00FB235E">
        <w:t xml:space="preserve"> Libre system and 70% use SMBG, reflecting 2020 market trends. By Years 2 and 3, </w:t>
      </w:r>
      <w:r w:rsidR="00473FF9">
        <w:t>Freestyle</w:t>
      </w:r>
      <w:r w:rsidR="00FB235E">
        <w:t xml:space="preserve"> Libre adoption is projected to increase to 50% and 70% respectively, with SMBG usage decreasing (NIH, 2022).</w:t>
      </w:r>
    </w:p>
    <w:p w14:paraId="1444EE54" w14:textId="77777777" w:rsidR="00E17435" w:rsidRDefault="00E1743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0D77F3"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7490CEB"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886BF72"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217721E"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D9D478" w14:textId="64CBA1A9" w:rsidR="004354A5" w:rsidRP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354A5">
        <w:rPr>
          <w:rFonts w:ascii="Times New Roman" w:eastAsia="Times New Roman" w:hAnsi="Times New Roman" w:cs="Times New Roman"/>
          <w:b/>
          <w:bCs/>
          <w:kern w:val="0"/>
          <w:sz w:val="36"/>
          <w:szCs w:val="36"/>
          <w:lang w:eastAsia="en-GB"/>
          <w14:ligatures w14:val="none"/>
        </w:rPr>
        <w:t>References</w:t>
      </w:r>
      <w:r w:rsidR="004A70AB">
        <w:rPr>
          <w:rFonts w:ascii="Times New Roman" w:eastAsia="Times New Roman" w:hAnsi="Times New Roman" w:cs="Times New Roman"/>
          <w:b/>
          <w:bCs/>
          <w:kern w:val="0"/>
          <w:sz w:val="36"/>
          <w:szCs w:val="36"/>
          <w:lang w:eastAsia="en-GB"/>
          <w14:ligatures w14:val="none"/>
        </w:rPr>
        <w:t xml:space="preserve"> </w:t>
      </w:r>
    </w:p>
    <w:p w14:paraId="0AB8D4CA" w14:textId="68052B82"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E58A1">
        <w:rPr>
          <w:rFonts w:ascii="Times New Roman" w:eastAsia="Times New Roman" w:hAnsi="Times New Roman" w:cs="Times New Roman"/>
          <w:kern w:val="0"/>
          <w:lang w:eastAsia="en-GB"/>
          <w14:ligatures w14:val="none"/>
        </w:rPr>
        <w:t>Abbott (</w:t>
      </w:r>
      <w:r w:rsidR="00DE58A1" w:rsidRPr="00DE58A1">
        <w:rPr>
          <w:rFonts w:ascii="Times New Roman" w:eastAsia="Times New Roman" w:hAnsi="Times New Roman" w:cs="Times New Roman"/>
          <w:kern w:val="0"/>
          <w:lang w:eastAsia="en-GB"/>
          <w14:ligatures w14:val="none"/>
        </w:rPr>
        <w:t>2026</w:t>
      </w:r>
      <w:r w:rsidRPr="00DE58A1">
        <w:rPr>
          <w:rFonts w:ascii="Times New Roman" w:eastAsia="Times New Roman" w:hAnsi="Times New Roman" w:cs="Times New Roman"/>
          <w:kern w:val="0"/>
          <w:lang w:eastAsia="en-GB"/>
          <w14:ligatures w14:val="none"/>
        </w:rPr>
        <w:t>)</w:t>
      </w:r>
      <w:r w:rsidR="00DE58A1" w:rsidRPr="00DE58A1">
        <w:rPr>
          <w:rFonts w:ascii="Times New Roman" w:eastAsia="Times New Roman" w:hAnsi="Times New Roman" w:cs="Times New Roman"/>
          <w:kern w:val="0"/>
          <w:lang w:eastAsia="en-GB"/>
          <w14:ligatures w14:val="none"/>
        </w:rPr>
        <w:t>.</w:t>
      </w:r>
      <w:r w:rsidRPr="00DE58A1">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First Use  Freestyle</w:t>
      </w:r>
      <w:r w:rsidR="00A62E80">
        <w:rPr>
          <w:rFonts w:ascii="Times New Roman" w:eastAsia="Times New Roman" w:hAnsi="Times New Roman" w:cs="Times New Roman"/>
          <w:i/>
          <w:iCs/>
          <w:kern w:val="0"/>
          <w:lang w:eastAsia="en-GB"/>
          <w14:ligatures w14:val="none"/>
        </w:rPr>
        <w:t xml:space="preserve">, </w:t>
      </w:r>
      <w:r w:rsidR="002569E1" w:rsidRPr="004354A5">
        <w:rPr>
          <w:rFonts w:ascii="Times New Roman" w:eastAsia="Times New Roman" w:hAnsi="Times New Roman" w:cs="Times New Roman"/>
          <w:i/>
          <w:iCs/>
          <w:kern w:val="0"/>
          <w:lang w:eastAsia="en-GB"/>
          <w14:ligatures w14:val="none"/>
        </w:rPr>
        <w:t>Use Freestyle</w:t>
      </w:r>
      <w:r w:rsidRPr="004354A5">
        <w:rPr>
          <w:rFonts w:ascii="Times New Roman" w:eastAsia="Times New Roman" w:hAnsi="Times New Roman" w:cs="Times New Roman"/>
          <w:kern w:val="0"/>
          <w:lang w:eastAsia="en-GB"/>
          <w14:ligatures w14:val="none"/>
        </w:rPr>
        <w:t xml:space="preserve">. Available at: </w:t>
      </w:r>
      <w:hyperlink r:id="rId6" w:tgtFrame="_blank" w:history="1">
        <w:r w:rsidRPr="004354A5">
          <w:rPr>
            <w:rFonts w:ascii="Times New Roman" w:eastAsia="Times New Roman" w:hAnsi="Times New Roman" w:cs="Times New Roman"/>
            <w:color w:val="0000FF"/>
            <w:kern w:val="0"/>
            <w:u w:val="single"/>
            <w:lang w:eastAsia="en-GB"/>
            <w14:ligatures w14:val="none"/>
          </w:rPr>
          <w:t>https://www.freestyle.abbott</w:t>
        </w:r>
      </w:hyperlink>
      <w:r w:rsidRPr="004354A5">
        <w:rPr>
          <w:rFonts w:ascii="Times New Roman" w:eastAsia="Times New Roman" w:hAnsi="Times New Roman" w:cs="Times New Roman"/>
          <w:kern w:val="0"/>
          <w:lang w:eastAsia="en-GB"/>
          <w14:ligatures w14:val="none"/>
        </w:rPr>
        <w:t xml:space="preserve"> (Accessed: 15 June 2026)</w:t>
      </w:r>
      <w:r w:rsidR="007E7AF7">
        <w:rPr>
          <w:rFonts w:ascii="Times New Roman" w:eastAsia="Times New Roman" w:hAnsi="Times New Roman" w:cs="Times New Roman"/>
          <w:kern w:val="0"/>
          <w:lang w:eastAsia="en-GB"/>
          <w14:ligatures w14:val="none"/>
        </w:rPr>
        <w:t>.</w:t>
      </w:r>
    </w:p>
    <w:p w14:paraId="6FC81103" w14:textId="4D17D54A"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Abbott Diabetes Care (</w:t>
      </w:r>
      <w:r w:rsidR="007E7AF7">
        <w:rPr>
          <w:rFonts w:ascii="Times New Roman" w:eastAsia="Times New Roman" w:hAnsi="Times New Roman" w:cs="Times New Roman"/>
          <w:kern w:val="0"/>
          <w:lang w:eastAsia="en-GB"/>
          <w14:ligatures w14:val="none"/>
        </w:rPr>
        <w:t>2026</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Proven Outcomes Healthcare Professional - Freestyle Libre</w:t>
      </w:r>
      <w:r w:rsidRPr="004354A5">
        <w:rPr>
          <w:rFonts w:ascii="Times New Roman" w:eastAsia="Times New Roman" w:hAnsi="Times New Roman" w:cs="Times New Roman"/>
          <w:kern w:val="0"/>
          <w:lang w:eastAsia="en-GB"/>
          <w14:ligatures w14:val="none"/>
        </w:rPr>
        <w:t xml:space="preserve">. Available at: </w:t>
      </w:r>
      <w:hyperlink r:id="rId7" w:tgtFrame="_blank" w:history="1">
        <w:r w:rsidRPr="004354A5">
          <w:rPr>
            <w:rFonts w:ascii="Times New Roman" w:eastAsia="Times New Roman" w:hAnsi="Times New Roman" w:cs="Times New Roman"/>
            <w:color w:val="0000FF"/>
            <w:kern w:val="0"/>
            <w:u w:val="single"/>
            <w:lang w:eastAsia="en-GB"/>
            <w14:ligatures w14:val="none"/>
          </w:rPr>
          <w:t>https://provider.freestyle.abbott/ca-en/proven-outcomes.html</w:t>
        </w:r>
      </w:hyperlink>
      <w:r w:rsidRPr="004354A5">
        <w:rPr>
          <w:rFonts w:ascii="Times New Roman" w:eastAsia="Times New Roman" w:hAnsi="Times New Roman" w:cs="Times New Roman"/>
          <w:kern w:val="0"/>
          <w:lang w:eastAsia="en-GB"/>
          <w14:ligatures w14:val="none"/>
        </w:rPr>
        <w:t xml:space="preserve"> (Accessed: 15 June 2026).</w:t>
      </w:r>
    </w:p>
    <w:p w14:paraId="694192CE" w14:textId="10BC793B"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Abbott (2026) </w:t>
      </w:r>
      <w:r w:rsidR="007E7AF7" w:rsidRPr="004354A5">
        <w:rPr>
          <w:rFonts w:ascii="Times New Roman" w:eastAsia="Times New Roman" w:hAnsi="Times New Roman" w:cs="Times New Roman"/>
          <w:i/>
          <w:iCs/>
          <w:kern w:val="0"/>
          <w:lang w:eastAsia="en-GB"/>
          <w14:ligatures w14:val="none"/>
        </w:rPr>
        <w:t>Freestyle</w:t>
      </w:r>
      <w:r w:rsidRPr="004354A5">
        <w:rPr>
          <w:rFonts w:ascii="Times New Roman" w:eastAsia="Times New Roman" w:hAnsi="Times New Roman" w:cs="Times New Roman"/>
          <w:i/>
          <w:iCs/>
          <w:kern w:val="0"/>
          <w:lang w:eastAsia="en-GB"/>
          <w14:ligatures w14:val="none"/>
        </w:rPr>
        <w:t xml:space="preserve"> Libre </w:t>
      </w:r>
      <w:r w:rsidR="007E7AF7">
        <w:rPr>
          <w:rFonts w:ascii="Times New Roman" w:eastAsia="Times New Roman" w:hAnsi="Times New Roman" w:cs="Times New Roman"/>
          <w:i/>
          <w:iCs/>
          <w:kern w:val="0"/>
          <w:lang w:eastAsia="en-GB"/>
          <w14:ligatures w14:val="none"/>
        </w:rPr>
        <w:t>,</w:t>
      </w:r>
      <w:r w:rsidRPr="004354A5">
        <w:rPr>
          <w:rFonts w:ascii="Times New Roman" w:eastAsia="Times New Roman" w:hAnsi="Times New Roman" w:cs="Times New Roman"/>
          <w:i/>
          <w:iCs/>
          <w:kern w:val="0"/>
          <w:lang w:eastAsia="en-GB"/>
          <w14:ligatures w14:val="none"/>
        </w:rPr>
        <w:t xml:space="preserve"> Continuous Glucose Monitoring System</w:t>
      </w:r>
      <w:r w:rsidRPr="004354A5">
        <w:rPr>
          <w:rFonts w:ascii="Times New Roman" w:eastAsia="Times New Roman" w:hAnsi="Times New Roman" w:cs="Times New Roman"/>
          <w:kern w:val="0"/>
          <w:lang w:eastAsia="en-GB"/>
          <w14:ligatures w14:val="none"/>
        </w:rPr>
        <w:t xml:space="preserve">. Available at: </w:t>
      </w:r>
      <w:hyperlink r:id="rId8" w:tgtFrame="_blank" w:history="1">
        <w:r w:rsidRPr="004354A5">
          <w:rPr>
            <w:rFonts w:ascii="Times New Roman" w:eastAsia="Times New Roman" w:hAnsi="Times New Roman" w:cs="Times New Roman"/>
            <w:color w:val="0000FF"/>
            <w:kern w:val="0"/>
            <w:u w:val="single"/>
            <w:lang w:eastAsia="en-GB"/>
            <w14:ligatures w14:val="none"/>
          </w:rPr>
          <w:t>https://www.freestyle.abbott</w:t>
        </w:r>
      </w:hyperlink>
      <w:r w:rsidRPr="004354A5">
        <w:rPr>
          <w:rFonts w:ascii="Times New Roman" w:eastAsia="Times New Roman" w:hAnsi="Times New Roman" w:cs="Times New Roman"/>
          <w:kern w:val="0"/>
          <w:lang w:eastAsia="en-GB"/>
          <w14:ligatures w14:val="none"/>
        </w:rPr>
        <w:t xml:space="preserve"> (Accessed: 19 June 2026).</w:t>
      </w:r>
    </w:p>
    <w:p w14:paraId="13A9C646"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Alva, S., </w:t>
      </w:r>
      <w:proofErr w:type="spellStart"/>
      <w:r w:rsidRPr="004354A5">
        <w:rPr>
          <w:rFonts w:ascii="Times New Roman" w:eastAsia="Times New Roman" w:hAnsi="Times New Roman" w:cs="Times New Roman"/>
          <w:kern w:val="0"/>
          <w:lang w:eastAsia="en-GB"/>
          <w14:ligatures w14:val="none"/>
        </w:rPr>
        <w:t>Brazg</w:t>
      </w:r>
      <w:proofErr w:type="spellEnd"/>
      <w:r w:rsidRPr="004354A5">
        <w:rPr>
          <w:rFonts w:ascii="Times New Roman" w:eastAsia="Times New Roman" w:hAnsi="Times New Roman" w:cs="Times New Roman"/>
          <w:kern w:val="0"/>
          <w:lang w:eastAsia="en-GB"/>
          <w14:ligatures w14:val="none"/>
        </w:rPr>
        <w:t xml:space="preserve">, R., Castorino, K., </w:t>
      </w:r>
      <w:proofErr w:type="spellStart"/>
      <w:r w:rsidRPr="004354A5">
        <w:rPr>
          <w:rFonts w:ascii="Times New Roman" w:eastAsia="Times New Roman" w:hAnsi="Times New Roman" w:cs="Times New Roman"/>
          <w:kern w:val="0"/>
          <w:lang w:eastAsia="en-GB"/>
          <w14:ligatures w14:val="none"/>
        </w:rPr>
        <w:t>Kipnes</w:t>
      </w:r>
      <w:proofErr w:type="spellEnd"/>
      <w:r w:rsidRPr="004354A5">
        <w:rPr>
          <w:rFonts w:ascii="Times New Roman" w:eastAsia="Times New Roman" w:hAnsi="Times New Roman" w:cs="Times New Roman"/>
          <w:kern w:val="0"/>
          <w:lang w:eastAsia="en-GB"/>
          <w14:ligatures w14:val="none"/>
        </w:rPr>
        <w:t xml:space="preserve">, M., Liljenquist, D.R. and Liu, H. (2023) ‘Accuracy of the third generation of a 14-day continuous glucose monitoring system’, </w:t>
      </w:r>
      <w:r w:rsidRPr="004354A5">
        <w:rPr>
          <w:rFonts w:ascii="Times New Roman" w:eastAsia="Times New Roman" w:hAnsi="Times New Roman" w:cs="Times New Roman"/>
          <w:i/>
          <w:iCs/>
          <w:kern w:val="0"/>
          <w:lang w:eastAsia="en-GB"/>
          <w14:ligatures w14:val="none"/>
        </w:rPr>
        <w:t>Diabetes Therapy</w:t>
      </w:r>
      <w:r w:rsidRPr="004354A5">
        <w:rPr>
          <w:rFonts w:ascii="Times New Roman" w:eastAsia="Times New Roman" w:hAnsi="Times New Roman" w:cs="Times New Roman"/>
          <w:kern w:val="0"/>
          <w:lang w:eastAsia="en-GB"/>
          <w14:ligatures w14:val="none"/>
        </w:rPr>
        <w:t xml:space="preserve">, 14(4), pp. 767–776. Available at: </w:t>
      </w:r>
      <w:hyperlink r:id="rId9" w:tgtFrame="_blank" w:history="1">
        <w:r w:rsidRPr="004354A5">
          <w:rPr>
            <w:rFonts w:ascii="Times New Roman" w:eastAsia="Times New Roman" w:hAnsi="Times New Roman" w:cs="Times New Roman"/>
            <w:color w:val="0000FF"/>
            <w:kern w:val="0"/>
            <w:u w:val="single"/>
            <w:lang w:eastAsia="en-GB"/>
            <w14:ligatures w14:val="none"/>
          </w:rPr>
          <w:t>https://doi.org/10.1007/s13300-023-01385-6</w:t>
        </w:r>
      </w:hyperlink>
      <w:r w:rsidRPr="004354A5">
        <w:rPr>
          <w:rFonts w:ascii="Times New Roman" w:eastAsia="Times New Roman" w:hAnsi="Times New Roman" w:cs="Times New Roman"/>
          <w:kern w:val="0"/>
          <w:lang w:eastAsia="en-GB"/>
          <w14:ligatures w14:val="none"/>
        </w:rPr>
        <w:t xml:space="preserve"> .</w:t>
      </w:r>
    </w:p>
    <w:p w14:paraId="7328324F"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Bennion, M.R., Spencer, R., Moore, R.K. and Kenyon, R. (2025) ‘Digital Capability, Open-Source Use, and Interoperability Standards Within the National Health Service in England: Survey of Health Care Trusts’, </w:t>
      </w:r>
      <w:r w:rsidRPr="004354A5">
        <w:rPr>
          <w:rFonts w:ascii="Times New Roman" w:eastAsia="Times New Roman" w:hAnsi="Times New Roman" w:cs="Times New Roman"/>
          <w:i/>
          <w:iCs/>
          <w:kern w:val="0"/>
          <w:lang w:eastAsia="en-GB"/>
          <w14:ligatures w14:val="none"/>
        </w:rPr>
        <w:t>JMIR Human Factors</w:t>
      </w:r>
      <w:r w:rsidRPr="004354A5">
        <w:rPr>
          <w:rFonts w:ascii="Times New Roman" w:eastAsia="Times New Roman" w:hAnsi="Times New Roman" w:cs="Times New Roman"/>
          <w:kern w:val="0"/>
          <w:lang w:eastAsia="en-GB"/>
          <w14:ligatures w14:val="none"/>
        </w:rPr>
        <w:t xml:space="preserve">, 12, p. e56112. Available at: </w:t>
      </w:r>
      <w:hyperlink r:id="rId10" w:tgtFrame="_blank" w:history="1">
        <w:r w:rsidRPr="004354A5">
          <w:rPr>
            <w:rFonts w:ascii="Times New Roman" w:eastAsia="Times New Roman" w:hAnsi="Times New Roman" w:cs="Times New Roman"/>
            <w:color w:val="0000FF"/>
            <w:kern w:val="0"/>
            <w:u w:val="single"/>
            <w:lang w:eastAsia="en-GB"/>
            <w14:ligatures w14:val="none"/>
          </w:rPr>
          <w:t>https://doi.org/10.2196/56112</w:t>
        </w:r>
      </w:hyperlink>
      <w:r w:rsidRPr="004354A5">
        <w:rPr>
          <w:rFonts w:ascii="Times New Roman" w:eastAsia="Times New Roman" w:hAnsi="Times New Roman" w:cs="Times New Roman"/>
          <w:kern w:val="0"/>
          <w:lang w:eastAsia="en-GB"/>
          <w14:ligatures w14:val="none"/>
        </w:rPr>
        <w:t xml:space="preserve"> .</w:t>
      </w:r>
    </w:p>
    <w:p w14:paraId="681EFA75"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Blissett, R., Blissett, D., </w:t>
      </w:r>
      <w:proofErr w:type="spellStart"/>
      <w:r w:rsidRPr="004354A5">
        <w:rPr>
          <w:rFonts w:ascii="Times New Roman" w:eastAsia="Times New Roman" w:hAnsi="Times New Roman" w:cs="Times New Roman"/>
          <w:kern w:val="0"/>
          <w:lang w:eastAsia="en-GB"/>
          <w14:ligatures w14:val="none"/>
        </w:rPr>
        <w:t>Levrat</w:t>
      </w:r>
      <w:proofErr w:type="spellEnd"/>
      <w:r w:rsidRPr="004354A5">
        <w:rPr>
          <w:rFonts w:ascii="Times New Roman" w:eastAsia="Times New Roman" w:hAnsi="Times New Roman" w:cs="Times New Roman"/>
          <w:kern w:val="0"/>
          <w:lang w:eastAsia="en-GB"/>
          <w14:ligatures w14:val="none"/>
        </w:rPr>
        <w:t xml:space="preserve">-Guillen, F., Deshmukh, H., Wilmot, E.G., Ryder, R.E.J., Walton, C. and </w:t>
      </w:r>
      <w:proofErr w:type="spellStart"/>
      <w:r w:rsidRPr="004354A5">
        <w:rPr>
          <w:rFonts w:ascii="Times New Roman" w:eastAsia="Times New Roman" w:hAnsi="Times New Roman" w:cs="Times New Roman"/>
          <w:kern w:val="0"/>
          <w:lang w:eastAsia="en-GB"/>
          <w14:ligatures w14:val="none"/>
        </w:rPr>
        <w:t>Sathyapalan</w:t>
      </w:r>
      <w:proofErr w:type="spellEnd"/>
      <w:r w:rsidRPr="004354A5">
        <w:rPr>
          <w:rFonts w:ascii="Times New Roman" w:eastAsia="Times New Roman" w:hAnsi="Times New Roman" w:cs="Times New Roman"/>
          <w:kern w:val="0"/>
          <w:lang w:eastAsia="en-GB"/>
          <w14:ligatures w14:val="none"/>
        </w:rPr>
        <w:t>, T. (2022) ‘</w:t>
      </w:r>
      <w:proofErr w:type="spellStart"/>
      <w:r w:rsidRPr="004354A5">
        <w:rPr>
          <w:rFonts w:ascii="Times New Roman" w:eastAsia="Times New Roman" w:hAnsi="Times New Roman" w:cs="Times New Roman"/>
          <w:kern w:val="0"/>
          <w:lang w:eastAsia="en-GB"/>
          <w14:ligatures w14:val="none"/>
        </w:rPr>
        <w:t>FreeStyle</w:t>
      </w:r>
      <w:proofErr w:type="spellEnd"/>
      <w:r w:rsidRPr="004354A5">
        <w:rPr>
          <w:rFonts w:ascii="Times New Roman" w:eastAsia="Times New Roman" w:hAnsi="Times New Roman" w:cs="Times New Roman"/>
          <w:kern w:val="0"/>
          <w:lang w:eastAsia="en-GB"/>
          <w14:ligatures w14:val="none"/>
        </w:rPr>
        <w:t xml:space="preserve"> Libre Flash Glucose Monitoring system for people with type 1 diabetes in the UK: a budget impact analysis’, </w:t>
      </w:r>
      <w:r w:rsidRPr="004354A5">
        <w:rPr>
          <w:rFonts w:ascii="Times New Roman" w:eastAsia="Times New Roman" w:hAnsi="Times New Roman" w:cs="Times New Roman"/>
          <w:i/>
          <w:iCs/>
          <w:kern w:val="0"/>
          <w:lang w:eastAsia="en-GB"/>
          <w14:ligatures w14:val="none"/>
        </w:rPr>
        <w:t>BMJ Open Diabetes Research &amp; Care</w:t>
      </w:r>
      <w:r w:rsidRPr="004354A5">
        <w:rPr>
          <w:rFonts w:ascii="Times New Roman" w:eastAsia="Times New Roman" w:hAnsi="Times New Roman" w:cs="Times New Roman"/>
          <w:kern w:val="0"/>
          <w:lang w:eastAsia="en-GB"/>
          <w14:ligatures w14:val="none"/>
        </w:rPr>
        <w:t xml:space="preserve">, 10(2), p. e002580. Available at: </w:t>
      </w:r>
      <w:hyperlink r:id="rId11" w:tgtFrame="_blank" w:history="1">
        <w:r w:rsidRPr="004354A5">
          <w:rPr>
            <w:rFonts w:ascii="Times New Roman" w:eastAsia="Times New Roman" w:hAnsi="Times New Roman" w:cs="Times New Roman"/>
            <w:color w:val="0000FF"/>
            <w:kern w:val="0"/>
            <w:u w:val="single"/>
            <w:lang w:eastAsia="en-GB"/>
            <w14:ligatures w14:val="none"/>
          </w:rPr>
          <w:t>https://doi.org/10.1136/bmjdrc-2021-002580</w:t>
        </w:r>
      </w:hyperlink>
      <w:r w:rsidRPr="004354A5">
        <w:rPr>
          <w:rFonts w:ascii="Times New Roman" w:eastAsia="Times New Roman" w:hAnsi="Times New Roman" w:cs="Times New Roman"/>
          <w:kern w:val="0"/>
          <w:lang w:eastAsia="en-GB"/>
          <w14:ligatures w14:val="none"/>
        </w:rPr>
        <w:t xml:space="preserve"> .</w:t>
      </w:r>
    </w:p>
    <w:p w14:paraId="077B3ACA"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Bolinder, J., Antuna, R., Geelhoed-</w:t>
      </w:r>
      <w:proofErr w:type="spellStart"/>
      <w:r w:rsidRPr="004354A5">
        <w:rPr>
          <w:rFonts w:ascii="Times New Roman" w:eastAsia="Times New Roman" w:hAnsi="Times New Roman" w:cs="Times New Roman"/>
          <w:kern w:val="0"/>
          <w:lang w:eastAsia="en-GB"/>
          <w14:ligatures w14:val="none"/>
        </w:rPr>
        <w:t>Duijvestijn</w:t>
      </w:r>
      <w:proofErr w:type="spellEnd"/>
      <w:r w:rsidRPr="004354A5">
        <w:rPr>
          <w:rFonts w:ascii="Times New Roman" w:eastAsia="Times New Roman" w:hAnsi="Times New Roman" w:cs="Times New Roman"/>
          <w:kern w:val="0"/>
          <w:lang w:eastAsia="en-GB"/>
          <w14:ligatures w14:val="none"/>
        </w:rPr>
        <w:t xml:space="preserve">, P., Kröger, J. and </w:t>
      </w:r>
      <w:proofErr w:type="spellStart"/>
      <w:r w:rsidRPr="004354A5">
        <w:rPr>
          <w:rFonts w:ascii="Times New Roman" w:eastAsia="Times New Roman" w:hAnsi="Times New Roman" w:cs="Times New Roman"/>
          <w:kern w:val="0"/>
          <w:lang w:eastAsia="en-GB"/>
          <w14:ligatures w14:val="none"/>
        </w:rPr>
        <w:t>Weitgasser</w:t>
      </w:r>
      <w:proofErr w:type="spellEnd"/>
      <w:r w:rsidRPr="004354A5">
        <w:rPr>
          <w:rFonts w:ascii="Times New Roman" w:eastAsia="Times New Roman" w:hAnsi="Times New Roman" w:cs="Times New Roman"/>
          <w:kern w:val="0"/>
          <w:lang w:eastAsia="en-GB"/>
          <w14:ligatures w14:val="none"/>
        </w:rPr>
        <w:t xml:space="preserve">, R. (2016) ‘Novel glucose-sensing technology and hypoglycaemia in type 1 diabetes: a multicentre, non-masked, randomised controlled trial’, </w:t>
      </w:r>
      <w:r w:rsidRPr="004354A5">
        <w:rPr>
          <w:rFonts w:ascii="Times New Roman" w:eastAsia="Times New Roman" w:hAnsi="Times New Roman" w:cs="Times New Roman"/>
          <w:i/>
          <w:iCs/>
          <w:kern w:val="0"/>
          <w:lang w:eastAsia="en-GB"/>
          <w14:ligatures w14:val="none"/>
        </w:rPr>
        <w:t>The Lancet</w:t>
      </w:r>
      <w:r w:rsidRPr="004354A5">
        <w:rPr>
          <w:rFonts w:ascii="Times New Roman" w:eastAsia="Times New Roman" w:hAnsi="Times New Roman" w:cs="Times New Roman"/>
          <w:kern w:val="0"/>
          <w:lang w:eastAsia="en-GB"/>
          <w14:ligatures w14:val="none"/>
        </w:rPr>
        <w:t xml:space="preserve">, 388(10057), pp. 2254-2263. Available at: </w:t>
      </w:r>
      <w:hyperlink r:id="rId12" w:tgtFrame="_blank" w:history="1">
        <w:r w:rsidRPr="004354A5">
          <w:rPr>
            <w:rFonts w:ascii="Times New Roman" w:eastAsia="Times New Roman" w:hAnsi="Times New Roman" w:cs="Times New Roman"/>
            <w:color w:val="0000FF"/>
            <w:kern w:val="0"/>
            <w:u w:val="single"/>
            <w:lang w:eastAsia="en-GB"/>
            <w14:ligatures w14:val="none"/>
          </w:rPr>
          <w:t>https://doi.org/10.1016/S0114-6302(16)30239-X</w:t>
        </w:r>
      </w:hyperlink>
      <w:r w:rsidRPr="004354A5">
        <w:rPr>
          <w:rFonts w:ascii="Times New Roman" w:eastAsia="Times New Roman" w:hAnsi="Times New Roman" w:cs="Times New Roman"/>
          <w:kern w:val="0"/>
          <w:lang w:eastAsia="en-GB"/>
          <w14:ligatures w14:val="none"/>
        </w:rPr>
        <w:t xml:space="preserve"> .</w:t>
      </w:r>
    </w:p>
    <w:p w14:paraId="1D8B1A85"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Crabtree, T.S.J., Choudhary, P., Kar, P., Wilmot, E.G., Plunkett, E., Cranston, I., Gallagher, A., </w:t>
      </w:r>
      <w:proofErr w:type="spellStart"/>
      <w:r w:rsidRPr="004354A5">
        <w:rPr>
          <w:rFonts w:ascii="Times New Roman" w:eastAsia="Times New Roman" w:hAnsi="Times New Roman" w:cs="Times New Roman"/>
          <w:kern w:val="0"/>
          <w:lang w:eastAsia="en-GB"/>
          <w14:ligatures w14:val="none"/>
        </w:rPr>
        <w:t>Sathyapalan</w:t>
      </w:r>
      <w:proofErr w:type="spellEnd"/>
      <w:r w:rsidRPr="004354A5">
        <w:rPr>
          <w:rFonts w:ascii="Times New Roman" w:eastAsia="Times New Roman" w:hAnsi="Times New Roman" w:cs="Times New Roman"/>
          <w:kern w:val="0"/>
          <w:lang w:eastAsia="en-GB"/>
          <w14:ligatures w14:val="none"/>
        </w:rPr>
        <w:t xml:space="preserve">, T. and Ryder, R.E.J. (2023) ‘Flash glucose monitoring: the story so far and the journey ahead’, </w:t>
      </w:r>
      <w:r w:rsidRPr="004354A5">
        <w:rPr>
          <w:rFonts w:ascii="Times New Roman" w:eastAsia="Times New Roman" w:hAnsi="Times New Roman" w:cs="Times New Roman"/>
          <w:i/>
          <w:iCs/>
          <w:kern w:val="0"/>
          <w:lang w:eastAsia="en-GB"/>
          <w14:ligatures w14:val="none"/>
        </w:rPr>
        <w:t>BMJ Innovations</w:t>
      </w:r>
      <w:r w:rsidRPr="004354A5">
        <w:rPr>
          <w:rFonts w:ascii="Times New Roman" w:eastAsia="Times New Roman" w:hAnsi="Times New Roman" w:cs="Times New Roman"/>
          <w:kern w:val="0"/>
          <w:lang w:eastAsia="en-GB"/>
          <w14:ligatures w14:val="none"/>
        </w:rPr>
        <w:t xml:space="preserve">, 9(1), pp. 27-31. Available at: </w:t>
      </w:r>
      <w:hyperlink r:id="rId13" w:tgtFrame="_blank" w:history="1">
        <w:r w:rsidRPr="004354A5">
          <w:rPr>
            <w:rFonts w:ascii="Times New Roman" w:eastAsia="Times New Roman" w:hAnsi="Times New Roman" w:cs="Times New Roman"/>
            <w:color w:val="0000FF"/>
            <w:kern w:val="0"/>
            <w:u w:val="single"/>
            <w:lang w:eastAsia="en-GB"/>
            <w14:ligatures w14:val="none"/>
          </w:rPr>
          <w:t>https://doi.org/10.1136/bmjinnov-2022-000982</w:t>
        </w:r>
      </w:hyperlink>
      <w:r w:rsidRPr="004354A5">
        <w:rPr>
          <w:rFonts w:ascii="Times New Roman" w:eastAsia="Times New Roman" w:hAnsi="Times New Roman" w:cs="Times New Roman"/>
          <w:kern w:val="0"/>
          <w:lang w:eastAsia="en-GB"/>
          <w14:ligatures w14:val="none"/>
        </w:rPr>
        <w:t xml:space="preserve"> .</w:t>
      </w:r>
    </w:p>
    <w:p w14:paraId="7C853090" w14:textId="60B5DE3A"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Department of Health and Social Care (2022) </w:t>
      </w:r>
      <w:r w:rsidRPr="004354A5">
        <w:rPr>
          <w:rFonts w:ascii="Times New Roman" w:eastAsia="Times New Roman" w:hAnsi="Times New Roman" w:cs="Times New Roman"/>
          <w:i/>
          <w:iCs/>
          <w:kern w:val="0"/>
          <w:lang w:eastAsia="en-GB"/>
          <w14:ligatures w14:val="none"/>
        </w:rPr>
        <w:t>A plan for digital health and social care</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GOV.UK</w:t>
      </w:r>
      <w:r w:rsidRPr="004354A5">
        <w:rPr>
          <w:rFonts w:ascii="Times New Roman" w:eastAsia="Times New Roman" w:hAnsi="Times New Roman" w:cs="Times New Roman"/>
          <w:kern w:val="0"/>
          <w:lang w:eastAsia="en-GB"/>
          <w14:ligatures w14:val="none"/>
        </w:rPr>
        <w:t xml:space="preserve">. Available at: </w:t>
      </w:r>
      <w:hyperlink r:id="rId14" w:tgtFrame="_blank" w:history="1">
        <w:r w:rsidRPr="004354A5">
          <w:rPr>
            <w:rFonts w:ascii="Times New Roman" w:eastAsia="Times New Roman" w:hAnsi="Times New Roman" w:cs="Times New Roman"/>
            <w:color w:val="0000FF"/>
            <w:kern w:val="0"/>
            <w:u w:val="single"/>
            <w:lang w:eastAsia="en-GB"/>
            <w14:ligatures w14:val="none"/>
          </w:rPr>
          <w:t>https://www.gov.uk/government/publications/a-plan-for-digital-health-and-social-care</w:t>
        </w:r>
      </w:hyperlink>
      <w:r w:rsidRPr="004354A5">
        <w:rPr>
          <w:rFonts w:ascii="Times New Roman" w:eastAsia="Times New Roman" w:hAnsi="Times New Roman" w:cs="Times New Roman"/>
          <w:kern w:val="0"/>
          <w:lang w:eastAsia="en-GB"/>
          <w14:ligatures w14:val="none"/>
        </w:rPr>
        <w:t xml:space="preserve"> (Accessed: 15 June 2026).</w:t>
      </w:r>
    </w:p>
    <w:p w14:paraId="1CA4F2C2" w14:textId="7B74FDB3"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lastRenderedPageBreak/>
        <w:t xml:space="preserve">Diabetes UK (2026) </w:t>
      </w:r>
      <w:r w:rsidRPr="004354A5">
        <w:rPr>
          <w:rFonts w:ascii="Times New Roman" w:eastAsia="Times New Roman" w:hAnsi="Times New Roman" w:cs="Times New Roman"/>
          <w:i/>
          <w:iCs/>
          <w:kern w:val="0"/>
          <w:lang w:eastAsia="en-GB"/>
          <w14:ligatures w14:val="none"/>
        </w:rPr>
        <w:t>How many people in the UK have diabetes?</w:t>
      </w:r>
      <w:r w:rsidRPr="004354A5">
        <w:rPr>
          <w:rFonts w:ascii="Times New Roman" w:eastAsia="Times New Roman" w:hAnsi="Times New Roman" w:cs="Times New Roman"/>
          <w:kern w:val="0"/>
          <w:lang w:eastAsia="en-GB"/>
          <w14:ligatures w14:val="none"/>
        </w:rPr>
        <w:t xml:space="preserve"> Available at: </w:t>
      </w:r>
      <w:hyperlink r:id="rId15" w:tgtFrame="_blank" w:history="1">
        <w:r w:rsidRPr="004354A5">
          <w:rPr>
            <w:rFonts w:ascii="Times New Roman" w:eastAsia="Times New Roman" w:hAnsi="Times New Roman" w:cs="Times New Roman"/>
            <w:color w:val="0000FF"/>
            <w:kern w:val="0"/>
            <w:u w:val="single"/>
            <w:lang w:eastAsia="en-GB"/>
            <w14:ligatures w14:val="none"/>
          </w:rPr>
          <w:t>https://www.diabetes.org.uk</w:t>
        </w:r>
      </w:hyperlink>
      <w:r w:rsidRPr="004354A5">
        <w:rPr>
          <w:rFonts w:ascii="Times New Roman" w:eastAsia="Times New Roman" w:hAnsi="Times New Roman" w:cs="Times New Roman"/>
          <w:kern w:val="0"/>
          <w:lang w:eastAsia="en-GB"/>
          <w14:ligatures w14:val="none"/>
        </w:rPr>
        <w:t xml:space="preserve"> (Accessed: 18 May 2026</w:t>
      </w:r>
      <w:r w:rsidR="00AF05EC" w:rsidRPr="004354A5">
        <w:rPr>
          <w:rFonts w:ascii="Times New Roman" w:eastAsia="Times New Roman" w:hAnsi="Times New Roman" w:cs="Times New Roman"/>
          <w:kern w:val="0"/>
          <w:lang w:eastAsia="en-GB"/>
          <w14:ligatures w14:val="none"/>
        </w:rPr>
        <w:t>).</w:t>
      </w:r>
    </w:p>
    <w:p w14:paraId="7F01CC6C" w14:textId="71A59F36"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GOV.UK (n.d.) </w:t>
      </w:r>
      <w:r w:rsidRPr="004354A5">
        <w:rPr>
          <w:rFonts w:ascii="Times New Roman" w:eastAsia="Times New Roman" w:hAnsi="Times New Roman" w:cs="Times New Roman"/>
          <w:i/>
          <w:iCs/>
          <w:kern w:val="0"/>
          <w:lang w:eastAsia="en-GB"/>
          <w14:ligatures w14:val="none"/>
        </w:rPr>
        <w:t>Data protection: The UK’s data protection legislation</w:t>
      </w:r>
      <w:r w:rsidRPr="004354A5">
        <w:rPr>
          <w:rFonts w:ascii="Times New Roman" w:eastAsia="Times New Roman" w:hAnsi="Times New Roman" w:cs="Times New Roman"/>
          <w:kern w:val="0"/>
          <w:lang w:eastAsia="en-GB"/>
          <w14:ligatures w14:val="none"/>
        </w:rPr>
        <w:t xml:space="preserve">. Available at: </w:t>
      </w:r>
      <w:hyperlink r:id="rId16" w:tgtFrame="_blank" w:history="1">
        <w:r w:rsidRPr="004354A5">
          <w:rPr>
            <w:rFonts w:ascii="Times New Roman" w:eastAsia="Times New Roman" w:hAnsi="Times New Roman" w:cs="Times New Roman"/>
            <w:color w:val="0000FF"/>
            <w:kern w:val="0"/>
            <w:u w:val="single"/>
            <w:lang w:eastAsia="en-GB"/>
            <w14:ligatures w14:val="none"/>
          </w:rPr>
          <w:t>https://www.gov.uk/data-protection</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030C442C"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Haak, T., </w:t>
      </w:r>
      <w:proofErr w:type="spellStart"/>
      <w:r w:rsidRPr="004354A5">
        <w:rPr>
          <w:rFonts w:ascii="Times New Roman" w:eastAsia="Times New Roman" w:hAnsi="Times New Roman" w:cs="Times New Roman"/>
          <w:kern w:val="0"/>
          <w:lang w:eastAsia="en-GB"/>
          <w14:ligatures w14:val="none"/>
        </w:rPr>
        <w:t>Hanaire</w:t>
      </w:r>
      <w:proofErr w:type="spellEnd"/>
      <w:r w:rsidRPr="004354A5">
        <w:rPr>
          <w:rFonts w:ascii="Times New Roman" w:eastAsia="Times New Roman" w:hAnsi="Times New Roman" w:cs="Times New Roman"/>
          <w:kern w:val="0"/>
          <w:lang w:eastAsia="en-GB"/>
          <w14:ligatures w14:val="none"/>
        </w:rPr>
        <w:t xml:space="preserve">, H., </w:t>
      </w:r>
      <w:proofErr w:type="spellStart"/>
      <w:r w:rsidRPr="004354A5">
        <w:rPr>
          <w:rFonts w:ascii="Times New Roman" w:eastAsia="Times New Roman" w:hAnsi="Times New Roman" w:cs="Times New Roman"/>
          <w:kern w:val="0"/>
          <w:lang w:eastAsia="en-GB"/>
          <w14:ligatures w14:val="none"/>
        </w:rPr>
        <w:t>Ajjan</w:t>
      </w:r>
      <w:proofErr w:type="spellEnd"/>
      <w:r w:rsidRPr="004354A5">
        <w:rPr>
          <w:rFonts w:ascii="Times New Roman" w:eastAsia="Times New Roman" w:hAnsi="Times New Roman" w:cs="Times New Roman"/>
          <w:kern w:val="0"/>
          <w:lang w:eastAsia="en-GB"/>
          <w14:ligatures w14:val="none"/>
        </w:rPr>
        <w:t xml:space="preserve">, R., Hermanns, N., </w:t>
      </w:r>
      <w:proofErr w:type="spellStart"/>
      <w:r w:rsidRPr="004354A5">
        <w:rPr>
          <w:rFonts w:ascii="Times New Roman" w:eastAsia="Times New Roman" w:hAnsi="Times New Roman" w:cs="Times New Roman"/>
          <w:kern w:val="0"/>
          <w:lang w:eastAsia="en-GB"/>
          <w14:ligatures w14:val="none"/>
        </w:rPr>
        <w:t>Riveline</w:t>
      </w:r>
      <w:proofErr w:type="spellEnd"/>
      <w:r w:rsidRPr="004354A5">
        <w:rPr>
          <w:rFonts w:ascii="Times New Roman" w:eastAsia="Times New Roman" w:hAnsi="Times New Roman" w:cs="Times New Roman"/>
          <w:kern w:val="0"/>
          <w:lang w:eastAsia="en-GB"/>
          <w14:ligatures w14:val="none"/>
        </w:rPr>
        <w:t xml:space="preserve">, J.P. and Rayman, G. (2017) ‘Flash glucose-sensing technology as a replacement for blood glucose monitoring for the management of insulin-treated type 2 diabetes: a </w:t>
      </w:r>
      <w:proofErr w:type="spellStart"/>
      <w:r w:rsidRPr="004354A5">
        <w:rPr>
          <w:rFonts w:ascii="Times New Roman" w:eastAsia="Times New Roman" w:hAnsi="Times New Roman" w:cs="Times New Roman"/>
          <w:kern w:val="0"/>
          <w:lang w:eastAsia="en-GB"/>
          <w14:ligatures w14:val="none"/>
        </w:rPr>
        <w:t>multicenter</w:t>
      </w:r>
      <w:proofErr w:type="spellEnd"/>
      <w:r w:rsidRPr="004354A5">
        <w:rPr>
          <w:rFonts w:ascii="Times New Roman" w:eastAsia="Times New Roman" w:hAnsi="Times New Roman" w:cs="Times New Roman"/>
          <w:kern w:val="0"/>
          <w:lang w:eastAsia="en-GB"/>
          <w14:ligatures w14:val="none"/>
        </w:rPr>
        <w:t xml:space="preserve">, open-label randomized controlled trial’, </w:t>
      </w:r>
      <w:r w:rsidRPr="004354A5">
        <w:rPr>
          <w:rFonts w:ascii="Times New Roman" w:eastAsia="Times New Roman" w:hAnsi="Times New Roman" w:cs="Times New Roman"/>
          <w:i/>
          <w:iCs/>
          <w:kern w:val="0"/>
          <w:lang w:eastAsia="en-GB"/>
          <w14:ligatures w14:val="none"/>
        </w:rPr>
        <w:t>Diabetes Therapy</w:t>
      </w:r>
      <w:r w:rsidRPr="004354A5">
        <w:rPr>
          <w:rFonts w:ascii="Times New Roman" w:eastAsia="Times New Roman" w:hAnsi="Times New Roman" w:cs="Times New Roman"/>
          <w:kern w:val="0"/>
          <w:lang w:eastAsia="en-GB"/>
          <w14:ligatures w14:val="none"/>
        </w:rPr>
        <w:t xml:space="preserve">, 8(1), pp. 55–73. Available at: </w:t>
      </w:r>
      <w:hyperlink r:id="rId17" w:tgtFrame="_blank" w:history="1">
        <w:r w:rsidRPr="004354A5">
          <w:rPr>
            <w:rFonts w:ascii="Times New Roman" w:eastAsia="Times New Roman" w:hAnsi="Times New Roman" w:cs="Times New Roman"/>
            <w:color w:val="0000FF"/>
            <w:kern w:val="0"/>
            <w:u w:val="single"/>
            <w:lang w:eastAsia="en-GB"/>
            <w14:ligatures w14:val="none"/>
          </w:rPr>
          <w:t>https://doi.org/10.1007/s13300-016-0223-6</w:t>
        </w:r>
      </w:hyperlink>
      <w:r w:rsidRPr="004354A5">
        <w:rPr>
          <w:rFonts w:ascii="Times New Roman" w:eastAsia="Times New Roman" w:hAnsi="Times New Roman" w:cs="Times New Roman"/>
          <w:kern w:val="0"/>
          <w:lang w:eastAsia="en-GB"/>
          <w14:ligatures w14:val="none"/>
        </w:rPr>
        <w:t xml:space="preserve"> .</w:t>
      </w:r>
    </w:p>
    <w:p w14:paraId="08A0060F"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Hanson, K., </w:t>
      </w:r>
      <w:proofErr w:type="spellStart"/>
      <w:r w:rsidRPr="004354A5">
        <w:rPr>
          <w:rFonts w:ascii="Times New Roman" w:eastAsia="Times New Roman" w:hAnsi="Times New Roman" w:cs="Times New Roman"/>
          <w:kern w:val="0"/>
          <w:lang w:eastAsia="en-GB"/>
          <w14:ligatures w14:val="none"/>
        </w:rPr>
        <w:t>Kipnes</w:t>
      </w:r>
      <w:proofErr w:type="spellEnd"/>
      <w:r w:rsidRPr="004354A5">
        <w:rPr>
          <w:rFonts w:ascii="Times New Roman" w:eastAsia="Times New Roman" w:hAnsi="Times New Roman" w:cs="Times New Roman"/>
          <w:kern w:val="0"/>
          <w:lang w:eastAsia="en-GB"/>
          <w14:ligatures w14:val="none"/>
        </w:rPr>
        <w:t xml:space="preserve">, M. and Tran, H. (2024) ‘Comparison of point accuracy between two widely used continuous glucose monitoring systems’, </w:t>
      </w:r>
      <w:r w:rsidRPr="004354A5">
        <w:rPr>
          <w:rFonts w:ascii="Times New Roman" w:eastAsia="Times New Roman" w:hAnsi="Times New Roman" w:cs="Times New Roman"/>
          <w:i/>
          <w:iCs/>
          <w:kern w:val="0"/>
          <w:lang w:eastAsia="en-GB"/>
          <w14:ligatures w14:val="none"/>
        </w:rPr>
        <w:t>Journal of Diabetes Science and Technology</w:t>
      </w:r>
      <w:r w:rsidRPr="004354A5">
        <w:rPr>
          <w:rFonts w:ascii="Times New Roman" w:eastAsia="Times New Roman" w:hAnsi="Times New Roman" w:cs="Times New Roman"/>
          <w:kern w:val="0"/>
          <w:lang w:eastAsia="en-GB"/>
          <w14:ligatures w14:val="none"/>
        </w:rPr>
        <w:t xml:space="preserve">, 18(3), pp. 598–607. Available at: </w:t>
      </w:r>
      <w:hyperlink r:id="rId18" w:tgtFrame="_blank" w:history="1">
        <w:r w:rsidRPr="004354A5">
          <w:rPr>
            <w:rFonts w:ascii="Times New Roman" w:eastAsia="Times New Roman" w:hAnsi="Times New Roman" w:cs="Times New Roman"/>
            <w:color w:val="0000FF"/>
            <w:kern w:val="0"/>
            <w:u w:val="single"/>
            <w:lang w:eastAsia="en-GB"/>
            <w14:ligatures w14:val="none"/>
          </w:rPr>
          <w:t>https://doi.org/10.1177/19322968231225676</w:t>
        </w:r>
      </w:hyperlink>
      <w:r w:rsidRPr="004354A5">
        <w:rPr>
          <w:rFonts w:ascii="Times New Roman" w:eastAsia="Times New Roman" w:hAnsi="Times New Roman" w:cs="Times New Roman"/>
          <w:kern w:val="0"/>
          <w:lang w:eastAsia="en-GB"/>
          <w14:ligatures w14:val="none"/>
        </w:rPr>
        <w:t xml:space="preserve"> .</w:t>
      </w:r>
    </w:p>
    <w:p w14:paraId="7E151828" w14:textId="3381B512"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Healthier You (n.d.) </w:t>
      </w:r>
      <w:r w:rsidRPr="004354A5">
        <w:rPr>
          <w:rFonts w:ascii="Times New Roman" w:eastAsia="Times New Roman" w:hAnsi="Times New Roman" w:cs="Times New Roman"/>
          <w:i/>
          <w:iCs/>
          <w:kern w:val="0"/>
          <w:lang w:eastAsia="en-GB"/>
          <w14:ligatures w14:val="none"/>
        </w:rPr>
        <w:t>Home | Healthier You</w:t>
      </w:r>
      <w:r w:rsidRPr="004354A5">
        <w:rPr>
          <w:rFonts w:ascii="Times New Roman" w:eastAsia="Times New Roman" w:hAnsi="Times New Roman" w:cs="Times New Roman"/>
          <w:kern w:val="0"/>
          <w:lang w:eastAsia="en-GB"/>
          <w14:ligatures w14:val="none"/>
        </w:rPr>
        <w:t xml:space="preserve">. Available at: </w:t>
      </w:r>
      <w:hyperlink r:id="rId19" w:tgtFrame="_blank" w:history="1">
        <w:r w:rsidRPr="004354A5">
          <w:rPr>
            <w:rFonts w:ascii="Times New Roman" w:eastAsia="Times New Roman" w:hAnsi="Times New Roman" w:cs="Times New Roman"/>
            <w:color w:val="0000FF"/>
            <w:kern w:val="0"/>
            <w:u w:val="single"/>
            <w:lang w:eastAsia="en-GB"/>
            <w14:ligatures w14:val="none"/>
          </w:rPr>
          <w:t>https://www.healthieryou.org.uk</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0A4CBBE6"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Newman, C., Hartnell, S., </w:t>
      </w:r>
      <w:proofErr w:type="spellStart"/>
      <w:r w:rsidRPr="004354A5">
        <w:rPr>
          <w:rFonts w:ascii="Times New Roman" w:eastAsia="Times New Roman" w:hAnsi="Times New Roman" w:cs="Times New Roman"/>
          <w:kern w:val="0"/>
          <w:lang w:eastAsia="en-GB"/>
          <w14:ligatures w14:val="none"/>
        </w:rPr>
        <w:t>Wilinska</w:t>
      </w:r>
      <w:proofErr w:type="spellEnd"/>
      <w:r w:rsidRPr="004354A5">
        <w:rPr>
          <w:rFonts w:ascii="Times New Roman" w:eastAsia="Times New Roman" w:hAnsi="Times New Roman" w:cs="Times New Roman"/>
          <w:kern w:val="0"/>
          <w:lang w:eastAsia="en-GB"/>
          <w14:ligatures w14:val="none"/>
        </w:rPr>
        <w:t xml:space="preserve">, M., Alwan, H. and Hovorka, R. (2023) ‘Real-world evidence of the Cambridge hybrid closed-loop app with a novel real-time continuous glucose monitoring system’, </w:t>
      </w:r>
      <w:r w:rsidRPr="004354A5">
        <w:rPr>
          <w:rFonts w:ascii="Times New Roman" w:eastAsia="Times New Roman" w:hAnsi="Times New Roman" w:cs="Times New Roman"/>
          <w:i/>
          <w:iCs/>
          <w:kern w:val="0"/>
          <w:lang w:eastAsia="en-GB"/>
          <w14:ligatures w14:val="none"/>
        </w:rPr>
        <w:t>Journal of Diabetes Science and Technology</w:t>
      </w:r>
      <w:r w:rsidRPr="004354A5">
        <w:rPr>
          <w:rFonts w:ascii="Times New Roman" w:eastAsia="Times New Roman" w:hAnsi="Times New Roman" w:cs="Times New Roman"/>
          <w:kern w:val="0"/>
          <w:lang w:eastAsia="en-GB"/>
          <w14:ligatures w14:val="none"/>
        </w:rPr>
        <w:t xml:space="preserve">, 19(1), pp. 165–168. Available at: </w:t>
      </w:r>
      <w:hyperlink r:id="rId20" w:tgtFrame="_blank" w:history="1">
        <w:r w:rsidRPr="004354A5">
          <w:rPr>
            <w:rFonts w:ascii="Times New Roman" w:eastAsia="Times New Roman" w:hAnsi="Times New Roman" w:cs="Times New Roman"/>
            <w:color w:val="0000FF"/>
            <w:kern w:val="0"/>
            <w:u w:val="single"/>
            <w:lang w:eastAsia="en-GB"/>
            <w14:ligatures w14:val="none"/>
          </w:rPr>
          <w:t>https://doi.org/10.1177/19322968231187915</w:t>
        </w:r>
      </w:hyperlink>
      <w:r w:rsidRPr="004354A5">
        <w:rPr>
          <w:rFonts w:ascii="Times New Roman" w:eastAsia="Times New Roman" w:hAnsi="Times New Roman" w:cs="Times New Roman"/>
          <w:kern w:val="0"/>
          <w:lang w:eastAsia="en-GB"/>
          <w14:ligatures w14:val="none"/>
        </w:rPr>
        <w:t xml:space="preserve"> .</w:t>
      </w:r>
    </w:p>
    <w:p w14:paraId="3CD1172F" w14:textId="7D7FCE3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NHS England (2022) </w:t>
      </w:r>
      <w:r w:rsidRPr="004354A5">
        <w:rPr>
          <w:rFonts w:ascii="Times New Roman" w:eastAsia="Times New Roman" w:hAnsi="Times New Roman" w:cs="Times New Roman"/>
          <w:i/>
          <w:iCs/>
          <w:kern w:val="0"/>
          <w:lang w:eastAsia="en-GB"/>
          <w14:ligatures w14:val="none"/>
        </w:rPr>
        <w:t>NHS initiative helps thousands more tackle their diabetes risk</w:t>
      </w:r>
      <w:r w:rsidRPr="004354A5">
        <w:rPr>
          <w:rFonts w:ascii="Times New Roman" w:eastAsia="Times New Roman" w:hAnsi="Times New Roman" w:cs="Times New Roman"/>
          <w:kern w:val="0"/>
          <w:lang w:eastAsia="en-GB"/>
          <w14:ligatures w14:val="none"/>
        </w:rPr>
        <w:t xml:space="preserve">. Available at: </w:t>
      </w:r>
      <w:hyperlink r:id="rId21" w:tgtFrame="_blank" w:history="1">
        <w:r w:rsidRPr="004354A5">
          <w:rPr>
            <w:rFonts w:ascii="Times New Roman" w:eastAsia="Times New Roman" w:hAnsi="Times New Roman" w:cs="Times New Roman"/>
            <w:color w:val="0000FF"/>
            <w:kern w:val="0"/>
            <w:u w:val="single"/>
            <w:lang w:eastAsia="en-GB"/>
            <w14:ligatures w14:val="none"/>
          </w:rPr>
          <w:t>https://www.england.nhs.uk/news</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3C733B7E" w14:textId="2D94CAEB"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NHS England (</w:t>
      </w:r>
      <w:r w:rsidR="002569E1">
        <w:rPr>
          <w:rFonts w:ascii="Times New Roman" w:eastAsia="Times New Roman" w:hAnsi="Times New Roman" w:cs="Times New Roman"/>
          <w:kern w:val="0"/>
          <w:lang w:eastAsia="en-GB"/>
          <w14:ligatures w14:val="none"/>
        </w:rPr>
        <w:t>2022</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NHS Diabetes Prevention Programme (NHS DPP)</w:t>
      </w:r>
      <w:r w:rsidRPr="004354A5">
        <w:rPr>
          <w:rFonts w:ascii="Times New Roman" w:eastAsia="Times New Roman" w:hAnsi="Times New Roman" w:cs="Times New Roman"/>
          <w:kern w:val="0"/>
          <w:lang w:eastAsia="en-GB"/>
          <w14:ligatures w14:val="none"/>
        </w:rPr>
        <w:t xml:space="preserve">. Available at: </w:t>
      </w:r>
      <w:hyperlink r:id="rId22" w:tgtFrame="_blank" w:history="1">
        <w:r w:rsidRPr="004354A5">
          <w:rPr>
            <w:rFonts w:ascii="Times New Roman" w:eastAsia="Times New Roman" w:hAnsi="Times New Roman" w:cs="Times New Roman"/>
            <w:color w:val="0000FF"/>
            <w:kern w:val="0"/>
            <w:u w:val="single"/>
            <w:lang w:eastAsia="en-GB"/>
            <w14:ligatures w14:val="none"/>
          </w:rPr>
          <w:t>https://www.england.nhs.uk/diabetes/diabetes-prevention/</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2BBE2D50" w14:textId="7522C603"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Nguyen, A. and White, J.R. (2022) ‘</w:t>
      </w:r>
      <w:r w:rsidR="002569E1" w:rsidRPr="004354A5">
        <w:rPr>
          <w:rFonts w:ascii="Times New Roman" w:eastAsia="Times New Roman" w:hAnsi="Times New Roman" w:cs="Times New Roman"/>
          <w:kern w:val="0"/>
          <w:lang w:eastAsia="en-GB"/>
          <w14:ligatures w14:val="none"/>
        </w:rPr>
        <w:t>Freestyle</w:t>
      </w:r>
      <w:r w:rsidRPr="004354A5">
        <w:rPr>
          <w:rFonts w:ascii="Times New Roman" w:eastAsia="Times New Roman" w:hAnsi="Times New Roman" w:cs="Times New Roman"/>
          <w:kern w:val="0"/>
          <w:lang w:eastAsia="en-GB"/>
          <w14:ligatures w14:val="none"/>
        </w:rPr>
        <w:t xml:space="preserve"> Libre 3’, </w:t>
      </w:r>
      <w:r w:rsidRPr="004354A5">
        <w:rPr>
          <w:rFonts w:ascii="Times New Roman" w:eastAsia="Times New Roman" w:hAnsi="Times New Roman" w:cs="Times New Roman"/>
          <w:i/>
          <w:iCs/>
          <w:kern w:val="0"/>
          <w:lang w:eastAsia="en-GB"/>
          <w14:ligatures w14:val="none"/>
        </w:rPr>
        <w:t>Clinical Diabetes</w:t>
      </w:r>
      <w:r w:rsidRPr="004354A5">
        <w:rPr>
          <w:rFonts w:ascii="Times New Roman" w:eastAsia="Times New Roman" w:hAnsi="Times New Roman" w:cs="Times New Roman"/>
          <w:kern w:val="0"/>
          <w:lang w:eastAsia="en-GB"/>
          <w14:ligatures w14:val="none"/>
        </w:rPr>
        <w:t xml:space="preserve">, 41(1), pp. 127–128. Available at: </w:t>
      </w:r>
      <w:hyperlink r:id="rId23" w:tgtFrame="_blank" w:history="1">
        <w:r w:rsidRPr="004354A5">
          <w:rPr>
            <w:rFonts w:ascii="Times New Roman" w:eastAsia="Times New Roman" w:hAnsi="Times New Roman" w:cs="Times New Roman"/>
            <w:color w:val="0000FF"/>
            <w:kern w:val="0"/>
            <w:u w:val="single"/>
            <w:lang w:eastAsia="en-GB"/>
            <w14:ligatures w14:val="none"/>
          </w:rPr>
          <w:t>https://doi.org/10.2337/cd22-0102</w:t>
        </w:r>
      </w:hyperlink>
      <w:r w:rsidRPr="004354A5">
        <w:rPr>
          <w:rFonts w:ascii="Times New Roman" w:eastAsia="Times New Roman" w:hAnsi="Times New Roman" w:cs="Times New Roman"/>
          <w:kern w:val="0"/>
          <w:lang w:eastAsia="en-GB"/>
          <w14:ligatures w14:val="none"/>
        </w:rPr>
        <w:t xml:space="preserve"> .</w:t>
      </w:r>
    </w:p>
    <w:p w14:paraId="39DD160D"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Sehgal, S., De Bock, M., Jones, S., Frewen, C. and Wheeler, B.J. (2023) ‘User experiences during the transition to calibration-free sensors with remote monitoring while using automated insulin delivery - a qualitative study’, </w:t>
      </w:r>
      <w:r w:rsidRPr="004354A5">
        <w:rPr>
          <w:rFonts w:ascii="Times New Roman" w:eastAsia="Times New Roman" w:hAnsi="Times New Roman" w:cs="Times New Roman"/>
          <w:i/>
          <w:iCs/>
          <w:kern w:val="0"/>
          <w:lang w:eastAsia="en-GB"/>
          <w14:ligatures w14:val="none"/>
        </w:rPr>
        <w:t>Frontiers in Endocrinology</w:t>
      </w:r>
      <w:r w:rsidRPr="004354A5">
        <w:rPr>
          <w:rFonts w:ascii="Times New Roman" w:eastAsia="Times New Roman" w:hAnsi="Times New Roman" w:cs="Times New Roman"/>
          <w:kern w:val="0"/>
          <w:lang w:eastAsia="en-GB"/>
          <w14:ligatures w14:val="none"/>
        </w:rPr>
        <w:t xml:space="preserve">, 14, p. 1214975. Available at: </w:t>
      </w:r>
      <w:hyperlink r:id="rId24" w:tgtFrame="_blank" w:history="1">
        <w:r w:rsidRPr="004354A5">
          <w:rPr>
            <w:rFonts w:ascii="Times New Roman" w:eastAsia="Times New Roman" w:hAnsi="Times New Roman" w:cs="Times New Roman"/>
            <w:color w:val="0000FF"/>
            <w:kern w:val="0"/>
            <w:u w:val="single"/>
            <w:lang w:eastAsia="en-GB"/>
            <w14:ligatures w14:val="none"/>
          </w:rPr>
          <w:t>https://doi.org/10.3389/fendo.2023.1214975</w:t>
        </w:r>
      </w:hyperlink>
      <w:r w:rsidRPr="004354A5">
        <w:rPr>
          <w:rFonts w:ascii="Times New Roman" w:eastAsia="Times New Roman" w:hAnsi="Times New Roman" w:cs="Times New Roman"/>
          <w:kern w:val="0"/>
          <w:lang w:eastAsia="en-GB"/>
          <w14:ligatures w14:val="none"/>
        </w:rPr>
        <w:t xml:space="preserve"> .</w:t>
      </w:r>
    </w:p>
    <w:p w14:paraId="483BD387" w14:textId="77777777" w:rsidR="004354A5" w:rsidRDefault="004354A5" w:rsidP="00487071"/>
    <w:sectPr w:rsidR="00435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9216E"/>
    <w:multiLevelType w:val="multilevel"/>
    <w:tmpl w:val="4142E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E5B7E"/>
    <w:multiLevelType w:val="multilevel"/>
    <w:tmpl w:val="92069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F654B"/>
    <w:multiLevelType w:val="multilevel"/>
    <w:tmpl w:val="9B1AC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6B3762"/>
    <w:multiLevelType w:val="multilevel"/>
    <w:tmpl w:val="EDE4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0D5248"/>
    <w:multiLevelType w:val="multilevel"/>
    <w:tmpl w:val="D528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8949260">
    <w:abstractNumId w:val="1"/>
  </w:num>
  <w:num w:numId="2" w16cid:durableId="397478000">
    <w:abstractNumId w:val="4"/>
  </w:num>
  <w:num w:numId="3" w16cid:durableId="13191807">
    <w:abstractNumId w:val="3"/>
  </w:num>
  <w:num w:numId="4" w16cid:durableId="731078445">
    <w:abstractNumId w:val="2"/>
  </w:num>
  <w:num w:numId="5" w16cid:durableId="414547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4A5"/>
    <w:rsid w:val="000313F5"/>
    <w:rsid w:val="00055B53"/>
    <w:rsid w:val="0011611C"/>
    <w:rsid w:val="001D78BC"/>
    <w:rsid w:val="001F685E"/>
    <w:rsid w:val="00227EB1"/>
    <w:rsid w:val="002569E1"/>
    <w:rsid w:val="002D030A"/>
    <w:rsid w:val="002F306E"/>
    <w:rsid w:val="00334F1E"/>
    <w:rsid w:val="003A1BFD"/>
    <w:rsid w:val="00411CC7"/>
    <w:rsid w:val="004320F8"/>
    <w:rsid w:val="004354A5"/>
    <w:rsid w:val="00473FF9"/>
    <w:rsid w:val="00487071"/>
    <w:rsid w:val="004A70AB"/>
    <w:rsid w:val="0051090E"/>
    <w:rsid w:val="005A6D3D"/>
    <w:rsid w:val="00600549"/>
    <w:rsid w:val="006355C1"/>
    <w:rsid w:val="00637D0C"/>
    <w:rsid w:val="00677D97"/>
    <w:rsid w:val="00687C16"/>
    <w:rsid w:val="006B73B1"/>
    <w:rsid w:val="007A70A5"/>
    <w:rsid w:val="007E7AF7"/>
    <w:rsid w:val="007F2CD2"/>
    <w:rsid w:val="00845D0E"/>
    <w:rsid w:val="00845E42"/>
    <w:rsid w:val="009377F0"/>
    <w:rsid w:val="00947D3F"/>
    <w:rsid w:val="00963B77"/>
    <w:rsid w:val="00971252"/>
    <w:rsid w:val="00973DEA"/>
    <w:rsid w:val="00A542AA"/>
    <w:rsid w:val="00A62E80"/>
    <w:rsid w:val="00AD7C72"/>
    <w:rsid w:val="00AF05EC"/>
    <w:rsid w:val="00B04E5E"/>
    <w:rsid w:val="00B345A1"/>
    <w:rsid w:val="00B555F1"/>
    <w:rsid w:val="00C12EFD"/>
    <w:rsid w:val="00C20848"/>
    <w:rsid w:val="00C470A6"/>
    <w:rsid w:val="00CE038D"/>
    <w:rsid w:val="00D07511"/>
    <w:rsid w:val="00D14E47"/>
    <w:rsid w:val="00D60168"/>
    <w:rsid w:val="00DA170D"/>
    <w:rsid w:val="00DB54B3"/>
    <w:rsid w:val="00DD3BFD"/>
    <w:rsid w:val="00DE39D2"/>
    <w:rsid w:val="00DE58A1"/>
    <w:rsid w:val="00E169E8"/>
    <w:rsid w:val="00E17435"/>
    <w:rsid w:val="00E371D9"/>
    <w:rsid w:val="00EC1328"/>
    <w:rsid w:val="00F02327"/>
    <w:rsid w:val="00F20580"/>
    <w:rsid w:val="00F44DEF"/>
    <w:rsid w:val="00F53B69"/>
    <w:rsid w:val="00FA164A"/>
    <w:rsid w:val="00FA2EE8"/>
    <w:rsid w:val="00FA5C7C"/>
    <w:rsid w:val="00FB235E"/>
    <w:rsid w:val="00FD0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43B38"/>
  <w15:chartTrackingRefBased/>
  <w15:docId w15:val="{F0179852-ED0A-49C1-8EDE-A6C9A7AAD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4A5"/>
    <w:rPr>
      <w:rFonts w:eastAsiaTheme="majorEastAsia" w:cstheme="majorBidi"/>
      <w:color w:val="272727" w:themeColor="text1" w:themeTint="D8"/>
    </w:rPr>
  </w:style>
  <w:style w:type="paragraph" w:styleId="Title">
    <w:name w:val="Title"/>
    <w:basedOn w:val="Normal"/>
    <w:next w:val="Normal"/>
    <w:link w:val="TitleChar"/>
    <w:uiPriority w:val="10"/>
    <w:qFormat/>
    <w:rsid w:val="00435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4A5"/>
    <w:pPr>
      <w:spacing w:before="160"/>
      <w:jc w:val="center"/>
    </w:pPr>
    <w:rPr>
      <w:i/>
      <w:iCs/>
      <w:color w:val="404040" w:themeColor="text1" w:themeTint="BF"/>
    </w:rPr>
  </w:style>
  <w:style w:type="character" w:customStyle="1" w:styleId="QuoteChar">
    <w:name w:val="Quote Char"/>
    <w:basedOn w:val="DefaultParagraphFont"/>
    <w:link w:val="Quote"/>
    <w:uiPriority w:val="29"/>
    <w:rsid w:val="004354A5"/>
    <w:rPr>
      <w:i/>
      <w:iCs/>
      <w:color w:val="404040" w:themeColor="text1" w:themeTint="BF"/>
    </w:rPr>
  </w:style>
  <w:style w:type="paragraph" w:styleId="ListParagraph">
    <w:name w:val="List Paragraph"/>
    <w:basedOn w:val="Normal"/>
    <w:uiPriority w:val="34"/>
    <w:qFormat/>
    <w:rsid w:val="004354A5"/>
    <w:pPr>
      <w:ind w:left="720"/>
      <w:contextualSpacing/>
    </w:pPr>
  </w:style>
  <w:style w:type="character" w:styleId="IntenseEmphasis">
    <w:name w:val="Intense Emphasis"/>
    <w:basedOn w:val="DefaultParagraphFont"/>
    <w:uiPriority w:val="21"/>
    <w:qFormat/>
    <w:rsid w:val="004354A5"/>
    <w:rPr>
      <w:i/>
      <w:iCs/>
      <w:color w:val="0F4761" w:themeColor="accent1" w:themeShade="BF"/>
    </w:rPr>
  </w:style>
  <w:style w:type="paragraph" w:styleId="IntenseQuote">
    <w:name w:val="Intense Quote"/>
    <w:basedOn w:val="Normal"/>
    <w:next w:val="Normal"/>
    <w:link w:val="IntenseQuoteChar"/>
    <w:uiPriority w:val="30"/>
    <w:qFormat/>
    <w:rsid w:val="00435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4A5"/>
    <w:rPr>
      <w:i/>
      <w:iCs/>
      <w:color w:val="0F4761" w:themeColor="accent1" w:themeShade="BF"/>
    </w:rPr>
  </w:style>
  <w:style w:type="character" w:styleId="IntenseReference">
    <w:name w:val="Intense Reference"/>
    <w:basedOn w:val="DefaultParagraphFont"/>
    <w:uiPriority w:val="32"/>
    <w:qFormat/>
    <w:rsid w:val="004354A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estyle.abbott" TargetMode="External"/><Relationship Id="rId13" Type="http://schemas.openxmlformats.org/officeDocument/2006/relationships/hyperlink" Target="https://doi.org/10.1136/bmjinnov-2022-000982" TargetMode="External"/><Relationship Id="rId18" Type="http://schemas.openxmlformats.org/officeDocument/2006/relationships/hyperlink" Target="https://doi.org/10.1177/1932296823122567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gland.nhs.uk/news" TargetMode="External"/><Relationship Id="rId7" Type="http://schemas.openxmlformats.org/officeDocument/2006/relationships/hyperlink" Target="https://provider.freestyle.abbott/ca-en/proven-outcomes.html" TargetMode="External"/><Relationship Id="rId12" Type="http://schemas.openxmlformats.org/officeDocument/2006/relationships/hyperlink" Target="https://doi.org/10.1016/S0114-6302(16)30239-X" TargetMode="External"/><Relationship Id="rId17" Type="http://schemas.openxmlformats.org/officeDocument/2006/relationships/hyperlink" Target="https://doi.org/10.1007/s13300-016-0223-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data-protection" TargetMode="External"/><Relationship Id="rId20" Type="http://schemas.openxmlformats.org/officeDocument/2006/relationships/hyperlink" Target="https://doi.org/10.1177/19322968231187915" TargetMode="External"/><Relationship Id="rId1" Type="http://schemas.openxmlformats.org/officeDocument/2006/relationships/numbering" Target="numbering.xml"/><Relationship Id="rId6" Type="http://schemas.openxmlformats.org/officeDocument/2006/relationships/hyperlink" Target="https://www.freestyle.abbott" TargetMode="External"/><Relationship Id="rId11" Type="http://schemas.openxmlformats.org/officeDocument/2006/relationships/hyperlink" Target="https://doi.org/10.1136/bmjdrc-2021-002580" TargetMode="External"/><Relationship Id="rId24" Type="http://schemas.openxmlformats.org/officeDocument/2006/relationships/hyperlink" Target="https://doi.org/10.3389/fendo.2023.1214975" TargetMode="External"/><Relationship Id="rId5" Type="http://schemas.openxmlformats.org/officeDocument/2006/relationships/image" Target="media/image1.png"/><Relationship Id="rId15" Type="http://schemas.openxmlformats.org/officeDocument/2006/relationships/hyperlink" Target="https://www.diabetes.org.uk" TargetMode="External"/><Relationship Id="rId23" Type="http://schemas.openxmlformats.org/officeDocument/2006/relationships/hyperlink" Target="https://doi.org/10.2337/cd22-0102" TargetMode="External"/><Relationship Id="rId10" Type="http://schemas.openxmlformats.org/officeDocument/2006/relationships/hyperlink" Target="https://doi.org/10.2196/56112" TargetMode="External"/><Relationship Id="rId19" Type="http://schemas.openxmlformats.org/officeDocument/2006/relationships/hyperlink" Target="https://www.healthieryou.org.uk" TargetMode="External"/><Relationship Id="rId4" Type="http://schemas.openxmlformats.org/officeDocument/2006/relationships/webSettings" Target="webSettings.xml"/><Relationship Id="rId9" Type="http://schemas.openxmlformats.org/officeDocument/2006/relationships/hyperlink" Target="https://doi.org/10.1007/s13300-023-01385-6" TargetMode="External"/><Relationship Id="rId14" Type="http://schemas.openxmlformats.org/officeDocument/2006/relationships/hyperlink" Target="https://www.gov.uk/government/publications/a-plan-for-digital-health-and-social-care" TargetMode="External"/><Relationship Id="rId22" Type="http://schemas.openxmlformats.org/officeDocument/2006/relationships/hyperlink" Target="https://www.england.nhs.uk/diabetes/diabetes-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6126</TotalTime>
  <Pages>8</Pages>
  <Words>3074</Words>
  <Characters>17522</Characters>
  <Application>Microsoft Office Word</Application>
  <DocSecurity>0</DocSecurity>
  <Lines>146</Lines>
  <Paragraphs>41</Paragraphs>
  <ScaleCrop>false</ScaleCrop>
  <Company/>
  <LinksUpToDate>false</LinksUpToDate>
  <CharactersWithSpaces>20555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65</cp:revision>
  <dcterms:created xsi:type="dcterms:W3CDTF">2026-06-23T11:35:00Z</dcterms:created>
  <dcterms:modified xsi:type="dcterms:W3CDTF">2026-06-29T14:11:00Z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4c142018-6acd-4da2-ba21-69546cae3992</vt:lpwstr>
  </property>
</Properties>
</file>