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121110740"/>
        <w:docPartObj>
          <w:docPartGallery w:val="Cover Pages"/>
          <w:docPartUnique/>
        </w:docPartObj>
      </w:sdtPr>
      <w:sdtEndPr>
        <w:rPr>
          <w:rStyle w:val="Heading1Char"/>
          <w:rFonts w:ascii="Arial" w:eastAsiaTheme="majorEastAsia" w:hAnsi="Arial" w:cstheme="majorBidi"/>
          <w:b/>
          <w:color w:val="000000" w:themeColor="text1"/>
          <w:sz w:val="24"/>
          <w:szCs w:val="32"/>
        </w:rPr>
      </w:sdtEndPr>
      <w:sdtContent>
        <w:p w14:paraId="58803402" w14:textId="77777777" w:rsidR="0017098E" w:rsidRDefault="0017098E">
          <w:pPr>
            <w:pStyle w:val="NoSpacing"/>
            <w:spacing w:before="1540" w:after="240"/>
            <w:jc w:val="center"/>
            <w:rPr>
              <w:color w:val="5B9BD5" w:themeColor="accent1"/>
            </w:rPr>
          </w:pPr>
          <w:r>
            <w:rPr>
              <w:noProof/>
              <w:color w:val="5B9BD5" w:themeColor="accent1"/>
              <w:lang w:val="en-GB" w:eastAsia="en-GB"/>
            </w:rPr>
            <w:drawing>
              <wp:inline distT="0" distB="0" distL="0" distR="0" wp14:anchorId="125BA57F" wp14:editId="60E8BF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inorHAnsi" w:hAnsi="Arial" w:cs="Arial"/>
              <w:b/>
              <w:i/>
              <w:sz w:val="28"/>
              <w:lang w:val="en-GB"/>
            </w:rPr>
            <w:alias w:val="Title"/>
            <w:tag w:val=""/>
            <w:id w:val="1735040861"/>
            <w:placeholder>
              <w:docPart w:val="86A15341FA7545CBA899946DF95AB9C6"/>
            </w:placeholder>
            <w:dataBinding w:prefixMappings="xmlns:ns0='http://purl.org/dc/elements/1.1/' xmlns:ns1='http://schemas.openxmlformats.org/package/2006/metadata/core-properties' " w:xpath="/ns1:coreProperties[1]/ns0:title[1]" w:storeItemID="{6C3C8BC8-F283-45AE-878A-BAB7291924A1}"/>
            <w:text/>
          </w:sdtPr>
          <w:sdtEndPr/>
          <w:sdtContent>
            <w:p w14:paraId="7EC30ADC" w14:textId="77777777" w:rsidR="0017098E" w:rsidRPr="00DC7CEF" w:rsidRDefault="00D92467" w:rsidP="00DC7CEF">
              <w:pPr>
                <w:pStyle w:val="NoSpacing"/>
                <w:pBdr>
                  <w:top w:val="single" w:sz="6" w:space="6" w:color="5B9BD5" w:themeColor="accent1"/>
                  <w:bottom w:val="single" w:sz="6" w:space="6" w:color="5B9BD5" w:themeColor="accent1"/>
                </w:pBdr>
                <w:spacing w:after="240" w:line="360" w:lineRule="auto"/>
                <w:jc w:val="center"/>
                <w:rPr>
                  <w:rFonts w:ascii="Arial" w:eastAsiaTheme="majorEastAsia" w:hAnsi="Arial" w:cs="Arial"/>
                  <w:b/>
                  <w:i/>
                  <w:caps/>
                  <w:color w:val="5B9BD5" w:themeColor="accent1"/>
                  <w:sz w:val="144"/>
                  <w:szCs w:val="80"/>
                </w:rPr>
              </w:pPr>
              <w:r w:rsidRPr="00DC7CEF">
                <w:rPr>
                  <w:rFonts w:ascii="Arial" w:eastAsiaTheme="minorHAnsi" w:hAnsi="Arial" w:cs="Arial"/>
                  <w:b/>
                  <w:i/>
                  <w:sz w:val="28"/>
                  <w:lang w:val="en-GB"/>
                </w:rPr>
                <w:t>Shift in Hotel Strategies Post-COVID with Reduced Business Commuting A Case Study of Hilton Hotels’ Adaptation to Reduced Business Travel”</w:t>
              </w:r>
            </w:p>
          </w:sdtContent>
        </w:sdt>
        <w:sdt>
          <w:sdtPr>
            <w:rPr>
              <w:rFonts w:ascii="Arial" w:hAnsi="Arial" w:cs="Arial"/>
              <w:b/>
              <w:sz w:val="24"/>
              <w:szCs w:val="24"/>
            </w:rPr>
            <w:alias w:val="Subtitle"/>
            <w:tag w:val=""/>
            <w:id w:val="328029620"/>
            <w:placeholder>
              <w:docPart w:val="54A58299DD3D4C8697C72B45A64A426A"/>
            </w:placeholder>
            <w:dataBinding w:prefixMappings="xmlns:ns0='http://purl.org/dc/elements/1.1/' xmlns:ns1='http://schemas.openxmlformats.org/package/2006/metadata/core-properties' " w:xpath="/ns1:coreProperties[1]/ns0:subject[1]" w:storeItemID="{6C3C8BC8-F283-45AE-878A-BAB7291924A1}"/>
            <w:text/>
          </w:sdtPr>
          <w:sdtEndPr/>
          <w:sdtContent>
            <w:p w14:paraId="1B8487EB" w14:textId="77777777" w:rsidR="0017098E" w:rsidRPr="00B62DC5" w:rsidRDefault="00FF58C8">
              <w:pPr>
                <w:pStyle w:val="NoSpacing"/>
                <w:jc w:val="center"/>
                <w:rPr>
                  <w:rFonts w:ascii="Arial" w:hAnsi="Arial" w:cs="Arial"/>
                  <w:b/>
                  <w:color w:val="5B9BD5" w:themeColor="accent1"/>
                  <w:sz w:val="24"/>
                  <w:szCs w:val="24"/>
                </w:rPr>
              </w:pPr>
              <w:r w:rsidRPr="00B62DC5">
                <w:rPr>
                  <w:rFonts w:ascii="Arial" w:hAnsi="Arial" w:cs="Arial"/>
                  <w:b/>
                  <w:sz w:val="24"/>
                  <w:szCs w:val="24"/>
                </w:rPr>
                <w:t>Conference Research Paper</w:t>
              </w:r>
            </w:p>
          </w:sdtContent>
        </w:sdt>
        <w:p w14:paraId="465F0EB9" w14:textId="77777777" w:rsidR="0017098E" w:rsidRDefault="0017098E">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4384" behindDoc="0" locked="0" layoutInCell="1" allowOverlap="1" wp14:anchorId="5BF5F4E4" wp14:editId="05C0BE4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FCA25D" w14:textId="77777777" w:rsidR="0017098E" w:rsidRDefault="0017098E">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BF5F4E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438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60FCA25D" w14:textId="77777777" w:rsidR="0017098E" w:rsidRDefault="0017098E">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14:anchorId="4E4F548C" wp14:editId="546B5AA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6EDAFE9" w14:textId="77777777" w:rsidR="0017098E" w:rsidRDefault="00D811F6">
          <w:pPr>
            <w:rPr>
              <w:rStyle w:val="Heading1Char"/>
            </w:rPr>
          </w:pPr>
          <w:r w:rsidRPr="00D811F6">
            <w:rPr>
              <w:rStyle w:val="Heading1Char"/>
              <w:noProof/>
              <w:lang w:eastAsia="en-GB"/>
            </w:rPr>
            <mc:AlternateContent>
              <mc:Choice Requires="wps">
                <w:drawing>
                  <wp:anchor distT="91440" distB="91440" distL="114300" distR="114300" simplePos="0" relativeHeight="251666432" behindDoc="0" locked="0" layoutInCell="1" allowOverlap="1" wp14:anchorId="35815956" wp14:editId="5B26160B">
                    <wp:simplePos x="0" y="0"/>
                    <wp:positionH relativeFrom="margin">
                      <wp:posOffset>1187450</wp:posOffset>
                    </wp:positionH>
                    <wp:positionV relativeFrom="paragraph">
                      <wp:posOffset>3326765</wp:posOffset>
                    </wp:positionV>
                    <wp:extent cx="367030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70300" cy="1403985"/>
                            </a:xfrm>
                            <a:prstGeom prst="rect">
                              <a:avLst/>
                            </a:prstGeom>
                            <a:noFill/>
                            <a:ln w="9525">
                              <a:noFill/>
                              <a:miter lim="800000"/>
                              <a:headEnd/>
                              <a:tailEnd/>
                            </a:ln>
                          </wps:spPr>
                          <wps:txbx>
                            <w:txbxContent>
                              <w:p w14:paraId="2A69CF0E" w14:textId="597AA291" w:rsidR="00D811F6" w:rsidRPr="00D811F6" w:rsidRDefault="00D811F6">
                                <w:pPr>
                                  <w:pBdr>
                                    <w:top w:val="single" w:sz="24" w:space="8" w:color="5B9BD5" w:themeColor="accent1"/>
                                    <w:bottom w:val="single" w:sz="24" w:space="8" w:color="5B9BD5" w:themeColor="accent1"/>
                                  </w:pBdr>
                                  <w:spacing w:after="0"/>
                                  <w:rPr>
                                    <w:rFonts w:ascii="Arial" w:hAnsi="Arial" w:cs="Arial"/>
                                    <w:i/>
                                    <w:iCs/>
                                    <w:color w:val="5B9BD5" w:themeColor="accent1"/>
                                    <w:sz w:val="24"/>
                                    <w:szCs w:val="24"/>
                                  </w:rPr>
                                </w:pPr>
                                <w:r w:rsidRPr="00D811F6">
                                  <w:rPr>
                                    <w:rFonts w:ascii="Arial" w:hAnsi="Arial" w:cs="Arial"/>
                                    <w:i/>
                                    <w:iCs/>
                                    <w:color w:val="5B9BD5" w:themeColor="accent1"/>
                                    <w:sz w:val="24"/>
                                    <w:szCs w:val="24"/>
                                  </w:rPr>
                                  <w:t xml:space="preserve">Submitted to: </w:t>
                                </w:r>
                                <w:r w:rsidR="004B4386">
                                  <w:rPr>
                                    <w:rFonts w:ascii="Arial" w:hAnsi="Arial" w:cs="Arial"/>
                                    <w:i/>
                                    <w:iCs/>
                                    <w:color w:val="5B9BD5" w:themeColor="accent1"/>
                                    <w:sz w:val="24"/>
                                    <w:szCs w:val="24"/>
                                  </w:rPr>
                                  <w:t>Ch</w:t>
                                </w:r>
                                <w:r w:rsidR="00682A04">
                                  <w:rPr>
                                    <w:rFonts w:ascii="Arial" w:hAnsi="Arial" w:cs="Arial"/>
                                    <w:i/>
                                    <w:iCs/>
                                    <w:color w:val="5B9BD5" w:themeColor="accent1"/>
                                    <w:sz w:val="24"/>
                                    <w:szCs w:val="24"/>
                                  </w:rPr>
                                  <w:t>ris</w:t>
                                </w:r>
                                <w:r w:rsidR="004B4386">
                                  <w:rPr>
                                    <w:rFonts w:ascii="Arial" w:hAnsi="Arial" w:cs="Arial"/>
                                    <w:i/>
                                    <w:iCs/>
                                    <w:color w:val="5B9BD5" w:themeColor="accent1"/>
                                    <w:sz w:val="24"/>
                                    <w:szCs w:val="24"/>
                                  </w:rPr>
                                  <w:t>t</w:t>
                                </w:r>
                                <w:r w:rsidR="00682A04">
                                  <w:rPr>
                                    <w:rFonts w:ascii="Arial" w:hAnsi="Arial" w:cs="Arial"/>
                                    <w:i/>
                                    <w:iCs/>
                                    <w:color w:val="5B9BD5" w:themeColor="accent1"/>
                                    <w:sz w:val="24"/>
                                    <w:szCs w:val="24"/>
                                  </w:rPr>
                                  <w:t>oper wilki</w:t>
                                </w:r>
                                <w:r w:rsidR="00F61EEF">
                                  <w:rPr>
                                    <w:rFonts w:ascii="Arial" w:hAnsi="Arial" w:cs="Arial"/>
                                    <w:i/>
                                    <w:iCs/>
                                    <w:color w:val="5B9BD5" w:themeColor="accent1"/>
                                    <w:sz w:val="24"/>
                                    <w:szCs w:val="24"/>
                                  </w:rPr>
                                  <w:t>n</w:t>
                                </w:r>
                              </w:p>
                              <w:p w14:paraId="38391CB6" w14:textId="4612E979" w:rsidR="00D811F6" w:rsidRPr="00D811F6" w:rsidRDefault="00D811F6">
                                <w:pPr>
                                  <w:pBdr>
                                    <w:top w:val="single" w:sz="24" w:space="8" w:color="5B9BD5" w:themeColor="accent1"/>
                                    <w:bottom w:val="single" w:sz="24" w:space="8" w:color="5B9BD5" w:themeColor="accent1"/>
                                  </w:pBdr>
                                  <w:spacing w:after="0"/>
                                  <w:rPr>
                                    <w:rFonts w:ascii="Arial" w:hAnsi="Arial" w:cs="Arial"/>
                                    <w:i/>
                                    <w:iCs/>
                                    <w:color w:val="5B9BD5" w:themeColor="accent1"/>
                                    <w:sz w:val="24"/>
                                    <w:szCs w:val="24"/>
                                  </w:rPr>
                                </w:pPr>
                                <w:r w:rsidRPr="00D811F6">
                                  <w:rPr>
                                    <w:rFonts w:ascii="Arial" w:hAnsi="Arial" w:cs="Arial"/>
                                    <w:i/>
                                    <w:iCs/>
                                    <w:color w:val="5B9BD5" w:themeColor="accent1"/>
                                    <w:sz w:val="24"/>
                                    <w:szCs w:val="24"/>
                                  </w:rPr>
                                  <w:t>Submitted by:</w:t>
                                </w:r>
                                <w:r w:rsidR="00682A04">
                                  <w:rPr>
                                    <w:rFonts w:ascii="Arial" w:hAnsi="Arial" w:cs="Arial"/>
                                    <w:i/>
                                    <w:iCs/>
                                    <w:color w:val="5B9BD5" w:themeColor="accent1"/>
                                    <w:sz w:val="24"/>
                                    <w:szCs w:val="24"/>
                                  </w:rPr>
                                  <w:t xml:space="preserve"> Kamrul Khan</w:t>
                                </w:r>
                              </w:p>
                              <w:p w14:paraId="020F36AE" w14:textId="75A31D15" w:rsidR="00D811F6" w:rsidRDefault="00D811F6">
                                <w:pPr>
                                  <w:pBdr>
                                    <w:top w:val="single" w:sz="24" w:space="8" w:color="5B9BD5" w:themeColor="accent1"/>
                                    <w:bottom w:val="single" w:sz="24" w:space="8" w:color="5B9BD5" w:themeColor="accent1"/>
                                  </w:pBdr>
                                  <w:spacing w:after="0"/>
                                  <w:rPr>
                                    <w:rFonts w:ascii="Arial" w:hAnsi="Arial" w:cs="Arial"/>
                                    <w:iCs/>
                                    <w:color w:val="5B9BD5" w:themeColor="accent1"/>
                                    <w:sz w:val="24"/>
                                  </w:rPr>
                                </w:pPr>
                                <w:r>
                                  <w:rPr>
                                    <w:rFonts w:ascii="Arial" w:hAnsi="Arial" w:cs="Arial"/>
                                    <w:iCs/>
                                    <w:color w:val="5B9BD5" w:themeColor="accent1"/>
                                    <w:sz w:val="24"/>
                                  </w:rPr>
                                  <w:t>Student ID:</w:t>
                                </w:r>
                                <w:r w:rsidR="00C87F36">
                                  <w:rPr>
                                    <w:rFonts w:ascii="Arial" w:hAnsi="Arial" w:cs="Arial"/>
                                    <w:iCs/>
                                    <w:color w:val="5B9BD5" w:themeColor="accent1"/>
                                    <w:sz w:val="24"/>
                                  </w:rPr>
                                  <w:t xml:space="preserve"> </w:t>
                                </w:r>
                                <w:r w:rsidR="00394E50">
                                  <w:rPr>
                                    <w:rFonts w:ascii="Arial" w:hAnsi="Arial" w:cs="Arial"/>
                                    <w:iCs/>
                                    <w:color w:val="5B9BD5" w:themeColor="accent1"/>
                                    <w:sz w:val="24"/>
                                  </w:rPr>
                                  <w:t>2230751</w:t>
                                </w:r>
                              </w:p>
                              <w:p w14:paraId="1CB16C68" w14:textId="140DD684" w:rsidR="00D811F6" w:rsidRDefault="00D811F6">
                                <w:pPr>
                                  <w:pBdr>
                                    <w:top w:val="single" w:sz="24" w:space="8" w:color="5B9BD5" w:themeColor="accent1"/>
                                    <w:bottom w:val="single" w:sz="24" w:space="8" w:color="5B9BD5" w:themeColor="accent1"/>
                                  </w:pBdr>
                                  <w:spacing w:after="0"/>
                                  <w:rPr>
                                    <w:rFonts w:ascii="Arial" w:hAnsi="Arial" w:cs="Arial"/>
                                    <w:iCs/>
                                    <w:color w:val="5B9BD5" w:themeColor="accent1"/>
                                    <w:sz w:val="24"/>
                                  </w:rPr>
                                </w:pPr>
                                <w:r>
                                  <w:rPr>
                                    <w:rFonts w:ascii="Arial" w:hAnsi="Arial" w:cs="Arial"/>
                                    <w:iCs/>
                                    <w:color w:val="5B9BD5" w:themeColor="accent1"/>
                                    <w:sz w:val="24"/>
                                  </w:rPr>
                                  <w:t>Course Module:</w:t>
                                </w:r>
                                <w:r w:rsidR="00394E50">
                                  <w:rPr>
                                    <w:rFonts w:ascii="Arial" w:hAnsi="Arial" w:cs="Arial"/>
                                    <w:iCs/>
                                    <w:color w:val="5B9BD5" w:themeColor="accent1"/>
                                    <w:sz w:val="24"/>
                                  </w:rPr>
                                  <w:t xml:space="preserve"> </w:t>
                                </w:r>
                                <w:r w:rsidR="00522E36">
                                  <w:rPr>
                                    <w:rFonts w:ascii="Arial" w:hAnsi="Arial" w:cs="Arial"/>
                                    <w:iCs/>
                                    <w:color w:val="5B9BD5" w:themeColor="accent1"/>
                                    <w:sz w:val="24"/>
                                  </w:rPr>
                                  <w:t>Contemporary Themes</w:t>
                                </w:r>
                                <w:r w:rsidR="00C763B3">
                                  <w:rPr>
                                    <w:rFonts w:ascii="Arial" w:hAnsi="Arial" w:cs="Arial"/>
                                    <w:iCs/>
                                    <w:color w:val="5B9BD5" w:themeColor="accent1"/>
                                    <w:sz w:val="24"/>
                                  </w:rPr>
                                  <w:t xml:space="preserve"> in the hotel and industry</w:t>
                                </w:r>
                                <w:r w:rsidR="006D388F">
                                  <w:rPr>
                                    <w:rFonts w:ascii="Arial" w:hAnsi="Arial" w:cs="Arial"/>
                                    <w:iCs/>
                                    <w:color w:val="5B9BD5" w:themeColor="accent1"/>
                                    <w:sz w:val="24"/>
                                  </w:rPr>
                                  <w:t xml:space="preserve"> sector</w:t>
                                </w:r>
                                <w:r w:rsidR="00522E36">
                                  <w:rPr>
                                    <w:rFonts w:ascii="Arial" w:hAnsi="Arial" w:cs="Arial"/>
                                    <w:iCs/>
                                    <w:color w:val="5B9BD5" w:themeColor="accent1"/>
                                    <w:sz w:val="24"/>
                                  </w:rPr>
                                  <w:t xml:space="preserve"> </w:t>
                                </w:r>
                              </w:p>
                              <w:p w14:paraId="5D98984A" w14:textId="5A563416" w:rsidR="00D811F6" w:rsidRPr="00D811F6" w:rsidRDefault="00D811F6">
                                <w:pPr>
                                  <w:pBdr>
                                    <w:top w:val="single" w:sz="24" w:space="8" w:color="5B9BD5" w:themeColor="accent1"/>
                                    <w:bottom w:val="single" w:sz="24" w:space="8" w:color="5B9BD5" w:themeColor="accent1"/>
                                  </w:pBdr>
                                  <w:spacing w:after="0"/>
                                  <w:rPr>
                                    <w:rFonts w:ascii="Arial" w:hAnsi="Arial" w:cs="Arial"/>
                                    <w:iCs/>
                                    <w:color w:val="5B9BD5" w:themeColor="accent1"/>
                                    <w:sz w:val="24"/>
                                  </w:rPr>
                                </w:pPr>
                                <w:r>
                                  <w:rPr>
                                    <w:rFonts w:ascii="Arial" w:hAnsi="Arial" w:cs="Arial"/>
                                    <w:iCs/>
                                    <w:color w:val="5B9BD5" w:themeColor="accent1"/>
                                    <w:sz w:val="24"/>
                                  </w:rPr>
                                  <w:t>Module Code:</w:t>
                                </w:r>
                                <w:r w:rsidR="00CD1189">
                                  <w:rPr>
                                    <w:rFonts w:ascii="Arial" w:hAnsi="Arial" w:cs="Arial"/>
                                    <w:iCs/>
                                    <w:color w:val="5B9BD5" w:themeColor="accent1"/>
                                    <w:sz w:val="24"/>
                                  </w:rPr>
                                  <w:t xml:space="preserve"> BMIH6001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815956" id="Text Box 2" o:spid="_x0000_s1027" type="#_x0000_t202" style="position:absolute;margin-left:93.5pt;margin-top:261.95pt;width:289pt;height:110.55pt;z-index:251666432;visibility:visible;mso-wrap-style:square;mso-width-percent:0;mso-height-percent:200;mso-wrap-distance-left:9pt;mso-wrap-distance-top:7.2pt;mso-wrap-distance-right:9pt;mso-wrap-distance-bottom:7.2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" filled="f" stroked="f">
                    <v:textbox style="mso-fit-shape-to-text:t">
                      <w:txbxContent>
                        <w:p w14:paraId="2A69CF0E" w14:textId="597AA291" w:rsidR="00D811F6" w:rsidRPr="00D811F6" w:rsidRDefault="00D811F6">
                          <w:pPr>
                            <w:pBdr>
                              <w:top w:val="single" w:sz="24" w:space="8" w:color="5B9BD5" w:themeColor="accent1"/>
                              <w:bottom w:val="single" w:sz="24" w:space="8" w:color="5B9BD5" w:themeColor="accent1"/>
                            </w:pBdr>
                            <w:spacing w:after="0"/>
                            <w:rPr>
                              <w:rFonts w:ascii="Arial" w:hAnsi="Arial" w:cs="Arial"/>
                              <w:i/>
                              <w:iCs/>
                              <w:color w:val="5B9BD5" w:themeColor="accent1"/>
                              <w:sz w:val="24"/>
                              <w:szCs w:val="24"/>
                            </w:rPr>
                          </w:pPr>
                          <w:r w:rsidRPr="00D811F6">
                            <w:rPr>
                              <w:rFonts w:ascii="Arial" w:hAnsi="Arial" w:cs="Arial"/>
                              <w:i/>
                              <w:iCs/>
                              <w:color w:val="5B9BD5" w:themeColor="accent1"/>
                              <w:sz w:val="24"/>
                              <w:szCs w:val="24"/>
                            </w:rPr>
                            <w:t xml:space="preserve">Submitted to: </w:t>
                          </w:r>
                          <w:r w:rsidR="004B4386">
                            <w:rPr>
                              <w:rFonts w:ascii="Arial" w:hAnsi="Arial" w:cs="Arial"/>
                              <w:i/>
                              <w:iCs/>
                              <w:color w:val="5B9BD5" w:themeColor="accent1"/>
                              <w:sz w:val="24"/>
                              <w:szCs w:val="24"/>
                            </w:rPr>
                            <w:t>Ch</w:t>
                          </w:r>
                          <w:r w:rsidR="00682A04">
                            <w:rPr>
                              <w:rFonts w:ascii="Arial" w:hAnsi="Arial" w:cs="Arial"/>
                              <w:i/>
                              <w:iCs/>
                              <w:color w:val="5B9BD5" w:themeColor="accent1"/>
                              <w:sz w:val="24"/>
                              <w:szCs w:val="24"/>
                            </w:rPr>
                            <w:t>ris</w:t>
                          </w:r>
                          <w:r w:rsidR="004B4386">
                            <w:rPr>
                              <w:rFonts w:ascii="Arial" w:hAnsi="Arial" w:cs="Arial"/>
                              <w:i/>
                              <w:iCs/>
                              <w:color w:val="5B9BD5" w:themeColor="accent1"/>
                              <w:sz w:val="24"/>
                              <w:szCs w:val="24"/>
                            </w:rPr>
                            <w:t>t</w:t>
                          </w:r>
                          <w:r w:rsidR="00682A04">
                            <w:rPr>
                              <w:rFonts w:ascii="Arial" w:hAnsi="Arial" w:cs="Arial"/>
                              <w:i/>
                              <w:iCs/>
                              <w:color w:val="5B9BD5" w:themeColor="accent1"/>
                              <w:sz w:val="24"/>
                              <w:szCs w:val="24"/>
                            </w:rPr>
                            <w:t>oper wilki</w:t>
                          </w:r>
                          <w:r w:rsidR="00F61EEF">
                            <w:rPr>
                              <w:rFonts w:ascii="Arial" w:hAnsi="Arial" w:cs="Arial"/>
                              <w:i/>
                              <w:iCs/>
                              <w:color w:val="5B9BD5" w:themeColor="accent1"/>
                              <w:sz w:val="24"/>
                              <w:szCs w:val="24"/>
                            </w:rPr>
                            <w:t>n</w:t>
                          </w:r>
                        </w:p>
                        <w:p w14:paraId="38391CB6" w14:textId="4612E979" w:rsidR="00D811F6" w:rsidRPr="00D811F6" w:rsidRDefault="00D811F6">
                          <w:pPr>
                            <w:pBdr>
                              <w:top w:val="single" w:sz="24" w:space="8" w:color="5B9BD5" w:themeColor="accent1"/>
                              <w:bottom w:val="single" w:sz="24" w:space="8" w:color="5B9BD5" w:themeColor="accent1"/>
                            </w:pBdr>
                            <w:spacing w:after="0"/>
                            <w:rPr>
                              <w:rFonts w:ascii="Arial" w:hAnsi="Arial" w:cs="Arial"/>
                              <w:i/>
                              <w:iCs/>
                              <w:color w:val="5B9BD5" w:themeColor="accent1"/>
                              <w:sz w:val="24"/>
                              <w:szCs w:val="24"/>
                            </w:rPr>
                          </w:pPr>
                          <w:r w:rsidRPr="00D811F6">
                            <w:rPr>
                              <w:rFonts w:ascii="Arial" w:hAnsi="Arial" w:cs="Arial"/>
                              <w:i/>
                              <w:iCs/>
                              <w:color w:val="5B9BD5" w:themeColor="accent1"/>
                              <w:sz w:val="24"/>
                              <w:szCs w:val="24"/>
                            </w:rPr>
                            <w:t>Submitted by:</w:t>
                          </w:r>
                          <w:r w:rsidR="00682A04">
                            <w:rPr>
                              <w:rFonts w:ascii="Arial" w:hAnsi="Arial" w:cs="Arial"/>
                              <w:i/>
                              <w:iCs/>
                              <w:color w:val="5B9BD5" w:themeColor="accent1"/>
                              <w:sz w:val="24"/>
                              <w:szCs w:val="24"/>
                            </w:rPr>
                            <w:t xml:space="preserve"> Kamrul Khan</w:t>
                          </w:r>
                        </w:p>
                        <w:p w14:paraId="020F36AE" w14:textId="75A31D15" w:rsidR="00D811F6" w:rsidRDefault="00D811F6">
                          <w:pPr>
                            <w:pBdr>
                              <w:top w:val="single" w:sz="24" w:space="8" w:color="5B9BD5" w:themeColor="accent1"/>
                              <w:bottom w:val="single" w:sz="24" w:space="8" w:color="5B9BD5" w:themeColor="accent1"/>
                            </w:pBdr>
                            <w:spacing w:after="0"/>
                            <w:rPr>
                              <w:rFonts w:ascii="Arial" w:hAnsi="Arial" w:cs="Arial"/>
                              <w:iCs/>
                              <w:color w:val="5B9BD5" w:themeColor="accent1"/>
                              <w:sz w:val="24"/>
                            </w:rPr>
                          </w:pPr>
                          <w:r>
                            <w:rPr>
                              <w:rFonts w:ascii="Arial" w:hAnsi="Arial" w:cs="Arial"/>
                              <w:iCs/>
                              <w:color w:val="5B9BD5" w:themeColor="accent1"/>
                              <w:sz w:val="24"/>
                            </w:rPr>
                            <w:t>Student ID:</w:t>
                          </w:r>
                          <w:r w:rsidR="00C87F36">
                            <w:rPr>
                              <w:rFonts w:ascii="Arial" w:hAnsi="Arial" w:cs="Arial"/>
                              <w:iCs/>
                              <w:color w:val="5B9BD5" w:themeColor="accent1"/>
                              <w:sz w:val="24"/>
                            </w:rPr>
                            <w:t xml:space="preserve"> </w:t>
                          </w:r>
                          <w:r w:rsidR="00394E50">
                            <w:rPr>
                              <w:rFonts w:ascii="Arial" w:hAnsi="Arial" w:cs="Arial"/>
                              <w:iCs/>
                              <w:color w:val="5B9BD5" w:themeColor="accent1"/>
                              <w:sz w:val="24"/>
                            </w:rPr>
                            <w:t>2230751</w:t>
                          </w:r>
                        </w:p>
                        <w:p w14:paraId="1CB16C68" w14:textId="140DD684" w:rsidR="00D811F6" w:rsidRDefault="00D811F6">
                          <w:pPr>
                            <w:pBdr>
                              <w:top w:val="single" w:sz="24" w:space="8" w:color="5B9BD5" w:themeColor="accent1"/>
                              <w:bottom w:val="single" w:sz="24" w:space="8" w:color="5B9BD5" w:themeColor="accent1"/>
                            </w:pBdr>
                            <w:spacing w:after="0"/>
                            <w:rPr>
                              <w:rFonts w:ascii="Arial" w:hAnsi="Arial" w:cs="Arial"/>
                              <w:iCs/>
                              <w:color w:val="5B9BD5" w:themeColor="accent1"/>
                              <w:sz w:val="24"/>
                            </w:rPr>
                          </w:pPr>
                          <w:r>
                            <w:rPr>
                              <w:rFonts w:ascii="Arial" w:hAnsi="Arial" w:cs="Arial"/>
                              <w:iCs/>
                              <w:color w:val="5B9BD5" w:themeColor="accent1"/>
                              <w:sz w:val="24"/>
                            </w:rPr>
                            <w:t>Course Module:</w:t>
                          </w:r>
                          <w:r w:rsidR="00394E50">
                            <w:rPr>
                              <w:rFonts w:ascii="Arial" w:hAnsi="Arial" w:cs="Arial"/>
                              <w:iCs/>
                              <w:color w:val="5B9BD5" w:themeColor="accent1"/>
                              <w:sz w:val="24"/>
                            </w:rPr>
                            <w:t xml:space="preserve"> </w:t>
                          </w:r>
                          <w:r w:rsidR="00522E36">
                            <w:rPr>
                              <w:rFonts w:ascii="Arial" w:hAnsi="Arial" w:cs="Arial"/>
                              <w:iCs/>
                              <w:color w:val="5B9BD5" w:themeColor="accent1"/>
                              <w:sz w:val="24"/>
                            </w:rPr>
                            <w:t>Contemporary Themes</w:t>
                          </w:r>
                          <w:r w:rsidR="00C763B3">
                            <w:rPr>
                              <w:rFonts w:ascii="Arial" w:hAnsi="Arial" w:cs="Arial"/>
                              <w:iCs/>
                              <w:color w:val="5B9BD5" w:themeColor="accent1"/>
                              <w:sz w:val="24"/>
                            </w:rPr>
                            <w:t xml:space="preserve"> in the hotel and industry</w:t>
                          </w:r>
                          <w:r w:rsidR="006D388F">
                            <w:rPr>
                              <w:rFonts w:ascii="Arial" w:hAnsi="Arial" w:cs="Arial"/>
                              <w:iCs/>
                              <w:color w:val="5B9BD5" w:themeColor="accent1"/>
                              <w:sz w:val="24"/>
                            </w:rPr>
                            <w:t xml:space="preserve"> sector</w:t>
                          </w:r>
                          <w:r w:rsidR="00522E36">
                            <w:rPr>
                              <w:rFonts w:ascii="Arial" w:hAnsi="Arial" w:cs="Arial"/>
                              <w:iCs/>
                              <w:color w:val="5B9BD5" w:themeColor="accent1"/>
                              <w:sz w:val="24"/>
                            </w:rPr>
                            <w:t xml:space="preserve"> </w:t>
                          </w:r>
                        </w:p>
                        <w:p w14:paraId="5D98984A" w14:textId="5A563416" w:rsidR="00D811F6" w:rsidRPr="00D811F6" w:rsidRDefault="00D811F6">
                          <w:pPr>
                            <w:pBdr>
                              <w:top w:val="single" w:sz="24" w:space="8" w:color="5B9BD5" w:themeColor="accent1"/>
                              <w:bottom w:val="single" w:sz="24" w:space="8" w:color="5B9BD5" w:themeColor="accent1"/>
                            </w:pBdr>
                            <w:spacing w:after="0"/>
                            <w:rPr>
                              <w:rFonts w:ascii="Arial" w:hAnsi="Arial" w:cs="Arial"/>
                              <w:iCs/>
                              <w:color w:val="5B9BD5" w:themeColor="accent1"/>
                              <w:sz w:val="24"/>
                            </w:rPr>
                          </w:pPr>
                          <w:r>
                            <w:rPr>
                              <w:rFonts w:ascii="Arial" w:hAnsi="Arial" w:cs="Arial"/>
                              <w:iCs/>
                              <w:color w:val="5B9BD5" w:themeColor="accent1"/>
                              <w:sz w:val="24"/>
                            </w:rPr>
                            <w:t>Module Code:</w:t>
                          </w:r>
                          <w:r w:rsidR="00CD1189">
                            <w:rPr>
                              <w:rFonts w:ascii="Arial" w:hAnsi="Arial" w:cs="Arial"/>
                              <w:iCs/>
                              <w:color w:val="5B9BD5" w:themeColor="accent1"/>
                              <w:sz w:val="24"/>
                            </w:rPr>
                            <w:t xml:space="preserve"> BMIH6001</w:t>
                          </w:r>
                        </w:p>
                      </w:txbxContent>
                    </v:textbox>
                    <w10:wrap type="topAndBottom" anchorx="margin"/>
                  </v:shape>
                </w:pict>
              </mc:Fallback>
            </mc:AlternateContent>
          </w:r>
          <w:r w:rsidR="0017098E">
            <w:rPr>
              <w:rStyle w:val="Heading1Char"/>
            </w:rPr>
            <w:br w:type="page"/>
          </w:r>
        </w:p>
      </w:sdtContent>
    </w:sdt>
    <w:p w14:paraId="42173CCE" w14:textId="77777777" w:rsidR="0017098E" w:rsidRDefault="0017098E" w:rsidP="00A635A8">
      <w:pPr>
        <w:jc w:val="both"/>
        <w:rPr>
          <w:rStyle w:val="Heading1Char"/>
        </w:rPr>
      </w:pPr>
    </w:p>
    <w:sdt>
      <w:sdtPr>
        <w:rPr>
          <w:rFonts w:ascii="Arial" w:hAnsi="Arial" w:cs="Arial"/>
          <w:b/>
          <w:color w:val="000000" w:themeColor="text1"/>
          <w:sz w:val="24"/>
          <w:szCs w:val="24"/>
          <w:lang w:val="en-GB"/>
        </w:rPr>
        <w:id w:val="-378321160"/>
        <w:docPartObj>
          <w:docPartGallery w:val="Table of Contents"/>
          <w:docPartUnique/>
        </w:docPartObj>
      </w:sdtPr>
      <w:sdtEndPr>
        <w:rPr>
          <w:rFonts w:eastAsiaTheme="minorHAnsi"/>
          <w:bCs/>
          <w:noProof/>
          <w:color w:val="auto"/>
        </w:rPr>
      </w:sdtEndPr>
      <w:sdtContent>
        <w:p w14:paraId="10847039" w14:textId="77777777" w:rsidR="0017098E" w:rsidRPr="00F63008" w:rsidRDefault="0017098E" w:rsidP="00F63008">
          <w:pPr>
            <w:pStyle w:val="TOCHeading"/>
            <w:spacing w:line="360" w:lineRule="auto"/>
            <w:jc w:val="both"/>
            <w:rPr>
              <w:rFonts w:ascii="Arial" w:hAnsi="Arial" w:cs="Arial"/>
              <w:b/>
              <w:color w:val="0D0D0D" w:themeColor="text1" w:themeTint="F2"/>
              <w:sz w:val="24"/>
              <w:szCs w:val="24"/>
            </w:rPr>
          </w:pPr>
          <w:r w:rsidRPr="00F63008">
            <w:rPr>
              <w:rFonts w:ascii="Arial" w:hAnsi="Arial" w:cs="Arial"/>
              <w:b/>
              <w:color w:val="0D0D0D" w:themeColor="text1" w:themeTint="F2"/>
              <w:sz w:val="24"/>
              <w:szCs w:val="24"/>
            </w:rPr>
            <w:t>Contents</w:t>
          </w:r>
        </w:p>
        <w:p w14:paraId="43D1F5D3" w14:textId="77777777" w:rsidR="00F63008" w:rsidRPr="00F63008" w:rsidRDefault="0017098E" w:rsidP="00F63008">
          <w:pPr>
            <w:pStyle w:val="TOC1"/>
            <w:tabs>
              <w:tab w:val="right" w:leader="dot" w:pos="9016"/>
            </w:tabs>
            <w:spacing w:line="360" w:lineRule="auto"/>
            <w:jc w:val="both"/>
            <w:rPr>
              <w:rFonts w:ascii="Arial" w:eastAsiaTheme="minorEastAsia" w:hAnsi="Arial" w:cs="Arial"/>
              <w:noProof/>
              <w:sz w:val="24"/>
              <w:szCs w:val="24"/>
              <w:lang w:eastAsia="en-GB"/>
            </w:rPr>
          </w:pPr>
          <w:r w:rsidRPr="00F63008">
            <w:rPr>
              <w:rFonts w:ascii="Arial" w:hAnsi="Arial" w:cs="Arial"/>
              <w:sz w:val="24"/>
              <w:szCs w:val="24"/>
            </w:rPr>
            <w:fldChar w:fldCharType="begin"/>
          </w:r>
          <w:r w:rsidRPr="00F63008">
            <w:rPr>
              <w:rFonts w:ascii="Arial" w:hAnsi="Arial" w:cs="Arial"/>
              <w:sz w:val="24"/>
              <w:szCs w:val="24"/>
            </w:rPr>
            <w:instrText xml:space="preserve"> TOC \o "1-3" \h \z \u </w:instrText>
          </w:r>
          <w:r w:rsidRPr="00F63008">
            <w:rPr>
              <w:rFonts w:ascii="Arial" w:hAnsi="Arial" w:cs="Arial"/>
              <w:sz w:val="24"/>
              <w:szCs w:val="24"/>
            </w:rPr>
            <w:fldChar w:fldCharType="separate"/>
          </w:r>
          <w:hyperlink w:anchor="_Toc211801382" w:history="1">
            <w:r w:rsidR="00F63008" w:rsidRPr="00F63008">
              <w:rPr>
                <w:rStyle w:val="Hyperlink"/>
                <w:rFonts w:ascii="Arial" w:hAnsi="Arial" w:cs="Arial"/>
                <w:noProof/>
                <w:sz w:val="24"/>
                <w:szCs w:val="24"/>
              </w:rPr>
              <w:t>Acknowledgment</w:t>
            </w:r>
            <w:r w:rsidR="00F63008" w:rsidRPr="00F63008">
              <w:rPr>
                <w:rFonts w:ascii="Arial" w:hAnsi="Arial" w:cs="Arial"/>
                <w:noProof/>
                <w:webHidden/>
                <w:sz w:val="24"/>
                <w:szCs w:val="24"/>
              </w:rPr>
              <w:tab/>
            </w:r>
            <w:r w:rsidR="00F63008" w:rsidRPr="00F63008">
              <w:rPr>
                <w:rFonts w:ascii="Arial" w:hAnsi="Arial" w:cs="Arial"/>
                <w:noProof/>
                <w:webHidden/>
                <w:sz w:val="24"/>
                <w:szCs w:val="24"/>
              </w:rPr>
              <w:fldChar w:fldCharType="begin"/>
            </w:r>
            <w:r w:rsidR="00F63008" w:rsidRPr="00F63008">
              <w:rPr>
                <w:rFonts w:ascii="Arial" w:hAnsi="Arial" w:cs="Arial"/>
                <w:noProof/>
                <w:webHidden/>
                <w:sz w:val="24"/>
                <w:szCs w:val="24"/>
              </w:rPr>
              <w:instrText xml:space="preserve"> PAGEREF _Toc211801382 \h </w:instrText>
            </w:r>
            <w:r w:rsidR="00F63008" w:rsidRPr="00F63008">
              <w:rPr>
                <w:rFonts w:ascii="Arial" w:hAnsi="Arial" w:cs="Arial"/>
                <w:noProof/>
                <w:webHidden/>
                <w:sz w:val="24"/>
                <w:szCs w:val="24"/>
              </w:rPr>
            </w:r>
            <w:r w:rsidR="00F63008" w:rsidRPr="00F63008">
              <w:rPr>
                <w:rFonts w:ascii="Arial" w:hAnsi="Arial" w:cs="Arial"/>
                <w:noProof/>
                <w:webHidden/>
                <w:sz w:val="24"/>
                <w:szCs w:val="24"/>
              </w:rPr>
              <w:fldChar w:fldCharType="separate"/>
            </w:r>
            <w:r w:rsidR="00F63008" w:rsidRPr="00F63008">
              <w:rPr>
                <w:rFonts w:ascii="Arial" w:hAnsi="Arial" w:cs="Arial"/>
                <w:noProof/>
                <w:webHidden/>
                <w:sz w:val="24"/>
                <w:szCs w:val="24"/>
              </w:rPr>
              <w:t>2</w:t>
            </w:r>
            <w:r w:rsidR="00F63008" w:rsidRPr="00F63008">
              <w:rPr>
                <w:rFonts w:ascii="Arial" w:hAnsi="Arial" w:cs="Arial"/>
                <w:noProof/>
                <w:webHidden/>
                <w:sz w:val="24"/>
                <w:szCs w:val="24"/>
              </w:rPr>
              <w:fldChar w:fldCharType="end"/>
            </w:r>
          </w:hyperlink>
        </w:p>
        <w:p w14:paraId="68D0858D"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83" w:history="1">
            <w:r w:rsidRPr="00F63008">
              <w:rPr>
                <w:rStyle w:val="Hyperlink"/>
                <w:rFonts w:ascii="Arial" w:hAnsi="Arial" w:cs="Arial"/>
                <w:noProof/>
                <w:sz w:val="24"/>
                <w:szCs w:val="24"/>
              </w:rPr>
              <w:t>This is my own research work; I did not use any AI tool in this research.</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_Toc211801383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2</w:t>
            </w:r>
            <w:r w:rsidRPr="00F63008">
              <w:rPr>
                <w:rFonts w:ascii="Arial" w:hAnsi="Arial" w:cs="Arial"/>
                <w:noProof/>
                <w:webHidden/>
                <w:sz w:val="24"/>
                <w:szCs w:val="24"/>
              </w:rPr>
              <w:fldChar w:fldCharType="end"/>
            </w:r>
          </w:hyperlink>
        </w:p>
        <w:p w14:paraId="22A073A0"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84" w:history="1">
            <w:r w:rsidRPr="00F63008">
              <w:rPr>
                <w:rStyle w:val="Hyperlink"/>
                <w:rFonts w:ascii="Arial" w:hAnsi="Arial" w:cs="Arial"/>
                <w:noProof/>
                <w:sz w:val="24"/>
                <w:szCs w:val="24"/>
              </w:rPr>
              <w:t>Abstract</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_Toc211801384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3</w:t>
            </w:r>
            <w:r w:rsidRPr="00F63008">
              <w:rPr>
                <w:rFonts w:ascii="Arial" w:hAnsi="Arial" w:cs="Arial"/>
                <w:noProof/>
                <w:webHidden/>
                <w:sz w:val="24"/>
                <w:szCs w:val="24"/>
              </w:rPr>
              <w:fldChar w:fldCharType="end"/>
            </w:r>
          </w:hyperlink>
        </w:p>
        <w:p w14:paraId="00808F34"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86" w:history="1">
            <w:r w:rsidRPr="00F63008">
              <w:rPr>
                <w:rStyle w:val="Hyperlink"/>
                <w:rFonts w:ascii="Arial" w:hAnsi="Arial" w:cs="Arial"/>
                <w:noProof/>
                <w:sz w:val="24"/>
                <w:szCs w:val="24"/>
              </w:rPr>
              <w:t>1. Introduction</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_Toc211801386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3</w:t>
            </w:r>
            <w:r w:rsidRPr="00F63008">
              <w:rPr>
                <w:rFonts w:ascii="Arial" w:hAnsi="Arial" w:cs="Arial"/>
                <w:noProof/>
                <w:webHidden/>
                <w:sz w:val="24"/>
                <w:szCs w:val="24"/>
              </w:rPr>
              <w:fldChar w:fldCharType="end"/>
            </w:r>
          </w:hyperlink>
        </w:p>
        <w:p w14:paraId="5F027BB4"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87" w:history="1">
            <w:r w:rsidRPr="00F63008">
              <w:rPr>
                <w:rStyle w:val="Hyperlink"/>
                <w:rFonts w:ascii="Arial" w:hAnsi="Arial" w:cs="Arial"/>
                <w:noProof/>
                <w:sz w:val="24"/>
                <w:szCs w:val="24"/>
              </w:rPr>
              <w:t>2. Literature Review</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_Toc211801387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4</w:t>
            </w:r>
            <w:r w:rsidRPr="00F63008">
              <w:rPr>
                <w:rFonts w:ascii="Arial" w:hAnsi="Arial" w:cs="Arial"/>
                <w:noProof/>
                <w:webHidden/>
                <w:sz w:val="24"/>
                <w:szCs w:val="24"/>
              </w:rPr>
              <w:fldChar w:fldCharType="end"/>
            </w:r>
          </w:hyperlink>
        </w:p>
        <w:p w14:paraId="7D50A2F9"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88" w:history="1">
            <w:r w:rsidRPr="00F63008">
              <w:rPr>
                <w:rStyle w:val="Hyperlink"/>
                <w:rFonts w:ascii="Arial" w:hAnsi="Arial" w:cs="Arial"/>
                <w:noProof/>
                <w:sz w:val="24"/>
                <w:szCs w:val="24"/>
              </w:rPr>
              <w:t>2.2 Foundation of the Theory</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_Toc211801388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6</w:t>
            </w:r>
            <w:r w:rsidRPr="00F63008">
              <w:rPr>
                <w:rFonts w:ascii="Arial" w:hAnsi="Arial" w:cs="Arial"/>
                <w:noProof/>
                <w:webHidden/>
                <w:sz w:val="24"/>
                <w:szCs w:val="24"/>
              </w:rPr>
              <w:fldChar w:fldCharType="end"/>
            </w:r>
          </w:hyperlink>
        </w:p>
        <w:p w14:paraId="1989160F"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89" w:history="1">
            <w:r w:rsidRPr="00F63008">
              <w:rPr>
                <w:rStyle w:val="Hyperlink"/>
                <w:rFonts w:ascii="Arial" w:hAnsi="Arial" w:cs="Arial"/>
                <w:noProof/>
                <w:sz w:val="24"/>
                <w:szCs w:val="24"/>
              </w:rPr>
              <w:t>2.3 Hilton’s Strategic Response (Main Case Study):</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_Toc211801389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7</w:t>
            </w:r>
            <w:r w:rsidRPr="00F63008">
              <w:rPr>
                <w:rFonts w:ascii="Arial" w:hAnsi="Arial" w:cs="Arial"/>
                <w:noProof/>
                <w:webHidden/>
                <w:sz w:val="24"/>
                <w:szCs w:val="24"/>
              </w:rPr>
              <w:fldChar w:fldCharType="end"/>
            </w:r>
          </w:hyperlink>
        </w:p>
        <w:p w14:paraId="3B1FEAA2"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0" w:history="1">
            <w:r w:rsidRPr="00F63008">
              <w:rPr>
                <w:rStyle w:val="Hyperlink"/>
                <w:rFonts w:ascii="Arial" w:hAnsi="Arial" w:cs="Arial"/>
                <w:noProof/>
                <w:sz w:val="24"/>
                <w:szCs w:val="24"/>
              </w:rPr>
              <w:t>2.4 Comparative Analysis (Marriott International and Accor Hotels)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_Toc211801390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7</w:t>
            </w:r>
            <w:r w:rsidRPr="00F63008">
              <w:rPr>
                <w:rFonts w:ascii="Arial" w:hAnsi="Arial" w:cs="Arial"/>
                <w:noProof/>
                <w:webHidden/>
                <w:sz w:val="24"/>
                <w:szCs w:val="24"/>
              </w:rPr>
              <w:fldChar w:fldCharType="end"/>
            </w:r>
          </w:hyperlink>
        </w:p>
        <w:p w14:paraId="527910A2"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1" w:history="1">
            <w:r w:rsidRPr="00F63008">
              <w:rPr>
                <w:rStyle w:val="Hyperlink"/>
                <w:rFonts w:ascii="Arial" w:hAnsi="Arial" w:cs="Arial"/>
                <w:noProof/>
                <w:sz w:val="24"/>
                <w:szCs w:val="24"/>
              </w:rPr>
              <w:t>2.5 Synthesis and Critical Summary</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_Toc211801391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8</w:t>
            </w:r>
            <w:r w:rsidRPr="00F63008">
              <w:rPr>
                <w:rFonts w:ascii="Arial" w:hAnsi="Arial" w:cs="Arial"/>
                <w:noProof/>
                <w:webHidden/>
                <w:sz w:val="24"/>
                <w:szCs w:val="24"/>
              </w:rPr>
              <w:fldChar w:fldCharType="end"/>
            </w:r>
          </w:hyperlink>
        </w:p>
        <w:p w14:paraId="097FF125"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92" w:history="1">
            <w:r w:rsidRPr="00F63008">
              <w:rPr>
                <w:rStyle w:val="Hyperlink"/>
                <w:rFonts w:ascii="Arial" w:hAnsi="Arial" w:cs="Arial"/>
                <w:noProof/>
                <w:sz w:val="24"/>
                <w:szCs w:val="24"/>
              </w:rPr>
              <w:t>3. Research Methods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_Toc211801392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8</w:t>
            </w:r>
            <w:r w:rsidRPr="00F63008">
              <w:rPr>
                <w:rFonts w:ascii="Arial" w:hAnsi="Arial" w:cs="Arial"/>
                <w:noProof/>
                <w:webHidden/>
                <w:sz w:val="24"/>
                <w:szCs w:val="24"/>
              </w:rPr>
              <w:fldChar w:fldCharType="end"/>
            </w:r>
          </w:hyperlink>
        </w:p>
        <w:p w14:paraId="0C52C733"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93" w:history="1">
            <w:r w:rsidRPr="00F63008">
              <w:rPr>
                <w:rStyle w:val="Hyperlink"/>
                <w:rFonts w:ascii="Arial" w:hAnsi="Arial" w:cs="Arial"/>
                <w:noProof/>
                <w:sz w:val="24"/>
                <w:szCs w:val="24"/>
              </w:rPr>
              <w:t>4. Thematically Analysis: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_Toc211801393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9</w:t>
            </w:r>
            <w:r w:rsidRPr="00F63008">
              <w:rPr>
                <w:rFonts w:ascii="Arial" w:hAnsi="Arial" w:cs="Arial"/>
                <w:noProof/>
                <w:webHidden/>
                <w:sz w:val="24"/>
                <w:szCs w:val="24"/>
              </w:rPr>
              <w:fldChar w:fldCharType="end"/>
            </w:r>
          </w:hyperlink>
        </w:p>
        <w:p w14:paraId="5EB0B030"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394" w:history="1">
            <w:r w:rsidRPr="00F63008">
              <w:rPr>
                <w:rStyle w:val="Hyperlink"/>
                <w:rFonts w:ascii="Arial" w:hAnsi="Arial" w:cs="Arial"/>
                <w:noProof/>
                <w:sz w:val="24"/>
                <w:szCs w:val="24"/>
              </w:rPr>
              <w:t>4.1 Political and Economic Factors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_Toc211801394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9</w:t>
            </w:r>
            <w:r w:rsidRPr="00F63008">
              <w:rPr>
                <w:rFonts w:ascii="Arial" w:hAnsi="Arial" w:cs="Arial"/>
                <w:noProof/>
                <w:webHidden/>
                <w:sz w:val="24"/>
                <w:szCs w:val="24"/>
              </w:rPr>
              <w:fldChar w:fldCharType="end"/>
            </w:r>
          </w:hyperlink>
        </w:p>
        <w:p w14:paraId="3B641846"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5" w:history="1">
            <w:r w:rsidRPr="00F63008">
              <w:rPr>
                <w:rStyle w:val="Hyperlink"/>
                <w:rFonts w:ascii="Arial" w:hAnsi="Arial" w:cs="Arial"/>
                <w:noProof/>
                <w:sz w:val="24"/>
                <w:szCs w:val="24"/>
              </w:rPr>
              <w:t>4.2 Social Factors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_Toc211801395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10</w:t>
            </w:r>
            <w:r w:rsidRPr="00F63008">
              <w:rPr>
                <w:rFonts w:ascii="Arial" w:hAnsi="Arial" w:cs="Arial"/>
                <w:noProof/>
                <w:webHidden/>
                <w:sz w:val="24"/>
                <w:szCs w:val="24"/>
              </w:rPr>
              <w:fldChar w:fldCharType="end"/>
            </w:r>
          </w:hyperlink>
        </w:p>
        <w:p w14:paraId="0A04126B"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6" w:history="1">
            <w:r w:rsidRPr="00F63008">
              <w:rPr>
                <w:rStyle w:val="Hyperlink"/>
                <w:rFonts w:ascii="Arial" w:hAnsi="Arial" w:cs="Arial"/>
                <w:noProof/>
                <w:sz w:val="24"/>
                <w:szCs w:val="24"/>
              </w:rPr>
              <w:t>4.3 Technological Factors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_Toc211801396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11</w:t>
            </w:r>
            <w:r w:rsidRPr="00F63008">
              <w:rPr>
                <w:rFonts w:ascii="Arial" w:hAnsi="Arial" w:cs="Arial"/>
                <w:noProof/>
                <w:webHidden/>
                <w:sz w:val="24"/>
                <w:szCs w:val="24"/>
              </w:rPr>
              <w:fldChar w:fldCharType="end"/>
            </w:r>
          </w:hyperlink>
        </w:p>
        <w:p w14:paraId="5943564E"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7" w:history="1">
            <w:r w:rsidRPr="00F63008">
              <w:rPr>
                <w:rStyle w:val="Hyperlink"/>
                <w:rFonts w:ascii="Arial" w:hAnsi="Arial" w:cs="Arial"/>
                <w:noProof/>
                <w:sz w:val="24"/>
                <w:szCs w:val="24"/>
              </w:rPr>
              <w:t>4.4 Environmental Factors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_Toc211801397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12</w:t>
            </w:r>
            <w:r w:rsidRPr="00F63008">
              <w:rPr>
                <w:rFonts w:ascii="Arial" w:hAnsi="Arial" w:cs="Arial"/>
                <w:noProof/>
                <w:webHidden/>
                <w:sz w:val="24"/>
                <w:szCs w:val="24"/>
              </w:rPr>
              <w:fldChar w:fldCharType="end"/>
            </w:r>
          </w:hyperlink>
        </w:p>
        <w:p w14:paraId="0752DA76"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8" w:history="1">
            <w:r w:rsidRPr="00F63008">
              <w:rPr>
                <w:rStyle w:val="Hyperlink"/>
                <w:rFonts w:ascii="Arial" w:hAnsi="Arial" w:cs="Arial"/>
                <w:noProof/>
                <w:sz w:val="24"/>
                <w:szCs w:val="24"/>
              </w:rPr>
              <w:t>4. 5 Legal Factors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_Toc211801398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13</w:t>
            </w:r>
            <w:r w:rsidRPr="00F63008">
              <w:rPr>
                <w:rFonts w:ascii="Arial" w:hAnsi="Arial" w:cs="Arial"/>
                <w:noProof/>
                <w:webHidden/>
                <w:sz w:val="24"/>
                <w:szCs w:val="24"/>
              </w:rPr>
              <w:fldChar w:fldCharType="end"/>
            </w:r>
          </w:hyperlink>
        </w:p>
        <w:p w14:paraId="10939878" w14:textId="77777777" w:rsidR="00F63008" w:rsidRPr="00F63008" w:rsidRDefault="00F63008" w:rsidP="00F63008">
          <w:pPr>
            <w:pStyle w:val="TOC2"/>
            <w:tabs>
              <w:tab w:val="right" w:leader="dot" w:pos="9016"/>
            </w:tabs>
            <w:spacing w:line="360" w:lineRule="auto"/>
            <w:jc w:val="both"/>
            <w:rPr>
              <w:rFonts w:ascii="Arial" w:eastAsiaTheme="minorEastAsia" w:hAnsi="Arial" w:cs="Arial"/>
              <w:noProof/>
              <w:sz w:val="24"/>
              <w:szCs w:val="24"/>
              <w:lang w:eastAsia="en-GB"/>
            </w:rPr>
          </w:pPr>
          <w:hyperlink w:anchor="_Toc211801399" w:history="1">
            <w:r w:rsidRPr="00F63008">
              <w:rPr>
                <w:rStyle w:val="Hyperlink"/>
                <w:rFonts w:ascii="Arial" w:hAnsi="Arial" w:cs="Arial"/>
                <w:noProof/>
                <w:sz w:val="24"/>
                <w:szCs w:val="24"/>
              </w:rPr>
              <w:t>4.6 Critical Analysis: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_Toc211801399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14</w:t>
            </w:r>
            <w:r w:rsidRPr="00F63008">
              <w:rPr>
                <w:rFonts w:ascii="Arial" w:hAnsi="Arial" w:cs="Arial"/>
                <w:noProof/>
                <w:webHidden/>
                <w:sz w:val="24"/>
                <w:szCs w:val="24"/>
              </w:rPr>
              <w:fldChar w:fldCharType="end"/>
            </w:r>
          </w:hyperlink>
        </w:p>
        <w:p w14:paraId="094CDE88"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400" w:history="1">
            <w:r w:rsidRPr="00F63008">
              <w:rPr>
                <w:rStyle w:val="Hyperlink"/>
                <w:rFonts w:ascii="Arial" w:hAnsi="Arial" w:cs="Arial"/>
                <w:noProof/>
                <w:sz w:val="24"/>
                <w:szCs w:val="24"/>
              </w:rPr>
              <w:t>5. Conclusion</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_Toc211801400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15</w:t>
            </w:r>
            <w:r w:rsidRPr="00F63008">
              <w:rPr>
                <w:rFonts w:ascii="Arial" w:hAnsi="Arial" w:cs="Arial"/>
                <w:noProof/>
                <w:webHidden/>
                <w:sz w:val="24"/>
                <w:szCs w:val="24"/>
              </w:rPr>
              <w:fldChar w:fldCharType="end"/>
            </w:r>
          </w:hyperlink>
        </w:p>
        <w:p w14:paraId="6501BDF4"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401" w:history="1">
            <w:r w:rsidRPr="00F63008">
              <w:rPr>
                <w:rStyle w:val="Hyperlink"/>
                <w:rFonts w:ascii="Arial" w:hAnsi="Arial" w:cs="Arial"/>
                <w:noProof/>
                <w:sz w:val="24"/>
                <w:szCs w:val="24"/>
              </w:rPr>
              <w:t>6. Recommendations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_Toc211801401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15</w:t>
            </w:r>
            <w:r w:rsidRPr="00F63008">
              <w:rPr>
                <w:rFonts w:ascii="Arial" w:hAnsi="Arial" w:cs="Arial"/>
                <w:noProof/>
                <w:webHidden/>
                <w:sz w:val="24"/>
                <w:szCs w:val="24"/>
              </w:rPr>
              <w:fldChar w:fldCharType="end"/>
            </w:r>
          </w:hyperlink>
        </w:p>
        <w:p w14:paraId="0EE11C79" w14:textId="77777777" w:rsidR="00F63008" w:rsidRPr="00F63008" w:rsidRDefault="00F63008" w:rsidP="00F63008">
          <w:pPr>
            <w:pStyle w:val="TOC1"/>
            <w:tabs>
              <w:tab w:val="right" w:leader="dot" w:pos="9016"/>
            </w:tabs>
            <w:spacing w:line="360" w:lineRule="auto"/>
            <w:jc w:val="both"/>
            <w:rPr>
              <w:rFonts w:ascii="Arial" w:eastAsiaTheme="minorEastAsia" w:hAnsi="Arial" w:cs="Arial"/>
              <w:noProof/>
              <w:sz w:val="24"/>
              <w:szCs w:val="24"/>
              <w:lang w:eastAsia="en-GB"/>
            </w:rPr>
          </w:pPr>
          <w:hyperlink w:anchor="_Toc211801402" w:history="1">
            <w:r w:rsidRPr="00F63008">
              <w:rPr>
                <w:rStyle w:val="Hyperlink"/>
                <w:rFonts w:ascii="Arial" w:hAnsi="Arial" w:cs="Arial"/>
                <w:noProof/>
                <w:sz w:val="24"/>
                <w:szCs w:val="24"/>
              </w:rPr>
              <w:t>7. References</w:t>
            </w:r>
            <w:r w:rsidRPr="00F63008">
              <w:rPr>
                <w:rFonts w:ascii="Arial" w:hAnsi="Arial" w:cs="Arial"/>
                <w:noProof/>
                <w:webHidden/>
                <w:sz w:val="24"/>
                <w:szCs w:val="24"/>
              </w:rPr>
              <w:tab/>
            </w:r>
            <w:r w:rsidRPr="00F63008">
              <w:rPr>
                <w:rFonts w:ascii="Arial" w:hAnsi="Arial" w:cs="Arial"/>
                <w:noProof/>
                <w:webHidden/>
                <w:sz w:val="24"/>
                <w:szCs w:val="24"/>
              </w:rPr>
              <w:fldChar w:fldCharType="begin"/>
            </w:r>
            <w:r w:rsidRPr="00F63008">
              <w:rPr>
                <w:rFonts w:ascii="Arial" w:hAnsi="Arial" w:cs="Arial"/>
                <w:noProof/>
                <w:webHidden/>
                <w:sz w:val="24"/>
                <w:szCs w:val="24"/>
              </w:rPr>
              <w:instrText xml:space="preserve"> PAGEREF _Toc211801402 \h </w:instrText>
            </w:r>
            <w:r w:rsidRPr="00F63008">
              <w:rPr>
                <w:rFonts w:ascii="Arial" w:hAnsi="Arial" w:cs="Arial"/>
                <w:noProof/>
                <w:webHidden/>
                <w:sz w:val="24"/>
                <w:szCs w:val="24"/>
              </w:rPr>
            </w:r>
            <w:r w:rsidRPr="00F63008">
              <w:rPr>
                <w:rFonts w:ascii="Arial" w:hAnsi="Arial" w:cs="Arial"/>
                <w:noProof/>
                <w:webHidden/>
                <w:sz w:val="24"/>
                <w:szCs w:val="24"/>
              </w:rPr>
              <w:fldChar w:fldCharType="separate"/>
            </w:r>
            <w:r w:rsidRPr="00F63008">
              <w:rPr>
                <w:rFonts w:ascii="Arial" w:hAnsi="Arial" w:cs="Arial"/>
                <w:noProof/>
                <w:webHidden/>
                <w:sz w:val="24"/>
                <w:szCs w:val="24"/>
              </w:rPr>
              <w:t>17</w:t>
            </w:r>
            <w:r w:rsidRPr="00F63008">
              <w:rPr>
                <w:rFonts w:ascii="Arial" w:hAnsi="Arial" w:cs="Arial"/>
                <w:noProof/>
                <w:webHidden/>
                <w:sz w:val="24"/>
                <w:szCs w:val="24"/>
              </w:rPr>
              <w:fldChar w:fldCharType="end"/>
            </w:r>
          </w:hyperlink>
        </w:p>
        <w:p w14:paraId="6D0E17D5" w14:textId="77777777" w:rsidR="0017098E" w:rsidRPr="007130DF" w:rsidRDefault="0017098E" w:rsidP="00F63008">
          <w:pPr>
            <w:spacing w:line="360" w:lineRule="auto"/>
            <w:jc w:val="both"/>
            <w:rPr>
              <w:rFonts w:ascii="Arial" w:hAnsi="Arial" w:cs="Arial"/>
              <w:sz w:val="24"/>
              <w:szCs w:val="24"/>
            </w:rPr>
          </w:pPr>
          <w:r w:rsidRPr="00F63008">
            <w:rPr>
              <w:rFonts w:ascii="Arial" w:hAnsi="Arial" w:cs="Arial"/>
              <w:b/>
              <w:bCs/>
              <w:noProof/>
              <w:sz w:val="24"/>
              <w:szCs w:val="24"/>
            </w:rPr>
            <w:fldChar w:fldCharType="end"/>
          </w:r>
        </w:p>
      </w:sdtContent>
    </w:sdt>
    <w:p w14:paraId="50B54A54" w14:textId="77777777" w:rsidR="0017098E" w:rsidRPr="007130DF" w:rsidRDefault="0017098E" w:rsidP="007130DF">
      <w:pPr>
        <w:spacing w:line="360" w:lineRule="auto"/>
        <w:jc w:val="both"/>
        <w:rPr>
          <w:rStyle w:val="Heading1Char"/>
          <w:rFonts w:cs="Arial"/>
          <w:szCs w:val="24"/>
        </w:rPr>
      </w:pPr>
    </w:p>
    <w:p w14:paraId="55F14D69" w14:textId="77777777" w:rsidR="0017098E" w:rsidRDefault="0017098E" w:rsidP="00A635A8">
      <w:pPr>
        <w:jc w:val="both"/>
        <w:rPr>
          <w:rStyle w:val="Heading1Char"/>
        </w:rPr>
      </w:pPr>
    </w:p>
    <w:p w14:paraId="25338745" w14:textId="77777777" w:rsidR="0017098E" w:rsidRDefault="0017098E" w:rsidP="00A635A8">
      <w:pPr>
        <w:jc w:val="both"/>
        <w:rPr>
          <w:rStyle w:val="Heading1Char"/>
        </w:rPr>
      </w:pPr>
    </w:p>
    <w:p w14:paraId="44D9188A" w14:textId="77777777" w:rsidR="00FD7A9B" w:rsidRPr="00BA22A8" w:rsidRDefault="00FD7A9B" w:rsidP="00FF58C8">
      <w:pPr>
        <w:pStyle w:val="Heading1"/>
        <w:jc w:val="center"/>
        <w:rPr>
          <w:rStyle w:val="Heading1Char"/>
          <w:b/>
        </w:rPr>
      </w:pPr>
      <w:bookmarkStart w:id="0" w:name="_Toc211801382"/>
      <w:r w:rsidRPr="00BA22A8">
        <w:rPr>
          <w:rStyle w:val="Heading1Char"/>
          <w:b/>
        </w:rPr>
        <w:lastRenderedPageBreak/>
        <w:t>Acknowledgment</w:t>
      </w:r>
      <w:bookmarkEnd w:id="0"/>
    </w:p>
    <w:p w14:paraId="578F41FE" w14:textId="77777777" w:rsidR="00FD7A9B" w:rsidRPr="00FD7A9B" w:rsidRDefault="00FD7A9B" w:rsidP="00FF58C8">
      <w:pPr>
        <w:jc w:val="center"/>
        <w:rPr>
          <w:rStyle w:val="Heading1Char"/>
          <w:b w:val="0"/>
        </w:rPr>
      </w:pPr>
      <w:bookmarkStart w:id="1" w:name="_Toc211801383"/>
      <w:r w:rsidRPr="00FD7A9B">
        <w:rPr>
          <w:rStyle w:val="Heading1Char"/>
          <w:b w:val="0"/>
        </w:rPr>
        <w:t>This is my own research work; I did not use any AI tool in this resear</w:t>
      </w:r>
      <w:r>
        <w:rPr>
          <w:rStyle w:val="Heading1Char"/>
          <w:b w:val="0"/>
        </w:rPr>
        <w:t>ch.</w:t>
      </w:r>
      <w:bookmarkEnd w:id="1"/>
    </w:p>
    <w:p w14:paraId="2DE3A1A3" w14:textId="77777777" w:rsidR="00FD7A9B" w:rsidRDefault="00FD7A9B" w:rsidP="00FF58C8">
      <w:pPr>
        <w:jc w:val="center"/>
        <w:rPr>
          <w:rStyle w:val="Heading1Char"/>
        </w:rPr>
      </w:pPr>
    </w:p>
    <w:p w14:paraId="10BCC76E" w14:textId="77777777" w:rsidR="00FD7A9B" w:rsidRDefault="00FD7A9B" w:rsidP="00A635A8">
      <w:pPr>
        <w:jc w:val="both"/>
        <w:rPr>
          <w:rStyle w:val="Heading1Char"/>
        </w:rPr>
      </w:pPr>
    </w:p>
    <w:p w14:paraId="353B78F0" w14:textId="77777777" w:rsidR="00FD7A9B" w:rsidRDefault="00FD7A9B" w:rsidP="00A635A8">
      <w:pPr>
        <w:jc w:val="both"/>
        <w:rPr>
          <w:rStyle w:val="Heading1Char"/>
        </w:rPr>
      </w:pPr>
    </w:p>
    <w:p w14:paraId="459B6EF2" w14:textId="77777777" w:rsidR="00FD7A9B" w:rsidRDefault="00FD7A9B" w:rsidP="00A635A8">
      <w:pPr>
        <w:jc w:val="both"/>
        <w:rPr>
          <w:rStyle w:val="Heading1Char"/>
        </w:rPr>
      </w:pPr>
    </w:p>
    <w:p w14:paraId="76FC18FF" w14:textId="77777777" w:rsidR="00FD7A9B" w:rsidRDefault="00FD7A9B" w:rsidP="00A635A8">
      <w:pPr>
        <w:jc w:val="both"/>
        <w:rPr>
          <w:rStyle w:val="Heading1Char"/>
        </w:rPr>
      </w:pPr>
    </w:p>
    <w:p w14:paraId="4057DBBC" w14:textId="77777777" w:rsidR="00FD7A9B" w:rsidRDefault="00FD7A9B" w:rsidP="00A635A8">
      <w:pPr>
        <w:jc w:val="both"/>
        <w:rPr>
          <w:rStyle w:val="Heading1Char"/>
        </w:rPr>
      </w:pPr>
    </w:p>
    <w:p w14:paraId="059580C2" w14:textId="77777777" w:rsidR="00FD7A9B" w:rsidRDefault="00FD7A9B" w:rsidP="00A635A8">
      <w:pPr>
        <w:jc w:val="both"/>
        <w:rPr>
          <w:rStyle w:val="Heading1Char"/>
        </w:rPr>
      </w:pPr>
    </w:p>
    <w:p w14:paraId="53795490" w14:textId="77777777" w:rsidR="00FD7A9B" w:rsidRDefault="00FD7A9B" w:rsidP="00A635A8">
      <w:pPr>
        <w:jc w:val="both"/>
        <w:rPr>
          <w:rStyle w:val="Heading1Char"/>
        </w:rPr>
      </w:pPr>
    </w:p>
    <w:p w14:paraId="70ADFA17" w14:textId="77777777" w:rsidR="00FD7A9B" w:rsidRDefault="00FD7A9B" w:rsidP="00A635A8">
      <w:pPr>
        <w:jc w:val="both"/>
        <w:rPr>
          <w:rStyle w:val="Heading1Char"/>
        </w:rPr>
      </w:pPr>
    </w:p>
    <w:p w14:paraId="5D604621" w14:textId="77777777" w:rsidR="00FD7A9B" w:rsidRDefault="00FD7A9B" w:rsidP="00A635A8">
      <w:pPr>
        <w:jc w:val="both"/>
        <w:rPr>
          <w:rStyle w:val="Heading1Char"/>
        </w:rPr>
      </w:pPr>
    </w:p>
    <w:p w14:paraId="516F50E8" w14:textId="77777777" w:rsidR="00FD7A9B" w:rsidRDefault="00FD7A9B" w:rsidP="00A635A8">
      <w:pPr>
        <w:jc w:val="both"/>
        <w:rPr>
          <w:rStyle w:val="Heading1Char"/>
        </w:rPr>
      </w:pPr>
    </w:p>
    <w:p w14:paraId="367FA3DB" w14:textId="77777777" w:rsidR="00FD7A9B" w:rsidRDefault="00FD7A9B" w:rsidP="00A635A8">
      <w:pPr>
        <w:jc w:val="both"/>
        <w:rPr>
          <w:rStyle w:val="Heading1Char"/>
        </w:rPr>
      </w:pPr>
    </w:p>
    <w:p w14:paraId="59BDDEA6" w14:textId="77777777" w:rsidR="00FD7A9B" w:rsidRDefault="00FD7A9B" w:rsidP="00A635A8">
      <w:pPr>
        <w:jc w:val="both"/>
        <w:rPr>
          <w:rStyle w:val="Heading1Char"/>
        </w:rPr>
      </w:pPr>
    </w:p>
    <w:p w14:paraId="64137B31" w14:textId="77777777" w:rsidR="00FD7A9B" w:rsidRDefault="00FD7A9B" w:rsidP="00A635A8">
      <w:pPr>
        <w:jc w:val="both"/>
        <w:rPr>
          <w:rStyle w:val="Heading1Char"/>
        </w:rPr>
      </w:pPr>
    </w:p>
    <w:p w14:paraId="5A69EE6D" w14:textId="77777777" w:rsidR="00FD7A9B" w:rsidRDefault="00FD7A9B" w:rsidP="00A635A8">
      <w:pPr>
        <w:jc w:val="both"/>
        <w:rPr>
          <w:rStyle w:val="Heading1Char"/>
        </w:rPr>
      </w:pPr>
    </w:p>
    <w:p w14:paraId="2CECAD75" w14:textId="77777777" w:rsidR="00FD7A9B" w:rsidRDefault="00FD7A9B" w:rsidP="00A635A8">
      <w:pPr>
        <w:jc w:val="both"/>
        <w:rPr>
          <w:rStyle w:val="Heading1Char"/>
        </w:rPr>
      </w:pPr>
    </w:p>
    <w:p w14:paraId="0EC71D86" w14:textId="77777777" w:rsidR="00FD7A9B" w:rsidRDefault="00FD7A9B" w:rsidP="00A635A8">
      <w:pPr>
        <w:jc w:val="both"/>
        <w:rPr>
          <w:rStyle w:val="Heading1Char"/>
        </w:rPr>
      </w:pPr>
    </w:p>
    <w:p w14:paraId="07C4641E" w14:textId="77777777" w:rsidR="00FD7A9B" w:rsidRDefault="00FD7A9B" w:rsidP="00A635A8">
      <w:pPr>
        <w:jc w:val="both"/>
        <w:rPr>
          <w:rStyle w:val="Heading1Char"/>
        </w:rPr>
      </w:pPr>
    </w:p>
    <w:p w14:paraId="14417C7D" w14:textId="77777777" w:rsidR="00FD7A9B" w:rsidRDefault="00FD7A9B" w:rsidP="00A635A8">
      <w:pPr>
        <w:jc w:val="both"/>
        <w:rPr>
          <w:rStyle w:val="Heading1Char"/>
        </w:rPr>
      </w:pPr>
    </w:p>
    <w:p w14:paraId="2F51739F" w14:textId="77777777" w:rsidR="00FD7A9B" w:rsidRDefault="00FD7A9B" w:rsidP="00A635A8">
      <w:pPr>
        <w:jc w:val="both"/>
        <w:rPr>
          <w:rStyle w:val="Heading1Char"/>
        </w:rPr>
      </w:pPr>
    </w:p>
    <w:p w14:paraId="62CD54AE" w14:textId="77777777" w:rsidR="00FD7A9B" w:rsidRDefault="00FD7A9B" w:rsidP="00A635A8">
      <w:pPr>
        <w:jc w:val="both"/>
        <w:rPr>
          <w:rStyle w:val="Heading1Char"/>
        </w:rPr>
      </w:pPr>
    </w:p>
    <w:p w14:paraId="7A3680B5" w14:textId="77777777" w:rsidR="00FD7A9B" w:rsidRDefault="00FD7A9B" w:rsidP="00A635A8">
      <w:pPr>
        <w:jc w:val="both"/>
        <w:rPr>
          <w:rStyle w:val="Heading1Char"/>
        </w:rPr>
      </w:pPr>
    </w:p>
    <w:p w14:paraId="17F4965E" w14:textId="77777777" w:rsidR="00FD7A9B" w:rsidRDefault="00FD7A9B" w:rsidP="00A635A8">
      <w:pPr>
        <w:jc w:val="both"/>
        <w:rPr>
          <w:rStyle w:val="Heading1Char"/>
        </w:rPr>
      </w:pPr>
    </w:p>
    <w:p w14:paraId="1D395C4F" w14:textId="77777777" w:rsidR="007130DF" w:rsidRDefault="007130DF" w:rsidP="00A635A8">
      <w:pPr>
        <w:jc w:val="both"/>
        <w:rPr>
          <w:rStyle w:val="Heading1Char"/>
        </w:rPr>
      </w:pPr>
    </w:p>
    <w:p w14:paraId="3C96F31A" w14:textId="77777777" w:rsidR="007130DF" w:rsidRDefault="007130DF" w:rsidP="00A635A8">
      <w:pPr>
        <w:jc w:val="both"/>
        <w:rPr>
          <w:rStyle w:val="Heading1Char"/>
        </w:rPr>
      </w:pPr>
    </w:p>
    <w:p w14:paraId="05F91353" w14:textId="77777777" w:rsidR="007130DF" w:rsidRDefault="007130DF" w:rsidP="00A635A8">
      <w:pPr>
        <w:jc w:val="both"/>
        <w:rPr>
          <w:rStyle w:val="Heading1Char"/>
        </w:rPr>
      </w:pPr>
    </w:p>
    <w:p w14:paraId="3F6719B0" w14:textId="77777777" w:rsidR="007130DF" w:rsidRDefault="007130DF" w:rsidP="00A635A8">
      <w:pPr>
        <w:jc w:val="both"/>
        <w:rPr>
          <w:rStyle w:val="Heading1Char"/>
        </w:rPr>
      </w:pPr>
    </w:p>
    <w:p w14:paraId="71515A2A" w14:textId="77777777" w:rsidR="007130DF" w:rsidRDefault="007130DF" w:rsidP="00A635A8">
      <w:pPr>
        <w:jc w:val="both"/>
        <w:rPr>
          <w:rStyle w:val="Heading1Char"/>
        </w:rPr>
      </w:pPr>
    </w:p>
    <w:p w14:paraId="58FCE64E" w14:textId="77777777" w:rsidR="00FD7A9B" w:rsidRDefault="00FD7A9B" w:rsidP="00A635A8">
      <w:pPr>
        <w:jc w:val="both"/>
        <w:rPr>
          <w:rStyle w:val="Heading1Char"/>
        </w:rPr>
      </w:pPr>
      <w:bookmarkStart w:id="2" w:name="_Toc211801384"/>
      <w:r>
        <w:rPr>
          <w:rStyle w:val="Heading1Char"/>
        </w:rPr>
        <w:lastRenderedPageBreak/>
        <w:t>Abstract</w:t>
      </w:r>
      <w:bookmarkEnd w:id="2"/>
    </w:p>
    <w:p w14:paraId="791C31A6" w14:textId="77777777" w:rsidR="00FD7A9B" w:rsidRDefault="00D13A7F" w:rsidP="008D00C0">
      <w:pPr>
        <w:spacing w:line="360" w:lineRule="auto"/>
        <w:jc w:val="both"/>
        <w:rPr>
          <w:rStyle w:val="Heading1Char"/>
        </w:rPr>
      </w:pPr>
      <w:bookmarkStart w:id="3" w:name="_Toc211785353"/>
      <w:bookmarkStart w:id="4" w:name="_Toc211801385"/>
      <w:r w:rsidRPr="00BA22A8">
        <w:rPr>
          <w:rStyle w:val="Heading1Char"/>
          <w:b w:val="0"/>
        </w:rPr>
        <w:t xml:space="preserve">The study analyses the post-pandemic transformation of hotel strategies in reaction to the fall in business commuting based on Hilton Hotels and Resorts as the primary case study. </w:t>
      </w:r>
      <w:bookmarkEnd w:id="3"/>
      <w:r w:rsidR="008D00C0" w:rsidRPr="008D00C0">
        <w:rPr>
          <w:rStyle w:val="Heading1Char"/>
          <w:b w:val="0"/>
        </w:rPr>
        <w:t>The selected modern topic, the shift in the strategies of the hotels after COVID-19, is critical to the hospitality industry because it emphasizes how the hotels changed in response to the new and changing travel patterns and market needs. Being a secondary qualitative research method, external factors that have influenced the strategic change of Hilton have been assessed through scholarly literature, industry reports, and the PESTEL analytical model. According to the outcomes, the adoption of digital innovation, sustainability, and hybrid models of hospitality in the context of Hilton empowered the company and rendered it competitive. The study concludes to demonstrate that adaptive strategy, technology, and ESG practices are key players in the success of the evolving hospitality setting in the long run.</w:t>
      </w:r>
      <w:bookmarkEnd w:id="4"/>
    </w:p>
    <w:p w14:paraId="49A99C0C" w14:textId="77777777" w:rsidR="00FD7A9B" w:rsidRDefault="00FD7A9B" w:rsidP="00A635A8">
      <w:pPr>
        <w:jc w:val="both"/>
        <w:rPr>
          <w:rStyle w:val="Heading1Char"/>
        </w:rPr>
      </w:pPr>
    </w:p>
    <w:p w14:paraId="0AD4642F" w14:textId="77777777" w:rsidR="00FD7A9B" w:rsidRDefault="00FD7A9B" w:rsidP="00A635A8">
      <w:pPr>
        <w:jc w:val="both"/>
        <w:rPr>
          <w:rStyle w:val="Heading1Char"/>
        </w:rPr>
      </w:pPr>
    </w:p>
    <w:p w14:paraId="1114212A" w14:textId="77777777" w:rsidR="00FD7A9B" w:rsidRDefault="00FD7A9B" w:rsidP="00A635A8">
      <w:pPr>
        <w:jc w:val="both"/>
        <w:rPr>
          <w:rStyle w:val="Heading1Char"/>
        </w:rPr>
      </w:pPr>
    </w:p>
    <w:p w14:paraId="4C4903AD" w14:textId="77777777" w:rsidR="00FD7A9B" w:rsidRDefault="00FD7A9B" w:rsidP="00A635A8">
      <w:pPr>
        <w:jc w:val="both"/>
        <w:rPr>
          <w:rStyle w:val="Heading1Char"/>
        </w:rPr>
      </w:pPr>
    </w:p>
    <w:p w14:paraId="281EDF43" w14:textId="77777777" w:rsidR="00FD7A9B" w:rsidRDefault="00FD7A9B" w:rsidP="00A635A8">
      <w:pPr>
        <w:jc w:val="both"/>
        <w:rPr>
          <w:rStyle w:val="Heading1Char"/>
        </w:rPr>
      </w:pPr>
    </w:p>
    <w:p w14:paraId="4367D7E5" w14:textId="77777777" w:rsidR="00FD7A9B" w:rsidRDefault="00FD7A9B" w:rsidP="00A635A8">
      <w:pPr>
        <w:jc w:val="both"/>
        <w:rPr>
          <w:rStyle w:val="Heading1Char"/>
        </w:rPr>
      </w:pPr>
    </w:p>
    <w:p w14:paraId="01D23BC5" w14:textId="77777777" w:rsidR="00FD7A9B" w:rsidRDefault="00FD7A9B" w:rsidP="00A635A8">
      <w:pPr>
        <w:jc w:val="both"/>
        <w:rPr>
          <w:rStyle w:val="Heading1Char"/>
        </w:rPr>
      </w:pPr>
    </w:p>
    <w:p w14:paraId="794BA44B" w14:textId="77777777" w:rsidR="00FD7A9B" w:rsidRDefault="00FD7A9B" w:rsidP="00A635A8">
      <w:pPr>
        <w:jc w:val="both"/>
        <w:rPr>
          <w:rStyle w:val="Heading1Char"/>
        </w:rPr>
      </w:pPr>
    </w:p>
    <w:p w14:paraId="65EAC622" w14:textId="77777777" w:rsidR="00FD7A9B" w:rsidRDefault="00FD7A9B" w:rsidP="00A635A8">
      <w:pPr>
        <w:jc w:val="both"/>
        <w:rPr>
          <w:rStyle w:val="Heading1Char"/>
        </w:rPr>
      </w:pPr>
    </w:p>
    <w:p w14:paraId="7AC0050D" w14:textId="77777777" w:rsidR="00FD7A9B" w:rsidRDefault="00FD7A9B" w:rsidP="00A635A8">
      <w:pPr>
        <w:jc w:val="both"/>
        <w:rPr>
          <w:rStyle w:val="Heading1Char"/>
        </w:rPr>
      </w:pPr>
    </w:p>
    <w:p w14:paraId="338EC9D8" w14:textId="77777777" w:rsidR="00FD7A9B" w:rsidRDefault="00FD7A9B" w:rsidP="00A635A8">
      <w:pPr>
        <w:jc w:val="both"/>
        <w:rPr>
          <w:rStyle w:val="Heading1Char"/>
        </w:rPr>
      </w:pPr>
    </w:p>
    <w:p w14:paraId="07E242B5" w14:textId="77777777" w:rsidR="00FD7A9B" w:rsidRDefault="00FD7A9B" w:rsidP="00A635A8">
      <w:pPr>
        <w:jc w:val="both"/>
        <w:rPr>
          <w:rStyle w:val="Heading1Char"/>
        </w:rPr>
      </w:pPr>
    </w:p>
    <w:p w14:paraId="0E25C810" w14:textId="77777777" w:rsidR="00FD7A9B" w:rsidRDefault="00FD7A9B" w:rsidP="00A635A8">
      <w:pPr>
        <w:jc w:val="both"/>
        <w:rPr>
          <w:rStyle w:val="Heading1Char"/>
        </w:rPr>
      </w:pPr>
    </w:p>
    <w:p w14:paraId="5A78CB07" w14:textId="77777777" w:rsidR="00FD7A9B" w:rsidRDefault="00FD7A9B" w:rsidP="00A635A8">
      <w:pPr>
        <w:jc w:val="both"/>
        <w:rPr>
          <w:rStyle w:val="Heading1Char"/>
        </w:rPr>
      </w:pPr>
    </w:p>
    <w:p w14:paraId="6711B4BD" w14:textId="77777777" w:rsidR="00FD7A9B" w:rsidRDefault="00FD7A9B" w:rsidP="00A635A8">
      <w:pPr>
        <w:jc w:val="both"/>
        <w:rPr>
          <w:rStyle w:val="Heading1Char"/>
        </w:rPr>
      </w:pPr>
    </w:p>
    <w:p w14:paraId="2D4FB7C3" w14:textId="77777777" w:rsidR="00F63008" w:rsidRDefault="00F63008" w:rsidP="00A635A8">
      <w:pPr>
        <w:jc w:val="both"/>
        <w:rPr>
          <w:rStyle w:val="Heading1Char"/>
        </w:rPr>
      </w:pPr>
    </w:p>
    <w:p w14:paraId="66498C67" w14:textId="77777777" w:rsidR="00FD7A9B" w:rsidRDefault="00FD7A9B" w:rsidP="00A635A8">
      <w:pPr>
        <w:jc w:val="both"/>
        <w:rPr>
          <w:rStyle w:val="Heading1Char"/>
        </w:rPr>
      </w:pPr>
    </w:p>
    <w:p w14:paraId="2E9C4015" w14:textId="77777777" w:rsidR="00FD7A9B" w:rsidRDefault="00FD7A9B" w:rsidP="00A635A8">
      <w:pPr>
        <w:jc w:val="both"/>
        <w:rPr>
          <w:rStyle w:val="Heading1Char"/>
        </w:rPr>
      </w:pPr>
    </w:p>
    <w:p w14:paraId="3B53385A" w14:textId="77777777" w:rsidR="000E05F0" w:rsidRPr="00947163" w:rsidRDefault="0017098E" w:rsidP="00A635A8">
      <w:pPr>
        <w:jc w:val="both"/>
        <w:rPr>
          <w:rFonts w:ascii="Arial" w:hAnsi="Arial" w:cs="Arial"/>
          <w:b/>
          <w:sz w:val="24"/>
        </w:rPr>
      </w:pPr>
      <w:bookmarkStart w:id="5" w:name="_Toc211801386"/>
      <w:r>
        <w:rPr>
          <w:rStyle w:val="Heading1Char"/>
        </w:rPr>
        <w:lastRenderedPageBreak/>
        <w:t xml:space="preserve">1. </w:t>
      </w:r>
      <w:r w:rsidR="00B30057" w:rsidRPr="0017098E">
        <w:rPr>
          <w:rStyle w:val="Heading1Char"/>
        </w:rPr>
        <w:t>Introduction</w:t>
      </w:r>
      <w:bookmarkEnd w:id="5"/>
      <w:r w:rsidR="00B30057" w:rsidRPr="00947163">
        <w:rPr>
          <w:rFonts w:ascii="Arial" w:hAnsi="Arial" w:cs="Arial"/>
          <w:b/>
          <w:sz w:val="24"/>
        </w:rPr>
        <w:t>:</w:t>
      </w:r>
    </w:p>
    <w:p w14:paraId="02A59C8E" w14:textId="77777777" w:rsidR="00B30057" w:rsidRDefault="000051FB" w:rsidP="00992DC5">
      <w:pPr>
        <w:spacing w:after="0" w:line="360" w:lineRule="auto"/>
        <w:jc w:val="both"/>
        <w:rPr>
          <w:rFonts w:ascii="Arial" w:hAnsi="Arial" w:cs="Arial"/>
          <w:sz w:val="24"/>
        </w:rPr>
      </w:pPr>
      <w:r w:rsidRPr="000051FB">
        <w:rPr>
          <w:rFonts w:ascii="Arial" w:hAnsi="Arial" w:cs="Arial"/>
          <w:sz w:val="24"/>
        </w:rPr>
        <w:t>The COVID-19 crisis radically changed the world's travel patterns and altered the landscape in the hotel and hospitality industry operations. Travel barriers on global boundaries, business travel bans, and increased virtual communication technology adoption lead to an unprecedented drop in business commuting, one of the sector’s most profitable revenue channels in the sector.</w:t>
      </w:r>
      <w:r w:rsidR="004311AA">
        <w:rPr>
          <w:rFonts w:ascii="Arial" w:hAnsi="Arial" w:cs="Arial"/>
          <w:sz w:val="24"/>
        </w:rPr>
        <w:t xml:space="preserve"> </w:t>
      </w:r>
      <w:r w:rsidR="004311AA" w:rsidRPr="004311AA">
        <w:rPr>
          <w:rFonts w:ascii="Arial" w:hAnsi="Arial" w:cs="Arial"/>
          <w:sz w:val="24"/>
        </w:rPr>
        <w:t xml:space="preserve">This has compelled all hotels worldwide to redefine their business model to focus on new market segments like leisure </w:t>
      </w:r>
      <w:r w:rsidR="00557410" w:rsidRPr="004311AA">
        <w:rPr>
          <w:rFonts w:ascii="Arial" w:hAnsi="Arial" w:cs="Arial"/>
          <w:sz w:val="24"/>
        </w:rPr>
        <w:t>travellers</w:t>
      </w:r>
      <w:r w:rsidR="004311AA" w:rsidRPr="004311AA">
        <w:rPr>
          <w:rFonts w:ascii="Arial" w:hAnsi="Arial" w:cs="Arial"/>
          <w:sz w:val="24"/>
        </w:rPr>
        <w:t xml:space="preserve"> and the emerging </w:t>
      </w:r>
      <w:r w:rsidR="00557410">
        <w:rPr>
          <w:rFonts w:ascii="Arial" w:hAnsi="Arial" w:cs="Arial"/>
          <w:sz w:val="24"/>
        </w:rPr>
        <w:t>“</w:t>
      </w:r>
      <w:r w:rsidR="004311AA" w:rsidRPr="004311AA">
        <w:rPr>
          <w:rFonts w:ascii="Arial" w:hAnsi="Arial" w:cs="Arial"/>
          <w:sz w:val="24"/>
        </w:rPr>
        <w:t>bleisure</w:t>
      </w:r>
      <w:r w:rsidR="00557410">
        <w:rPr>
          <w:rFonts w:ascii="Arial" w:hAnsi="Arial" w:cs="Arial"/>
          <w:sz w:val="24"/>
        </w:rPr>
        <w:t>”</w:t>
      </w:r>
      <w:r w:rsidR="004311AA" w:rsidRPr="004311AA">
        <w:rPr>
          <w:rFonts w:ascii="Arial" w:hAnsi="Arial" w:cs="Arial"/>
          <w:sz w:val="24"/>
        </w:rPr>
        <w:t xml:space="preserve"> segment, where people combine work and leisure during their stay.</w:t>
      </w:r>
      <w:r w:rsidR="00F1756B">
        <w:rPr>
          <w:rFonts w:ascii="Arial" w:hAnsi="Arial" w:cs="Arial"/>
          <w:sz w:val="24"/>
        </w:rPr>
        <w:t xml:space="preserve"> </w:t>
      </w:r>
      <w:r w:rsidR="00F1756B" w:rsidRPr="00F1756B">
        <w:rPr>
          <w:rFonts w:ascii="Arial" w:hAnsi="Arial" w:cs="Arial"/>
          <w:sz w:val="24"/>
        </w:rPr>
        <w:t>The transformation was not only in the revenue-generating models, but also in the service delivery, interaction with guests, and the priorities in operations within the industry.</w:t>
      </w:r>
    </w:p>
    <w:p w14:paraId="2673AE7B" w14:textId="77777777" w:rsidR="00E92C4A" w:rsidRPr="00E92C4A" w:rsidRDefault="00B72FB7" w:rsidP="00E92C4A">
      <w:pPr>
        <w:spacing w:after="0" w:line="360" w:lineRule="auto"/>
        <w:jc w:val="both"/>
        <w:rPr>
          <w:rFonts w:ascii="Arial" w:hAnsi="Arial" w:cs="Arial"/>
          <w:sz w:val="24"/>
        </w:rPr>
      </w:pPr>
      <w:r w:rsidRPr="00B72FB7">
        <w:rPr>
          <w:rFonts w:ascii="Arial" w:hAnsi="Arial" w:cs="Arial"/>
          <w:sz w:val="24"/>
        </w:rPr>
        <w:t>Aiming with this change, Hilton Hotels and Resorts have exemplified strategic and innovative. Its post-pandemic plans and strategies, such as flexible booking systems, hybrids, increased wellness programmes, and digitalised guest services, show how a global hotel brand can successfully evolve to meet changing customer preferences.</w:t>
      </w:r>
      <w:r w:rsidR="00E92C4A">
        <w:rPr>
          <w:rFonts w:ascii="Arial" w:hAnsi="Arial" w:cs="Arial"/>
          <w:sz w:val="24"/>
        </w:rPr>
        <w:t xml:space="preserve"> </w:t>
      </w:r>
    </w:p>
    <w:p w14:paraId="3EF975AF" w14:textId="77777777" w:rsidR="00B72FB7" w:rsidRDefault="00E92C4A" w:rsidP="00E92C4A">
      <w:pPr>
        <w:spacing w:after="0" w:line="360" w:lineRule="auto"/>
        <w:jc w:val="both"/>
        <w:rPr>
          <w:rFonts w:ascii="Arial" w:hAnsi="Arial" w:cs="Arial"/>
          <w:sz w:val="24"/>
        </w:rPr>
      </w:pPr>
      <w:r w:rsidRPr="00E92C4A">
        <w:rPr>
          <w:rFonts w:ascii="Arial" w:hAnsi="Arial" w:cs="Arial"/>
          <w:sz w:val="24"/>
        </w:rPr>
        <w:t>To enhance analytical thoroughness, other comparative insights are used in this paper concerning Marriott International and Accor Hotels; these two large competitors are seeking parallel recovery and adaptation policies.</w:t>
      </w:r>
    </w:p>
    <w:p w14:paraId="0324929E" w14:textId="77777777" w:rsidR="000A5779" w:rsidRDefault="000A5779" w:rsidP="00E92C4A">
      <w:pPr>
        <w:spacing w:after="0" w:line="360" w:lineRule="auto"/>
        <w:jc w:val="both"/>
        <w:rPr>
          <w:rFonts w:ascii="Arial" w:hAnsi="Arial" w:cs="Arial"/>
          <w:sz w:val="24"/>
        </w:rPr>
      </w:pPr>
      <w:r w:rsidRPr="000A5779">
        <w:rPr>
          <w:rFonts w:ascii="Arial" w:hAnsi="Arial" w:cs="Arial"/>
          <w:sz w:val="24"/>
        </w:rPr>
        <w:t>The purpose of this paper is to assess the restructuring of the post-pandemic business model at Hilton Hotels and Resorts in response to declining business travel and compare its actions with Marriott and Accor to determine the successful adaptation practices and long-term resilience opportunities.</w:t>
      </w:r>
    </w:p>
    <w:p w14:paraId="2D197B49" w14:textId="77777777" w:rsidR="00406922" w:rsidRPr="0080167B" w:rsidRDefault="0017098E" w:rsidP="00E92C4A">
      <w:pPr>
        <w:spacing w:after="0" w:line="360" w:lineRule="auto"/>
        <w:jc w:val="both"/>
        <w:rPr>
          <w:rFonts w:ascii="Arial" w:hAnsi="Arial" w:cs="Arial"/>
          <w:b/>
          <w:sz w:val="24"/>
        </w:rPr>
      </w:pPr>
      <w:bookmarkStart w:id="6" w:name="_Toc211801387"/>
      <w:r w:rsidRPr="0017098E">
        <w:rPr>
          <w:rStyle w:val="Heading1Char"/>
        </w:rPr>
        <w:t xml:space="preserve">2. </w:t>
      </w:r>
      <w:r w:rsidR="0080167B" w:rsidRPr="0017098E">
        <w:rPr>
          <w:rStyle w:val="Heading1Char"/>
        </w:rPr>
        <w:t>Literature Review</w:t>
      </w:r>
      <w:bookmarkEnd w:id="6"/>
      <w:r w:rsidR="0080167B" w:rsidRPr="0080167B">
        <w:rPr>
          <w:rFonts w:ascii="Arial" w:hAnsi="Arial" w:cs="Arial"/>
          <w:b/>
          <w:sz w:val="24"/>
        </w:rPr>
        <w:t>:</w:t>
      </w:r>
    </w:p>
    <w:p w14:paraId="459B68BA" w14:textId="77777777" w:rsidR="00000571" w:rsidRDefault="00185819" w:rsidP="00E92C4A">
      <w:pPr>
        <w:spacing w:after="0" w:line="360" w:lineRule="auto"/>
        <w:jc w:val="both"/>
        <w:rPr>
          <w:rFonts w:ascii="Arial" w:hAnsi="Arial" w:cs="Arial"/>
          <w:sz w:val="24"/>
        </w:rPr>
      </w:pPr>
      <w:r w:rsidRPr="00185819">
        <w:rPr>
          <w:rFonts w:ascii="Arial" w:hAnsi="Arial" w:cs="Arial"/>
          <w:sz w:val="24"/>
        </w:rPr>
        <w:t>It is generally accepted that the COVID-19 pandemic has proven to be the greatest disruptor to world tourism and hospitality in current history (UNWTO, 2022). When countries introduced lockdowns, travel bans, and homework measures, the hotel occupancy and revenues fell dramatically.</w:t>
      </w:r>
      <w:r w:rsidR="00151DB7">
        <w:rPr>
          <w:rFonts w:ascii="Arial" w:hAnsi="Arial" w:cs="Arial"/>
          <w:sz w:val="24"/>
        </w:rPr>
        <w:t xml:space="preserve"> </w:t>
      </w:r>
      <w:r w:rsidR="00151DB7" w:rsidRPr="00151DB7">
        <w:rPr>
          <w:rFonts w:ascii="Arial" w:hAnsi="Arial" w:cs="Arial"/>
          <w:sz w:val="24"/>
        </w:rPr>
        <w:t>According to Statista (2023), the average occupancy in all hotels around the world decreased to less than 37 percent in 2020, reflecting a considerably higher 70 percent and USD 1.3 trillion worth of revenue loss globally.</w:t>
      </w:r>
      <w:r w:rsidR="00F36241">
        <w:rPr>
          <w:rFonts w:ascii="Arial" w:hAnsi="Arial" w:cs="Arial"/>
          <w:sz w:val="24"/>
        </w:rPr>
        <w:t xml:space="preserve"> </w:t>
      </w:r>
    </w:p>
    <w:p w14:paraId="760D83CE" w14:textId="77777777" w:rsidR="00000571" w:rsidRDefault="00000571" w:rsidP="00E92C4A">
      <w:pPr>
        <w:spacing w:after="0" w:line="360" w:lineRule="auto"/>
        <w:jc w:val="both"/>
        <w:rPr>
          <w:rFonts w:ascii="Arial" w:hAnsi="Arial" w:cs="Arial"/>
          <w:sz w:val="24"/>
        </w:rPr>
      </w:pPr>
    </w:p>
    <w:p w14:paraId="7F8666AD" w14:textId="77777777" w:rsidR="00000571" w:rsidRDefault="00000571" w:rsidP="00E92C4A">
      <w:pPr>
        <w:spacing w:after="0" w:line="360" w:lineRule="auto"/>
        <w:jc w:val="both"/>
        <w:rPr>
          <w:rFonts w:ascii="Arial" w:hAnsi="Arial" w:cs="Arial"/>
          <w:sz w:val="24"/>
        </w:rPr>
      </w:pPr>
    </w:p>
    <w:p w14:paraId="621DE9F7" w14:textId="77777777" w:rsidR="00000571" w:rsidRDefault="00000571" w:rsidP="00E92C4A">
      <w:pPr>
        <w:spacing w:after="0" w:line="360" w:lineRule="auto"/>
        <w:jc w:val="both"/>
        <w:rPr>
          <w:rFonts w:ascii="Arial" w:hAnsi="Arial" w:cs="Arial"/>
          <w:sz w:val="24"/>
        </w:rPr>
      </w:pPr>
    </w:p>
    <w:p w14:paraId="30A590F5" w14:textId="77777777" w:rsidR="00000571" w:rsidRDefault="00000571" w:rsidP="00E92C4A">
      <w:pPr>
        <w:spacing w:after="0" w:line="360" w:lineRule="auto"/>
        <w:jc w:val="both"/>
        <w:rPr>
          <w:rFonts w:ascii="Arial" w:hAnsi="Arial" w:cs="Arial"/>
          <w:sz w:val="24"/>
        </w:rPr>
      </w:pPr>
      <w:r>
        <w:rPr>
          <w:rFonts w:ascii="Arial" w:hAnsi="Arial" w:cs="Arial"/>
          <w:noProof/>
          <w:sz w:val="24"/>
          <w:lang w:eastAsia="en-GB"/>
        </w:rPr>
        <w:lastRenderedPageBreak/>
        <w:drawing>
          <wp:inline distT="0" distB="0" distL="0" distR="0" wp14:anchorId="2EDAF45F" wp14:editId="20DD9D6E">
            <wp:extent cx="5731510" cy="358013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HotelJune292023.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5AB6D3E1" w14:textId="77777777" w:rsidR="00000571" w:rsidRDefault="00000571" w:rsidP="00E92C4A">
      <w:pPr>
        <w:spacing w:after="0" w:line="360" w:lineRule="auto"/>
        <w:jc w:val="both"/>
        <w:rPr>
          <w:rFonts w:ascii="Arial" w:hAnsi="Arial" w:cs="Arial"/>
          <w:sz w:val="24"/>
        </w:rPr>
      </w:pPr>
      <w:r>
        <w:rPr>
          <w:rFonts w:ascii="Arial" w:hAnsi="Arial" w:cs="Arial"/>
          <w:sz w:val="24"/>
        </w:rPr>
        <w:t>Source: Calculated (Risk, 2023)</w:t>
      </w:r>
    </w:p>
    <w:p w14:paraId="32EB4684" w14:textId="77777777" w:rsidR="0080167B" w:rsidRDefault="00F36241" w:rsidP="00E92C4A">
      <w:pPr>
        <w:spacing w:after="0" w:line="360" w:lineRule="auto"/>
        <w:jc w:val="both"/>
        <w:rPr>
          <w:rFonts w:ascii="Arial" w:hAnsi="Arial" w:cs="Arial"/>
          <w:sz w:val="24"/>
        </w:rPr>
      </w:pPr>
      <w:r w:rsidRPr="00F36241">
        <w:rPr>
          <w:rFonts w:ascii="Arial" w:hAnsi="Arial" w:cs="Arial"/>
          <w:sz w:val="24"/>
        </w:rPr>
        <w:t>The World Travel and Tourism Council (WTTC, 2022) emphasises that the total number of jobs in the hospitality industry lost in 2020 is more than 62 million, which is evidence of a drastic shock to the workforce and value chain in the sector.</w:t>
      </w:r>
    </w:p>
    <w:p w14:paraId="06FCFF63" w14:textId="77777777" w:rsidR="00DC6A64" w:rsidRPr="00DC6A64" w:rsidRDefault="00211E8A" w:rsidP="00DC6A64">
      <w:pPr>
        <w:spacing w:after="0" w:line="360" w:lineRule="auto"/>
        <w:jc w:val="both"/>
        <w:rPr>
          <w:rFonts w:ascii="Arial" w:hAnsi="Arial" w:cs="Arial"/>
          <w:sz w:val="24"/>
        </w:rPr>
      </w:pPr>
      <w:r w:rsidRPr="00211E8A">
        <w:rPr>
          <w:rFonts w:ascii="Arial" w:hAnsi="Arial" w:cs="Arial"/>
          <w:sz w:val="24"/>
        </w:rPr>
        <w:t>This was an unprecedented downturn, especially in the business travel sector, which has been one of the most profitable sectors of international hotel brands. When the corporate meetings, conferences, and events moved to the online environment, the hotel demand among the business travellers reduced drastically.</w:t>
      </w:r>
      <w:r w:rsidR="00DC6A64">
        <w:rPr>
          <w:rFonts w:ascii="Arial" w:hAnsi="Arial" w:cs="Arial"/>
          <w:sz w:val="24"/>
        </w:rPr>
        <w:t xml:space="preserve"> </w:t>
      </w:r>
      <w:r w:rsidR="00DC6A64" w:rsidRPr="00DC6A64">
        <w:rPr>
          <w:rFonts w:ascii="Arial" w:hAnsi="Arial" w:cs="Arial"/>
          <w:sz w:val="24"/>
        </w:rPr>
        <w:t>According to McKinsey and Company</w:t>
      </w:r>
      <w:r w:rsidR="00C400A8">
        <w:rPr>
          <w:rFonts w:ascii="Arial" w:hAnsi="Arial" w:cs="Arial"/>
          <w:sz w:val="24"/>
        </w:rPr>
        <w:t>,</w:t>
      </w:r>
      <w:r w:rsidR="00DC6A64" w:rsidRPr="00DC6A64">
        <w:rPr>
          <w:rFonts w:ascii="Arial" w:hAnsi="Arial" w:cs="Arial"/>
          <w:sz w:val="24"/>
        </w:rPr>
        <w:t xml:space="preserve"> (2023), the amount that is spent on corporate travel has dropped globally by almost 30 percent compared to pre-pandemic times, and several organisations are permanently reducing travel budgets. Hotels had to therefore redesign their business models and diversify to leisure and hybrid sectors to mitigate the blow of financial losses. PwC</w:t>
      </w:r>
      <w:r w:rsidR="00C400A8">
        <w:rPr>
          <w:rFonts w:ascii="Arial" w:hAnsi="Arial" w:cs="Arial"/>
          <w:sz w:val="24"/>
        </w:rPr>
        <w:t>,</w:t>
      </w:r>
      <w:r w:rsidR="00DC6A64" w:rsidRPr="00DC6A64">
        <w:rPr>
          <w:rFonts w:ascii="Arial" w:hAnsi="Arial" w:cs="Arial"/>
          <w:sz w:val="24"/>
        </w:rPr>
        <w:t xml:space="preserve"> (2024) also explains that business travel is not projected to recover rapidly, and leisure travel and business-leisure (bleisure) travel will keep growing under the facilitation of flexible working and the</w:t>
      </w:r>
      <w:r w:rsidR="00FC2949">
        <w:rPr>
          <w:rFonts w:ascii="Arial" w:hAnsi="Arial" w:cs="Arial"/>
          <w:sz w:val="24"/>
        </w:rPr>
        <w:t xml:space="preserve"> desire to plan and experience.</w:t>
      </w:r>
    </w:p>
    <w:p w14:paraId="32DE2CBE" w14:textId="77777777" w:rsidR="00211E8A" w:rsidRDefault="00DC6A64" w:rsidP="00DC6A64">
      <w:pPr>
        <w:spacing w:after="0" w:line="360" w:lineRule="auto"/>
        <w:jc w:val="both"/>
        <w:rPr>
          <w:rFonts w:ascii="Arial" w:hAnsi="Arial" w:cs="Arial"/>
          <w:sz w:val="24"/>
        </w:rPr>
      </w:pPr>
      <w:r w:rsidRPr="00DC6A64">
        <w:rPr>
          <w:rFonts w:ascii="Arial" w:hAnsi="Arial" w:cs="Arial"/>
          <w:sz w:val="24"/>
        </w:rPr>
        <w:t>These results indicate a complete reorganization of hotel demand. There is a growing trend of global brands like Hilton, Marriott, and Accor to adopt customer-oriented, technology-focused, and sustainable business strategies to remain competitive in the changed market environment.</w:t>
      </w:r>
    </w:p>
    <w:p w14:paraId="10673C35" w14:textId="77777777" w:rsidR="00BE38E5" w:rsidRPr="00BE38E5" w:rsidRDefault="0017098E" w:rsidP="00BE38E5">
      <w:pPr>
        <w:spacing w:after="0" w:line="360" w:lineRule="auto"/>
        <w:jc w:val="both"/>
        <w:rPr>
          <w:rFonts w:ascii="Arial" w:hAnsi="Arial" w:cs="Arial"/>
          <w:sz w:val="24"/>
        </w:rPr>
      </w:pPr>
      <w:r>
        <w:rPr>
          <w:rFonts w:ascii="Arial" w:hAnsi="Arial" w:cs="Arial"/>
          <w:b/>
          <w:sz w:val="24"/>
        </w:rPr>
        <w:lastRenderedPageBreak/>
        <w:t xml:space="preserve">2.1 </w:t>
      </w:r>
      <w:r w:rsidR="00BE38E5" w:rsidRPr="0085386E">
        <w:rPr>
          <w:rFonts w:ascii="Arial" w:hAnsi="Arial" w:cs="Arial"/>
          <w:b/>
          <w:sz w:val="24"/>
        </w:rPr>
        <w:t>Academic and Industry View</w:t>
      </w:r>
      <w:r w:rsidR="0085386E" w:rsidRPr="0085386E">
        <w:rPr>
          <w:rFonts w:ascii="Arial" w:hAnsi="Arial" w:cs="Arial"/>
          <w:b/>
          <w:sz w:val="24"/>
        </w:rPr>
        <w:t>s of Altering Travel Behaviour</w:t>
      </w:r>
      <w:r w:rsidR="0085386E">
        <w:rPr>
          <w:rFonts w:ascii="Arial" w:hAnsi="Arial" w:cs="Arial"/>
          <w:sz w:val="24"/>
        </w:rPr>
        <w:t>:</w:t>
      </w:r>
    </w:p>
    <w:p w14:paraId="637D8628" w14:textId="77777777" w:rsidR="00717F5A" w:rsidRDefault="00BE38E5" w:rsidP="00BE38E5">
      <w:pPr>
        <w:spacing w:after="0" w:line="360" w:lineRule="auto"/>
        <w:jc w:val="both"/>
        <w:rPr>
          <w:rFonts w:ascii="Arial" w:hAnsi="Arial" w:cs="Arial"/>
          <w:sz w:val="24"/>
        </w:rPr>
      </w:pPr>
      <w:r w:rsidRPr="00BE38E5">
        <w:rPr>
          <w:rFonts w:ascii="Arial" w:hAnsi="Arial" w:cs="Arial"/>
          <w:sz w:val="24"/>
        </w:rPr>
        <w:t>The pandemic not only altered the market situation but also reshaped new consumer expectations and travel motivations. Skift Research</w:t>
      </w:r>
      <w:r w:rsidR="0085386E">
        <w:rPr>
          <w:rFonts w:ascii="Arial" w:hAnsi="Arial" w:cs="Arial"/>
          <w:sz w:val="24"/>
        </w:rPr>
        <w:t>,</w:t>
      </w:r>
      <w:r w:rsidR="008A4BE8">
        <w:rPr>
          <w:rFonts w:ascii="Arial" w:hAnsi="Arial" w:cs="Arial"/>
          <w:sz w:val="24"/>
        </w:rPr>
        <w:t xml:space="preserve"> (2025</w:t>
      </w:r>
      <w:r w:rsidRPr="00BE38E5">
        <w:rPr>
          <w:rFonts w:ascii="Arial" w:hAnsi="Arial" w:cs="Arial"/>
          <w:sz w:val="24"/>
        </w:rPr>
        <w:t xml:space="preserve">) reports that the advent of the so-called </w:t>
      </w:r>
      <w:r w:rsidR="0085386E">
        <w:rPr>
          <w:rFonts w:ascii="Arial" w:hAnsi="Arial" w:cs="Arial"/>
          <w:sz w:val="24"/>
        </w:rPr>
        <w:t>“</w:t>
      </w:r>
      <w:r w:rsidRPr="00BE38E5">
        <w:rPr>
          <w:rFonts w:ascii="Arial" w:hAnsi="Arial" w:cs="Arial"/>
          <w:sz w:val="24"/>
        </w:rPr>
        <w:t>bleisure</w:t>
      </w:r>
      <w:r w:rsidR="0085386E">
        <w:rPr>
          <w:rFonts w:ascii="Arial" w:hAnsi="Arial" w:cs="Arial"/>
          <w:sz w:val="24"/>
        </w:rPr>
        <w:t>”</w:t>
      </w:r>
      <w:r w:rsidRPr="00BE38E5">
        <w:rPr>
          <w:rFonts w:ascii="Arial" w:hAnsi="Arial" w:cs="Arial"/>
          <w:sz w:val="24"/>
        </w:rPr>
        <w:t xml:space="preserve"> travel is a new paradigm of demand in the hospitality industry. Travellers are now demanding accommodation that allows them to be both productive and recreational, which necessitates the redesign of hotels' physical spaces and facilities. According to McKinsey</w:t>
      </w:r>
      <w:r w:rsidR="0085386E">
        <w:rPr>
          <w:rFonts w:ascii="Arial" w:hAnsi="Arial" w:cs="Arial"/>
          <w:sz w:val="24"/>
        </w:rPr>
        <w:t>,</w:t>
      </w:r>
      <w:r w:rsidRPr="00BE38E5">
        <w:rPr>
          <w:rFonts w:ascii="Arial" w:hAnsi="Arial" w:cs="Arial"/>
          <w:sz w:val="24"/>
        </w:rPr>
        <w:t xml:space="preserve"> (2023), remote work, which started as a temporary solution to the COVID-19 pandemic, is now a part of corporate culture, which means that business trips should occur less frequently but be more flexible and multifunctional in nature.</w:t>
      </w:r>
    </w:p>
    <w:p w14:paraId="6190A29E" w14:textId="77777777" w:rsidR="00D11A55" w:rsidRPr="00D11A55" w:rsidRDefault="00D11A55" w:rsidP="00D11A55">
      <w:pPr>
        <w:spacing w:after="0" w:line="360" w:lineRule="auto"/>
        <w:jc w:val="both"/>
        <w:rPr>
          <w:rFonts w:ascii="Arial" w:hAnsi="Arial" w:cs="Arial"/>
          <w:sz w:val="24"/>
        </w:rPr>
      </w:pPr>
      <w:r w:rsidRPr="00D11A55">
        <w:rPr>
          <w:rFonts w:ascii="Arial" w:hAnsi="Arial" w:cs="Arial"/>
          <w:sz w:val="24"/>
        </w:rPr>
        <w:t>Thre</w:t>
      </w:r>
      <w:r w:rsidR="00082CB6">
        <w:rPr>
          <w:rFonts w:ascii="Arial" w:hAnsi="Arial" w:cs="Arial"/>
          <w:sz w:val="24"/>
        </w:rPr>
        <w:t>e behavioural trends characteris</w:t>
      </w:r>
      <w:r w:rsidRPr="00D11A55">
        <w:rPr>
          <w:rFonts w:ascii="Arial" w:hAnsi="Arial" w:cs="Arial"/>
          <w:sz w:val="24"/>
        </w:rPr>
        <w:t xml:space="preserve">ing the post-pandemic recovery, as PwC, (2024) defines them, can be the following: the emphasis on health and safety, the necessity to be digitally convenient, and the rising sustainability-oriented preferences of consumers. No-contact experiences and </w:t>
      </w:r>
      <w:r>
        <w:rPr>
          <w:rFonts w:ascii="Arial" w:hAnsi="Arial" w:cs="Arial"/>
          <w:sz w:val="24"/>
        </w:rPr>
        <w:t xml:space="preserve">the </w:t>
      </w:r>
      <w:r w:rsidRPr="00D11A55">
        <w:rPr>
          <w:rFonts w:ascii="Arial" w:hAnsi="Arial" w:cs="Arial"/>
          <w:sz w:val="24"/>
        </w:rPr>
        <w:t>delivery</w:t>
      </w:r>
      <w:r>
        <w:rPr>
          <w:rFonts w:ascii="Arial" w:hAnsi="Arial" w:cs="Arial"/>
          <w:sz w:val="24"/>
        </w:rPr>
        <w:t xml:space="preserve"> of the </w:t>
      </w:r>
      <w:r w:rsidRPr="00D11A55">
        <w:rPr>
          <w:rFonts w:ascii="Arial" w:hAnsi="Arial" w:cs="Arial"/>
          <w:sz w:val="24"/>
        </w:rPr>
        <w:t>customised service, along with wellness-driven atmosphere, are now important to the guests. These tastes have influenced the adoption of technology and loyalty programs by the major hotel brands to achieve better interaction and trust.</w:t>
      </w:r>
    </w:p>
    <w:p w14:paraId="04BB6B6F" w14:textId="77777777" w:rsidR="00D11A55" w:rsidRPr="00D11A55" w:rsidRDefault="00D11A55" w:rsidP="00D11A55">
      <w:pPr>
        <w:spacing w:after="0" w:line="360" w:lineRule="auto"/>
        <w:jc w:val="both"/>
        <w:rPr>
          <w:rFonts w:ascii="Arial" w:hAnsi="Arial" w:cs="Arial"/>
          <w:sz w:val="24"/>
        </w:rPr>
      </w:pPr>
      <w:r w:rsidRPr="00D11A55">
        <w:rPr>
          <w:rFonts w:ascii="Arial" w:hAnsi="Arial" w:cs="Arial"/>
          <w:sz w:val="24"/>
        </w:rPr>
        <w:t>These implications of behaviour change are highly strategic. Hotels are being constrained to work within the business-leisure hybrid model, which appreciates flexibility and personalisation. Such demands are changing, and that is why the importance of constant innovation and maintenance is growing in the global hospitality sector.</w:t>
      </w:r>
    </w:p>
    <w:p w14:paraId="2515213F" w14:textId="77777777" w:rsidR="00D11A55" w:rsidRPr="00D11A55" w:rsidRDefault="00D11A55" w:rsidP="00D11A55">
      <w:pPr>
        <w:spacing w:after="0" w:line="360" w:lineRule="auto"/>
        <w:jc w:val="both"/>
        <w:rPr>
          <w:rFonts w:ascii="Arial" w:hAnsi="Arial" w:cs="Arial"/>
          <w:b/>
          <w:sz w:val="24"/>
        </w:rPr>
      </w:pPr>
      <w:r w:rsidRPr="00D11A55">
        <w:rPr>
          <w:rFonts w:ascii="Arial" w:hAnsi="Arial" w:cs="Arial"/>
          <w:b/>
          <w:sz w:val="24"/>
        </w:rPr>
        <w:t>2.2 Foundation of the Theory:</w:t>
      </w:r>
    </w:p>
    <w:p w14:paraId="36A92FE6" w14:textId="77777777" w:rsidR="000846F0" w:rsidRDefault="00D11A55" w:rsidP="00D11A55">
      <w:pPr>
        <w:spacing w:after="0" w:line="360" w:lineRule="auto"/>
        <w:jc w:val="both"/>
        <w:rPr>
          <w:rFonts w:ascii="Arial" w:hAnsi="Arial" w:cs="Arial"/>
          <w:sz w:val="24"/>
        </w:rPr>
      </w:pPr>
      <w:r w:rsidRPr="00D11A55">
        <w:rPr>
          <w:rFonts w:ascii="Arial" w:hAnsi="Arial" w:cs="Arial"/>
          <w:sz w:val="24"/>
        </w:rPr>
        <w:t xml:space="preserve">The strategic vitality reflected by the international </w:t>
      </w:r>
      <w:r>
        <w:rPr>
          <w:rFonts w:ascii="Arial" w:hAnsi="Arial" w:cs="Arial"/>
          <w:sz w:val="24"/>
        </w:rPr>
        <w:t>hotel brands can be conceptualis</w:t>
      </w:r>
      <w:r w:rsidR="00140AF1">
        <w:rPr>
          <w:rFonts w:ascii="Arial" w:hAnsi="Arial" w:cs="Arial"/>
          <w:sz w:val="24"/>
        </w:rPr>
        <w:t>ed in several significant</w:t>
      </w:r>
      <w:r w:rsidRPr="00D11A55">
        <w:rPr>
          <w:rFonts w:ascii="Arial" w:hAnsi="Arial" w:cs="Arial"/>
          <w:sz w:val="24"/>
        </w:rPr>
        <w:t xml:space="preserve"> </w:t>
      </w:r>
      <w:r w:rsidR="00140AF1" w:rsidRPr="00D11A55">
        <w:rPr>
          <w:rFonts w:ascii="Arial" w:hAnsi="Arial" w:cs="Arial"/>
          <w:sz w:val="24"/>
        </w:rPr>
        <w:t>academic</w:t>
      </w:r>
      <w:r w:rsidRPr="00D11A55">
        <w:rPr>
          <w:rFonts w:ascii="Arial" w:hAnsi="Arial" w:cs="Arial"/>
          <w:sz w:val="24"/>
        </w:rPr>
        <w:t xml:space="preserve"> </w:t>
      </w:r>
      <w:r w:rsidR="00140AF1" w:rsidRPr="00D11A55">
        <w:rPr>
          <w:rFonts w:ascii="Arial" w:hAnsi="Arial" w:cs="Arial"/>
          <w:sz w:val="24"/>
        </w:rPr>
        <w:t>concepts</w:t>
      </w:r>
      <w:r w:rsidRPr="00D11A55">
        <w:rPr>
          <w:rFonts w:ascii="Arial" w:hAnsi="Arial" w:cs="Arial"/>
          <w:sz w:val="24"/>
        </w:rPr>
        <w:t xml:space="preserve">. </w:t>
      </w:r>
      <w:r w:rsidR="00D24172">
        <w:rPr>
          <w:rFonts w:ascii="Arial" w:hAnsi="Arial" w:cs="Arial"/>
          <w:sz w:val="24"/>
        </w:rPr>
        <w:t>T</w:t>
      </w:r>
      <w:r w:rsidR="000846F0" w:rsidRPr="000846F0">
        <w:rPr>
          <w:rFonts w:ascii="Arial" w:hAnsi="Arial" w:cs="Arial"/>
          <w:sz w:val="24"/>
        </w:rPr>
        <w:t>he Service Innovat</w:t>
      </w:r>
      <w:r w:rsidR="00D24172">
        <w:rPr>
          <w:rFonts w:ascii="Arial" w:hAnsi="Arial" w:cs="Arial"/>
          <w:sz w:val="24"/>
        </w:rPr>
        <w:t>ion Theory (Chen, 2021) emphasis</w:t>
      </w:r>
      <w:r w:rsidR="000846F0" w:rsidRPr="000846F0">
        <w:rPr>
          <w:rFonts w:ascii="Arial" w:hAnsi="Arial" w:cs="Arial"/>
          <w:sz w:val="24"/>
        </w:rPr>
        <w:t>es that businesses provide new types of value through technology, design, and transformation of the customer experience. This model is especially applicable to the post-pandemic hotel environment, where not only digital systems and flexible booking models are important factors in ensuring customer loyalty, but also experiences.</w:t>
      </w:r>
    </w:p>
    <w:p w14:paraId="139F655F" w14:textId="77777777" w:rsidR="00B63997" w:rsidRDefault="00B63997" w:rsidP="0039535B">
      <w:pPr>
        <w:spacing w:after="0" w:line="360" w:lineRule="auto"/>
        <w:jc w:val="both"/>
        <w:rPr>
          <w:rFonts w:ascii="Arial" w:hAnsi="Arial" w:cs="Arial"/>
          <w:sz w:val="24"/>
        </w:rPr>
      </w:pPr>
      <w:r w:rsidRPr="00B63997">
        <w:rPr>
          <w:rFonts w:ascii="Arial" w:hAnsi="Arial" w:cs="Arial"/>
          <w:sz w:val="24"/>
        </w:rPr>
        <w:t xml:space="preserve">Lastly, the Organisational Resilience Theory (Lengnick-Hall and Beck, 2016) offers some background on how companies absorb shocks and emerge stronger. In the hospitality sector, resilience can be achieved in the form of diversified market position, sustainability, and a commitment to staff flexibility. All of these theories, in turn, support </w:t>
      </w:r>
      <w:r w:rsidRPr="00B63997">
        <w:rPr>
          <w:rFonts w:ascii="Arial" w:hAnsi="Arial" w:cs="Arial"/>
          <w:sz w:val="24"/>
        </w:rPr>
        <w:lastRenderedPageBreak/>
        <w:t>the response of the industry to the post-pandemic and provide a theoretical framework within the framework of which the strategic decisions of Hilton Hotels and Resorts a</w:t>
      </w:r>
      <w:r w:rsidR="005021F8">
        <w:rPr>
          <w:rFonts w:ascii="Arial" w:hAnsi="Arial" w:cs="Arial"/>
          <w:sz w:val="24"/>
        </w:rPr>
        <w:t>nd other rivals should be analys</w:t>
      </w:r>
      <w:r w:rsidRPr="00B63997">
        <w:rPr>
          <w:rFonts w:ascii="Arial" w:hAnsi="Arial" w:cs="Arial"/>
          <w:sz w:val="24"/>
        </w:rPr>
        <w:t>ed.</w:t>
      </w:r>
    </w:p>
    <w:p w14:paraId="6500A6AE" w14:textId="77777777" w:rsidR="00DD1FDF" w:rsidRPr="0006610B" w:rsidRDefault="0017098E" w:rsidP="0017098E">
      <w:pPr>
        <w:pStyle w:val="Heading2"/>
      </w:pPr>
      <w:bookmarkStart w:id="7" w:name="_Toc211801389"/>
      <w:r>
        <w:t xml:space="preserve">2.3 </w:t>
      </w:r>
      <w:r w:rsidR="00DD1FDF" w:rsidRPr="0006610B">
        <w:t>Hilton’s Strategic Response (Main Case Study)</w:t>
      </w:r>
      <w:r>
        <w:t>:</w:t>
      </w:r>
      <w:bookmarkEnd w:id="7"/>
    </w:p>
    <w:p w14:paraId="650751C0" w14:textId="77777777" w:rsidR="00DD1FDF" w:rsidRDefault="00DD1FDF" w:rsidP="00DD1FDF">
      <w:pPr>
        <w:spacing w:after="0" w:line="360" w:lineRule="auto"/>
        <w:jc w:val="both"/>
        <w:rPr>
          <w:rFonts w:ascii="Arial" w:hAnsi="Arial" w:cs="Arial"/>
          <w:sz w:val="24"/>
        </w:rPr>
      </w:pPr>
      <w:r w:rsidRPr="00DD1FDF">
        <w:rPr>
          <w:rFonts w:ascii="Arial" w:hAnsi="Arial" w:cs="Arial"/>
          <w:sz w:val="24"/>
        </w:rPr>
        <w:t xml:space="preserve">Hilton Hotels and Resorts is a good example of adaptive and innovative strategies in reaction to the post-COVID market conditions. The recovery framework of the Hilton brand featured in the Annual Reports (20212024) is based on three pillars: digitalisation, flexibility, and sustainability. </w:t>
      </w:r>
      <w:r w:rsidR="0006610B" w:rsidRPr="00DD1FDF">
        <w:rPr>
          <w:rFonts w:ascii="Arial" w:hAnsi="Arial" w:cs="Arial"/>
          <w:sz w:val="24"/>
        </w:rPr>
        <w:t>Workspaces</w:t>
      </w:r>
      <w:r w:rsidRPr="00DD1FDF">
        <w:rPr>
          <w:rFonts w:ascii="Arial" w:hAnsi="Arial" w:cs="Arial"/>
          <w:sz w:val="24"/>
        </w:rPr>
        <w:t xml:space="preserve"> by Hilton was introduced to enable guests to reserve rooms as a remote office temporarily to meet the demands of hybrid professionals who wanted to find other ways of working. Equally, domestic and extended-stay segments were targeted through the creation of the “Leisure &amp; Staycation” packages, contributing to the transition to leisure-based demand (Hilton, 2023).</w:t>
      </w:r>
    </w:p>
    <w:p w14:paraId="64D82C35" w14:textId="77777777" w:rsidR="00C2182E" w:rsidRDefault="00C2182E" w:rsidP="00DD1FDF">
      <w:pPr>
        <w:spacing w:after="0" w:line="360" w:lineRule="auto"/>
        <w:jc w:val="both"/>
        <w:rPr>
          <w:rFonts w:ascii="Arial" w:hAnsi="Arial" w:cs="Arial"/>
          <w:sz w:val="24"/>
        </w:rPr>
      </w:pPr>
      <w:r w:rsidRPr="00C2182E">
        <w:rPr>
          <w:rFonts w:ascii="Arial" w:hAnsi="Arial" w:cs="Arial"/>
          <w:sz w:val="24"/>
        </w:rPr>
        <w:t xml:space="preserve">Hilton's agility in operations focused on digital transformation. The company increased the application of its Digital Key technology and Hilton </w:t>
      </w:r>
      <w:r w:rsidR="00FD72CD" w:rsidRPr="00C2182E">
        <w:rPr>
          <w:rFonts w:ascii="Arial" w:hAnsi="Arial" w:cs="Arial"/>
          <w:sz w:val="24"/>
        </w:rPr>
        <w:t>Honours</w:t>
      </w:r>
      <w:r w:rsidRPr="00C2182E">
        <w:rPr>
          <w:rFonts w:ascii="Arial" w:hAnsi="Arial" w:cs="Arial"/>
          <w:sz w:val="24"/>
        </w:rPr>
        <w:t xml:space="preserve"> App, which allowed users to check in, choose a room, and pay </w:t>
      </w:r>
      <w:r w:rsidR="00FD72CD" w:rsidRPr="00C2182E">
        <w:rPr>
          <w:rFonts w:ascii="Arial" w:hAnsi="Arial" w:cs="Arial"/>
          <w:sz w:val="24"/>
        </w:rPr>
        <w:t>contactless</w:t>
      </w:r>
      <w:r w:rsidRPr="00C2182E">
        <w:rPr>
          <w:rFonts w:ascii="Arial" w:hAnsi="Arial" w:cs="Arial"/>
          <w:sz w:val="24"/>
        </w:rPr>
        <w:t xml:space="preserve"> in over 5,000 locations around the world. These were in line with the increased safety and efficiency expectations of guests (Deloitte, 2024). In addition, the </w:t>
      </w:r>
      <w:r w:rsidR="00FD72CD" w:rsidRPr="00C2182E">
        <w:rPr>
          <w:rFonts w:ascii="Arial" w:hAnsi="Arial" w:cs="Arial"/>
          <w:sz w:val="24"/>
        </w:rPr>
        <w:t>Clean Stay</w:t>
      </w:r>
      <w:r w:rsidRPr="00C2182E">
        <w:rPr>
          <w:rFonts w:ascii="Arial" w:hAnsi="Arial" w:cs="Arial"/>
          <w:sz w:val="24"/>
        </w:rPr>
        <w:t xml:space="preserve"> program with Lysol and the Mayo Clinic, designed by Hilton, has introduced the new frameworks of organizational hygiene that directly target the issue of consumer confidence (Hilton, 2022).</w:t>
      </w:r>
    </w:p>
    <w:p w14:paraId="5424D7F3" w14:textId="77777777" w:rsidR="003826E3" w:rsidRDefault="003826E3" w:rsidP="00DD1FDF">
      <w:pPr>
        <w:spacing w:after="0" w:line="360" w:lineRule="auto"/>
        <w:jc w:val="both"/>
        <w:rPr>
          <w:rFonts w:ascii="Arial" w:hAnsi="Arial" w:cs="Arial"/>
          <w:sz w:val="24"/>
        </w:rPr>
      </w:pPr>
      <w:r w:rsidRPr="003826E3">
        <w:rPr>
          <w:rFonts w:ascii="Arial" w:hAnsi="Arial" w:cs="Arial"/>
          <w:sz w:val="24"/>
        </w:rPr>
        <w:t>The Hilton also strengthened its long-term vision of sustainability with the help of its Travel with Purpose programme that unites carbon reduction, ethical sourcing, and community interaction throughout its portfolio (Hilton, 2024). It is a holistic approach that demonstrates the ideals of service innovation and organisational resilience, making Hilton a future-oriented pioneer in post-pandemic hospitality.</w:t>
      </w:r>
    </w:p>
    <w:p w14:paraId="247D784B" w14:textId="77777777" w:rsidR="00B41F3A" w:rsidRPr="00F5610C" w:rsidRDefault="0017098E" w:rsidP="00B41F3A">
      <w:pPr>
        <w:spacing w:after="0" w:line="360" w:lineRule="auto"/>
        <w:jc w:val="both"/>
        <w:rPr>
          <w:rFonts w:ascii="Arial" w:hAnsi="Arial" w:cs="Arial"/>
          <w:b/>
          <w:sz w:val="24"/>
        </w:rPr>
      </w:pPr>
      <w:bookmarkStart w:id="8" w:name="_Toc211801390"/>
      <w:r w:rsidRPr="0017098E">
        <w:rPr>
          <w:rStyle w:val="Heading2Char"/>
        </w:rPr>
        <w:t xml:space="preserve">2.4 </w:t>
      </w:r>
      <w:r w:rsidR="00B41F3A" w:rsidRPr="0017098E">
        <w:rPr>
          <w:rStyle w:val="Heading2Char"/>
        </w:rPr>
        <w:t xml:space="preserve">Comparative Analysis (Marriott </w:t>
      </w:r>
      <w:r w:rsidR="00F5610C" w:rsidRPr="0017098E">
        <w:rPr>
          <w:rStyle w:val="Heading2Char"/>
        </w:rPr>
        <w:t>International and Accor Hotels)</w:t>
      </w:r>
      <w:bookmarkEnd w:id="8"/>
      <w:r w:rsidR="00F5610C">
        <w:rPr>
          <w:rFonts w:ascii="Arial" w:hAnsi="Arial" w:cs="Arial"/>
          <w:b/>
          <w:sz w:val="24"/>
        </w:rPr>
        <w:t>:</w:t>
      </w:r>
    </w:p>
    <w:p w14:paraId="7C7CA81D" w14:textId="77777777" w:rsidR="00B41F3A" w:rsidRDefault="00B41F3A" w:rsidP="00B41F3A">
      <w:pPr>
        <w:spacing w:after="0" w:line="360" w:lineRule="auto"/>
        <w:jc w:val="both"/>
        <w:rPr>
          <w:rFonts w:ascii="Arial" w:hAnsi="Arial" w:cs="Arial"/>
          <w:sz w:val="24"/>
        </w:rPr>
      </w:pPr>
      <w:r w:rsidRPr="00B41F3A">
        <w:rPr>
          <w:rFonts w:ascii="Arial" w:hAnsi="Arial" w:cs="Arial"/>
          <w:sz w:val="24"/>
        </w:rPr>
        <w:t>Comparatively, Marriott International and Accor Hotels took unique but similar approaches to overcome the challenges of the post-COVID period. Marriott also started its Work Anywhere program, which has day-use and long-term stay deals for people who work from home or travel for work (Marriott, 2023).  It also used its Marriott Bonvoy loyalty platform to increase customer retention by digitally personalising and allowing flexible benefits.</w:t>
      </w:r>
    </w:p>
    <w:p w14:paraId="554A5CB1" w14:textId="77777777" w:rsidR="009E3D0F" w:rsidRDefault="009E3D0F" w:rsidP="00B41F3A">
      <w:pPr>
        <w:spacing w:after="0" w:line="360" w:lineRule="auto"/>
        <w:jc w:val="both"/>
        <w:rPr>
          <w:rFonts w:ascii="Arial" w:hAnsi="Arial" w:cs="Arial"/>
          <w:sz w:val="24"/>
        </w:rPr>
      </w:pPr>
      <w:r w:rsidRPr="009E3D0F">
        <w:rPr>
          <w:rFonts w:ascii="Arial" w:hAnsi="Arial" w:cs="Arial"/>
          <w:sz w:val="24"/>
        </w:rPr>
        <w:lastRenderedPageBreak/>
        <w:t>On the other hand, Accor Hotels focused on hybrid meeting solutions through its programme named ALL Connect with Microsoft Teams that combines virtual and real meeting experiences (Accor, 2024). Moreover, the Accor ALLSAFE hygiene certification programme offered a single global network health standard, which strengthened brand confidence among returning clients.</w:t>
      </w:r>
    </w:p>
    <w:p w14:paraId="20D2CB65" w14:textId="77777777" w:rsidR="00FB4AEE" w:rsidRDefault="00FB4AEE" w:rsidP="00B41F3A">
      <w:pPr>
        <w:spacing w:after="0" w:line="360" w:lineRule="auto"/>
        <w:jc w:val="both"/>
        <w:rPr>
          <w:rFonts w:ascii="Arial" w:hAnsi="Arial" w:cs="Arial"/>
          <w:sz w:val="24"/>
        </w:rPr>
      </w:pPr>
      <w:r w:rsidRPr="00FB4AEE">
        <w:rPr>
          <w:rFonts w:ascii="Arial" w:hAnsi="Arial" w:cs="Arial"/>
          <w:sz w:val="24"/>
        </w:rPr>
        <w:t>All three brands were agile in strategy, but the difference between them is focus and execution. The benefits of Marriott are its loyalty-based engagement ecosystem, the technological partnership and regional flexibility of Accor, and the reliable global integration of digital, wellness, and sustainability activities by Hilton. All these comparative insights show that resilience in the hotel industry is determined by balancing technological innovation and human-centric service provision.</w:t>
      </w:r>
    </w:p>
    <w:p w14:paraId="51D1940B" w14:textId="77777777" w:rsidR="00B54C48" w:rsidRPr="00263C1A" w:rsidRDefault="0017098E" w:rsidP="00B54C48">
      <w:pPr>
        <w:spacing w:after="0" w:line="360" w:lineRule="auto"/>
        <w:jc w:val="both"/>
        <w:rPr>
          <w:rFonts w:ascii="Arial" w:hAnsi="Arial" w:cs="Arial"/>
          <w:b/>
          <w:sz w:val="24"/>
        </w:rPr>
      </w:pPr>
      <w:bookmarkStart w:id="9" w:name="_Toc211801391"/>
      <w:r w:rsidRPr="0017098E">
        <w:rPr>
          <w:rStyle w:val="Heading2Char"/>
        </w:rPr>
        <w:t xml:space="preserve">2.5 </w:t>
      </w:r>
      <w:r w:rsidR="00B54C48" w:rsidRPr="0017098E">
        <w:rPr>
          <w:rStyle w:val="Heading2Char"/>
        </w:rPr>
        <w:t>Synthesis and Critical Summary</w:t>
      </w:r>
      <w:bookmarkEnd w:id="9"/>
      <w:r>
        <w:rPr>
          <w:rFonts w:ascii="Arial" w:hAnsi="Arial" w:cs="Arial"/>
          <w:b/>
          <w:sz w:val="24"/>
        </w:rPr>
        <w:t>:</w:t>
      </w:r>
    </w:p>
    <w:p w14:paraId="7029463B" w14:textId="77777777" w:rsidR="00B54C48" w:rsidRDefault="00B54C48" w:rsidP="00B54C48">
      <w:pPr>
        <w:spacing w:after="0" w:line="360" w:lineRule="auto"/>
        <w:jc w:val="both"/>
        <w:rPr>
          <w:rFonts w:ascii="Arial" w:hAnsi="Arial" w:cs="Arial"/>
          <w:sz w:val="24"/>
        </w:rPr>
      </w:pPr>
      <w:r w:rsidRPr="00B54C48">
        <w:rPr>
          <w:rFonts w:ascii="Arial" w:hAnsi="Arial" w:cs="Arial"/>
          <w:sz w:val="24"/>
        </w:rPr>
        <w:t>In general, the literature demonstrates a distinct overlapping of themes that define the post-COVID hospitality environment: it is digital transformation, flexibility, sustainability, and wellness. The activities of Hilton show the way adaptive strategy and service innovation can be operationalised to restore consumer trust and remain competitive in the market. The efforts of Marriott, as well as Accor, also contribute to the idea that strategic diversity in the field of technology, loyalty, and partnerships is the key to resilience.</w:t>
      </w:r>
    </w:p>
    <w:p w14:paraId="7A783646" w14:textId="77777777" w:rsidR="00AD7ABE" w:rsidRDefault="00AD7ABE" w:rsidP="00B54C48">
      <w:pPr>
        <w:spacing w:after="0" w:line="360" w:lineRule="auto"/>
        <w:jc w:val="both"/>
        <w:rPr>
          <w:rFonts w:ascii="Arial" w:hAnsi="Arial" w:cs="Arial"/>
          <w:sz w:val="24"/>
        </w:rPr>
      </w:pPr>
      <w:r w:rsidRPr="00AD7ABE">
        <w:rPr>
          <w:rFonts w:ascii="Arial" w:hAnsi="Arial" w:cs="Arial"/>
          <w:sz w:val="24"/>
        </w:rPr>
        <w:t>Nevertheless, studies also reveal persisting doubts about the recovery of business travel in the long term and the overdependence on leisure sectors. A small number of empirical studies have not managed to assess the profitability or sustainability of hybrid business models in the long term.</w:t>
      </w:r>
    </w:p>
    <w:p w14:paraId="70C70A8C" w14:textId="77777777" w:rsidR="00582FBB" w:rsidRDefault="00582FBB" w:rsidP="00B54C48">
      <w:pPr>
        <w:spacing w:after="0" w:line="360" w:lineRule="auto"/>
        <w:jc w:val="both"/>
        <w:rPr>
          <w:rFonts w:ascii="Arial" w:hAnsi="Arial" w:cs="Arial"/>
          <w:sz w:val="24"/>
        </w:rPr>
      </w:pPr>
      <w:r w:rsidRPr="00582FBB">
        <w:rPr>
          <w:rFonts w:ascii="Arial" w:hAnsi="Arial" w:cs="Arial"/>
          <w:sz w:val="24"/>
        </w:rPr>
        <w:t>The repetition of the focus on flexibility, technology, and guest well-being gives the analytical basis for the further stage of this study. The next Method section will involve the systematic evaluation of the macro-environmental changes impacting the post-pandemic strategic adjustment of Hilton, as well as the assessment of its competitiveness against Marriott and Accor with the use of the PESTEL framework.</w:t>
      </w:r>
    </w:p>
    <w:p w14:paraId="1EEC8516" w14:textId="77777777" w:rsidR="004E7548" w:rsidRPr="004E7548" w:rsidRDefault="0017098E" w:rsidP="00B54C48">
      <w:pPr>
        <w:spacing w:after="0" w:line="360" w:lineRule="auto"/>
        <w:jc w:val="both"/>
        <w:rPr>
          <w:rFonts w:ascii="Arial" w:hAnsi="Arial" w:cs="Arial"/>
          <w:b/>
          <w:sz w:val="24"/>
        </w:rPr>
      </w:pPr>
      <w:bookmarkStart w:id="10" w:name="_Toc211801392"/>
      <w:r w:rsidRPr="0017098E">
        <w:rPr>
          <w:rStyle w:val="Heading1Char"/>
        </w:rPr>
        <w:t xml:space="preserve">3. </w:t>
      </w:r>
      <w:r w:rsidR="004E7548" w:rsidRPr="0017098E">
        <w:rPr>
          <w:rStyle w:val="Heading1Char"/>
        </w:rPr>
        <w:t>Research Methods</w:t>
      </w:r>
      <w:bookmarkEnd w:id="10"/>
      <w:r w:rsidR="004E7548" w:rsidRPr="004E7548">
        <w:rPr>
          <w:rFonts w:ascii="Arial" w:hAnsi="Arial" w:cs="Arial"/>
          <w:b/>
          <w:sz w:val="24"/>
        </w:rPr>
        <w:t>:</w:t>
      </w:r>
    </w:p>
    <w:p w14:paraId="72BA69F1" w14:textId="77777777" w:rsidR="005D4776" w:rsidRPr="005D4776" w:rsidRDefault="004E7548" w:rsidP="005D4776">
      <w:pPr>
        <w:spacing w:after="0" w:line="360" w:lineRule="auto"/>
        <w:jc w:val="both"/>
        <w:rPr>
          <w:rFonts w:ascii="Arial" w:hAnsi="Arial" w:cs="Arial"/>
          <w:sz w:val="24"/>
        </w:rPr>
      </w:pPr>
      <w:r w:rsidRPr="004E7548">
        <w:rPr>
          <w:rFonts w:ascii="Arial" w:hAnsi="Arial" w:cs="Arial"/>
          <w:sz w:val="24"/>
        </w:rPr>
        <w:t xml:space="preserve">This study adopts a qualitative secondary research method to investigate the adjustments made by global hotel brands to their strategies after the COVID-19 pandemic, with a major focus on Hilton Hotels and Resorts. The study relies on academic literature, industry publications, and company reports of well-known organisations like the United Nations World Tourism Organization (UNWTO), World </w:t>
      </w:r>
      <w:r w:rsidRPr="004E7548">
        <w:rPr>
          <w:rFonts w:ascii="Arial" w:hAnsi="Arial" w:cs="Arial"/>
          <w:sz w:val="24"/>
        </w:rPr>
        <w:lastRenderedPageBreak/>
        <w:t xml:space="preserve">Travel and Tourism Council (WTTC), PwC, McKinsey and Company, and Deloitte. </w:t>
      </w:r>
      <w:r w:rsidR="005D4776" w:rsidRPr="005D4776">
        <w:rPr>
          <w:rFonts w:ascii="Arial" w:hAnsi="Arial" w:cs="Arial"/>
          <w:sz w:val="24"/>
        </w:rPr>
        <w:t>Additionally, the organisational reports, including Annual and ESG Reports (2021</w:t>
      </w:r>
      <w:r w:rsidR="00BD67B0">
        <w:rPr>
          <w:rFonts w:ascii="Arial" w:hAnsi="Arial" w:cs="Arial"/>
          <w:sz w:val="24"/>
        </w:rPr>
        <w:t>-</w:t>
      </w:r>
      <w:r w:rsidR="005D4776" w:rsidRPr="005D4776">
        <w:rPr>
          <w:rFonts w:ascii="Arial" w:hAnsi="Arial" w:cs="Arial"/>
          <w:sz w:val="24"/>
        </w:rPr>
        <w:t>2024) of Hilton, and corresponding versions of Marriott International and Accor Hotels, were read to get a complete picture of the responses by organisations to the decline in business travel.</w:t>
      </w:r>
    </w:p>
    <w:p w14:paraId="747F314B" w14:textId="77777777" w:rsidR="005D4776" w:rsidRPr="005D4776" w:rsidRDefault="005D4776" w:rsidP="005D4776">
      <w:pPr>
        <w:spacing w:after="0" w:line="360" w:lineRule="auto"/>
        <w:jc w:val="both"/>
        <w:rPr>
          <w:rFonts w:ascii="Arial" w:hAnsi="Arial" w:cs="Arial"/>
          <w:sz w:val="24"/>
        </w:rPr>
      </w:pPr>
      <w:r w:rsidRPr="005D4776">
        <w:rPr>
          <w:rFonts w:ascii="Arial" w:hAnsi="Arial" w:cs="Arial"/>
          <w:sz w:val="24"/>
        </w:rPr>
        <w:t>The study employs the analytical tool of PESTEL, where the external macro-environmental factors, which are Political, Economic, Social, Technological, Environmental, and legal, and which impact the post-pandemi</w:t>
      </w:r>
      <w:r>
        <w:rPr>
          <w:rFonts w:ascii="Arial" w:hAnsi="Arial" w:cs="Arial"/>
          <w:sz w:val="24"/>
        </w:rPr>
        <w:t>c strategy of Hilton, are analys</w:t>
      </w:r>
      <w:r w:rsidRPr="005D4776">
        <w:rPr>
          <w:rFonts w:ascii="Arial" w:hAnsi="Arial" w:cs="Arial"/>
          <w:sz w:val="24"/>
        </w:rPr>
        <w:t>ed. The framework will allow purposeful identification of the forces affecting strategic change, as well as compare the recovery practices of Marriott and Accor.</w:t>
      </w:r>
    </w:p>
    <w:p w14:paraId="4E92F611" w14:textId="77777777" w:rsidR="00515C98" w:rsidRDefault="005D4776" w:rsidP="005D4776">
      <w:pPr>
        <w:spacing w:after="0" w:line="360" w:lineRule="auto"/>
        <w:jc w:val="both"/>
        <w:rPr>
          <w:rFonts w:ascii="Arial" w:hAnsi="Arial" w:cs="Arial"/>
          <w:sz w:val="24"/>
        </w:rPr>
      </w:pPr>
      <w:r w:rsidRPr="005D4776">
        <w:rPr>
          <w:rFonts w:ascii="Arial" w:hAnsi="Arial" w:cs="Arial"/>
          <w:sz w:val="24"/>
        </w:rPr>
        <w:t>Despite making meaningful contributions to the issue of strategic adaptation following COVID, the research is constrained by the adoption of secondary sources of data. Absence of preliminary empirical data limits internal organisational perceptions, although multidimensional triangulation of different peer-researched and corporate sources improves the reliability and validity of the results.</w:t>
      </w:r>
    </w:p>
    <w:p w14:paraId="76F6D2B3" w14:textId="77777777" w:rsidR="00D9653B" w:rsidRPr="002342D2" w:rsidRDefault="0017098E" w:rsidP="0017098E">
      <w:pPr>
        <w:pStyle w:val="Heading1"/>
      </w:pPr>
      <w:bookmarkStart w:id="11" w:name="_Toc211801393"/>
      <w:r>
        <w:t xml:space="preserve">4. </w:t>
      </w:r>
      <w:r w:rsidR="004A63E5">
        <w:t>Thematically</w:t>
      </w:r>
      <w:r w:rsidR="002342D2" w:rsidRPr="002342D2">
        <w:t xml:space="preserve"> Analysis</w:t>
      </w:r>
      <w:r>
        <w:t>:</w:t>
      </w:r>
      <w:bookmarkEnd w:id="11"/>
    </w:p>
    <w:p w14:paraId="75FE05C6" w14:textId="77777777" w:rsidR="00872EC7" w:rsidRDefault="00872EC7" w:rsidP="007D2E6D">
      <w:pPr>
        <w:spacing w:after="0" w:line="360" w:lineRule="auto"/>
        <w:jc w:val="both"/>
        <w:rPr>
          <w:rFonts w:ascii="Arial" w:hAnsi="Arial" w:cs="Arial"/>
          <w:sz w:val="24"/>
        </w:rPr>
      </w:pPr>
      <w:r w:rsidRPr="00872EC7">
        <w:rPr>
          <w:rFonts w:ascii="Arial" w:hAnsi="Arial" w:cs="Arial"/>
          <w:sz w:val="24"/>
        </w:rPr>
        <w:t>The COVID-19 pandemic has severely altered the industry of hospitality industry, and a large fall in corporate travel can be discussed as one of the most disruptive consequences. This part critically examines how Hilton Hotels and Resorts responded to the decline in business travel in terms of the PESTEL analysis framework and contrasts their strategies with those of Marriott International and Accor Hotels to learn how the industry has reacted and resisted.</w:t>
      </w:r>
    </w:p>
    <w:p w14:paraId="2D307ABC" w14:textId="77777777" w:rsidR="007D2E6D" w:rsidRPr="006E40B2" w:rsidRDefault="0017098E" w:rsidP="007D2E6D">
      <w:pPr>
        <w:spacing w:after="0" w:line="360" w:lineRule="auto"/>
        <w:jc w:val="both"/>
        <w:rPr>
          <w:rFonts w:ascii="Arial" w:hAnsi="Arial" w:cs="Arial"/>
          <w:b/>
          <w:sz w:val="24"/>
        </w:rPr>
      </w:pPr>
      <w:bookmarkStart w:id="12" w:name="_Toc211801394"/>
      <w:r w:rsidRPr="0017098E">
        <w:rPr>
          <w:rStyle w:val="Heading1Char"/>
        </w:rPr>
        <w:t xml:space="preserve">4.1 </w:t>
      </w:r>
      <w:r w:rsidR="007D2E6D" w:rsidRPr="0017098E">
        <w:rPr>
          <w:rStyle w:val="Heading1Char"/>
        </w:rPr>
        <w:t>Political and Economic Factors</w:t>
      </w:r>
      <w:bookmarkEnd w:id="12"/>
      <w:r>
        <w:rPr>
          <w:rFonts w:ascii="Arial" w:hAnsi="Arial" w:cs="Arial"/>
          <w:b/>
          <w:sz w:val="24"/>
        </w:rPr>
        <w:t>:</w:t>
      </w:r>
    </w:p>
    <w:p w14:paraId="37E1573D" w14:textId="77777777" w:rsidR="00B912DD" w:rsidRDefault="007D2E6D" w:rsidP="007D2E6D">
      <w:pPr>
        <w:spacing w:after="0" w:line="360" w:lineRule="auto"/>
        <w:jc w:val="both"/>
        <w:rPr>
          <w:rFonts w:ascii="Arial" w:hAnsi="Arial" w:cs="Arial"/>
          <w:sz w:val="24"/>
        </w:rPr>
      </w:pPr>
      <w:r w:rsidRPr="007D2E6D">
        <w:rPr>
          <w:rFonts w:ascii="Arial" w:hAnsi="Arial" w:cs="Arial"/>
          <w:sz w:val="24"/>
        </w:rPr>
        <w:t xml:space="preserve">The pandemic brought about a travel shutdown that has never been witnessed before, as governments have imposed travel barriers through border closures, lockdowns, and health barriers. The United Nations World Tourism Organization (UNWTO, 2022) reports that the number of international tourists decreased by 74% in 2020, and various hotels and resorts faced extreme operational and liquidity issues. </w:t>
      </w:r>
    </w:p>
    <w:p w14:paraId="5ADC89F0" w14:textId="77777777" w:rsidR="00B912DD" w:rsidRDefault="00B912DD" w:rsidP="007D2E6D">
      <w:pPr>
        <w:spacing w:after="0" w:line="360" w:lineRule="auto"/>
        <w:jc w:val="both"/>
        <w:rPr>
          <w:rFonts w:ascii="Arial" w:hAnsi="Arial" w:cs="Arial"/>
          <w:sz w:val="24"/>
        </w:rPr>
      </w:pPr>
    </w:p>
    <w:p w14:paraId="59A4A0AA" w14:textId="77777777" w:rsidR="00B912DD" w:rsidRDefault="00B912DD" w:rsidP="007D2E6D">
      <w:pPr>
        <w:spacing w:after="0" w:line="360" w:lineRule="auto"/>
        <w:jc w:val="both"/>
        <w:rPr>
          <w:rFonts w:ascii="Arial" w:hAnsi="Arial" w:cs="Arial"/>
          <w:sz w:val="24"/>
        </w:rPr>
      </w:pPr>
    </w:p>
    <w:p w14:paraId="1BB489DA" w14:textId="77777777" w:rsidR="00B912DD" w:rsidRDefault="00B912DD" w:rsidP="007D2E6D">
      <w:pPr>
        <w:spacing w:after="0" w:line="360" w:lineRule="auto"/>
        <w:jc w:val="both"/>
        <w:rPr>
          <w:rFonts w:ascii="Arial" w:hAnsi="Arial" w:cs="Arial"/>
          <w:sz w:val="24"/>
        </w:rPr>
      </w:pPr>
    </w:p>
    <w:p w14:paraId="78193FD7" w14:textId="77777777" w:rsidR="00B912DD" w:rsidRDefault="00B912DD" w:rsidP="007D2E6D">
      <w:pPr>
        <w:spacing w:after="0" w:line="360" w:lineRule="auto"/>
        <w:jc w:val="both"/>
        <w:rPr>
          <w:rFonts w:ascii="Arial" w:hAnsi="Arial" w:cs="Arial"/>
          <w:sz w:val="24"/>
        </w:rPr>
      </w:pPr>
      <w:r>
        <w:rPr>
          <w:rFonts w:ascii="Arial" w:hAnsi="Arial" w:cs="Arial"/>
          <w:noProof/>
          <w:sz w:val="24"/>
          <w:lang w:eastAsia="en-GB"/>
        </w:rPr>
        <w:lastRenderedPageBreak/>
        <w:drawing>
          <wp:inline distT="0" distB="0" distL="0" distR="0" wp14:anchorId="70ED5249" wp14:editId="5B7AA5BE">
            <wp:extent cx="5731510" cy="2568575"/>
            <wp:effectExtent l="0" t="0" r="254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1_0.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68575"/>
                    </a:xfrm>
                    <a:prstGeom prst="rect">
                      <a:avLst/>
                    </a:prstGeom>
                  </pic:spPr>
                </pic:pic>
              </a:graphicData>
            </a:graphic>
          </wp:inline>
        </w:drawing>
      </w:r>
    </w:p>
    <w:p w14:paraId="7BB31E87" w14:textId="77777777" w:rsidR="00B912DD" w:rsidRDefault="00B912DD" w:rsidP="007D2E6D">
      <w:pPr>
        <w:spacing w:after="0" w:line="360" w:lineRule="auto"/>
        <w:jc w:val="both"/>
        <w:rPr>
          <w:rFonts w:ascii="Arial" w:hAnsi="Arial" w:cs="Arial"/>
          <w:sz w:val="24"/>
        </w:rPr>
      </w:pPr>
    </w:p>
    <w:p w14:paraId="21A711F6" w14:textId="77777777" w:rsidR="00B912DD" w:rsidRDefault="00B912DD" w:rsidP="007D2E6D">
      <w:pPr>
        <w:spacing w:after="0" w:line="360" w:lineRule="auto"/>
        <w:jc w:val="both"/>
        <w:rPr>
          <w:rFonts w:ascii="Arial" w:hAnsi="Arial" w:cs="Arial"/>
          <w:sz w:val="24"/>
        </w:rPr>
      </w:pPr>
      <w:r>
        <w:rPr>
          <w:rFonts w:ascii="Arial" w:hAnsi="Arial" w:cs="Arial"/>
          <w:sz w:val="24"/>
        </w:rPr>
        <w:t xml:space="preserve">Source: </w:t>
      </w:r>
      <w:r w:rsidRPr="00B912DD">
        <w:rPr>
          <w:rFonts w:ascii="Arial" w:hAnsi="Arial" w:cs="Arial"/>
          <w:sz w:val="24"/>
        </w:rPr>
        <w:t>(UNCTAD, 2021)</w:t>
      </w:r>
      <w:r>
        <w:rPr>
          <w:rFonts w:ascii="Arial" w:hAnsi="Arial" w:cs="Arial"/>
          <w:sz w:val="24"/>
        </w:rPr>
        <w:t>.</w:t>
      </w:r>
    </w:p>
    <w:p w14:paraId="2168DA05" w14:textId="77777777" w:rsidR="007D2E6D" w:rsidRDefault="007D2E6D" w:rsidP="007D2E6D">
      <w:pPr>
        <w:spacing w:after="0" w:line="360" w:lineRule="auto"/>
        <w:jc w:val="both"/>
        <w:rPr>
          <w:rFonts w:ascii="Arial" w:hAnsi="Arial" w:cs="Arial"/>
          <w:sz w:val="24"/>
        </w:rPr>
      </w:pPr>
      <w:r w:rsidRPr="007D2E6D">
        <w:rPr>
          <w:rFonts w:ascii="Arial" w:hAnsi="Arial" w:cs="Arial"/>
          <w:sz w:val="24"/>
        </w:rPr>
        <w:t>Hilton, in turn, introduced the CleanStay program in partnership with Lysol and the Mayo Clinic, which will guarantee adherence to the worldwide health standards and strengthen consumer confidence (Hilton, 2022).</w:t>
      </w:r>
    </w:p>
    <w:p w14:paraId="4E80A883" w14:textId="77777777" w:rsidR="0093622B" w:rsidRDefault="0093622B" w:rsidP="007D2E6D">
      <w:pPr>
        <w:spacing w:after="0" w:line="360" w:lineRule="auto"/>
        <w:jc w:val="both"/>
        <w:rPr>
          <w:rFonts w:ascii="Arial" w:hAnsi="Arial" w:cs="Arial"/>
          <w:sz w:val="24"/>
        </w:rPr>
      </w:pPr>
      <w:r w:rsidRPr="0093622B">
        <w:rPr>
          <w:rFonts w:ascii="Arial" w:hAnsi="Arial" w:cs="Arial"/>
          <w:sz w:val="24"/>
        </w:rPr>
        <w:t>The economic side of the industry experienced losses of more than USD 1.3 trillion in revenues worldwide (Statista, 2023). Hilton reduced this effect by implementing flexible cancellation policies and rebalancing its focus to domestic travel and long-stay travel. According to the findings of the World Travel and Tourism Council (WTTC, 202</w:t>
      </w:r>
      <w:r w:rsidR="008A4BE8">
        <w:rPr>
          <w:rFonts w:ascii="Arial" w:hAnsi="Arial" w:cs="Arial"/>
          <w:sz w:val="24"/>
        </w:rPr>
        <w:t>5</w:t>
      </w:r>
      <w:r w:rsidRPr="0093622B">
        <w:rPr>
          <w:rFonts w:ascii="Arial" w:hAnsi="Arial" w:cs="Arial"/>
          <w:sz w:val="24"/>
        </w:rPr>
        <w:t xml:space="preserve">), domestic travel recovered quickly compared to international demand, which was exploited by staycation campaigns made by Hilton. Marriott has also implemented a similar structure, the so-called Commitment to </w:t>
      </w:r>
      <w:r w:rsidR="00F65917">
        <w:rPr>
          <w:rFonts w:ascii="Arial" w:hAnsi="Arial" w:cs="Arial"/>
          <w:sz w:val="24"/>
        </w:rPr>
        <w:t>C</w:t>
      </w:r>
      <w:r w:rsidR="00875B4B" w:rsidRPr="0093622B">
        <w:rPr>
          <w:rFonts w:ascii="Arial" w:hAnsi="Arial" w:cs="Arial"/>
          <w:sz w:val="24"/>
        </w:rPr>
        <w:t>lean</w:t>
      </w:r>
      <w:r w:rsidRPr="0093622B">
        <w:rPr>
          <w:rFonts w:ascii="Arial" w:hAnsi="Arial" w:cs="Arial"/>
          <w:sz w:val="24"/>
        </w:rPr>
        <w:t>, whereas Accor has initiated its own certification, called ALLSAFE, which is accredited by Bureau Veritas (Accor, 2023). Nevertheless, consumer confidence was stabilised, but the overall recovery was limited by the lack of inflation rates and unstable room rates (PwC, 2024). The 2022 recovery by Hilton demonstrated slow growth but showed weakness because it relied on leisure-based revenues (Deloitte, 2024).</w:t>
      </w:r>
    </w:p>
    <w:p w14:paraId="38CD9A5C" w14:textId="77777777" w:rsidR="0091454C" w:rsidRPr="000079CC" w:rsidRDefault="0017098E" w:rsidP="0091454C">
      <w:pPr>
        <w:spacing w:after="0" w:line="360" w:lineRule="auto"/>
        <w:jc w:val="both"/>
        <w:rPr>
          <w:rFonts w:ascii="Arial" w:hAnsi="Arial" w:cs="Arial"/>
          <w:b/>
          <w:sz w:val="24"/>
        </w:rPr>
      </w:pPr>
      <w:bookmarkStart w:id="13" w:name="_Toc211801395"/>
      <w:r w:rsidRPr="0017098E">
        <w:rPr>
          <w:rStyle w:val="Heading2Char"/>
        </w:rPr>
        <w:t xml:space="preserve">4.2 </w:t>
      </w:r>
      <w:r w:rsidR="0091454C" w:rsidRPr="0017098E">
        <w:rPr>
          <w:rStyle w:val="Heading2Char"/>
        </w:rPr>
        <w:t>Social Factors</w:t>
      </w:r>
      <w:bookmarkEnd w:id="13"/>
      <w:r w:rsidR="00122816">
        <w:rPr>
          <w:rFonts w:ascii="Arial" w:hAnsi="Arial" w:cs="Arial"/>
          <w:b/>
          <w:sz w:val="24"/>
        </w:rPr>
        <w:t>:</w:t>
      </w:r>
    </w:p>
    <w:p w14:paraId="42A77D0F" w14:textId="77777777" w:rsidR="0091454C" w:rsidRDefault="0091454C" w:rsidP="0091454C">
      <w:pPr>
        <w:spacing w:after="0" w:line="360" w:lineRule="auto"/>
        <w:jc w:val="both"/>
        <w:rPr>
          <w:rFonts w:ascii="Arial" w:hAnsi="Arial" w:cs="Arial"/>
          <w:sz w:val="24"/>
        </w:rPr>
      </w:pPr>
      <w:r w:rsidRPr="0091454C">
        <w:rPr>
          <w:rFonts w:ascii="Arial" w:hAnsi="Arial" w:cs="Arial"/>
          <w:sz w:val="24"/>
        </w:rPr>
        <w:t xml:space="preserve">The pandemic also changed travel behaviour and the workplace culture forever. A report by McKinsey &amp; Company (2023) observed that global business travel spending in 2023 was 25-30 percent lower than in 2019, due to the increased use of virtual collaboration. Realising this trend, Hilton opened up the hotel rooms as </w:t>
      </w:r>
      <w:r w:rsidR="000079CC" w:rsidRPr="0091454C">
        <w:rPr>
          <w:rFonts w:ascii="Arial" w:hAnsi="Arial" w:cs="Arial"/>
          <w:sz w:val="24"/>
        </w:rPr>
        <w:t>Workspaces</w:t>
      </w:r>
      <w:r w:rsidRPr="0091454C">
        <w:rPr>
          <w:rFonts w:ascii="Arial" w:hAnsi="Arial" w:cs="Arial"/>
          <w:sz w:val="24"/>
        </w:rPr>
        <w:t xml:space="preserve"> </w:t>
      </w:r>
      <w:r w:rsidRPr="0091454C">
        <w:rPr>
          <w:rFonts w:ascii="Arial" w:hAnsi="Arial" w:cs="Arial"/>
          <w:sz w:val="24"/>
        </w:rPr>
        <w:lastRenderedPageBreak/>
        <w:t>by Hilton, where remote workers and bleisure customers, who travel for business and enjoyment, can have a daytime office (Hilton, 2023).</w:t>
      </w:r>
    </w:p>
    <w:p w14:paraId="2E7586C9" w14:textId="77777777" w:rsidR="000079CC" w:rsidRDefault="000079CC" w:rsidP="0091454C">
      <w:pPr>
        <w:spacing w:after="0" w:line="360" w:lineRule="auto"/>
        <w:jc w:val="both"/>
        <w:rPr>
          <w:rFonts w:ascii="Arial" w:hAnsi="Arial" w:cs="Arial"/>
          <w:sz w:val="24"/>
        </w:rPr>
      </w:pPr>
      <w:r w:rsidRPr="000079CC">
        <w:rPr>
          <w:rFonts w:ascii="Arial" w:hAnsi="Arial" w:cs="Arial"/>
          <w:sz w:val="24"/>
        </w:rPr>
        <w:t>The innovation proved that Hilton had the capacity to respond to the emerging social demands and reinvent guest experiences. According to PwC (2024), the trends of hybrid work stimulated the renewed hotel occupation among younger age groups that demanded flexibility. Other competitors were not left behind: the Work Anywhere offer by Marriott included access to a workstation and loyalty points under their "Bonvoy programme", and the ALL Connect programme by Accor provided hybrid meeting capabilities (Accor, 2024).</w:t>
      </w:r>
    </w:p>
    <w:p w14:paraId="6DC09ACB" w14:textId="77777777" w:rsidR="005918A7" w:rsidRDefault="005918A7" w:rsidP="0091454C">
      <w:pPr>
        <w:spacing w:after="0" w:line="360" w:lineRule="auto"/>
        <w:jc w:val="both"/>
        <w:rPr>
          <w:rFonts w:ascii="Arial" w:hAnsi="Arial" w:cs="Arial"/>
          <w:sz w:val="24"/>
        </w:rPr>
      </w:pPr>
      <w:r w:rsidRPr="005918A7">
        <w:rPr>
          <w:rFonts w:ascii="Arial" w:hAnsi="Arial" w:cs="Arial"/>
          <w:sz w:val="24"/>
        </w:rPr>
        <w:t>Nevertheless, this model is leisure-based and volatile. Skift Research</w:t>
      </w:r>
      <w:r w:rsidR="00F65917">
        <w:rPr>
          <w:rFonts w:ascii="Arial" w:hAnsi="Arial" w:cs="Arial"/>
          <w:sz w:val="24"/>
        </w:rPr>
        <w:t>,</w:t>
      </w:r>
      <w:r w:rsidRPr="005918A7">
        <w:rPr>
          <w:rFonts w:ascii="Arial" w:hAnsi="Arial" w:cs="Arial"/>
          <w:sz w:val="24"/>
        </w:rPr>
        <w:t xml:space="preserve"> (2023) warned that leisure travellers and hybrid clients usually pay less on a trip than corporate clients, which decreases the potential profitability. However, the emphasis on individualised service, loyalty of guests, and online convenience helped Hilton enhance the brand equity and retain customer interaction throughout the transition recovery period.</w:t>
      </w:r>
    </w:p>
    <w:p w14:paraId="10FF4C6B" w14:textId="77777777" w:rsidR="00122816" w:rsidRPr="003958D9" w:rsidRDefault="0017098E" w:rsidP="00122816">
      <w:pPr>
        <w:spacing w:after="0" w:line="360" w:lineRule="auto"/>
        <w:jc w:val="both"/>
        <w:rPr>
          <w:rFonts w:ascii="Arial" w:hAnsi="Arial" w:cs="Arial"/>
          <w:b/>
          <w:sz w:val="24"/>
        </w:rPr>
      </w:pPr>
      <w:bookmarkStart w:id="14" w:name="_Toc211801396"/>
      <w:r w:rsidRPr="0017098E">
        <w:rPr>
          <w:rStyle w:val="Heading2Char"/>
        </w:rPr>
        <w:t xml:space="preserve">4.3 </w:t>
      </w:r>
      <w:r w:rsidR="00122816" w:rsidRPr="0017098E">
        <w:rPr>
          <w:rStyle w:val="Heading2Char"/>
        </w:rPr>
        <w:t>Technological Factors</w:t>
      </w:r>
      <w:bookmarkEnd w:id="14"/>
      <w:r w:rsidR="003958D9" w:rsidRPr="003958D9">
        <w:rPr>
          <w:rFonts w:ascii="Arial" w:hAnsi="Arial" w:cs="Arial"/>
          <w:b/>
          <w:sz w:val="24"/>
        </w:rPr>
        <w:t>:</w:t>
      </w:r>
    </w:p>
    <w:p w14:paraId="2D23634A" w14:textId="77777777" w:rsidR="00122816" w:rsidRDefault="00122816" w:rsidP="00122816">
      <w:pPr>
        <w:spacing w:after="0" w:line="360" w:lineRule="auto"/>
        <w:jc w:val="both"/>
        <w:rPr>
          <w:rFonts w:ascii="Arial" w:hAnsi="Arial" w:cs="Arial"/>
          <w:sz w:val="24"/>
        </w:rPr>
      </w:pPr>
      <w:r w:rsidRPr="00122816">
        <w:rPr>
          <w:rFonts w:ascii="Arial" w:hAnsi="Arial" w:cs="Arial"/>
          <w:sz w:val="24"/>
        </w:rPr>
        <w:t>The post-COVID environment made technology one of the pillars of resilience in operations and guest safety. One way Hilton has expedited the process of digital transformation is by implementing its Hilton Honors App and Digital Key system, which allows customers to check in with no contact, use a mobile device to pay, and select room numbers digitally (Hilton, 2023). This is consistent with the Service Innovation Theory (Chen, 2021), which assumes that the adoption of technology improves customer value and competitive advantage.</w:t>
      </w:r>
    </w:p>
    <w:p w14:paraId="41A4CD1F" w14:textId="77777777" w:rsidR="003958D9" w:rsidRDefault="003958D9" w:rsidP="00122816">
      <w:pPr>
        <w:spacing w:after="0" w:line="360" w:lineRule="auto"/>
        <w:jc w:val="both"/>
        <w:rPr>
          <w:rFonts w:ascii="Arial" w:hAnsi="Arial" w:cs="Arial"/>
          <w:sz w:val="24"/>
        </w:rPr>
      </w:pPr>
      <w:r w:rsidRPr="003958D9">
        <w:rPr>
          <w:rFonts w:ascii="Arial" w:hAnsi="Arial" w:cs="Arial"/>
          <w:sz w:val="24"/>
        </w:rPr>
        <w:t>Digitalisation made operations lean and also met the demand for convenience and hygiene by consumers. According to Deloitte</w:t>
      </w:r>
      <w:r w:rsidR="00F65917">
        <w:rPr>
          <w:rFonts w:ascii="Arial" w:hAnsi="Arial" w:cs="Arial"/>
          <w:sz w:val="24"/>
        </w:rPr>
        <w:t>, (2024)</w:t>
      </w:r>
      <w:r w:rsidRPr="003958D9">
        <w:rPr>
          <w:rFonts w:ascii="Arial" w:hAnsi="Arial" w:cs="Arial"/>
          <w:sz w:val="24"/>
        </w:rPr>
        <w:t xml:space="preserve"> digital-first hotels were able to recover customer confidence faster than traditional operators. Marriott modernized its Bonvoy App to enhance mobile interactions, whereas Accor created its own, which is called ALL App, and combined booking management, environmental performance monitoring, and loyalty services (Accor, 2024). Hilton's was an early investment that gave Hilton a decisive advantage in regaining the confidence of the guests, but brought about cybersecurity-related issues and cost control (Li and Singh, 2022). The need to balance between technological innovation and cost will be critical to the long-term growth.</w:t>
      </w:r>
    </w:p>
    <w:p w14:paraId="6A5E03CA" w14:textId="77777777" w:rsidR="00DE37D4" w:rsidRDefault="00DE37D4" w:rsidP="00AC5260">
      <w:pPr>
        <w:spacing w:after="0" w:line="360" w:lineRule="auto"/>
        <w:jc w:val="both"/>
        <w:rPr>
          <w:rFonts w:ascii="Arial" w:hAnsi="Arial" w:cs="Arial"/>
          <w:b/>
          <w:sz w:val="24"/>
        </w:rPr>
      </w:pPr>
    </w:p>
    <w:p w14:paraId="33C43AF2" w14:textId="77777777" w:rsidR="00AC5260" w:rsidRPr="00AC5260" w:rsidRDefault="0017098E" w:rsidP="00AC5260">
      <w:pPr>
        <w:spacing w:after="0" w:line="360" w:lineRule="auto"/>
        <w:jc w:val="both"/>
        <w:rPr>
          <w:rFonts w:ascii="Arial" w:hAnsi="Arial" w:cs="Arial"/>
          <w:b/>
          <w:sz w:val="24"/>
        </w:rPr>
      </w:pPr>
      <w:bookmarkStart w:id="15" w:name="_Toc211801397"/>
      <w:r w:rsidRPr="0017098E">
        <w:rPr>
          <w:rStyle w:val="Heading2Char"/>
        </w:rPr>
        <w:lastRenderedPageBreak/>
        <w:t xml:space="preserve">4.4 </w:t>
      </w:r>
      <w:r w:rsidR="00AC5260" w:rsidRPr="0017098E">
        <w:rPr>
          <w:rStyle w:val="Heading2Char"/>
        </w:rPr>
        <w:t>Environmental Factors</w:t>
      </w:r>
      <w:bookmarkEnd w:id="15"/>
      <w:r>
        <w:rPr>
          <w:rFonts w:ascii="Arial" w:hAnsi="Arial" w:cs="Arial"/>
          <w:b/>
          <w:sz w:val="24"/>
        </w:rPr>
        <w:t>:</w:t>
      </w:r>
    </w:p>
    <w:p w14:paraId="0A16123C" w14:textId="77777777" w:rsidR="00AC5260" w:rsidRDefault="00AC5260" w:rsidP="00AC5260">
      <w:pPr>
        <w:spacing w:after="0" w:line="360" w:lineRule="auto"/>
        <w:jc w:val="both"/>
        <w:rPr>
          <w:rFonts w:ascii="Arial" w:hAnsi="Arial" w:cs="Arial"/>
          <w:sz w:val="24"/>
        </w:rPr>
      </w:pPr>
      <w:r w:rsidRPr="00AC5260">
        <w:rPr>
          <w:rFonts w:ascii="Arial" w:hAnsi="Arial" w:cs="Arial"/>
          <w:sz w:val="24"/>
        </w:rPr>
        <w:t>Sustainability was turned into a brand differentiator and became a recovery imperative. Increased environmental consciousness of travellers forced hotels to conform to Environmental, Social, and Governance (ESG) principles. Hilton increased its own program, Travel with Purpose, which has aimed to cut carbon emissions and waste by 50 percent by 2030 (Hilton, 2024). This is the Organisational Resilience Theory (Lengnick-Hall and Beck, 2016), which supports flexibility by means of responsible business conduct.</w:t>
      </w:r>
    </w:p>
    <w:p w14:paraId="0BC643BE" w14:textId="77777777" w:rsidR="008A556E" w:rsidRDefault="008A556E" w:rsidP="00AC5260">
      <w:pPr>
        <w:spacing w:after="0" w:line="360" w:lineRule="auto"/>
        <w:jc w:val="both"/>
        <w:rPr>
          <w:rFonts w:ascii="Arial" w:hAnsi="Arial" w:cs="Arial"/>
          <w:sz w:val="24"/>
        </w:rPr>
      </w:pPr>
      <w:r w:rsidRPr="008A556E">
        <w:rPr>
          <w:rFonts w:ascii="Arial" w:hAnsi="Arial" w:cs="Arial"/>
          <w:sz w:val="24"/>
        </w:rPr>
        <w:t>In the industry, similar plans appeared: the Planet 21 programme of Accor aimed at local sourcing and c</w:t>
      </w:r>
      <w:r w:rsidR="00F65917">
        <w:rPr>
          <w:rFonts w:ascii="Arial" w:hAnsi="Arial" w:cs="Arial"/>
          <w:sz w:val="24"/>
        </w:rPr>
        <w:t>arbon neutrality (Accor, 2023).</w:t>
      </w:r>
    </w:p>
    <w:p w14:paraId="50218F7D" w14:textId="77777777" w:rsidR="008A556E" w:rsidRDefault="008A556E" w:rsidP="00AC5260">
      <w:pPr>
        <w:spacing w:after="0" w:line="360" w:lineRule="auto"/>
        <w:jc w:val="both"/>
        <w:rPr>
          <w:rFonts w:ascii="Arial" w:hAnsi="Arial" w:cs="Arial"/>
          <w:sz w:val="24"/>
        </w:rPr>
      </w:pPr>
      <w:r>
        <w:rPr>
          <w:rFonts w:ascii="Arial" w:hAnsi="Arial" w:cs="Arial"/>
          <w:noProof/>
          <w:sz w:val="24"/>
          <w:lang w:eastAsia="en-GB"/>
        </w:rPr>
        <w:drawing>
          <wp:anchor distT="0" distB="0" distL="114300" distR="114300" simplePos="0" relativeHeight="251658240" behindDoc="0" locked="0" layoutInCell="1" allowOverlap="1" wp14:anchorId="0B35412B" wp14:editId="1511CB9E">
            <wp:simplePos x="0" y="0"/>
            <wp:positionH relativeFrom="margin">
              <wp:posOffset>429491</wp:posOffset>
            </wp:positionH>
            <wp:positionV relativeFrom="paragraph">
              <wp:posOffset>10391</wp:posOffset>
            </wp:positionV>
            <wp:extent cx="5230872" cy="3699164"/>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cting-for-Posituve-Hospitality.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45991" cy="3709856"/>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inline distT="0" distB="0" distL="0" distR="0" wp14:anchorId="66BD1A54" wp14:editId="7FA7EF9D">
                <wp:extent cx="304800" cy="304800"/>
                <wp:effectExtent l="0" t="0" r="0" b="0"/>
                <wp:docPr id="4" name="Rectangle 4" descr="https://d2e5ushqwiltxm.cloudfront.net/wp-content/uploads/sites/86/2019/05/06023529/Acting-for-Posituve-Hospitality.pn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FFAF62" id="Rectangle 4" o:spid="_x0000_s1026" alt="https://d2e5ushqwiltxm.cloudfront.net/wp-content/uploads/sites/86/2019/05/06023529/Acting-for-Posituve-Hospitality.pn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" filled="f" stroked="f">
                <o:lock v:ext="edit" aspectratio="t"/>
                <w10:anchorlock/>
              </v:rect>
            </w:pict>
          </mc:Fallback>
        </mc:AlternateContent>
      </w:r>
    </w:p>
    <w:p w14:paraId="328A827B" w14:textId="77777777" w:rsidR="008A556E" w:rsidRDefault="008A556E" w:rsidP="00AC5260">
      <w:pPr>
        <w:spacing w:after="0" w:line="360" w:lineRule="auto"/>
        <w:jc w:val="both"/>
        <w:rPr>
          <w:rFonts w:ascii="Arial" w:hAnsi="Arial" w:cs="Arial"/>
          <w:sz w:val="24"/>
        </w:rPr>
      </w:pPr>
    </w:p>
    <w:p w14:paraId="06BC7AE2" w14:textId="77777777" w:rsidR="008A556E" w:rsidRDefault="008A556E" w:rsidP="00AC5260">
      <w:pPr>
        <w:spacing w:after="0" w:line="360" w:lineRule="auto"/>
        <w:jc w:val="both"/>
        <w:rPr>
          <w:rFonts w:ascii="Arial" w:hAnsi="Arial" w:cs="Arial"/>
          <w:sz w:val="24"/>
        </w:rPr>
      </w:pPr>
    </w:p>
    <w:p w14:paraId="07C2ED8C" w14:textId="77777777" w:rsidR="008A556E" w:rsidRDefault="008A556E" w:rsidP="00AC5260">
      <w:pPr>
        <w:spacing w:after="0" w:line="360" w:lineRule="auto"/>
        <w:jc w:val="both"/>
        <w:rPr>
          <w:rFonts w:ascii="Arial" w:hAnsi="Arial" w:cs="Arial"/>
          <w:sz w:val="24"/>
        </w:rPr>
      </w:pPr>
    </w:p>
    <w:p w14:paraId="5C1FC53C" w14:textId="77777777" w:rsidR="008A556E" w:rsidRDefault="008A556E" w:rsidP="00AC5260">
      <w:pPr>
        <w:spacing w:after="0" w:line="360" w:lineRule="auto"/>
        <w:jc w:val="both"/>
        <w:rPr>
          <w:rFonts w:ascii="Arial" w:hAnsi="Arial" w:cs="Arial"/>
          <w:sz w:val="24"/>
        </w:rPr>
      </w:pPr>
    </w:p>
    <w:p w14:paraId="49DE8389" w14:textId="77777777" w:rsidR="008A556E" w:rsidRDefault="008A556E" w:rsidP="00AC5260">
      <w:pPr>
        <w:spacing w:after="0" w:line="360" w:lineRule="auto"/>
        <w:jc w:val="both"/>
        <w:rPr>
          <w:rFonts w:ascii="Arial" w:hAnsi="Arial" w:cs="Arial"/>
          <w:sz w:val="24"/>
        </w:rPr>
      </w:pPr>
    </w:p>
    <w:p w14:paraId="7868F875" w14:textId="77777777" w:rsidR="008A556E" w:rsidRDefault="008A556E" w:rsidP="00AC5260">
      <w:pPr>
        <w:spacing w:after="0" w:line="360" w:lineRule="auto"/>
        <w:jc w:val="both"/>
        <w:rPr>
          <w:rFonts w:ascii="Arial" w:hAnsi="Arial" w:cs="Arial"/>
          <w:sz w:val="24"/>
        </w:rPr>
      </w:pPr>
    </w:p>
    <w:p w14:paraId="6E108A9A" w14:textId="77777777" w:rsidR="008A556E" w:rsidRDefault="008A556E" w:rsidP="00AC5260">
      <w:pPr>
        <w:spacing w:after="0" w:line="360" w:lineRule="auto"/>
        <w:jc w:val="both"/>
        <w:rPr>
          <w:rFonts w:ascii="Arial" w:hAnsi="Arial" w:cs="Arial"/>
          <w:sz w:val="24"/>
        </w:rPr>
      </w:pPr>
    </w:p>
    <w:p w14:paraId="0BA21795" w14:textId="77777777" w:rsidR="008A556E" w:rsidRDefault="008A556E" w:rsidP="00AC5260">
      <w:pPr>
        <w:spacing w:after="0" w:line="360" w:lineRule="auto"/>
        <w:jc w:val="both"/>
        <w:rPr>
          <w:rFonts w:ascii="Arial" w:hAnsi="Arial" w:cs="Arial"/>
          <w:sz w:val="24"/>
        </w:rPr>
      </w:pPr>
    </w:p>
    <w:p w14:paraId="646F5651" w14:textId="77777777" w:rsidR="008A556E" w:rsidRDefault="008A556E" w:rsidP="00AC5260">
      <w:pPr>
        <w:spacing w:after="0" w:line="360" w:lineRule="auto"/>
        <w:jc w:val="both"/>
        <w:rPr>
          <w:rFonts w:ascii="Arial" w:hAnsi="Arial" w:cs="Arial"/>
          <w:sz w:val="24"/>
        </w:rPr>
      </w:pPr>
    </w:p>
    <w:p w14:paraId="1E4F3B31" w14:textId="77777777" w:rsidR="008A556E" w:rsidRDefault="008A556E" w:rsidP="00AC5260">
      <w:pPr>
        <w:spacing w:after="0" w:line="360" w:lineRule="auto"/>
        <w:jc w:val="both"/>
        <w:rPr>
          <w:rFonts w:ascii="Arial" w:hAnsi="Arial" w:cs="Arial"/>
          <w:sz w:val="24"/>
        </w:rPr>
      </w:pPr>
    </w:p>
    <w:p w14:paraId="609E9181" w14:textId="77777777" w:rsidR="008A556E" w:rsidRDefault="008A556E" w:rsidP="00AC5260">
      <w:pPr>
        <w:spacing w:after="0" w:line="360" w:lineRule="auto"/>
        <w:jc w:val="both"/>
        <w:rPr>
          <w:rFonts w:ascii="Arial" w:hAnsi="Arial" w:cs="Arial"/>
          <w:sz w:val="24"/>
        </w:rPr>
      </w:pPr>
    </w:p>
    <w:p w14:paraId="3E40DF60" w14:textId="77777777" w:rsidR="008A556E" w:rsidRDefault="008A556E" w:rsidP="00AC5260">
      <w:pPr>
        <w:spacing w:after="0" w:line="360" w:lineRule="auto"/>
        <w:jc w:val="both"/>
        <w:rPr>
          <w:rFonts w:ascii="Arial" w:hAnsi="Arial" w:cs="Arial"/>
          <w:sz w:val="24"/>
        </w:rPr>
      </w:pPr>
    </w:p>
    <w:p w14:paraId="59C633B9" w14:textId="77777777" w:rsidR="00DE37D4" w:rsidRDefault="00DE37D4" w:rsidP="00AC5260">
      <w:pPr>
        <w:spacing w:after="0" w:line="360" w:lineRule="auto"/>
        <w:jc w:val="both"/>
        <w:rPr>
          <w:rFonts w:ascii="Arial" w:hAnsi="Arial" w:cs="Arial"/>
          <w:sz w:val="24"/>
          <w:szCs w:val="24"/>
        </w:rPr>
      </w:pPr>
    </w:p>
    <w:p w14:paraId="23BB35D9" w14:textId="77777777" w:rsidR="00DE37D4" w:rsidRDefault="00DE37D4" w:rsidP="00AC5260">
      <w:pPr>
        <w:spacing w:after="0" w:line="360" w:lineRule="auto"/>
        <w:jc w:val="both"/>
        <w:rPr>
          <w:rFonts w:ascii="Arial" w:hAnsi="Arial" w:cs="Arial"/>
          <w:sz w:val="24"/>
          <w:szCs w:val="24"/>
        </w:rPr>
      </w:pPr>
    </w:p>
    <w:p w14:paraId="600D800D" w14:textId="77777777" w:rsidR="008A556E" w:rsidRPr="00DE37D4" w:rsidRDefault="008A556E" w:rsidP="00AC5260">
      <w:pPr>
        <w:spacing w:after="0" w:line="360" w:lineRule="auto"/>
        <w:jc w:val="both"/>
        <w:rPr>
          <w:rFonts w:ascii="Arial" w:hAnsi="Arial" w:cs="Arial"/>
          <w:sz w:val="24"/>
          <w:szCs w:val="24"/>
        </w:rPr>
      </w:pPr>
      <w:r w:rsidRPr="00DE37D4">
        <w:rPr>
          <w:rFonts w:ascii="Arial" w:hAnsi="Arial" w:cs="Arial"/>
          <w:sz w:val="24"/>
          <w:szCs w:val="24"/>
        </w:rPr>
        <w:t xml:space="preserve">Source: </w:t>
      </w:r>
      <w:r w:rsidR="008C51CF" w:rsidRPr="00DE37D4">
        <w:rPr>
          <w:rFonts w:ascii="Arial" w:hAnsi="Arial" w:cs="Arial"/>
          <w:sz w:val="24"/>
          <w:szCs w:val="24"/>
        </w:rPr>
        <w:t>(Accor Hotels, 2019)</w:t>
      </w:r>
      <w:r w:rsidR="00DE37D4" w:rsidRPr="00DE37D4">
        <w:rPr>
          <w:rFonts w:ascii="Arial" w:hAnsi="Arial" w:cs="Arial"/>
          <w:sz w:val="24"/>
          <w:szCs w:val="24"/>
        </w:rPr>
        <w:t>.</w:t>
      </w:r>
    </w:p>
    <w:p w14:paraId="00F651BC" w14:textId="77777777" w:rsidR="00DE37D4" w:rsidRDefault="00DE37D4" w:rsidP="00AC5260">
      <w:pPr>
        <w:spacing w:after="0" w:line="360" w:lineRule="auto"/>
        <w:jc w:val="both"/>
        <w:rPr>
          <w:rFonts w:ascii="Arial" w:hAnsi="Arial" w:cs="Arial"/>
          <w:sz w:val="24"/>
        </w:rPr>
      </w:pPr>
      <w:r w:rsidRPr="008A556E">
        <w:rPr>
          <w:rFonts w:ascii="Arial" w:hAnsi="Arial" w:cs="Arial"/>
          <w:sz w:val="24"/>
        </w:rPr>
        <w:t>And</w:t>
      </w:r>
      <w:r w:rsidR="008A556E" w:rsidRPr="008A556E">
        <w:rPr>
          <w:rFonts w:ascii="Arial" w:hAnsi="Arial" w:cs="Arial"/>
          <w:sz w:val="24"/>
        </w:rPr>
        <w:t xml:space="preserve"> Marriott made its marketing choices based on sustainability measurements, as part of its Serve 360 programme (Marriott, 2023). </w:t>
      </w:r>
    </w:p>
    <w:p w14:paraId="04AA5911" w14:textId="77777777" w:rsidR="00DE37D4" w:rsidRDefault="00DE37D4" w:rsidP="00DE37D4">
      <w:pPr>
        <w:spacing w:after="0" w:line="360" w:lineRule="auto"/>
        <w:jc w:val="center"/>
        <w:rPr>
          <w:rFonts w:ascii="Arial" w:hAnsi="Arial" w:cs="Arial"/>
          <w:sz w:val="24"/>
        </w:rPr>
      </w:pPr>
      <w:r>
        <w:rPr>
          <w:rFonts w:ascii="Arial" w:hAnsi="Arial" w:cs="Arial"/>
          <w:noProof/>
          <w:sz w:val="24"/>
          <w:lang w:eastAsia="en-GB"/>
        </w:rPr>
        <w:lastRenderedPageBreak/>
        <w:drawing>
          <wp:inline distT="0" distB="0" distL="0" distR="0" wp14:anchorId="68A057D6" wp14:editId="6A56AC0B">
            <wp:extent cx="4742526" cy="3447868"/>
            <wp:effectExtent l="0" t="0" r="127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erve360-image.jpg"/>
                    <pic:cNvPicPr/>
                  </pic:nvPicPr>
                  <pic:blipFill>
                    <a:blip r:embed="rId13">
                      <a:extLst>
                        <a:ext uri="{28A0092B-C50C-407E-A947-70E740481C1C}">
                          <a14:useLocalDpi xmlns:a14="http://schemas.microsoft.com/office/drawing/2010/main" val="0"/>
                        </a:ext>
                      </a:extLst>
                    </a:blip>
                    <a:stretch>
                      <a:fillRect/>
                    </a:stretch>
                  </pic:blipFill>
                  <pic:spPr>
                    <a:xfrm>
                      <a:off x="0" y="0"/>
                      <a:ext cx="4752004" cy="3454759"/>
                    </a:xfrm>
                    <a:prstGeom prst="rect">
                      <a:avLst/>
                    </a:prstGeom>
                  </pic:spPr>
                </pic:pic>
              </a:graphicData>
            </a:graphic>
          </wp:inline>
        </w:drawing>
      </w:r>
    </w:p>
    <w:p w14:paraId="16278465" w14:textId="77777777" w:rsidR="00DE37D4" w:rsidRDefault="00DE37D4" w:rsidP="00AC5260">
      <w:pPr>
        <w:spacing w:after="0" w:line="360" w:lineRule="auto"/>
        <w:jc w:val="both"/>
        <w:rPr>
          <w:rFonts w:ascii="Arial" w:hAnsi="Arial" w:cs="Arial"/>
          <w:sz w:val="24"/>
        </w:rPr>
      </w:pPr>
    </w:p>
    <w:p w14:paraId="050EE3E7" w14:textId="77777777" w:rsidR="00DE37D4" w:rsidRDefault="00D16792" w:rsidP="00AC5260">
      <w:pPr>
        <w:spacing w:after="0" w:line="360" w:lineRule="auto"/>
        <w:jc w:val="both"/>
        <w:rPr>
          <w:rFonts w:ascii="Arial" w:hAnsi="Arial" w:cs="Arial"/>
          <w:sz w:val="24"/>
        </w:rPr>
      </w:pPr>
      <w:r>
        <w:rPr>
          <w:rFonts w:ascii="Arial" w:hAnsi="Arial" w:cs="Arial"/>
          <w:sz w:val="24"/>
        </w:rPr>
        <w:t xml:space="preserve">Source: </w:t>
      </w:r>
      <w:r w:rsidRPr="00D16792">
        <w:rPr>
          <w:rFonts w:ascii="Arial" w:hAnsi="Arial" w:cs="Arial"/>
          <w:sz w:val="24"/>
        </w:rPr>
        <w:t>(MindClick, 2025)</w:t>
      </w:r>
    </w:p>
    <w:p w14:paraId="2749DAE2" w14:textId="77777777" w:rsidR="008A556E" w:rsidRDefault="008A556E" w:rsidP="00AC5260">
      <w:pPr>
        <w:spacing w:after="0" w:line="360" w:lineRule="auto"/>
        <w:jc w:val="both"/>
        <w:rPr>
          <w:rFonts w:ascii="Arial" w:hAnsi="Arial" w:cs="Arial"/>
          <w:sz w:val="24"/>
        </w:rPr>
      </w:pPr>
      <w:r w:rsidRPr="008A556E">
        <w:rPr>
          <w:rFonts w:ascii="Arial" w:hAnsi="Arial" w:cs="Arial"/>
          <w:sz w:val="24"/>
        </w:rPr>
        <w:t>WTTC</w:t>
      </w:r>
      <w:r>
        <w:rPr>
          <w:rFonts w:ascii="Arial" w:hAnsi="Arial" w:cs="Arial"/>
          <w:sz w:val="24"/>
        </w:rPr>
        <w:t>,</w:t>
      </w:r>
      <w:r w:rsidRPr="008A556E">
        <w:rPr>
          <w:rFonts w:ascii="Arial" w:hAnsi="Arial" w:cs="Arial"/>
          <w:sz w:val="24"/>
        </w:rPr>
        <w:t xml:space="preserve"> (2023) states that 70% of post-pandemic travellers choose eco-certified hotels, as sustainability is directly associated with brand competitiveness. Hilton also improved its reputation through openness in environmental, social responsibility reporting, but it is hard to guarantee that the process is the same everywhere (Jones and Comfort, 2023). The financial cost of sustainability is also not an easy task to measure, yet Hilton leadership in the area confirms that this company is an environmentally friendly operator.</w:t>
      </w:r>
    </w:p>
    <w:p w14:paraId="575EE473" w14:textId="77777777" w:rsidR="00634864" w:rsidRPr="003202DD" w:rsidRDefault="0017098E" w:rsidP="00634864">
      <w:pPr>
        <w:spacing w:after="0" w:line="360" w:lineRule="auto"/>
        <w:jc w:val="both"/>
        <w:rPr>
          <w:rFonts w:ascii="Arial" w:hAnsi="Arial" w:cs="Arial"/>
          <w:b/>
          <w:sz w:val="24"/>
        </w:rPr>
      </w:pPr>
      <w:bookmarkStart w:id="16" w:name="_Toc211801398"/>
      <w:r w:rsidRPr="0017098E">
        <w:rPr>
          <w:rStyle w:val="Heading2Char"/>
        </w:rPr>
        <w:t>4. 5</w:t>
      </w:r>
      <w:r w:rsidR="00634864" w:rsidRPr="0017098E">
        <w:rPr>
          <w:rStyle w:val="Heading2Char"/>
        </w:rPr>
        <w:t xml:space="preserve"> Legal Factors</w:t>
      </w:r>
      <w:bookmarkEnd w:id="16"/>
      <w:r w:rsidR="003202DD" w:rsidRPr="003202DD">
        <w:rPr>
          <w:rFonts w:ascii="Arial" w:hAnsi="Arial" w:cs="Arial"/>
          <w:b/>
          <w:sz w:val="24"/>
        </w:rPr>
        <w:t>:</w:t>
      </w:r>
    </w:p>
    <w:p w14:paraId="6E6F05B6" w14:textId="77777777" w:rsidR="00634864" w:rsidRDefault="00634864" w:rsidP="00634864">
      <w:pPr>
        <w:spacing w:after="0" w:line="360" w:lineRule="auto"/>
        <w:jc w:val="both"/>
        <w:rPr>
          <w:rFonts w:ascii="Arial" w:hAnsi="Arial" w:cs="Arial"/>
          <w:sz w:val="24"/>
        </w:rPr>
      </w:pPr>
      <w:r w:rsidRPr="00634864">
        <w:rPr>
          <w:rFonts w:ascii="Arial" w:hAnsi="Arial" w:cs="Arial"/>
          <w:sz w:val="24"/>
        </w:rPr>
        <w:t xml:space="preserve">The focus on legal compliance was a key factor in restoring the confidence of stakeholders. The CleanStay and EventReady programmes enabled Hilton to comply with the protocols of the World Health Organization (WHO) and the national governments, guaranteeing the uniformity of hygiene and safety standards in the global markets (Hilton, 2022). Both Accor and Marriott adopted similar structures to respond to the local laws, where Accor based </w:t>
      </w:r>
      <w:r w:rsidR="00F65917">
        <w:rPr>
          <w:rFonts w:ascii="Arial" w:hAnsi="Arial" w:cs="Arial"/>
          <w:sz w:val="24"/>
        </w:rPr>
        <w:t>its</w:t>
      </w:r>
      <w:r w:rsidRPr="00634864">
        <w:rPr>
          <w:rFonts w:ascii="Arial" w:hAnsi="Arial" w:cs="Arial"/>
          <w:sz w:val="24"/>
        </w:rPr>
        <w:t xml:space="preserve"> efforts on the national health certifications (Accor, 2024).</w:t>
      </w:r>
    </w:p>
    <w:p w14:paraId="343B1393" w14:textId="77777777" w:rsidR="00634864" w:rsidRDefault="003202DD" w:rsidP="00AC5260">
      <w:pPr>
        <w:spacing w:after="0" w:line="360" w:lineRule="auto"/>
        <w:jc w:val="both"/>
        <w:rPr>
          <w:rFonts w:ascii="Arial" w:hAnsi="Arial" w:cs="Arial"/>
          <w:sz w:val="24"/>
        </w:rPr>
      </w:pPr>
      <w:r w:rsidRPr="003202DD">
        <w:rPr>
          <w:rFonts w:ascii="Arial" w:hAnsi="Arial" w:cs="Arial"/>
          <w:sz w:val="24"/>
        </w:rPr>
        <w:t>Legislative changes were also applied to the areas of information protection and labor legislation, especially in the wake of the European GDPR and American privacy policies. According to Deloitte</w:t>
      </w:r>
      <w:r w:rsidR="00F65917">
        <w:rPr>
          <w:rFonts w:ascii="Arial" w:hAnsi="Arial" w:cs="Arial"/>
          <w:sz w:val="24"/>
        </w:rPr>
        <w:t>, (2024)</w:t>
      </w:r>
      <w:r w:rsidRPr="003202DD">
        <w:rPr>
          <w:rFonts w:ascii="Arial" w:hAnsi="Arial" w:cs="Arial"/>
          <w:sz w:val="24"/>
        </w:rPr>
        <w:t xml:space="preserve"> compliance is one of the factors driving brand </w:t>
      </w:r>
      <w:r w:rsidRPr="003202DD">
        <w:rPr>
          <w:rFonts w:ascii="Arial" w:hAnsi="Arial" w:cs="Arial"/>
          <w:sz w:val="24"/>
        </w:rPr>
        <w:lastRenderedPageBreak/>
        <w:t>credibility after the pandemic. Hilton's governance was proactive</w:t>
      </w:r>
      <w:r w:rsidR="00F65917">
        <w:rPr>
          <w:rFonts w:ascii="Arial" w:hAnsi="Arial" w:cs="Arial"/>
          <w:sz w:val="24"/>
        </w:rPr>
        <w:t>,</w:t>
      </w:r>
      <w:r w:rsidRPr="003202DD">
        <w:rPr>
          <w:rFonts w:ascii="Arial" w:hAnsi="Arial" w:cs="Arial"/>
          <w:sz w:val="24"/>
        </w:rPr>
        <w:t xml:space="preserve"> which strengthened trust and accountability, but the difference in jurisdiction added administrative overhead and </w:t>
      </w:r>
      <w:r w:rsidR="008A6E31" w:rsidRPr="003202DD">
        <w:rPr>
          <w:rFonts w:ascii="Arial" w:hAnsi="Arial" w:cs="Arial"/>
          <w:sz w:val="24"/>
        </w:rPr>
        <w:t>convolutions</w:t>
      </w:r>
      <w:r w:rsidRPr="003202DD">
        <w:rPr>
          <w:rFonts w:ascii="Arial" w:hAnsi="Arial" w:cs="Arial"/>
          <w:sz w:val="24"/>
        </w:rPr>
        <w:t xml:space="preserve"> in operations.</w:t>
      </w:r>
    </w:p>
    <w:p w14:paraId="596ABD00" w14:textId="77777777" w:rsidR="00625F26" w:rsidRPr="0063641A" w:rsidRDefault="0017098E" w:rsidP="0017098E">
      <w:pPr>
        <w:pStyle w:val="Heading2"/>
      </w:pPr>
      <w:bookmarkStart w:id="17" w:name="_Toc211801399"/>
      <w:r>
        <w:t xml:space="preserve">4.6 </w:t>
      </w:r>
      <w:r w:rsidR="00F55D13">
        <w:t>Critical Analysis</w:t>
      </w:r>
      <w:r>
        <w:t>:</w:t>
      </w:r>
      <w:bookmarkEnd w:id="17"/>
    </w:p>
    <w:p w14:paraId="6EE19797" w14:textId="77777777" w:rsidR="004A63E5" w:rsidRPr="004A63E5" w:rsidRDefault="004A63E5" w:rsidP="004A63E5">
      <w:pPr>
        <w:spacing w:line="360" w:lineRule="auto"/>
        <w:jc w:val="both"/>
        <w:rPr>
          <w:rFonts w:ascii="Arial" w:hAnsi="Arial" w:cs="Arial"/>
          <w:sz w:val="24"/>
        </w:rPr>
      </w:pPr>
      <w:r w:rsidRPr="004A63E5">
        <w:rPr>
          <w:rFonts w:ascii="Arial" w:hAnsi="Arial" w:cs="Arial"/>
          <w:sz w:val="24"/>
        </w:rPr>
        <w:t>Hilton will prove its strength in recovery post-COVID through digital innovation, sustainability, and hybrid hospitality leadership. Its strengths are rapid digitalisation, strong guest trust, and devotion to ESG, whereas its weaknesses include the dependence on leisure and hybrid segments and the slow recovery of the MICE. The risks are sustainable growth, hybrid travel growth, and personalisation based on data, opportunities, inflation, labour shortage, and stagnant corporate travel. Hilton, Marriott, and Accor are advantaged in global standardisation, loyalty programs, and localisation, respectively, over their counterparts. The mentioned changes in general refer to a hospitality sector that is defined by flexibility, digitalisation, and customer-oriented recovery policies.</w:t>
      </w:r>
    </w:p>
    <w:p w14:paraId="5F817FF4" w14:textId="77777777" w:rsidR="00213786" w:rsidRDefault="00213786" w:rsidP="00D9653B">
      <w:pPr>
        <w:spacing w:after="0" w:line="360" w:lineRule="auto"/>
        <w:jc w:val="both"/>
        <w:rPr>
          <w:rFonts w:ascii="Arial" w:hAnsi="Arial" w:cs="Arial"/>
          <w:sz w:val="24"/>
        </w:rPr>
      </w:pPr>
    </w:p>
    <w:p w14:paraId="0616967A" w14:textId="77777777" w:rsidR="00213786" w:rsidRDefault="00213786" w:rsidP="00D9653B">
      <w:pPr>
        <w:spacing w:after="0" w:line="360" w:lineRule="auto"/>
        <w:jc w:val="both"/>
        <w:rPr>
          <w:rFonts w:ascii="Arial" w:hAnsi="Arial" w:cs="Arial"/>
          <w:sz w:val="24"/>
        </w:rPr>
      </w:pPr>
    </w:p>
    <w:p w14:paraId="2B9769D7" w14:textId="77777777" w:rsidR="00213786" w:rsidRDefault="00213786" w:rsidP="00D9653B">
      <w:pPr>
        <w:spacing w:after="0" w:line="360" w:lineRule="auto"/>
        <w:jc w:val="both"/>
        <w:rPr>
          <w:rFonts w:ascii="Arial" w:hAnsi="Arial" w:cs="Arial"/>
          <w:sz w:val="24"/>
        </w:rPr>
      </w:pPr>
    </w:p>
    <w:p w14:paraId="6AC41453" w14:textId="77777777" w:rsidR="00213786" w:rsidRDefault="00213786" w:rsidP="00D9653B">
      <w:pPr>
        <w:spacing w:after="0" w:line="360" w:lineRule="auto"/>
        <w:jc w:val="both"/>
        <w:rPr>
          <w:rFonts w:ascii="Arial" w:hAnsi="Arial" w:cs="Arial"/>
          <w:sz w:val="24"/>
        </w:rPr>
      </w:pPr>
    </w:p>
    <w:p w14:paraId="7F4CAF55" w14:textId="77777777" w:rsidR="00213786" w:rsidRDefault="00213786" w:rsidP="00D9653B">
      <w:pPr>
        <w:spacing w:after="0" w:line="360" w:lineRule="auto"/>
        <w:jc w:val="both"/>
        <w:rPr>
          <w:rFonts w:ascii="Arial" w:hAnsi="Arial" w:cs="Arial"/>
          <w:sz w:val="24"/>
        </w:rPr>
      </w:pPr>
    </w:p>
    <w:p w14:paraId="3BEF4165" w14:textId="77777777" w:rsidR="00213786" w:rsidRDefault="00213786" w:rsidP="00D9653B">
      <w:pPr>
        <w:spacing w:after="0" w:line="360" w:lineRule="auto"/>
        <w:jc w:val="both"/>
        <w:rPr>
          <w:rFonts w:ascii="Arial" w:hAnsi="Arial" w:cs="Arial"/>
          <w:sz w:val="24"/>
        </w:rPr>
      </w:pPr>
    </w:p>
    <w:p w14:paraId="64ACA0B9" w14:textId="77777777" w:rsidR="00213786" w:rsidRDefault="00213786" w:rsidP="00D9653B">
      <w:pPr>
        <w:spacing w:after="0" w:line="360" w:lineRule="auto"/>
        <w:jc w:val="both"/>
        <w:rPr>
          <w:rFonts w:ascii="Arial" w:hAnsi="Arial" w:cs="Arial"/>
          <w:sz w:val="24"/>
        </w:rPr>
      </w:pPr>
    </w:p>
    <w:p w14:paraId="4D9EBBAA" w14:textId="77777777" w:rsidR="00213786" w:rsidRDefault="00213786" w:rsidP="00D9653B">
      <w:pPr>
        <w:spacing w:after="0" w:line="360" w:lineRule="auto"/>
        <w:jc w:val="both"/>
        <w:rPr>
          <w:rFonts w:ascii="Arial" w:hAnsi="Arial" w:cs="Arial"/>
          <w:sz w:val="24"/>
        </w:rPr>
      </w:pPr>
    </w:p>
    <w:p w14:paraId="5D923628" w14:textId="77777777" w:rsidR="00213786" w:rsidRDefault="00213786" w:rsidP="00D9653B">
      <w:pPr>
        <w:spacing w:after="0" w:line="360" w:lineRule="auto"/>
        <w:jc w:val="both"/>
        <w:rPr>
          <w:rFonts w:ascii="Arial" w:hAnsi="Arial" w:cs="Arial"/>
          <w:sz w:val="24"/>
        </w:rPr>
      </w:pPr>
    </w:p>
    <w:p w14:paraId="4D348EB9" w14:textId="77777777" w:rsidR="00213786" w:rsidRDefault="00213786" w:rsidP="00D9653B">
      <w:pPr>
        <w:spacing w:after="0" w:line="360" w:lineRule="auto"/>
        <w:jc w:val="both"/>
        <w:rPr>
          <w:rFonts w:ascii="Arial" w:hAnsi="Arial" w:cs="Arial"/>
          <w:sz w:val="24"/>
        </w:rPr>
      </w:pPr>
    </w:p>
    <w:p w14:paraId="74542226" w14:textId="77777777" w:rsidR="00213786" w:rsidRDefault="00213786" w:rsidP="00D9653B">
      <w:pPr>
        <w:spacing w:after="0" w:line="360" w:lineRule="auto"/>
        <w:jc w:val="both"/>
        <w:rPr>
          <w:rFonts w:ascii="Arial" w:hAnsi="Arial" w:cs="Arial"/>
          <w:sz w:val="24"/>
        </w:rPr>
      </w:pPr>
    </w:p>
    <w:p w14:paraId="5AAF0EEE" w14:textId="77777777" w:rsidR="00213786" w:rsidRDefault="00213786" w:rsidP="00D9653B">
      <w:pPr>
        <w:spacing w:after="0" w:line="360" w:lineRule="auto"/>
        <w:jc w:val="both"/>
        <w:rPr>
          <w:rFonts w:ascii="Arial" w:hAnsi="Arial" w:cs="Arial"/>
          <w:sz w:val="24"/>
        </w:rPr>
      </w:pPr>
    </w:p>
    <w:p w14:paraId="08DC9582" w14:textId="77777777" w:rsidR="00213786" w:rsidRDefault="00213786" w:rsidP="00D9653B">
      <w:pPr>
        <w:spacing w:after="0" w:line="360" w:lineRule="auto"/>
        <w:jc w:val="both"/>
        <w:rPr>
          <w:rFonts w:ascii="Arial" w:hAnsi="Arial" w:cs="Arial"/>
          <w:sz w:val="24"/>
        </w:rPr>
      </w:pPr>
    </w:p>
    <w:p w14:paraId="116055ED" w14:textId="77777777" w:rsidR="00213786" w:rsidRDefault="00213786" w:rsidP="00D9653B">
      <w:pPr>
        <w:spacing w:after="0" w:line="360" w:lineRule="auto"/>
        <w:jc w:val="both"/>
        <w:rPr>
          <w:rFonts w:ascii="Arial" w:hAnsi="Arial" w:cs="Arial"/>
          <w:sz w:val="24"/>
        </w:rPr>
      </w:pPr>
    </w:p>
    <w:p w14:paraId="37CD1354" w14:textId="77777777" w:rsidR="00213786" w:rsidRDefault="00213786" w:rsidP="00D9653B">
      <w:pPr>
        <w:spacing w:after="0" w:line="360" w:lineRule="auto"/>
        <w:jc w:val="both"/>
        <w:rPr>
          <w:rFonts w:ascii="Arial" w:hAnsi="Arial" w:cs="Arial"/>
          <w:sz w:val="24"/>
        </w:rPr>
      </w:pPr>
    </w:p>
    <w:p w14:paraId="516B5A20" w14:textId="77777777" w:rsidR="00213786" w:rsidRDefault="00213786" w:rsidP="00D9653B">
      <w:pPr>
        <w:spacing w:after="0" w:line="360" w:lineRule="auto"/>
        <w:jc w:val="both"/>
        <w:rPr>
          <w:rFonts w:ascii="Arial" w:hAnsi="Arial" w:cs="Arial"/>
          <w:sz w:val="24"/>
        </w:rPr>
      </w:pPr>
    </w:p>
    <w:p w14:paraId="1E6D6AF3" w14:textId="77777777" w:rsidR="00213786" w:rsidRDefault="00213786" w:rsidP="00D9653B">
      <w:pPr>
        <w:spacing w:after="0" w:line="360" w:lineRule="auto"/>
        <w:jc w:val="both"/>
        <w:rPr>
          <w:rFonts w:ascii="Arial" w:hAnsi="Arial" w:cs="Arial"/>
          <w:sz w:val="24"/>
        </w:rPr>
      </w:pPr>
    </w:p>
    <w:p w14:paraId="66ACA047" w14:textId="77777777" w:rsidR="00213786" w:rsidRDefault="00213786" w:rsidP="00D9653B">
      <w:pPr>
        <w:spacing w:after="0" w:line="360" w:lineRule="auto"/>
        <w:jc w:val="both"/>
        <w:rPr>
          <w:rFonts w:ascii="Arial" w:hAnsi="Arial" w:cs="Arial"/>
          <w:sz w:val="24"/>
        </w:rPr>
      </w:pPr>
    </w:p>
    <w:p w14:paraId="078D9FE2" w14:textId="77777777" w:rsidR="00213786" w:rsidRDefault="00213786" w:rsidP="00D9653B">
      <w:pPr>
        <w:spacing w:after="0" w:line="360" w:lineRule="auto"/>
        <w:jc w:val="both"/>
        <w:rPr>
          <w:rFonts w:ascii="Arial" w:hAnsi="Arial" w:cs="Arial"/>
          <w:sz w:val="24"/>
        </w:rPr>
      </w:pPr>
    </w:p>
    <w:p w14:paraId="5F3B5DA4" w14:textId="77777777" w:rsidR="00213786" w:rsidRPr="00213786" w:rsidRDefault="0017098E" w:rsidP="00D9653B">
      <w:pPr>
        <w:spacing w:after="0" w:line="360" w:lineRule="auto"/>
        <w:jc w:val="both"/>
        <w:rPr>
          <w:rFonts w:ascii="Arial" w:hAnsi="Arial" w:cs="Arial"/>
          <w:b/>
          <w:sz w:val="24"/>
        </w:rPr>
      </w:pPr>
      <w:bookmarkStart w:id="18" w:name="_Toc211801400"/>
      <w:r w:rsidRPr="0017098E">
        <w:rPr>
          <w:rStyle w:val="Heading1Char"/>
        </w:rPr>
        <w:lastRenderedPageBreak/>
        <w:t xml:space="preserve">5. </w:t>
      </w:r>
      <w:r w:rsidR="00213786" w:rsidRPr="0017098E">
        <w:rPr>
          <w:rStyle w:val="Heading1Char"/>
        </w:rPr>
        <w:t>Conclusion</w:t>
      </w:r>
      <w:bookmarkEnd w:id="18"/>
      <w:r w:rsidR="00213786" w:rsidRPr="00213786">
        <w:rPr>
          <w:rFonts w:ascii="Arial" w:hAnsi="Arial" w:cs="Arial"/>
          <w:b/>
          <w:sz w:val="24"/>
        </w:rPr>
        <w:t>:</w:t>
      </w:r>
    </w:p>
    <w:p w14:paraId="038453CB" w14:textId="77777777" w:rsidR="00213786" w:rsidRDefault="00213786" w:rsidP="00D9653B">
      <w:pPr>
        <w:spacing w:after="0" w:line="360" w:lineRule="auto"/>
        <w:jc w:val="both"/>
        <w:rPr>
          <w:rFonts w:ascii="Arial" w:hAnsi="Arial" w:cs="Arial"/>
          <w:sz w:val="24"/>
        </w:rPr>
      </w:pPr>
      <w:r w:rsidRPr="00213786">
        <w:rPr>
          <w:rFonts w:ascii="Arial" w:hAnsi="Arial" w:cs="Arial"/>
          <w:sz w:val="24"/>
        </w:rPr>
        <w:t>The analysis shows that Hilton Hotels and Resorts successfully adjusted to the post-COVID downturn in business travel by integrating digital transformation, sustainability, and creating flexible service innovation. Hilton has aligned its business model with the use of adaptive and resilience strategies to focus on leisure and hybrid travel, which has been backed up with robust ESG promises and technological leadership. Although the company is still facing difficulties (especially with corporate travel recovering at a slow pace and inflationary pressures), Hilton’s worldwide strategy and emphasis on digital give it strong long-term competitiveness. Additional comparative lessons by Marriott and Accor also attest to the overall trend in the industry towards flexible, sustainable, and technology-oriented hospitality models.</w:t>
      </w:r>
    </w:p>
    <w:p w14:paraId="068F45DA" w14:textId="77777777" w:rsidR="00D0701D" w:rsidRPr="00D0701D" w:rsidRDefault="0017098E" w:rsidP="00D9653B">
      <w:pPr>
        <w:spacing w:after="0" w:line="360" w:lineRule="auto"/>
        <w:jc w:val="both"/>
        <w:rPr>
          <w:rFonts w:ascii="Arial" w:hAnsi="Arial" w:cs="Arial"/>
          <w:b/>
          <w:sz w:val="24"/>
        </w:rPr>
      </w:pPr>
      <w:bookmarkStart w:id="19" w:name="_Toc211801401"/>
      <w:r w:rsidRPr="0017098E">
        <w:rPr>
          <w:rStyle w:val="Heading1Char"/>
        </w:rPr>
        <w:t xml:space="preserve">6. </w:t>
      </w:r>
      <w:r w:rsidR="00D0701D" w:rsidRPr="0017098E">
        <w:rPr>
          <w:rStyle w:val="Heading1Char"/>
        </w:rPr>
        <w:t>Recommendations</w:t>
      </w:r>
      <w:bookmarkEnd w:id="19"/>
      <w:r w:rsidR="00D0701D" w:rsidRPr="00D0701D">
        <w:rPr>
          <w:rFonts w:ascii="Arial" w:hAnsi="Arial" w:cs="Arial"/>
          <w:b/>
          <w:sz w:val="24"/>
        </w:rPr>
        <w:t>:</w:t>
      </w:r>
    </w:p>
    <w:p w14:paraId="41776B07" w14:textId="77777777" w:rsidR="00D0701D" w:rsidRPr="0037540A" w:rsidRDefault="00D0701D" w:rsidP="00D0701D">
      <w:pPr>
        <w:spacing w:after="0" w:line="360" w:lineRule="auto"/>
        <w:jc w:val="both"/>
        <w:rPr>
          <w:rFonts w:ascii="Arial" w:hAnsi="Arial" w:cs="Arial"/>
          <w:b/>
          <w:sz w:val="24"/>
        </w:rPr>
      </w:pPr>
      <w:r w:rsidRPr="0037540A">
        <w:rPr>
          <w:rFonts w:ascii="Arial" w:hAnsi="Arial" w:cs="Arial"/>
          <w:b/>
          <w:sz w:val="24"/>
        </w:rPr>
        <w:t>Strengthening the Hybrid Hospitality Model</w:t>
      </w:r>
      <w:r w:rsidR="0037540A">
        <w:rPr>
          <w:rFonts w:ascii="Arial" w:hAnsi="Arial" w:cs="Arial"/>
          <w:b/>
          <w:sz w:val="24"/>
        </w:rPr>
        <w:t>:</w:t>
      </w:r>
    </w:p>
    <w:p w14:paraId="1D51B32D" w14:textId="77777777" w:rsidR="00D0701D" w:rsidRDefault="00D0701D" w:rsidP="00D0701D">
      <w:pPr>
        <w:spacing w:after="0" w:line="360" w:lineRule="auto"/>
        <w:jc w:val="both"/>
        <w:rPr>
          <w:rFonts w:ascii="Arial" w:hAnsi="Arial" w:cs="Arial"/>
          <w:sz w:val="24"/>
        </w:rPr>
      </w:pPr>
      <w:r w:rsidRPr="00D0701D">
        <w:rPr>
          <w:rFonts w:ascii="Arial" w:hAnsi="Arial" w:cs="Arial"/>
          <w:sz w:val="24"/>
        </w:rPr>
        <w:t xml:space="preserve">Hilton needs to spread its hybrid accommodation concept by combining business, leisure, and wellness services in one experience. The brand might build on its </w:t>
      </w:r>
      <w:r w:rsidR="00A90F02" w:rsidRPr="00D0701D">
        <w:rPr>
          <w:rFonts w:ascii="Arial" w:hAnsi="Arial" w:cs="Arial"/>
          <w:sz w:val="24"/>
        </w:rPr>
        <w:t>Workspace’s</w:t>
      </w:r>
      <w:r w:rsidRPr="00D0701D">
        <w:rPr>
          <w:rFonts w:ascii="Arial" w:hAnsi="Arial" w:cs="Arial"/>
          <w:sz w:val="24"/>
        </w:rPr>
        <w:t xml:space="preserve"> by Hilton program to create hybrid suites that are ready to work and stay. McKinsey and Company (2024) state that more than a third of all hotel reservations in the world are now made by hybrid and bleisure travellers, which means that people require flexible, digitally connected spaces. This diversification would maintain the occupancy rates and minimize dependence on classic corporate travel.</w:t>
      </w:r>
    </w:p>
    <w:p w14:paraId="625391B3" w14:textId="77777777" w:rsidR="008603D8" w:rsidRPr="00425376" w:rsidRDefault="008603D8" w:rsidP="008603D8">
      <w:pPr>
        <w:spacing w:after="0" w:line="360" w:lineRule="auto"/>
        <w:jc w:val="both"/>
        <w:rPr>
          <w:rFonts w:ascii="Arial" w:hAnsi="Arial" w:cs="Arial"/>
          <w:b/>
          <w:sz w:val="24"/>
        </w:rPr>
      </w:pPr>
      <w:r w:rsidRPr="00425376">
        <w:rPr>
          <w:rFonts w:ascii="Arial" w:hAnsi="Arial" w:cs="Arial"/>
          <w:b/>
          <w:sz w:val="24"/>
        </w:rPr>
        <w:t>Revitalising the MICE Segment</w:t>
      </w:r>
    </w:p>
    <w:p w14:paraId="3B095D63" w14:textId="77777777" w:rsidR="008603D8" w:rsidRDefault="008603D8" w:rsidP="008603D8">
      <w:pPr>
        <w:spacing w:after="0" w:line="360" w:lineRule="auto"/>
        <w:jc w:val="both"/>
        <w:rPr>
          <w:rFonts w:ascii="Arial" w:hAnsi="Arial" w:cs="Arial"/>
          <w:sz w:val="24"/>
        </w:rPr>
      </w:pPr>
      <w:r w:rsidRPr="008603D8">
        <w:rPr>
          <w:rFonts w:ascii="Arial" w:hAnsi="Arial" w:cs="Arial"/>
          <w:sz w:val="24"/>
        </w:rPr>
        <w:t>A decline in the recovery of the Meetings, Incentives, Conferences, and Events (MICE) industry is a challenge and an oppo</w:t>
      </w:r>
      <w:r w:rsidR="00EC5688">
        <w:rPr>
          <w:rFonts w:ascii="Arial" w:hAnsi="Arial" w:cs="Arial"/>
          <w:sz w:val="24"/>
        </w:rPr>
        <w:t>rtunity. Hilton needs to optimis</w:t>
      </w:r>
      <w:r w:rsidRPr="008603D8">
        <w:rPr>
          <w:rFonts w:ascii="Arial" w:hAnsi="Arial" w:cs="Arial"/>
          <w:sz w:val="24"/>
        </w:rPr>
        <w:t xml:space="preserve">e its </w:t>
      </w:r>
      <w:r w:rsidR="00A90F02" w:rsidRPr="008603D8">
        <w:rPr>
          <w:rFonts w:ascii="Arial" w:hAnsi="Arial" w:cs="Arial"/>
          <w:sz w:val="24"/>
        </w:rPr>
        <w:t>Event Ready</w:t>
      </w:r>
      <w:r w:rsidRPr="008603D8">
        <w:rPr>
          <w:rFonts w:ascii="Arial" w:hAnsi="Arial" w:cs="Arial"/>
          <w:sz w:val="24"/>
        </w:rPr>
        <w:t xml:space="preserve"> platform by collaborating with the digital conferencing services of Zoom and Microsoft Teams. According to the World Travel and Tourism Council (WTTC, 2023), it is said that hybrid events will increase by 65 percent by 2026. Incorporating cutting-edge </w:t>
      </w:r>
      <w:r w:rsidR="00A90F02" w:rsidRPr="008603D8">
        <w:rPr>
          <w:rFonts w:ascii="Arial" w:hAnsi="Arial" w:cs="Arial"/>
          <w:sz w:val="24"/>
        </w:rPr>
        <w:t>audio-visual</w:t>
      </w:r>
      <w:r w:rsidRPr="008603D8">
        <w:rPr>
          <w:rFonts w:ascii="Arial" w:hAnsi="Arial" w:cs="Arial"/>
          <w:sz w:val="24"/>
        </w:rPr>
        <w:t xml:space="preserve"> systems would enable Hilton to entice business patrons desiring adaptable, technology-intensive meeting plans, reclaiming lucrative revenue bases.</w:t>
      </w:r>
    </w:p>
    <w:p w14:paraId="7150853D" w14:textId="77777777" w:rsidR="00032A87" w:rsidRPr="00032A87" w:rsidRDefault="00032A87" w:rsidP="00032A87">
      <w:pPr>
        <w:spacing w:after="0" w:line="360" w:lineRule="auto"/>
        <w:jc w:val="both"/>
        <w:rPr>
          <w:rFonts w:ascii="Arial" w:hAnsi="Arial" w:cs="Arial"/>
          <w:b/>
          <w:sz w:val="24"/>
        </w:rPr>
      </w:pPr>
      <w:r w:rsidRPr="00032A87">
        <w:rPr>
          <w:rFonts w:ascii="Arial" w:hAnsi="Arial" w:cs="Arial"/>
          <w:b/>
          <w:sz w:val="24"/>
        </w:rPr>
        <w:t>Sustainability and Integration of ESG</w:t>
      </w:r>
    </w:p>
    <w:p w14:paraId="3914730A" w14:textId="77777777" w:rsidR="00032A87" w:rsidRDefault="00032A87" w:rsidP="00032A87">
      <w:pPr>
        <w:spacing w:after="0" w:line="360" w:lineRule="auto"/>
        <w:jc w:val="both"/>
        <w:rPr>
          <w:rFonts w:ascii="Arial" w:hAnsi="Arial" w:cs="Arial"/>
          <w:sz w:val="24"/>
        </w:rPr>
      </w:pPr>
      <w:r w:rsidRPr="00032A87">
        <w:rPr>
          <w:rFonts w:ascii="Arial" w:hAnsi="Arial" w:cs="Arial"/>
          <w:sz w:val="24"/>
        </w:rPr>
        <w:t xml:space="preserve">The Hilton approach, Travel with Purpose, gives it a powerful sustainability base, yet more localisation can enhance effectiveness. Strategies to work with local suppliers and offer carbon-neutral event solutions would comply with the UN Sustainable Development Goals and provide a competitive advantage to </w:t>
      </w:r>
      <w:r w:rsidR="00F65917">
        <w:rPr>
          <w:rFonts w:ascii="Arial" w:hAnsi="Arial" w:cs="Arial"/>
          <w:sz w:val="24"/>
        </w:rPr>
        <w:t xml:space="preserve">the </w:t>
      </w:r>
      <w:r w:rsidRPr="00032A87">
        <w:rPr>
          <w:rFonts w:ascii="Arial" w:hAnsi="Arial" w:cs="Arial"/>
          <w:sz w:val="24"/>
        </w:rPr>
        <w:t xml:space="preserve">Hilton brand equity </w:t>
      </w:r>
      <w:r w:rsidRPr="00032A87">
        <w:rPr>
          <w:rFonts w:ascii="Arial" w:hAnsi="Arial" w:cs="Arial"/>
          <w:sz w:val="24"/>
        </w:rPr>
        <w:lastRenderedPageBreak/>
        <w:t xml:space="preserve">(Hilton, 2024). Open reporting via </w:t>
      </w:r>
      <w:r w:rsidR="00F65917">
        <w:rPr>
          <w:rFonts w:ascii="Arial" w:hAnsi="Arial" w:cs="Arial"/>
          <w:sz w:val="24"/>
        </w:rPr>
        <w:t xml:space="preserve">the </w:t>
      </w:r>
      <w:r w:rsidRPr="00032A87">
        <w:rPr>
          <w:rFonts w:ascii="Arial" w:hAnsi="Arial" w:cs="Arial"/>
          <w:sz w:val="24"/>
        </w:rPr>
        <w:t xml:space="preserve">Hilton </w:t>
      </w:r>
      <w:r w:rsidR="00A90F02" w:rsidRPr="00032A87">
        <w:rPr>
          <w:rFonts w:ascii="Arial" w:hAnsi="Arial" w:cs="Arial"/>
          <w:sz w:val="24"/>
        </w:rPr>
        <w:t>Honours</w:t>
      </w:r>
      <w:r w:rsidRPr="00032A87">
        <w:rPr>
          <w:rFonts w:ascii="Arial" w:hAnsi="Arial" w:cs="Arial"/>
          <w:sz w:val="24"/>
        </w:rPr>
        <w:t xml:space="preserve"> App with a sustainability tracker would also involve environmentally-conscious guests.</w:t>
      </w:r>
    </w:p>
    <w:p w14:paraId="608E2677" w14:textId="77777777" w:rsidR="00EC5688" w:rsidRPr="00EC5688" w:rsidRDefault="00EC5688" w:rsidP="00EC5688">
      <w:pPr>
        <w:spacing w:after="0" w:line="360" w:lineRule="auto"/>
        <w:jc w:val="both"/>
        <w:rPr>
          <w:rFonts w:ascii="Arial" w:hAnsi="Arial" w:cs="Arial"/>
          <w:b/>
          <w:sz w:val="24"/>
        </w:rPr>
      </w:pPr>
      <w:r w:rsidRPr="00EC5688">
        <w:rPr>
          <w:rFonts w:ascii="Arial" w:hAnsi="Arial" w:cs="Arial"/>
          <w:b/>
          <w:sz w:val="24"/>
        </w:rPr>
        <w:t>Leveraging AI and Data Analytics</w:t>
      </w:r>
    </w:p>
    <w:p w14:paraId="48668948" w14:textId="77777777" w:rsidR="00EC5688" w:rsidRDefault="00EC5688" w:rsidP="00EC5688">
      <w:pPr>
        <w:spacing w:after="0" w:line="360" w:lineRule="auto"/>
        <w:jc w:val="both"/>
        <w:rPr>
          <w:rFonts w:ascii="Arial" w:hAnsi="Arial" w:cs="Arial"/>
          <w:sz w:val="24"/>
        </w:rPr>
      </w:pPr>
      <w:r w:rsidRPr="00EC5688">
        <w:rPr>
          <w:rFonts w:ascii="Arial" w:hAnsi="Arial" w:cs="Arial"/>
          <w:sz w:val="24"/>
        </w:rPr>
        <w:t>Hilton needs to consider applying AI-based analytics to its loyalty program to predict the preferences of its guests and maximize prices. Predictive analytics can make customers more loyal and profitable, as PwC</w:t>
      </w:r>
      <w:r w:rsidR="0047372F">
        <w:rPr>
          <w:rFonts w:ascii="Arial" w:hAnsi="Arial" w:cs="Arial"/>
          <w:sz w:val="24"/>
        </w:rPr>
        <w:t>,</w:t>
      </w:r>
      <w:r w:rsidRPr="00EC5688">
        <w:rPr>
          <w:rFonts w:ascii="Arial" w:hAnsi="Arial" w:cs="Arial"/>
          <w:sz w:val="24"/>
        </w:rPr>
        <w:t xml:space="preserve"> (2024) indicates, which justifies the idea of Hilton being a competition with less successful rivals, like Marriott and Accor.</w:t>
      </w:r>
    </w:p>
    <w:p w14:paraId="20AD7822" w14:textId="77777777" w:rsidR="0072401D" w:rsidRDefault="0072401D" w:rsidP="00EC5688">
      <w:pPr>
        <w:spacing w:after="0" w:line="360" w:lineRule="auto"/>
        <w:jc w:val="both"/>
        <w:rPr>
          <w:rFonts w:ascii="Arial" w:hAnsi="Arial" w:cs="Arial"/>
          <w:sz w:val="24"/>
        </w:rPr>
      </w:pPr>
      <w:r>
        <w:rPr>
          <w:rFonts w:ascii="Arial" w:hAnsi="Arial" w:cs="Arial"/>
          <w:sz w:val="24"/>
        </w:rPr>
        <w:t xml:space="preserve">The following flow chart shows the </w:t>
      </w:r>
      <w:r w:rsidRPr="0072401D">
        <w:rPr>
          <w:rFonts w:ascii="Arial" w:hAnsi="Arial" w:cs="Arial"/>
          <w:sz w:val="24"/>
        </w:rPr>
        <w:t>Strategic Alignment of Hilton’s Post-COVID Recommendations</w:t>
      </w:r>
      <w:r>
        <w:rPr>
          <w:rFonts w:ascii="Arial" w:hAnsi="Arial" w:cs="Arial"/>
          <w:sz w:val="24"/>
        </w:rPr>
        <w:t>:</w:t>
      </w:r>
    </w:p>
    <w:p w14:paraId="39E6762F" w14:textId="77777777" w:rsidR="0049069F" w:rsidRDefault="002E32ED" w:rsidP="00EC5688">
      <w:pPr>
        <w:spacing w:after="0" w:line="360" w:lineRule="auto"/>
        <w:jc w:val="both"/>
        <w:rPr>
          <w:rFonts w:ascii="Arial" w:hAnsi="Arial" w:cs="Arial"/>
          <w:sz w:val="24"/>
        </w:rPr>
      </w:pPr>
      <w:r w:rsidRPr="00E37F8E">
        <w:rPr>
          <w:rFonts w:ascii="Arial" w:hAnsi="Arial" w:cs="Arial"/>
          <w:noProof/>
          <w:sz w:val="24"/>
          <w:lang w:eastAsia="en-GB"/>
        </w:rPr>
        <mc:AlternateContent>
          <mc:Choice Requires="wps">
            <w:drawing>
              <wp:anchor distT="45720" distB="45720" distL="114300" distR="114300" simplePos="0" relativeHeight="251662336" behindDoc="0" locked="0" layoutInCell="1" allowOverlap="1" wp14:anchorId="1A131324" wp14:editId="68D20A31">
                <wp:simplePos x="0" y="0"/>
                <wp:positionH relativeFrom="column">
                  <wp:posOffset>886691</wp:posOffset>
                </wp:positionH>
                <wp:positionV relativeFrom="paragraph">
                  <wp:posOffset>4096442</wp:posOffset>
                </wp:positionV>
                <wp:extent cx="3996690" cy="658091"/>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96690" cy="658091"/>
                        </a:xfrm>
                        <a:prstGeom prst="rect">
                          <a:avLst/>
                        </a:prstGeom>
                        <a:noFill/>
                        <a:ln w="9525">
                          <a:noFill/>
                          <a:miter lim="800000"/>
                          <a:headEnd/>
                          <a:tailEnd/>
                        </a:ln>
                      </wps:spPr>
                      <wps:txbx>
                        <w:txbxContent>
                          <w:p w14:paraId="556F906B" w14:textId="77777777" w:rsidR="00E37F8E" w:rsidRDefault="002E32ED" w:rsidP="002E32ED">
                            <w:pPr>
                              <w:jc w:val="both"/>
                              <w:rPr>
                                <w:rFonts w:ascii="Arial" w:hAnsi="Arial" w:cs="Arial"/>
                                <w:sz w:val="24"/>
                                <w:szCs w:val="24"/>
                              </w:rPr>
                            </w:pPr>
                            <w:r w:rsidRPr="002E32ED">
                              <w:rPr>
                                <w:rFonts w:ascii="Arial" w:hAnsi="Arial" w:cs="Arial"/>
                                <w:b/>
                                <w:sz w:val="24"/>
                                <w:szCs w:val="24"/>
                              </w:rPr>
                              <w:t xml:space="preserve">OUTCOME: </w:t>
                            </w:r>
                            <w:r w:rsidRPr="002E32ED">
                              <w:rPr>
                                <w:rFonts w:ascii="Arial" w:hAnsi="Arial" w:cs="Arial"/>
                                <w:sz w:val="24"/>
                                <w:szCs w:val="24"/>
                              </w:rPr>
                              <w:t>A Hilton that is digitally connected, environmentally friendly, and flexible is ready for long-term growth.</w:t>
                            </w:r>
                          </w:p>
                          <w:p w14:paraId="3404382E" w14:textId="77777777" w:rsidR="002E32ED" w:rsidRPr="002E32ED" w:rsidRDefault="002E32ED" w:rsidP="002E32ED">
                            <w:pPr>
                              <w:jc w:val="both"/>
                              <w:rPr>
                                <w:rFonts w:ascii="Arial" w:hAnsi="Arial" w:cs="Arial"/>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131324" id="_x0000_s1028" type="#_x0000_t202" style="position:absolute;left:0;text-align:left;margin-left:69.8pt;margin-top:322.55pt;width:314.7pt;height:51.8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" filled="f" stroked="f">
                <v:textbox>
                  <w:txbxContent>
                    <w:p w14:paraId="556F906B" w14:textId="77777777" w:rsidR="00E37F8E" w:rsidRDefault="002E32ED" w:rsidP="002E32ED">
                      <w:pPr>
                        <w:jc w:val="both"/>
                        <w:rPr>
                          <w:rFonts w:ascii="Arial" w:hAnsi="Arial" w:cs="Arial"/>
                          <w:sz w:val="24"/>
                          <w:szCs w:val="24"/>
                        </w:rPr>
                      </w:pPr>
                      <w:r w:rsidRPr="002E32ED">
                        <w:rPr>
                          <w:rFonts w:ascii="Arial" w:hAnsi="Arial" w:cs="Arial"/>
                          <w:b/>
                          <w:sz w:val="24"/>
                          <w:szCs w:val="24"/>
                        </w:rPr>
                        <w:t xml:space="preserve">OUTCOME: </w:t>
                      </w:r>
                      <w:r w:rsidRPr="002E32ED">
                        <w:rPr>
                          <w:rFonts w:ascii="Arial" w:hAnsi="Arial" w:cs="Arial"/>
                          <w:sz w:val="24"/>
                          <w:szCs w:val="24"/>
                        </w:rPr>
                        <w:t>A Hilton that is digitally connected, environmentally friendly, and flexible is ready for long-term growth.</w:t>
                      </w:r>
                    </w:p>
                    <w:p w14:paraId="3404382E" w14:textId="77777777" w:rsidR="002E32ED" w:rsidRPr="002E32ED" w:rsidRDefault="002E32ED" w:rsidP="002E32ED">
                      <w:pPr>
                        <w:jc w:val="both"/>
                        <w:rPr>
                          <w:rFonts w:ascii="Arial" w:hAnsi="Arial" w:cs="Arial"/>
                          <w:sz w:val="24"/>
                          <w:szCs w:val="24"/>
                        </w:rPr>
                      </w:pPr>
                    </w:p>
                  </w:txbxContent>
                </v:textbox>
              </v:shape>
            </w:pict>
          </mc:Fallback>
        </mc:AlternateContent>
      </w:r>
      <w:r>
        <w:rPr>
          <w:rFonts w:ascii="Arial" w:hAnsi="Arial" w:cs="Arial"/>
          <w:noProof/>
          <w:sz w:val="24"/>
          <w:lang w:eastAsia="en-GB"/>
        </w:rPr>
        <mc:AlternateContent>
          <mc:Choice Requires="wps">
            <w:drawing>
              <wp:anchor distT="0" distB="0" distL="114300" distR="114300" simplePos="0" relativeHeight="251660288" behindDoc="0" locked="0" layoutInCell="1" allowOverlap="1" wp14:anchorId="5CDDE9E4" wp14:editId="4862C5D7">
                <wp:simplePos x="0" y="0"/>
                <wp:positionH relativeFrom="column">
                  <wp:posOffset>852055</wp:posOffset>
                </wp:positionH>
                <wp:positionV relativeFrom="paragraph">
                  <wp:posOffset>4054879</wp:posOffset>
                </wp:positionV>
                <wp:extent cx="4072890" cy="637309"/>
                <wp:effectExtent l="0" t="0" r="3810" b="0"/>
                <wp:wrapNone/>
                <wp:docPr id="10" name="Rectangle 10"/>
                <wp:cNvGraphicFramePr/>
                <a:graphic xmlns:a="http://schemas.openxmlformats.org/drawingml/2006/main">
                  <a:graphicData uri="http://schemas.microsoft.com/office/word/2010/wordprocessingShape">
                    <wps:wsp>
                      <wps:cNvSpPr/>
                      <wps:spPr>
                        <a:xfrm>
                          <a:off x="0" y="0"/>
                          <a:ext cx="4072890" cy="637309"/>
                        </a:xfrm>
                        <a:prstGeom prst="rect">
                          <a:avLst/>
                        </a:prstGeom>
                        <a:solidFill>
                          <a:schemeClr val="bg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8F274F" id="Rectangle 10" o:spid="_x0000_s1026" style="position:absolute;margin-left:67.1pt;margin-top:319.3pt;width:320.7pt;height:50.2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" fillcolor="#bfbfbf [2412]" stroked="f" strokeweight="1pt"/>
            </w:pict>
          </mc:Fallback>
        </mc:AlternateContent>
      </w:r>
      <w:r w:rsidR="009C68DF">
        <w:rPr>
          <w:rFonts w:ascii="Arial" w:hAnsi="Arial" w:cs="Arial"/>
          <w:noProof/>
          <w:sz w:val="24"/>
          <w:lang w:eastAsia="en-GB"/>
        </w:rPr>
        <mc:AlternateContent>
          <mc:Choice Requires="wps">
            <w:drawing>
              <wp:anchor distT="0" distB="0" distL="114300" distR="114300" simplePos="0" relativeHeight="251659264" behindDoc="0" locked="0" layoutInCell="1" allowOverlap="1" wp14:anchorId="104CA62B" wp14:editId="678F8A06">
                <wp:simplePos x="0" y="0"/>
                <wp:positionH relativeFrom="margin">
                  <wp:align>center</wp:align>
                </wp:positionH>
                <wp:positionV relativeFrom="paragraph">
                  <wp:posOffset>3583767</wp:posOffset>
                </wp:positionV>
                <wp:extent cx="290946" cy="429491"/>
                <wp:effectExtent l="19050" t="0" r="33020" b="46990"/>
                <wp:wrapNone/>
                <wp:docPr id="9" name="Down Arrow 9"/>
                <wp:cNvGraphicFramePr/>
                <a:graphic xmlns:a="http://schemas.openxmlformats.org/drawingml/2006/main">
                  <a:graphicData uri="http://schemas.microsoft.com/office/word/2010/wordprocessingShape">
                    <wps:wsp>
                      <wps:cNvSpPr/>
                      <wps:spPr>
                        <a:xfrm>
                          <a:off x="0" y="0"/>
                          <a:ext cx="290946" cy="429491"/>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0F3E7CF"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0;margin-top:282.2pt;width:22.9pt;height:33.8pt;z-index:2516592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" adj="14284" fillcolor="#5b9bd5 [3204]" strokecolor="#1f4d78 [1604]" strokeweight="1pt">
                <w10:wrap anchorx="margin"/>
              </v:shape>
            </w:pict>
          </mc:Fallback>
        </mc:AlternateContent>
      </w:r>
      <w:r w:rsidR="0049069F">
        <w:rPr>
          <w:rFonts w:ascii="Arial" w:hAnsi="Arial" w:cs="Arial"/>
          <w:noProof/>
          <w:sz w:val="24"/>
          <w:lang w:eastAsia="en-GB"/>
        </w:rPr>
        <w:drawing>
          <wp:inline distT="0" distB="0" distL="0" distR="0" wp14:anchorId="08AEF02F" wp14:editId="3A40F30C">
            <wp:extent cx="5486400" cy="3595254"/>
            <wp:effectExtent l="0" t="0" r="76200" b="4381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0EC185A" w14:textId="77777777" w:rsidR="00510255" w:rsidRDefault="00510255" w:rsidP="00EC5688">
      <w:pPr>
        <w:spacing w:after="0" w:line="360" w:lineRule="auto"/>
        <w:jc w:val="both"/>
        <w:rPr>
          <w:rFonts w:ascii="Arial" w:hAnsi="Arial" w:cs="Arial"/>
          <w:sz w:val="24"/>
        </w:rPr>
      </w:pPr>
    </w:p>
    <w:p w14:paraId="1C6EEDCB" w14:textId="77777777" w:rsidR="00510255" w:rsidRDefault="00510255" w:rsidP="00EC5688">
      <w:pPr>
        <w:spacing w:after="0" w:line="360" w:lineRule="auto"/>
        <w:jc w:val="both"/>
        <w:rPr>
          <w:rFonts w:ascii="Arial" w:hAnsi="Arial" w:cs="Arial"/>
          <w:sz w:val="24"/>
        </w:rPr>
      </w:pPr>
    </w:p>
    <w:p w14:paraId="66A547F4" w14:textId="77777777" w:rsidR="00510255" w:rsidRDefault="00510255" w:rsidP="00EC5688">
      <w:pPr>
        <w:spacing w:after="0" w:line="360" w:lineRule="auto"/>
        <w:jc w:val="both"/>
        <w:rPr>
          <w:rFonts w:ascii="Arial" w:hAnsi="Arial" w:cs="Arial"/>
          <w:sz w:val="24"/>
        </w:rPr>
      </w:pPr>
    </w:p>
    <w:p w14:paraId="6DC65938" w14:textId="77777777" w:rsidR="00510255" w:rsidRDefault="00510255" w:rsidP="00EC5688">
      <w:pPr>
        <w:spacing w:after="0" w:line="360" w:lineRule="auto"/>
        <w:jc w:val="both"/>
        <w:rPr>
          <w:rFonts w:ascii="Arial" w:hAnsi="Arial" w:cs="Arial"/>
          <w:sz w:val="24"/>
        </w:rPr>
      </w:pPr>
    </w:p>
    <w:p w14:paraId="6D59A3AA" w14:textId="77777777" w:rsidR="00510255" w:rsidRDefault="00510255" w:rsidP="00EC5688">
      <w:pPr>
        <w:spacing w:after="0" w:line="360" w:lineRule="auto"/>
        <w:jc w:val="both"/>
        <w:rPr>
          <w:rFonts w:ascii="Arial" w:hAnsi="Arial" w:cs="Arial"/>
          <w:sz w:val="24"/>
        </w:rPr>
      </w:pPr>
    </w:p>
    <w:p w14:paraId="22E8A75F" w14:textId="77777777" w:rsidR="00510255" w:rsidRDefault="00510255" w:rsidP="00EC5688">
      <w:pPr>
        <w:spacing w:after="0" w:line="360" w:lineRule="auto"/>
        <w:jc w:val="both"/>
        <w:rPr>
          <w:rFonts w:ascii="Arial" w:hAnsi="Arial" w:cs="Arial"/>
          <w:sz w:val="24"/>
        </w:rPr>
      </w:pPr>
    </w:p>
    <w:p w14:paraId="5269AFAB" w14:textId="77777777" w:rsidR="00510255" w:rsidRDefault="00510255" w:rsidP="00EC5688">
      <w:pPr>
        <w:spacing w:after="0" w:line="360" w:lineRule="auto"/>
        <w:jc w:val="both"/>
        <w:rPr>
          <w:rFonts w:ascii="Arial" w:hAnsi="Arial" w:cs="Arial"/>
          <w:sz w:val="24"/>
        </w:rPr>
      </w:pPr>
    </w:p>
    <w:p w14:paraId="3B8509E3" w14:textId="77777777" w:rsidR="00510255" w:rsidRDefault="00510255" w:rsidP="00EC5688">
      <w:pPr>
        <w:spacing w:after="0" w:line="360" w:lineRule="auto"/>
        <w:jc w:val="both"/>
        <w:rPr>
          <w:rFonts w:ascii="Arial" w:hAnsi="Arial" w:cs="Arial"/>
          <w:sz w:val="24"/>
        </w:rPr>
      </w:pPr>
    </w:p>
    <w:p w14:paraId="79D93057" w14:textId="77777777" w:rsidR="00510255" w:rsidRDefault="00510255" w:rsidP="00EC5688">
      <w:pPr>
        <w:spacing w:after="0" w:line="360" w:lineRule="auto"/>
        <w:jc w:val="both"/>
        <w:rPr>
          <w:rFonts w:ascii="Arial" w:hAnsi="Arial" w:cs="Arial"/>
          <w:sz w:val="24"/>
        </w:rPr>
      </w:pPr>
    </w:p>
    <w:p w14:paraId="1C206282" w14:textId="77777777" w:rsidR="00510255" w:rsidRDefault="00510255" w:rsidP="00EC5688">
      <w:pPr>
        <w:spacing w:after="0" w:line="360" w:lineRule="auto"/>
        <w:jc w:val="both"/>
        <w:rPr>
          <w:rFonts w:ascii="Arial" w:hAnsi="Arial" w:cs="Arial"/>
          <w:sz w:val="24"/>
        </w:rPr>
      </w:pPr>
    </w:p>
    <w:p w14:paraId="216FD418" w14:textId="77777777" w:rsidR="00510255" w:rsidRPr="00510255" w:rsidRDefault="0017098E" w:rsidP="00EC5688">
      <w:pPr>
        <w:spacing w:after="0" w:line="360" w:lineRule="auto"/>
        <w:jc w:val="both"/>
        <w:rPr>
          <w:rFonts w:ascii="Arial" w:hAnsi="Arial" w:cs="Arial"/>
          <w:b/>
          <w:sz w:val="24"/>
        </w:rPr>
      </w:pPr>
      <w:bookmarkStart w:id="20" w:name="_Toc211801402"/>
      <w:r w:rsidRPr="0017098E">
        <w:rPr>
          <w:rStyle w:val="Heading1Char"/>
        </w:rPr>
        <w:lastRenderedPageBreak/>
        <w:t xml:space="preserve">7. </w:t>
      </w:r>
      <w:r w:rsidR="00510255" w:rsidRPr="0017098E">
        <w:rPr>
          <w:rStyle w:val="Heading1Char"/>
        </w:rPr>
        <w:t>References</w:t>
      </w:r>
      <w:bookmarkEnd w:id="20"/>
      <w:r w:rsidR="00510255" w:rsidRPr="00510255">
        <w:rPr>
          <w:rFonts w:ascii="Arial" w:hAnsi="Arial" w:cs="Arial"/>
          <w:b/>
          <w:sz w:val="24"/>
        </w:rPr>
        <w:t>:</w:t>
      </w:r>
    </w:p>
    <w:p w14:paraId="5A285F67"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Accor, (2023) </w:t>
      </w:r>
      <w:r w:rsidRPr="004F31EF">
        <w:rPr>
          <w:rStyle w:val="Emphasis"/>
          <w:rFonts w:ascii="Arial" w:eastAsiaTheme="majorEastAsia" w:hAnsi="Arial" w:cs="Arial"/>
        </w:rPr>
        <w:t>Accor Annual Report 2023.</w:t>
      </w:r>
      <w:r w:rsidRPr="004F31EF">
        <w:rPr>
          <w:rFonts w:ascii="Arial" w:hAnsi="Arial" w:cs="Arial"/>
        </w:rPr>
        <w:t xml:space="preserve"> Paris: Accor Group.</w:t>
      </w:r>
      <w:r w:rsidRPr="004F31EF">
        <w:rPr>
          <w:rFonts w:ascii="Arial" w:hAnsi="Arial" w:cs="Arial"/>
        </w:rPr>
        <w:br/>
        <w:t xml:space="preserve">Accor, (2024) </w:t>
      </w:r>
      <w:r w:rsidRPr="004F31EF">
        <w:rPr>
          <w:rStyle w:val="Emphasis"/>
          <w:rFonts w:ascii="Arial" w:eastAsiaTheme="majorEastAsia" w:hAnsi="Arial" w:cs="Arial"/>
        </w:rPr>
        <w:t>ALL Connect and ALLSAFE Programmes 2024.</w:t>
      </w:r>
      <w:r w:rsidRPr="004F31EF">
        <w:rPr>
          <w:rFonts w:ascii="Arial" w:hAnsi="Arial" w:cs="Arial"/>
        </w:rPr>
        <w:t xml:space="preserve"> Paris: Accor Group.</w:t>
      </w:r>
    </w:p>
    <w:p w14:paraId="59E0E595"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Accor, (2024) </w:t>
      </w:r>
      <w:r w:rsidRPr="004F31EF">
        <w:rPr>
          <w:rStyle w:val="Emphasis"/>
          <w:rFonts w:ascii="Arial" w:hAnsi="Arial" w:cs="Arial"/>
        </w:rPr>
        <w:t>Accor Integrated Report 2024.</w:t>
      </w:r>
      <w:r w:rsidRPr="004F31EF">
        <w:rPr>
          <w:rFonts w:ascii="Arial" w:hAnsi="Arial" w:cs="Arial"/>
        </w:rPr>
        <w:t xml:space="preserve"> Paris: Accor Group.</w:t>
      </w:r>
    </w:p>
    <w:p w14:paraId="23D465F0"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Chen, J. (2021) </w:t>
      </w:r>
      <w:r w:rsidRPr="004F31EF">
        <w:rPr>
          <w:rFonts w:ascii="Arial" w:hAnsi="Arial" w:cs="Arial"/>
          <w:i/>
        </w:rPr>
        <w:t>‘Service innovation and customer value creation in the hospitality industry,’</w:t>
      </w:r>
      <w:r w:rsidRPr="004F31EF">
        <w:rPr>
          <w:rFonts w:ascii="Arial" w:hAnsi="Arial" w:cs="Arial"/>
        </w:rPr>
        <w:t xml:space="preserve"> </w:t>
      </w:r>
      <w:r w:rsidRPr="004F31EF">
        <w:rPr>
          <w:rStyle w:val="Emphasis"/>
          <w:rFonts w:ascii="Arial" w:hAnsi="Arial" w:cs="Arial"/>
          <w:i w:val="0"/>
        </w:rPr>
        <w:t>Journal of Hospitality and Tourism Management</w:t>
      </w:r>
      <w:r w:rsidRPr="004F31EF">
        <w:rPr>
          <w:rStyle w:val="Emphasis"/>
          <w:rFonts w:ascii="Arial" w:hAnsi="Arial" w:cs="Arial"/>
        </w:rPr>
        <w:t>,</w:t>
      </w:r>
      <w:r w:rsidRPr="004F31EF">
        <w:rPr>
          <w:rFonts w:ascii="Arial" w:hAnsi="Arial" w:cs="Arial"/>
        </w:rPr>
        <w:t xml:space="preserve"> 46, pp. 189–198.</w:t>
      </w:r>
    </w:p>
    <w:p w14:paraId="265775BD"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Chen, J. (2021) </w:t>
      </w:r>
      <w:r w:rsidRPr="004F31EF">
        <w:rPr>
          <w:rFonts w:ascii="Arial" w:hAnsi="Arial" w:cs="Arial"/>
          <w:i/>
        </w:rPr>
        <w:t>‘Service innovation in hospitality</w:t>
      </w:r>
      <w:r w:rsidRPr="004F31EF">
        <w:rPr>
          <w:rFonts w:ascii="Arial" w:hAnsi="Arial" w:cs="Arial"/>
        </w:rPr>
        <w:t xml:space="preserve">,’ </w:t>
      </w:r>
      <w:r w:rsidRPr="004F31EF">
        <w:rPr>
          <w:rStyle w:val="Emphasis"/>
          <w:rFonts w:ascii="Arial" w:eastAsiaTheme="majorEastAsia" w:hAnsi="Arial" w:cs="Arial"/>
          <w:i w:val="0"/>
        </w:rPr>
        <w:t>Journal of Hospitality and Tourism Management</w:t>
      </w:r>
      <w:r w:rsidRPr="004F31EF">
        <w:rPr>
          <w:rStyle w:val="Emphasis"/>
          <w:rFonts w:ascii="Arial" w:eastAsiaTheme="majorEastAsia" w:hAnsi="Arial" w:cs="Arial"/>
        </w:rPr>
        <w:t>,</w:t>
      </w:r>
      <w:r w:rsidRPr="004F31EF">
        <w:rPr>
          <w:rFonts w:ascii="Arial" w:hAnsi="Arial" w:cs="Arial"/>
        </w:rPr>
        <w:t xml:space="preserve"> 46, pp. 189–198.</w:t>
      </w:r>
    </w:p>
    <w:p w14:paraId="044CAD6E"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Deloitte, (2023) </w:t>
      </w:r>
      <w:r w:rsidRPr="004F31EF">
        <w:rPr>
          <w:rStyle w:val="Emphasis"/>
          <w:rFonts w:ascii="Arial" w:eastAsiaTheme="majorEastAsia" w:hAnsi="Arial" w:cs="Arial"/>
        </w:rPr>
        <w:t>Hospitality Industry Outlook 2023.</w:t>
      </w:r>
      <w:r w:rsidRPr="004F31EF">
        <w:rPr>
          <w:rFonts w:ascii="Arial" w:hAnsi="Arial" w:cs="Arial"/>
        </w:rPr>
        <w:t xml:space="preserve"> London: Deloitte Insights.</w:t>
      </w:r>
    </w:p>
    <w:p w14:paraId="0CA5F94E"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Deloitte, (2024) </w:t>
      </w:r>
      <w:r w:rsidRPr="004F31EF">
        <w:rPr>
          <w:rStyle w:val="Emphasis"/>
          <w:rFonts w:ascii="Arial" w:hAnsi="Arial" w:cs="Arial"/>
        </w:rPr>
        <w:t>Global Travel and Hospitality Outlook 2024.</w:t>
      </w:r>
      <w:r w:rsidRPr="004F31EF">
        <w:rPr>
          <w:rFonts w:ascii="Arial" w:hAnsi="Arial" w:cs="Arial"/>
        </w:rPr>
        <w:t xml:space="preserve"> London: Deloitte Insights.</w:t>
      </w:r>
    </w:p>
    <w:p w14:paraId="5659DC7B"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EY, (2023). </w:t>
      </w:r>
      <w:r w:rsidRPr="004F31EF">
        <w:rPr>
          <w:rStyle w:val="Emphasis"/>
          <w:rFonts w:ascii="Arial" w:eastAsiaTheme="majorEastAsia" w:hAnsi="Arial" w:cs="Arial"/>
        </w:rPr>
        <w:t>Global Hospitality Digital Transformation Report 2023.</w:t>
      </w:r>
      <w:r w:rsidRPr="004F31EF">
        <w:rPr>
          <w:rFonts w:ascii="Arial" w:hAnsi="Arial" w:cs="Arial"/>
        </w:rPr>
        <w:t xml:space="preserve"> London: EY.</w:t>
      </w:r>
    </w:p>
    <w:p w14:paraId="506C4EE6"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Hilton, (2022) </w:t>
      </w:r>
      <w:r w:rsidRPr="004F31EF">
        <w:rPr>
          <w:rStyle w:val="Emphasis"/>
          <w:rFonts w:ascii="Arial" w:hAnsi="Arial" w:cs="Arial"/>
        </w:rPr>
        <w:t>Hilton CleanStay Programme.</w:t>
      </w:r>
      <w:r w:rsidRPr="004F31EF">
        <w:rPr>
          <w:rFonts w:ascii="Arial" w:hAnsi="Arial" w:cs="Arial"/>
        </w:rPr>
        <w:t xml:space="preserve"> Available at: </w:t>
      </w:r>
      <w:hyperlink r:id="rId19" w:history="1">
        <w:r w:rsidRPr="004F31EF">
          <w:rPr>
            <w:rStyle w:val="Hyperlink"/>
            <w:rFonts w:ascii="Arial" w:hAnsi="Arial" w:cs="Arial"/>
          </w:rPr>
          <w:t>https://www.hilton.com</w:t>
        </w:r>
      </w:hyperlink>
      <w:r w:rsidRPr="004F31EF">
        <w:rPr>
          <w:rFonts w:ascii="Arial" w:hAnsi="Arial" w:cs="Arial"/>
        </w:rPr>
        <w:t>. Accessed: (2 October 2025).</w:t>
      </w:r>
    </w:p>
    <w:p w14:paraId="661B9CD4"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Hilton, (2023). </w:t>
      </w:r>
      <w:r w:rsidRPr="004F31EF">
        <w:rPr>
          <w:rStyle w:val="Emphasis"/>
          <w:rFonts w:ascii="Arial" w:hAnsi="Arial" w:cs="Arial"/>
        </w:rPr>
        <w:t>Hilton Annual Report 2023.</w:t>
      </w:r>
      <w:r w:rsidRPr="004F31EF">
        <w:rPr>
          <w:rFonts w:ascii="Arial" w:hAnsi="Arial" w:cs="Arial"/>
        </w:rPr>
        <w:t xml:space="preserve"> McLean, VA: Hilton Worldwide Holdings Inc.</w:t>
      </w:r>
    </w:p>
    <w:p w14:paraId="4C5C5199"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Hilton Worldwide Holdings Inc., (2024). </w:t>
      </w:r>
      <w:r w:rsidRPr="004F31EF">
        <w:rPr>
          <w:rStyle w:val="Emphasis"/>
          <w:rFonts w:ascii="Arial" w:eastAsiaTheme="majorEastAsia" w:hAnsi="Arial" w:cs="Arial"/>
        </w:rPr>
        <w:t>Annual Report on Form 10-K for the fiscal year ended December 31 2023</w:t>
      </w:r>
      <w:r w:rsidRPr="004F31EF">
        <w:rPr>
          <w:rFonts w:ascii="Arial" w:hAnsi="Arial" w:cs="Arial"/>
        </w:rPr>
        <w:t xml:space="preserve">.  Available at: </w:t>
      </w:r>
      <w:hyperlink r:id="rId20" w:tgtFrame="_new" w:history="1">
        <w:r w:rsidRPr="004F31EF">
          <w:rPr>
            <w:rStyle w:val="Hyperlink"/>
            <w:rFonts w:ascii="Arial" w:hAnsi="Arial" w:cs="Arial"/>
          </w:rPr>
          <w:t>https://stories-editor.hilton.com/wp-content/uploads/2024/04/2023-Annual-Report-10-K.pdf</w:t>
        </w:r>
      </w:hyperlink>
      <w:r w:rsidRPr="004F31EF">
        <w:rPr>
          <w:rFonts w:ascii="Arial" w:hAnsi="Arial" w:cs="Arial"/>
        </w:rPr>
        <w:t>. Accessed (16 October 2025).</w:t>
      </w:r>
    </w:p>
    <w:p w14:paraId="0CB33998"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Lengnick-Hall, C.A., Beck, T.E. (2016). </w:t>
      </w:r>
      <w:r w:rsidRPr="004F31EF">
        <w:rPr>
          <w:rStyle w:val="Emphasis"/>
          <w:rFonts w:ascii="Arial" w:hAnsi="Arial" w:cs="Arial"/>
        </w:rPr>
        <w:t>Resilient organisations: How to adapt and thrive in a complex world.</w:t>
      </w:r>
      <w:r w:rsidRPr="004F31EF">
        <w:rPr>
          <w:rFonts w:ascii="Arial" w:hAnsi="Arial" w:cs="Arial"/>
        </w:rPr>
        <w:t xml:space="preserve"> Oxford: Oxford University Press.</w:t>
      </w:r>
    </w:p>
    <w:p w14:paraId="52B53BFB" w14:textId="77777777" w:rsidR="00256653"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Jones, P., Comfort, D. (2023). ‘Sustainability in global hotel groups,’ </w:t>
      </w:r>
      <w:r w:rsidRPr="004F31EF">
        <w:rPr>
          <w:rStyle w:val="Emphasis"/>
          <w:rFonts w:ascii="Arial" w:eastAsiaTheme="majorEastAsia" w:hAnsi="Arial" w:cs="Arial"/>
        </w:rPr>
        <w:t>International Journal of Contemporary Hospitality Management,</w:t>
      </w:r>
      <w:r w:rsidR="00256653">
        <w:rPr>
          <w:rFonts w:ascii="Arial" w:hAnsi="Arial" w:cs="Arial"/>
        </w:rPr>
        <w:t xml:space="preserve"> 35(2), pp. 456–472.</w:t>
      </w:r>
    </w:p>
    <w:p w14:paraId="0DCAFC21"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Lengnick-Hall, C.A., Beck, T.E. (2016). </w:t>
      </w:r>
      <w:r w:rsidRPr="004F31EF">
        <w:rPr>
          <w:rStyle w:val="Emphasis"/>
          <w:rFonts w:ascii="Arial" w:eastAsiaTheme="majorEastAsia" w:hAnsi="Arial" w:cs="Arial"/>
        </w:rPr>
        <w:t>Resilient Organisations: How to Adapt and Thrive.</w:t>
      </w:r>
      <w:r w:rsidRPr="004F31EF">
        <w:rPr>
          <w:rFonts w:ascii="Arial" w:hAnsi="Arial" w:cs="Arial"/>
        </w:rPr>
        <w:t xml:space="preserve"> Oxford: Oxford University Press.</w:t>
      </w:r>
      <w:r w:rsidRPr="004F31EF">
        <w:rPr>
          <w:rFonts w:ascii="Arial" w:hAnsi="Arial" w:cs="Arial"/>
        </w:rPr>
        <w:br/>
        <w:t xml:space="preserve">Li, S. and Singh, R. (2022). </w:t>
      </w:r>
      <w:r w:rsidRPr="004F31EF">
        <w:rPr>
          <w:rFonts w:ascii="Arial" w:hAnsi="Arial" w:cs="Arial"/>
          <w:i/>
        </w:rPr>
        <w:t>‘Digital risk management in hotels,’</w:t>
      </w:r>
      <w:r w:rsidRPr="004F31EF">
        <w:rPr>
          <w:rFonts w:ascii="Arial" w:hAnsi="Arial" w:cs="Arial"/>
        </w:rPr>
        <w:t xml:space="preserve"> </w:t>
      </w:r>
      <w:r w:rsidRPr="004F31EF">
        <w:rPr>
          <w:rStyle w:val="Emphasis"/>
          <w:rFonts w:ascii="Arial" w:eastAsiaTheme="majorEastAsia" w:hAnsi="Arial" w:cs="Arial"/>
          <w:i w:val="0"/>
        </w:rPr>
        <w:t>Tourism Review</w:t>
      </w:r>
      <w:r w:rsidRPr="004F31EF">
        <w:rPr>
          <w:rStyle w:val="Emphasis"/>
          <w:rFonts w:ascii="Arial" w:eastAsiaTheme="majorEastAsia" w:hAnsi="Arial" w:cs="Arial"/>
        </w:rPr>
        <w:t>,</w:t>
      </w:r>
      <w:r w:rsidRPr="004F31EF">
        <w:rPr>
          <w:rFonts w:ascii="Arial" w:hAnsi="Arial" w:cs="Arial"/>
        </w:rPr>
        <w:t xml:space="preserve"> 77(4), pp. 932–945.</w:t>
      </w:r>
    </w:p>
    <w:p w14:paraId="3F373FB3"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lastRenderedPageBreak/>
        <w:t xml:space="preserve">Marriott International, (2023). </w:t>
      </w:r>
      <w:r w:rsidRPr="004F31EF">
        <w:rPr>
          <w:rStyle w:val="Emphasis"/>
          <w:rFonts w:ascii="Arial" w:hAnsi="Arial" w:cs="Arial"/>
        </w:rPr>
        <w:t>Work Anywhere Programme Report.</w:t>
      </w:r>
      <w:r w:rsidRPr="004F31EF">
        <w:rPr>
          <w:rFonts w:ascii="Arial" w:hAnsi="Arial" w:cs="Arial"/>
        </w:rPr>
        <w:t xml:space="preserve"> Bethesda, MD: Marriott International.</w:t>
      </w:r>
    </w:p>
    <w:p w14:paraId="45939B55"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McKinsey &amp; Company, (2023). </w:t>
      </w:r>
      <w:r w:rsidRPr="004F31EF">
        <w:rPr>
          <w:rStyle w:val="Emphasis"/>
          <w:rFonts w:ascii="Arial" w:hAnsi="Arial" w:cs="Arial"/>
        </w:rPr>
        <w:t>The Future of Business Travel: Global Recovery Scenarios.</w:t>
      </w:r>
      <w:r w:rsidRPr="004F31EF">
        <w:rPr>
          <w:rFonts w:ascii="Arial" w:hAnsi="Arial" w:cs="Arial"/>
        </w:rPr>
        <w:t xml:space="preserve"> New York: McKinsey &amp; Company.</w:t>
      </w:r>
    </w:p>
    <w:p w14:paraId="4ABAD588"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Mintzberg, H. (1987) ‘Crafting strategy,’ </w:t>
      </w:r>
      <w:r w:rsidRPr="004F31EF">
        <w:rPr>
          <w:rStyle w:val="Emphasis"/>
          <w:rFonts w:ascii="Arial" w:hAnsi="Arial" w:cs="Arial"/>
        </w:rPr>
        <w:t>Harvard Business Review,</w:t>
      </w:r>
      <w:r w:rsidRPr="004F31EF">
        <w:rPr>
          <w:rFonts w:ascii="Arial" w:hAnsi="Arial" w:cs="Arial"/>
        </w:rPr>
        <w:t xml:space="preserve"> 65(4), pp. 66–75.</w:t>
      </w:r>
    </w:p>
    <w:p w14:paraId="7C9EB172" w14:textId="77777777" w:rsidR="005D7FF4" w:rsidRPr="004F31EF" w:rsidRDefault="005D7FF4" w:rsidP="00256653">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4F31EF">
        <w:rPr>
          <w:rFonts w:ascii="Arial" w:eastAsia="Times New Roman" w:hAnsi="Arial" w:cs="Arial"/>
          <w:sz w:val="24"/>
          <w:szCs w:val="24"/>
          <w:lang w:eastAsia="en-GB"/>
        </w:rPr>
        <w:t xml:space="preserve">MindClick, (2025). </w:t>
      </w:r>
      <w:r w:rsidRPr="004F31EF">
        <w:rPr>
          <w:rFonts w:ascii="Arial" w:eastAsia="Times New Roman" w:hAnsi="Arial" w:cs="Arial"/>
          <w:i/>
          <w:iCs/>
          <w:sz w:val="24"/>
          <w:szCs w:val="24"/>
          <w:lang w:eastAsia="en-GB"/>
        </w:rPr>
        <w:t>Serve360: Marriott’s Commitment to a Healthier World</w:t>
      </w:r>
      <w:r w:rsidRPr="004F31EF">
        <w:rPr>
          <w:rFonts w:ascii="Arial" w:eastAsia="Times New Roman" w:hAnsi="Arial" w:cs="Arial"/>
          <w:sz w:val="24"/>
          <w:szCs w:val="24"/>
          <w:lang w:eastAsia="en-GB"/>
        </w:rPr>
        <w:t xml:space="preserve">. Available at: </w:t>
      </w:r>
      <w:hyperlink r:id="rId21" w:tgtFrame="_new" w:history="1">
        <w:r w:rsidRPr="004F31EF">
          <w:rPr>
            <w:rFonts w:ascii="Arial" w:eastAsia="Times New Roman" w:hAnsi="Arial" w:cs="Arial"/>
            <w:color w:val="0000FF"/>
            <w:sz w:val="24"/>
            <w:szCs w:val="24"/>
            <w:u w:val="single"/>
            <w:lang w:eastAsia="en-GB"/>
          </w:rPr>
          <w:t>https://dev-content.mindclick.com/msap-overview/serve360/</w:t>
        </w:r>
      </w:hyperlink>
      <w:r w:rsidRPr="004F31EF">
        <w:rPr>
          <w:rFonts w:ascii="Arial" w:eastAsia="Times New Roman" w:hAnsi="Arial" w:cs="Arial"/>
          <w:sz w:val="24"/>
          <w:szCs w:val="24"/>
          <w:lang w:eastAsia="en-GB"/>
        </w:rPr>
        <w:t xml:space="preserve"> Accessed</w:t>
      </w:r>
      <w:r w:rsidR="00256653">
        <w:rPr>
          <w:rFonts w:ascii="Arial" w:eastAsia="Times New Roman" w:hAnsi="Arial" w:cs="Arial"/>
          <w:sz w:val="24"/>
          <w:szCs w:val="24"/>
          <w:lang w:eastAsia="en-GB"/>
        </w:rPr>
        <w:t>:</w:t>
      </w:r>
      <w:r w:rsidRPr="004F31EF">
        <w:rPr>
          <w:rFonts w:ascii="Arial" w:eastAsia="Times New Roman" w:hAnsi="Arial" w:cs="Arial"/>
          <w:sz w:val="24"/>
          <w:szCs w:val="24"/>
          <w:lang w:eastAsia="en-GB"/>
        </w:rPr>
        <w:t xml:space="preserve"> (16 October 2025).</w:t>
      </w:r>
    </w:p>
    <w:p w14:paraId="6F0A69F5"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PwC, (2024) </w:t>
      </w:r>
      <w:r w:rsidRPr="004F31EF">
        <w:rPr>
          <w:rStyle w:val="Emphasis"/>
          <w:rFonts w:ascii="Arial" w:hAnsi="Arial" w:cs="Arial"/>
        </w:rPr>
        <w:t>Hospitality Directions: US and Global Outlook 2024.</w:t>
      </w:r>
      <w:r w:rsidRPr="004F31EF">
        <w:rPr>
          <w:rFonts w:ascii="Arial" w:hAnsi="Arial" w:cs="Arial"/>
        </w:rPr>
        <w:t xml:space="preserve"> London: PricewaterhouseCoopers.</w:t>
      </w:r>
    </w:p>
    <w:p w14:paraId="7D8FCC78"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Sigala, M. (2021). ‘Digital transformation in the hospitality industry</w:t>
      </w:r>
      <w:r w:rsidRPr="004F31EF">
        <w:rPr>
          <w:rFonts w:ascii="Arial" w:hAnsi="Arial" w:cs="Arial"/>
          <w:i/>
        </w:rPr>
        <w:t>: Lessons from COVID-19,’</w:t>
      </w:r>
      <w:r w:rsidRPr="004F31EF">
        <w:rPr>
          <w:rFonts w:ascii="Arial" w:hAnsi="Arial" w:cs="Arial"/>
        </w:rPr>
        <w:t xml:space="preserve"> </w:t>
      </w:r>
      <w:r w:rsidRPr="004F31EF">
        <w:rPr>
          <w:rStyle w:val="Emphasis"/>
          <w:rFonts w:ascii="Arial" w:hAnsi="Arial" w:cs="Arial"/>
          <w:i w:val="0"/>
        </w:rPr>
        <w:t>Tourism Management Perspectives</w:t>
      </w:r>
      <w:r w:rsidRPr="004F31EF">
        <w:rPr>
          <w:rStyle w:val="Emphasis"/>
          <w:rFonts w:ascii="Arial" w:hAnsi="Arial" w:cs="Arial"/>
        </w:rPr>
        <w:t>,</w:t>
      </w:r>
      <w:r w:rsidRPr="004F31EF">
        <w:rPr>
          <w:rFonts w:ascii="Arial" w:hAnsi="Arial" w:cs="Arial"/>
        </w:rPr>
        <w:t xml:space="preserve"> 38, pp. 100–109.</w:t>
      </w:r>
    </w:p>
    <w:p w14:paraId="10A40A2A" w14:textId="77777777" w:rsidR="005D7FF4" w:rsidRPr="004F31EF" w:rsidRDefault="005D7FF4" w:rsidP="00256653">
      <w:pPr>
        <w:pStyle w:val="ListParagraph"/>
        <w:numPr>
          <w:ilvl w:val="0"/>
          <w:numId w:val="3"/>
        </w:numPr>
        <w:spacing w:before="100" w:beforeAutospacing="1" w:after="100" w:afterAutospacing="1" w:line="360" w:lineRule="auto"/>
        <w:jc w:val="both"/>
        <w:rPr>
          <w:rFonts w:ascii="Arial" w:eastAsia="Times New Roman" w:hAnsi="Arial" w:cs="Arial"/>
          <w:sz w:val="24"/>
          <w:szCs w:val="24"/>
          <w:lang w:eastAsia="en-GB"/>
        </w:rPr>
      </w:pPr>
      <w:r w:rsidRPr="004F31EF">
        <w:rPr>
          <w:rFonts w:ascii="Arial" w:hAnsi="Arial" w:cs="Arial"/>
          <w:sz w:val="24"/>
          <w:szCs w:val="24"/>
        </w:rPr>
        <w:t xml:space="preserve">Skift Research, (2025). </w:t>
      </w:r>
      <w:r w:rsidRPr="004F31EF">
        <w:rPr>
          <w:rStyle w:val="Emphasis"/>
          <w:rFonts w:ascii="Arial" w:hAnsi="Arial" w:cs="Arial"/>
          <w:sz w:val="24"/>
          <w:szCs w:val="24"/>
        </w:rPr>
        <w:t>Travel Research: In-Depth Analysis of the Global Travel Industry</w:t>
      </w:r>
      <w:r w:rsidRPr="004F31EF">
        <w:rPr>
          <w:rFonts w:ascii="Arial" w:hAnsi="Arial" w:cs="Arial"/>
          <w:sz w:val="24"/>
          <w:szCs w:val="24"/>
        </w:rPr>
        <w:t xml:space="preserve">. Available at: </w:t>
      </w:r>
      <w:hyperlink r:id="rId22" w:tgtFrame="_new" w:history="1">
        <w:r w:rsidRPr="004F31EF">
          <w:rPr>
            <w:rStyle w:val="Hyperlink"/>
            <w:rFonts w:ascii="Arial" w:hAnsi="Arial" w:cs="Arial"/>
            <w:sz w:val="24"/>
            <w:szCs w:val="24"/>
          </w:rPr>
          <w:t>https://research.skift.com/</w:t>
        </w:r>
      </w:hyperlink>
      <w:r w:rsidRPr="004F31EF">
        <w:rPr>
          <w:rFonts w:ascii="Arial" w:hAnsi="Arial" w:cs="Arial"/>
          <w:sz w:val="24"/>
          <w:szCs w:val="24"/>
        </w:rPr>
        <w:t xml:space="preserve">. </w:t>
      </w:r>
      <w:r w:rsidRPr="004F31EF">
        <w:rPr>
          <w:rFonts w:ascii="Arial" w:eastAsia="Times New Roman" w:hAnsi="Arial" w:cs="Arial"/>
          <w:sz w:val="24"/>
          <w:szCs w:val="24"/>
          <w:lang w:eastAsia="en-GB"/>
        </w:rPr>
        <w:t>Accessed (16 October 2025).</w:t>
      </w:r>
    </w:p>
    <w:p w14:paraId="00269666"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Statista, (2023) </w:t>
      </w:r>
      <w:r w:rsidRPr="004F31EF">
        <w:rPr>
          <w:rStyle w:val="Emphasis"/>
          <w:rFonts w:ascii="Arial" w:hAnsi="Arial" w:cs="Arial"/>
        </w:rPr>
        <w:t>Global Hotel Occupancy Rates 2019–2023.</w:t>
      </w:r>
      <w:r w:rsidRPr="004F31EF">
        <w:rPr>
          <w:rFonts w:ascii="Arial" w:hAnsi="Arial" w:cs="Arial"/>
        </w:rPr>
        <w:t xml:space="preserve"> Available at: https://www.statista.com (Accessed: 3 October 2025).</w:t>
      </w:r>
    </w:p>
    <w:p w14:paraId="63646FD0"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Statista, (2023) </w:t>
      </w:r>
      <w:r w:rsidRPr="004F31EF">
        <w:rPr>
          <w:rStyle w:val="Emphasis"/>
          <w:rFonts w:ascii="Arial" w:eastAsiaTheme="majorEastAsia" w:hAnsi="Arial" w:cs="Arial"/>
        </w:rPr>
        <w:t>Hotel Revenue Losses 2020–2023.</w:t>
      </w:r>
      <w:r w:rsidRPr="004F31EF">
        <w:rPr>
          <w:rFonts w:ascii="Arial" w:hAnsi="Arial" w:cs="Arial"/>
        </w:rPr>
        <w:t xml:space="preserve"> Available at: </w:t>
      </w:r>
      <w:hyperlink r:id="rId23" w:history="1">
        <w:r w:rsidRPr="004F31EF">
          <w:rPr>
            <w:rStyle w:val="Hyperlink"/>
            <w:rFonts w:ascii="Arial" w:hAnsi="Arial" w:cs="Arial"/>
          </w:rPr>
          <w:t>https://www.statista.com</w:t>
        </w:r>
      </w:hyperlink>
      <w:r w:rsidRPr="004F31EF">
        <w:rPr>
          <w:rFonts w:ascii="Arial" w:hAnsi="Arial" w:cs="Arial"/>
        </w:rPr>
        <w:t>. . Accessed</w:t>
      </w:r>
      <w:r w:rsidR="00256653">
        <w:rPr>
          <w:rFonts w:ascii="Arial" w:hAnsi="Arial" w:cs="Arial"/>
        </w:rPr>
        <w:t>:</w:t>
      </w:r>
      <w:r w:rsidRPr="004F31EF">
        <w:rPr>
          <w:rFonts w:ascii="Arial" w:hAnsi="Arial" w:cs="Arial"/>
        </w:rPr>
        <w:t xml:space="preserve"> (16 October 2025).</w:t>
      </w:r>
    </w:p>
    <w:p w14:paraId="1F227793"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UNWTO, (2022). </w:t>
      </w:r>
      <w:r w:rsidRPr="004F31EF">
        <w:rPr>
          <w:rStyle w:val="Emphasis"/>
          <w:rFonts w:ascii="Arial" w:hAnsi="Arial" w:cs="Arial"/>
        </w:rPr>
        <w:t>World Tourism Barometer 2022.</w:t>
      </w:r>
      <w:r w:rsidRPr="004F31EF">
        <w:rPr>
          <w:rFonts w:ascii="Arial" w:hAnsi="Arial" w:cs="Arial"/>
        </w:rPr>
        <w:t xml:space="preserve"> Madrid: United Nations World Tourism Organization.</w:t>
      </w:r>
    </w:p>
    <w:p w14:paraId="085211AE"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UNCTAD, (2021). </w:t>
      </w:r>
      <w:r w:rsidRPr="004F31EF">
        <w:rPr>
          <w:rStyle w:val="Emphasis"/>
          <w:rFonts w:ascii="Arial" w:eastAsiaTheme="majorEastAsia" w:hAnsi="Arial" w:cs="Arial"/>
        </w:rPr>
        <w:t>Global economy could lose over $4 trillion due to COVID-19 impact on tourism</w:t>
      </w:r>
      <w:r w:rsidRPr="004F31EF">
        <w:rPr>
          <w:rFonts w:ascii="Arial" w:hAnsi="Arial" w:cs="Arial"/>
        </w:rPr>
        <w:t xml:space="preserve">. 30 June. Available at: </w:t>
      </w:r>
      <w:hyperlink r:id="rId24" w:tgtFrame="_new" w:history="1">
        <w:r w:rsidRPr="004F31EF">
          <w:rPr>
            <w:rStyle w:val="Hyperlink"/>
            <w:rFonts w:ascii="Arial" w:hAnsi="Arial" w:cs="Arial"/>
          </w:rPr>
          <w:t>https://unctad.org/news/global-economy-could-lose-over-4-trillion-due-covid-19-impact-tourism</w:t>
        </w:r>
      </w:hyperlink>
      <w:r w:rsidRPr="004F31EF">
        <w:rPr>
          <w:rFonts w:ascii="Arial" w:hAnsi="Arial" w:cs="Arial"/>
        </w:rPr>
        <w:t>. Accessed</w:t>
      </w:r>
      <w:r w:rsidR="00256653">
        <w:rPr>
          <w:rFonts w:ascii="Arial" w:hAnsi="Arial" w:cs="Arial"/>
        </w:rPr>
        <w:t>:</w:t>
      </w:r>
      <w:r w:rsidRPr="004F31EF">
        <w:rPr>
          <w:rFonts w:ascii="Arial" w:hAnsi="Arial" w:cs="Arial"/>
        </w:rPr>
        <w:t xml:space="preserve"> (16 October 2025).</w:t>
      </w:r>
    </w:p>
    <w:p w14:paraId="4F7CFA6E"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UNWTO, (2022) </w:t>
      </w:r>
      <w:r w:rsidRPr="004F31EF">
        <w:rPr>
          <w:rStyle w:val="Emphasis"/>
          <w:rFonts w:ascii="Arial" w:eastAsiaTheme="majorEastAsia" w:hAnsi="Arial" w:cs="Arial"/>
        </w:rPr>
        <w:t>World Tourism Barometer 2022.</w:t>
      </w:r>
      <w:r w:rsidRPr="004F31EF">
        <w:rPr>
          <w:rFonts w:ascii="Arial" w:hAnsi="Arial" w:cs="Arial"/>
        </w:rPr>
        <w:t xml:space="preserve"> Madrid: UNWTO.</w:t>
      </w:r>
      <w:r w:rsidRPr="004F31EF">
        <w:rPr>
          <w:rFonts w:ascii="Arial" w:hAnsi="Arial" w:cs="Arial"/>
        </w:rPr>
        <w:br/>
        <w:t xml:space="preserve">World Travel &amp; Tourism Council (WTTC), 2022. </w:t>
      </w:r>
      <w:r w:rsidRPr="004F31EF">
        <w:rPr>
          <w:rStyle w:val="Emphasis"/>
          <w:rFonts w:ascii="Arial" w:eastAsiaTheme="majorEastAsia" w:hAnsi="Arial" w:cs="Arial"/>
        </w:rPr>
        <w:t>Cities Economic Impact</w:t>
      </w:r>
      <w:r w:rsidRPr="004F31EF">
        <w:rPr>
          <w:rFonts w:ascii="Arial" w:hAnsi="Arial" w:cs="Arial"/>
        </w:rPr>
        <w:t xml:space="preserve">. Available at: </w:t>
      </w:r>
      <w:hyperlink r:id="rId25" w:tgtFrame="_new" w:history="1">
        <w:r w:rsidRPr="004F31EF">
          <w:rPr>
            <w:rStyle w:val="Hyperlink"/>
            <w:rFonts w:ascii="Arial" w:hAnsi="Arial" w:cs="Arial"/>
          </w:rPr>
          <w:t>https://wttc.org/research/economic-impact/cities</w:t>
        </w:r>
      </w:hyperlink>
      <w:r w:rsidRPr="004F31EF">
        <w:rPr>
          <w:rFonts w:ascii="Arial" w:hAnsi="Arial" w:cs="Arial"/>
        </w:rPr>
        <w:t>. Accessed</w:t>
      </w:r>
      <w:r w:rsidR="00256653">
        <w:rPr>
          <w:rFonts w:ascii="Arial" w:hAnsi="Arial" w:cs="Arial"/>
        </w:rPr>
        <w:t>:</w:t>
      </w:r>
      <w:r w:rsidRPr="004F31EF">
        <w:rPr>
          <w:rFonts w:ascii="Arial" w:hAnsi="Arial" w:cs="Arial"/>
        </w:rPr>
        <w:t xml:space="preserve"> (16 October 2025).</w:t>
      </w:r>
    </w:p>
    <w:p w14:paraId="08A02CF9" w14:textId="77777777" w:rsidR="005D7FF4" w:rsidRPr="004F31EF" w:rsidRDefault="005D7FF4" w:rsidP="00256653">
      <w:pPr>
        <w:pStyle w:val="NormalWeb"/>
        <w:numPr>
          <w:ilvl w:val="0"/>
          <w:numId w:val="3"/>
        </w:numPr>
        <w:spacing w:line="360" w:lineRule="auto"/>
        <w:jc w:val="both"/>
        <w:rPr>
          <w:rFonts w:ascii="Arial" w:hAnsi="Arial" w:cs="Arial"/>
        </w:rPr>
      </w:pPr>
      <w:r w:rsidRPr="004F31EF">
        <w:rPr>
          <w:rFonts w:ascii="Arial" w:hAnsi="Arial" w:cs="Arial"/>
        </w:rPr>
        <w:t xml:space="preserve">World Travel &amp; Tourism Council (WTTC), (2025). </w:t>
      </w:r>
      <w:r w:rsidRPr="004F31EF">
        <w:rPr>
          <w:rStyle w:val="Emphasis"/>
          <w:rFonts w:ascii="Arial" w:eastAsiaTheme="majorEastAsia" w:hAnsi="Arial" w:cs="Arial"/>
        </w:rPr>
        <w:t>Home – WTTC</w:t>
      </w:r>
      <w:r w:rsidRPr="004F31EF">
        <w:rPr>
          <w:rFonts w:ascii="Arial" w:hAnsi="Arial" w:cs="Arial"/>
        </w:rPr>
        <w:t xml:space="preserve">. Available at: </w:t>
      </w:r>
      <w:hyperlink r:id="rId26" w:tgtFrame="_new" w:history="1">
        <w:r w:rsidRPr="004F31EF">
          <w:rPr>
            <w:rStyle w:val="Hyperlink"/>
            <w:rFonts w:ascii="Arial" w:hAnsi="Arial" w:cs="Arial"/>
          </w:rPr>
          <w:t>https://wttc.org/</w:t>
        </w:r>
      </w:hyperlink>
      <w:r w:rsidRPr="004F31EF">
        <w:rPr>
          <w:rFonts w:ascii="Arial" w:hAnsi="Arial" w:cs="Arial"/>
        </w:rPr>
        <w:t>. . Accessed</w:t>
      </w:r>
      <w:r w:rsidR="00256653">
        <w:rPr>
          <w:rFonts w:ascii="Arial" w:hAnsi="Arial" w:cs="Arial"/>
        </w:rPr>
        <w:t>:</w:t>
      </w:r>
      <w:r w:rsidRPr="004F31EF">
        <w:rPr>
          <w:rFonts w:ascii="Arial" w:hAnsi="Arial" w:cs="Arial"/>
        </w:rPr>
        <w:t xml:space="preserve"> (16 October 2025).</w:t>
      </w:r>
    </w:p>
    <w:p w14:paraId="6DEEC898" w14:textId="77777777" w:rsidR="00510255" w:rsidRPr="004F31EF" w:rsidRDefault="00510255" w:rsidP="00EC5688">
      <w:pPr>
        <w:spacing w:after="0" w:line="360" w:lineRule="auto"/>
        <w:jc w:val="both"/>
        <w:rPr>
          <w:rFonts w:ascii="Arial" w:hAnsi="Arial" w:cs="Arial"/>
          <w:sz w:val="24"/>
        </w:rPr>
      </w:pPr>
    </w:p>
    <w:sectPr w:rsidR="00510255" w:rsidRPr="004F31EF" w:rsidSect="00F32F2B">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AE12D" w14:textId="77777777" w:rsidR="00DD7558" w:rsidRDefault="00DD7558" w:rsidP="00F32F2B">
      <w:pPr>
        <w:spacing w:after="0" w:line="240" w:lineRule="auto"/>
      </w:pPr>
      <w:r>
        <w:separator/>
      </w:r>
    </w:p>
  </w:endnote>
  <w:endnote w:type="continuationSeparator" w:id="0">
    <w:p w14:paraId="1E5D70FD" w14:textId="77777777" w:rsidR="00DD7558" w:rsidRDefault="00DD7558" w:rsidP="00F32F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56051622"/>
      <w:docPartObj>
        <w:docPartGallery w:val="Page Numbers (Bottom of Page)"/>
        <w:docPartUnique/>
      </w:docPartObj>
    </w:sdtPr>
    <w:sdtEndPr>
      <w:rPr>
        <w:noProof/>
      </w:rPr>
    </w:sdtEndPr>
    <w:sdtContent>
      <w:p w14:paraId="0EA5FBC1" w14:textId="77777777" w:rsidR="00F32F2B" w:rsidRDefault="00F32F2B">
        <w:pPr>
          <w:pStyle w:val="Footer"/>
          <w:jc w:val="right"/>
        </w:pPr>
        <w:r>
          <w:fldChar w:fldCharType="begin"/>
        </w:r>
        <w:r>
          <w:instrText xml:space="preserve"> PAGE   \* MERGEFORMAT </w:instrText>
        </w:r>
        <w:r>
          <w:fldChar w:fldCharType="separate"/>
        </w:r>
        <w:r w:rsidR="00140AF1">
          <w:rPr>
            <w:noProof/>
          </w:rPr>
          <w:t>19</w:t>
        </w:r>
        <w:r>
          <w:rPr>
            <w:noProof/>
          </w:rPr>
          <w:fldChar w:fldCharType="end"/>
        </w:r>
      </w:p>
    </w:sdtContent>
  </w:sdt>
  <w:p w14:paraId="10B7D629" w14:textId="77777777" w:rsidR="00F32F2B" w:rsidRDefault="00F32F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F9B76" w14:textId="77777777" w:rsidR="00DD7558" w:rsidRDefault="00DD7558" w:rsidP="00F32F2B">
      <w:pPr>
        <w:spacing w:after="0" w:line="240" w:lineRule="auto"/>
      </w:pPr>
      <w:r>
        <w:separator/>
      </w:r>
    </w:p>
  </w:footnote>
  <w:footnote w:type="continuationSeparator" w:id="0">
    <w:p w14:paraId="411C0364" w14:textId="77777777" w:rsidR="00DD7558" w:rsidRDefault="00DD7558" w:rsidP="00F32F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54D1D"/>
    <w:multiLevelType w:val="hybridMultilevel"/>
    <w:tmpl w:val="18C6AD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E042F2"/>
    <w:multiLevelType w:val="hybridMultilevel"/>
    <w:tmpl w:val="AF12F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EF3441"/>
    <w:multiLevelType w:val="hybridMultilevel"/>
    <w:tmpl w:val="A080E3A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4266046">
    <w:abstractNumId w:val="0"/>
  </w:num>
  <w:num w:numId="2" w16cid:durableId="1152018557">
    <w:abstractNumId w:val="1"/>
  </w:num>
  <w:num w:numId="3" w16cid:durableId="12138816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WwMDUwN7YwNDa1NDBV0lEKTi0uzszPAymwrAUARgLyfiwAAAA="/>
  </w:docVars>
  <w:rsids>
    <w:rsidRoot w:val="00CB3890"/>
    <w:rsid w:val="00000571"/>
    <w:rsid w:val="000051FB"/>
    <w:rsid w:val="000079CC"/>
    <w:rsid w:val="000314B9"/>
    <w:rsid w:val="00032A87"/>
    <w:rsid w:val="0006610B"/>
    <w:rsid w:val="00082CB6"/>
    <w:rsid w:val="000846F0"/>
    <w:rsid w:val="000853A6"/>
    <w:rsid w:val="000A5779"/>
    <w:rsid w:val="000E05F0"/>
    <w:rsid w:val="001204B8"/>
    <w:rsid w:val="00122816"/>
    <w:rsid w:val="00140AF1"/>
    <w:rsid w:val="00151DB7"/>
    <w:rsid w:val="0017098E"/>
    <w:rsid w:val="00170B70"/>
    <w:rsid w:val="00181B2F"/>
    <w:rsid w:val="00185819"/>
    <w:rsid w:val="00185A71"/>
    <w:rsid w:val="001E0401"/>
    <w:rsid w:val="00211E8A"/>
    <w:rsid w:val="00213786"/>
    <w:rsid w:val="002342D2"/>
    <w:rsid w:val="00256653"/>
    <w:rsid w:val="00263C1A"/>
    <w:rsid w:val="002A54D4"/>
    <w:rsid w:val="002B2A78"/>
    <w:rsid w:val="002E32ED"/>
    <w:rsid w:val="003202DD"/>
    <w:rsid w:val="003224B4"/>
    <w:rsid w:val="0037540A"/>
    <w:rsid w:val="003826E3"/>
    <w:rsid w:val="00394E50"/>
    <w:rsid w:val="0039535B"/>
    <w:rsid w:val="003958D9"/>
    <w:rsid w:val="00406922"/>
    <w:rsid w:val="00425376"/>
    <w:rsid w:val="004311AA"/>
    <w:rsid w:val="004324A0"/>
    <w:rsid w:val="0047372F"/>
    <w:rsid w:val="0049069F"/>
    <w:rsid w:val="004A49BF"/>
    <w:rsid w:val="004A63E5"/>
    <w:rsid w:val="004B4386"/>
    <w:rsid w:val="004E1F09"/>
    <w:rsid w:val="004E7548"/>
    <w:rsid w:val="004F31EF"/>
    <w:rsid w:val="005021F8"/>
    <w:rsid w:val="00510255"/>
    <w:rsid w:val="00513FB9"/>
    <w:rsid w:val="00515C98"/>
    <w:rsid w:val="00522E36"/>
    <w:rsid w:val="00557410"/>
    <w:rsid w:val="00582FBB"/>
    <w:rsid w:val="005918A7"/>
    <w:rsid w:val="005D4776"/>
    <w:rsid w:val="005D7FF4"/>
    <w:rsid w:val="00607BCB"/>
    <w:rsid w:val="00625F26"/>
    <w:rsid w:val="00634864"/>
    <w:rsid w:val="0063641A"/>
    <w:rsid w:val="00670CD2"/>
    <w:rsid w:val="00682A04"/>
    <w:rsid w:val="006D388F"/>
    <w:rsid w:val="006E40B2"/>
    <w:rsid w:val="007130DF"/>
    <w:rsid w:val="00717F5A"/>
    <w:rsid w:val="00723198"/>
    <w:rsid w:val="0072401D"/>
    <w:rsid w:val="007C36C0"/>
    <w:rsid w:val="007C4A06"/>
    <w:rsid w:val="007C7162"/>
    <w:rsid w:val="007D2E6D"/>
    <w:rsid w:val="0080167B"/>
    <w:rsid w:val="0085386E"/>
    <w:rsid w:val="008603D8"/>
    <w:rsid w:val="00872EC7"/>
    <w:rsid w:val="00875B4B"/>
    <w:rsid w:val="008A4BE8"/>
    <w:rsid w:val="008A556E"/>
    <w:rsid w:val="008A6E31"/>
    <w:rsid w:val="008C51CF"/>
    <w:rsid w:val="008D00C0"/>
    <w:rsid w:val="0091454C"/>
    <w:rsid w:val="0093622B"/>
    <w:rsid w:val="00947163"/>
    <w:rsid w:val="00992DC5"/>
    <w:rsid w:val="009B48D6"/>
    <w:rsid w:val="009C63DA"/>
    <w:rsid w:val="009C68DF"/>
    <w:rsid w:val="009E3D0F"/>
    <w:rsid w:val="00A47A62"/>
    <w:rsid w:val="00A635A8"/>
    <w:rsid w:val="00A90F02"/>
    <w:rsid w:val="00AC4F27"/>
    <w:rsid w:val="00AC5260"/>
    <w:rsid w:val="00AD7ABE"/>
    <w:rsid w:val="00B30057"/>
    <w:rsid w:val="00B41F3A"/>
    <w:rsid w:val="00B54C48"/>
    <w:rsid w:val="00B62DC5"/>
    <w:rsid w:val="00B63997"/>
    <w:rsid w:val="00B72FB7"/>
    <w:rsid w:val="00B752AF"/>
    <w:rsid w:val="00B8085E"/>
    <w:rsid w:val="00B912DD"/>
    <w:rsid w:val="00BA22A8"/>
    <w:rsid w:val="00BD67B0"/>
    <w:rsid w:val="00BE38E5"/>
    <w:rsid w:val="00C2182E"/>
    <w:rsid w:val="00C400A8"/>
    <w:rsid w:val="00C570E8"/>
    <w:rsid w:val="00C6660A"/>
    <w:rsid w:val="00C763B3"/>
    <w:rsid w:val="00C87F36"/>
    <w:rsid w:val="00CA7867"/>
    <w:rsid w:val="00CB3890"/>
    <w:rsid w:val="00CC61C6"/>
    <w:rsid w:val="00CD1189"/>
    <w:rsid w:val="00D0701D"/>
    <w:rsid w:val="00D11A55"/>
    <w:rsid w:val="00D13A7F"/>
    <w:rsid w:val="00D16792"/>
    <w:rsid w:val="00D24172"/>
    <w:rsid w:val="00D811F6"/>
    <w:rsid w:val="00D92467"/>
    <w:rsid w:val="00D9653B"/>
    <w:rsid w:val="00DB16B5"/>
    <w:rsid w:val="00DC1DB9"/>
    <w:rsid w:val="00DC6A64"/>
    <w:rsid w:val="00DC7CEF"/>
    <w:rsid w:val="00DD1FDF"/>
    <w:rsid w:val="00DD7558"/>
    <w:rsid w:val="00DE0E3D"/>
    <w:rsid w:val="00DE37D4"/>
    <w:rsid w:val="00E1205C"/>
    <w:rsid w:val="00E215E9"/>
    <w:rsid w:val="00E37F8E"/>
    <w:rsid w:val="00E75D92"/>
    <w:rsid w:val="00E92C4A"/>
    <w:rsid w:val="00EB74F6"/>
    <w:rsid w:val="00EC5688"/>
    <w:rsid w:val="00F1756B"/>
    <w:rsid w:val="00F32F2B"/>
    <w:rsid w:val="00F36241"/>
    <w:rsid w:val="00F50D3B"/>
    <w:rsid w:val="00F55D13"/>
    <w:rsid w:val="00F5610C"/>
    <w:rsid w:val="00F61EEF"/>
    <w:rsid w:val="00F63008"/>
    <w:rsid w:val="00F65917"/>
    <w:rsid w:val="00F97D8A"/>
    <w:rsid w:val="00FB4AEE"/>
    <w:rsid w:val="00FC0B80"/>
    <w:rsid w:val="00FC2949"/>
    <w:rsid w:val="00FD72CD"/>
    <w:rsid w:val="00FD7A9B"/>
    <w:rsid w:val="00FE17F5"/>
    <w:rsid w:val="00FF5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3D23F"/>
  <w15:chartTrackingRefBased/>
  <w15:docId w15:val="{FF1F0C2F-DC5B-4A12-8916-AF0CF1566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A22A8"/>
    <w:pPr>
      <w:keepNext/>
      <w:keepLines/>
      <w:spacing w:before="240" w:after="0" w:line="360" w:lineRule="auto"/>
      <w:outlineLvl w:val="0"/>
    </w:pPr>
    <w:rPr>
      <w:rFonts w:ascii="Arial" w:eastAsiaTheme="majorEastAsia" w:hAnsi="Arial"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17098E"/>
    <w:pPr>
      <w:keepNext/>
      <w:keepLines/>
      <w:spacing w:before="40" w:after="0" w:line="360" w:lineRule="auto"/>
      <w:outlineLvl w:val="1"/>
    </w:pPr>
    <w:rPr>
      <w:rFonts w:ascii="Arial" w:eastAsiaTheme="majorEastAsia" w:hAnsi="Arial"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22A8"/>
    <w:rPr>
      <w:rFonts w:ascii="Arial" w:eastAsiaTheme="majorEastAsia" w:hAnsi="Arial" w:cstheme="majorBidi"/>
      <w:b/>
      <w:color w:val="000000" w:themeColor="text1"/>
      <w:sz w:val="24"/>
      <w:szCs w:val="32"/>
    </w:rPr>
  </w:style>
  <w:style w:type="character" w:customStyle="1" w:styleId="Heading2Char">
    <w:name w:val="Heading 2 Char"/>
    <w:basedOn w:val="DefaultParagraphFont"/>
    <w:link w:val="Heading2"/>
    <w:uiPriority w:val="9"/>
    <w:rsid w:val="0017098E"/>
    <w:rPr>
      <w:rFonts w:ascii="Arial" w:eastAsiaTheme="majorEastAsia" w:hAnsi="Arial" w:cstheme="majorBidi"/>
      <w:b/>
      <w:color w:val="000000" w:themeColor="text1"/>
      <w:sz w:val="24"/>
      <w:szCs w:val="26"/>
    </w:rPr>
  </w:style>
  <w:style w:type="paragraph" w:styleId="NormalWeb">
    <w:name w:val="Normal (Web)"/>
    <w:basedOn w:val="Normal"/>
    <w:uiPriority w:val="99"/>
    <w:unhideWhenUsed/>
    <w:rsid w:val="005D7F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5D7FF4"/>
    <w:rPr>
      <w:i/>
      <w:iCs/>
    </w:rPr>
  </w:style>
  <w:style w:type="character" w:styleId="Hyperlink">
    <w:name w:val="Hyperlink"/>
    <w:basedOn w:val="DefaultParagraphFont"/>
    <w:uiPriority w:val="99"/>
    <w:unhideWhenUsed/>
    <w:rsid w:val="005D7FF4"/>
    <w:rPr>
      <w:color w:val="0000FF"/>
      <w:u w:val="single"/>
    </w:rPr>
  </w:style>
  <w:style w:type="paragraph" w:styleId="ListParagraph">
    <w:name w:val="List Paragraph"/>
    <w:basedOn w:val="Normal"/>
    <w:uiPriority w:val="34"/>
    <w:qFormat/>
    <w:rsid w:val="005D7FF4"/>
    <w:pPr>
      <w:ind w:left="720"/>
      <w:contextualSpacing/>
    </w:pPr>
  </w:style>
  <w:style w:type="paragraph" w:styleId="NoSpacing">
    <w:name w:val="No Spacing"/>
    <w:link w:val="NoSpacingChar"/>
    <w:uiPriority w:val="1"/>
    <w:qFormat/>
    <w:rsid w:val="0017098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098E"/>
    <w:rPr>
      <w:rFonts w:eastAsiaTheme="minorEastAsia"/>
      <w:lang w:val="en-US"/>
    </w:rPr>
  </w:style>
  <w:style w:type="paragraph" w:styleId="TOCHeading">
    <w:name w:val="TOC Heading"/>
    <w:basedOn w:val="Heading1"/>
    <w:next w:val="Normal"/>
    <w:uiPriority w:val="39"/>
    <w:unhideWhenUsed/>
    <w:qFormat/>
    <w:rsid w:val="0017098E"/>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7098E"/>
    <w:pPr>
      <w:spacing w:after="100"/>
    </w:pPr>
  </w:style>
  <w:style w:type="paragraph" w:styleId="TOC2">
    <w:name w:val="toc 2"/>
    <w:basedOn w:val="Normal"/>
    <w:next w:val="Normal"/>
    <w:autoRedefine/>
    <w:uiPriority w:val="39"/>
    <w:unhideWhenUsed/>
    <w:rsid w:val="0017098E"/>
    <w:pPr>
      <w:spacing w:after="100"/>
      <w:ind w:left="220"/>
    </w:pPr>
  </w:style>
  <w:style w:type="paragraph" w:styleId="Header">
    <w:name w:val="header"/>
    <w:basedOn w:val="Normal"/>
    <w:link w:val="HeaderChar"/>
    <w:uiPriority w:val="99"/>
    <w:unhideWhenUsed/>
    <w:rsid w:val="00F32F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2F2B"/>
  </w:style>
  <w:style w:type="paragraph" w:styleId="Footer">
    <w:name w:val="footer"/>
    <w:basedOn w:val="Normal"/>
    <w:link w:val="FooterChar"/>
    <w:uiPriority w:val="99"/>
    <w:unhideWhenUsed/>
    <w:rsid w:val="00F32F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2F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microsoft.com/office/2007/relationships/diagramDrawing" Target="diagrams/drawing1.xml"/><Relationship Id="rId26" Type="http://schemas.openxmlformats.org/officeDocument/2006/relationships/hyperlink" Target="https://wttc.org/?utm_source=chatgpt.com" TargetMode="External"/><Relationship Id="rId3" Type="http://schemas.openxmlformats.org/officeDocument/2006/relationships/styles" Target="styles.xml"/><Relationship Id="rId21" Type="http://schemas.openxmlformats.org/officeDocument/2006/relationships/hyperlink" Target="https://dev-content.mindclick.com/msap-overview/serve360/?utm_source=chatgpt.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hyperlink" Target="https://wttc.org/research/economic-impact/cities?utm_source=chatgpt.com" TargetMode="Externa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hyperlink" Target="https://stories-editor.hilton.com/wp-content/uploads/2024/04/2023-Annual-Report-10-K.pdf?utm_source=chatgpt.com"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unctad.org/news/global-economy-could-lose-over-4-trillion-due-covid-19-impact-tourism?utm_source=chatgpt.com"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openxmlformats.org/officeDocument/2006/relationships/hyperlink" Target="https://www.statista.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ilton.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hyperlink" Target="https://research.skift.com/?utm_source=chatgpt.com" TargetMode="External"/><Relationship Id="rId27" Type="http://schemas.openxmlformats.org/officeDocument/2006/relationships/footer" Target="footer1.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06CF846-667B-4186-8F00-546CBD3CB492}" type="doc">
      <dgm:prSet loTypeId="urn:microsoft.com/office/officeart/2005/8/layout/orgChart1" loCatId="hierarchy" qsTypeId="urn:microsoft.com/office/officeart/2005/8/quickstyle/simple1" qsCatId="simple" csTypeId="urn:microsoft.com/office/officeart/2005/8/colors/colorful4" csCatId="colorful" phldr="1"/>
      <dgm:spPr/>
      <dgm:t>
        <a:bodyPr/>
        <a:lstStyle/>
        <a:p>
          <a:endParaRPr lang="en-US"/>
        </a:p>
      </dgm:t>
    </dgm:pt>
    <dgm:pt modelId="{7169E787-9D31-408D-A3AF-5CEE62630CB9}">
      <dgm:prSet phldrT="[Text]" custT="1"/>
      <dgm:spPr/>
      <dgm:t>
        <a:bodyPr/>
        <a:lstStyle/>
        <a:p>
          <a:r>
            <a:rPr lang="en-US" sz="1200" b="1">
              <a:latin typeface="Arial" panose="020B0604020202020204" pitchFamily="34" charset="0"/>
              <a:cs typeface="Arial" panose="020B0604020202020204" pitchFamily="34" charset="0"/>
            </a:rPr>
            <a:t>Hilton Hotels &amp; Resorts Post-COVID </a:t>
          </a:r>
        </a:p>
        <a:p>
          <a:r>
            <a:rPr lang="en-US" sz="1200" b="1">
              <a:latin typeface="Arial" panose="020B0604020202020204" pitchFamily="34" charset="0"/>
              <a:cs typeface="Arial" panose="020B0604020202020204" pitchFamily="34" charset="0"/>
            </a:rPr>
            <a:t>Strategic Objectives Framework </a:t>
          </a:r>
        </a:p>
      </dgm:t>
    </dgm:pt>
    <dgm:pt modelId="{2F8861F3-BD4F-428C-B715-54FC5EFB41B6}" type="parTrans" cxnId="{91A47A4E-AB2B-43A1-865F-C25809386FF6}">
      <dgm:prSet/>
      <dgm:spPr/>
      <dgm:t>
        <a:bodyPr/>
        <a:lstStyle/>
        <a:p>
          <a:endParaRPr lang="en-US"/>
        </a:p>
      </dgm:t>
    </dgm:pt>
    <dgm:pt modelId="{35777A52-75B1-4F25-80F6-DDC352E25DE0}" type="sibTrans" cxnId="{91A47A4E-AB2B-43A1-865F-C25809386FF6}">
      <dgm:prSet/>
      <dgm:spPr/>
      <dgm:t>
        <a:bodyPr/>
        <a:lstStyle/>
        <a:p>
          <a:endParaRPr lang="en-US"/>
        </a:p>
      </dgm:t>
    </dgm:pt>
    <dgm:pt modelId="{BB9D7A71-3342-4406-B35A-88462BD8496C}">
      <dgm:prSet phldrT="[Text]" custT="1"/>
      <dgm:spPr/>
      <dgm:t>
        <a:bodyPr/>
        <a:lstStyle/>
        <a:p>
          <a:pPr algn="ctr"/>
          <a:r>
            <a:rPr lang="en-US" sz="1200">
              <a:latin typeface="Arial" panose="020B0604020202020204" pitchFamily="34" charset="0"/>
              <a:cs typeface="Arial" panose="020B0604020202020204" pitchFamily="34" charset="0"/>
            </a:rPr>
            <a:t>-Revitalise the MICE  segment through hybrid event formats</a:t>
          </a:r>
        </a:p>
        <a:p>
          <a:pPr algn="ctr"/>
          <a:r>
            <a:rPr lang="en-US" sz="1200">
              <a:latin typeface="Arial" panose="020B0604020202020204" pitchFamily="34" charset="0"/>
              <a:cs typeface="Arial" panose="020B0604020202020204" pitchFamily="34" charset="0"/>
            </a:rPr>
            <a:t>-Partner with tech firms (Zoom, Teams)  to expand EventReady </a:t>
          </a:r>
        </a:p>
      </dgm:t>
    </dgm:pt>
    <dgm:pt modelId="{EF3CC766-FA8D-48DA-9816-42AF724ABC1E}" type="parTrans" cxnId="{28021D6E-2978-4D43-958C-0413F44493F0}">
      <dgm:prSet/>
      <dgm:spPr/>
      <dgm:t>
        <a:bodyPr/>
        <a:lstStyle/>
        <a:p>
          <a:endParaRPr lang="en-US"/>
        </a:p>
      </dgm:t>
    </dgm:pt>
    <dgm:pt modelId="{081FCF24-CB62-4FFB-A5ED-4C03D371AC99}" type="sibTrans" cxnId="{28021D6E-2978-4D43-958C-0413F44493F0}">
      <dgm:prSet/>
      <dgm:spPr/>
      <dgm:t>
        <a:bodyPr/>
        <a:lstStyle/>
        <a:p>
          <a:endParaRPr lang="en-US"/>
        </a:p>
      </dgm:t>
    </dgm:pt>
    <dgm:pt modelId="{DD6435EF-C9C7-45AD-AA08-2EE5714B8BF6}">
      <dgm:prSet phldrT="[Text]" custT="1"/>
      <dgm:spPr/>
      <dgm:t>
        <a:bodyPr/>
        <a:lstStyle/>
        <a:p>
          <a:pPr algn="ctr"/>
          <a:r>
            <a:rPr lang="en-US" sz="1200">
              <a:latin typeface="Arial" panose="020B0604020202020204" pitchFamily="34" charset="0"/>
              <a:cs typeface="Arial" panose="020B0604020202020204" pitchFamily="34" charset="0"/>
            </a:rPr>
            <a:t> -Strengthen Hybrid  Hospitality Model</a:t>
          </a:r>
        </a:p>
        <a:p>
          <a:pPr algn="ctr"/>
          <a:r>
            <a:rPr lang="en-US" sz="1200">
              <a:latin typeface="Arial" panose="020B0604020202020204" pitchFamily="34" charset="0"/>
              <a:cs typeface="Arial" panose="020B0604020202020204" pitchFamily="34" charset="0"/>
            </a:rPr>
            <a:t>-Introduce flexible long-stay packages &amp; wellness-based hybrid suites </a:t>
          </a:r>
        </a:p>
      </dgm:t>
    </dgm:pt>
    <dgm:pt modelId="{E1E4D772-D4D9-41F2-A0AB-B85689AE29ED}" type="parTrans" cxnId="{7711757C-61D3-41CB-8BAF-5E65B2C01581}">
      <dgm:prSet/>
      <dgm:spPr/>
      <dgm:t>
        <a:bodyPr/>
        <a:lstStyle/>
        <a:p>
          <a:endParaRPr lang="en-US"/>
        </a:p>
      </dgm:t>
    </dgm:pt>
    <dgm:pt modelId="{933052AC-1274-417F-AAE1-F7F569F2FB84}" type="sibTrans" cxnId="{7711757C-61D3-41CB-8BAF-5E65B2C01581}">
      <dgm:prSet/>
      <dgm:spPr/>
      <dgm:t>
        <a:bodyPr/>
        <a:lstStyle/>
        <a:p>
          <a:endParaRPr lang="en-US"/>
        </a:p>
      </dgm:t>
    </dgm:pt>
    <dgm:pt modelId="{F5373A44-D986-43B8-A9E0-D45B3751E851}">
      <dgm:prSet phldrT="[Text]" custT="1"/>
      <dgm:spPr/>
      <dgm:t>
        <a:bodyPr/>
        <a:lstStyle/>
        <a:p>
          <a:pPr algn="ctr"/>
          <a:r>
            <a:rPr lang="en-US" sz="1200">
              <a:latin typeface="Arial" panose="020B0604020202020204" pitchFamily="34" charset="0"/>
              <a:cs typeface="Arial" panose="020B0604020202020204" pitchFamily="34" charset="0"/>
            </a:rPr>
            <a:t>-Enhance the ESG and local sustainability partnerships</a:t>
          </a:r>
        </a:p>
        <a:p>
          <a:pPr algn="ctr"/>
          <a:r>
            <a:rPr lang="en-US" sz="1200">
              <a:latin typeface="Arial" panose="020B0604020202020204" pitchFamily="34" charset="0"/>
              <a:cs typeface="Arial" panose="020B0604020202020204" pitchFamily="34" charset="0"/>
            </a:rPr>
            <a:t>-Integration the carbon-neutral modes of transport and app-based trackers.</a:t>
          </a:r>
        </a:p>
      </dgm:t>
    </dgm:pt>
    <dgm:pt modelId="{4CF718A6-C4AB-47E4-A34E-53853926F352}" type="parTrans" cxnId="{9D037F6B-33F0-4C99-A0C9-F4911E708D9F}">
      <dgm:prSet/>
      <dgm:spPr/>
      <dgm:t>
        <a:bodyPr/>
        <a:lstStyle/>
        <a:p>
          <a:endParaRPr lang="en-US"/>
        </a:p>
      </dgm:t>
    </dgm:pt>
    <dgm:pt modelId="{41AF37DD-FB98-4FD4-837C-6FFBD66BEBD2}" type="sibTrans" cxnId="{9D037F6B-33F0-4C99-A0C9-F4911E708D9F}">
      <dgm:prSet/>
      <dgm:spPr/>
      <dgm:t>
        <a:bodyPr/>
        <a:lstStyle/>
        <a:p>
          <a:endParaRPr lang="en-US"/>
        </a:p>
      </dgm:t>
    </dgm:pt>
    <dgm:pt modelId="{F154D4B2-9241-499B-92B0-64E3FA388840}">
      <dgm:prSet phldrT="[Text]" custT="1"/>
      <dgm:spPr/>
      <dgm:t>
        <a:bodyPr/>
        <a:lstStyle/>
        <a:p>
          <a:pPr algn="ctr"/>
          <a:r>
            <a:rPr lang="en-US" sz="1200">
              <a:latin typeface="Arial" panose="020B0604020202020204" pitchFamily="34" charset="0"/>
              <a:cs typeface="Arial" panose="020B0604020202020204" pitchFamily="34" charset="0"/>
            </a:rPr>
            <a:t>-Utilise the Artificial Intelligence-driven analytics and data personalisation.</a:t>
          </a:r>
        </a:p>
        <a:p>
          <a:pPr algn="ctr"/>
          <a:r>
            <a:rPr lang="en-US" sz="1200">
              <a:latin typeface="Arial" panose="020B0604020202020204" pitchFamily="34" charset="0"/>
              <a:cs typeface="Arial" panose="020B0604020202020204" pitchFamily="34" charset="0"/>
            </a:rPr>
            <a:t> -Optimise the pricing and experience of loyalty</a:t>
          </a:r>
        </a:p>
        <a:p>
          <a:pPr algn="ctr"/>
          <a:r>
            <a:rPr lang="en-US" sz="1200">
              <a:latin typeface="Arial" panose="020B0604020202020204" pitchFamily="34" charset="0"/>
              <a:cs typeface="Arial" panose="020B0604020202020204" pitchFamily="34" charset="0"/>
            </a:rPr>
            <a:t>-Benchmark against the Marriott Bonvoy and ALL platforms of Accor  </a:t>
          </a:r>
        </a:p>
      </dgm:t>
    </dgm:pt>
    <dgm:pt modelId="{EC1C1E1C-EF91-4338-9F70-A0C808DCAC59}" type="parTrans" cxnId="{B4581DC0-1EA8-4A53-A48A-01923D83A505}">
      <dgm:prSet/>
      <dgm:spPr/>
      <dgm:t>
        <a:bodyPr/>
        <a:lstStyle/>
        <a:p>
          <a:endParaRPr lang="en-US"/>
        </a:p>
      </dgm:t>
    </dgm:pt>
    <dgm:pt modelId="{BB8BC55E-9A9A-4BED-826A-86E492B5F10E}" type="sibTrans" cxnId="{B4581DC0-1EA8-4A53-A48A-01923D83A505}">
      <dgm:prSet/>
      <dgm:spPr/>
      <dgm:t>
        <a:bodyPr/>
        <a:lstStyle/>
        <a:p>
          <a:endParaRPr lang="en-US"/>
        </a:p>
      </dgm:t>
    </dgm:pt>
    <dgm:pt modelId="{968E390C-4760-487B-B693-A6F944261427}" type="pres">
      <dgm:prSet presAssocID="{A06CF846-667B-4186-8F00-546CBD3CB492}" presName="hierChild1" presStyleCnt="0">
        <dgm:presLayoutVars>
          <dgm:orgChart val="1"/>
          <dgm:chPref val="1"/>
          <dgm:dir/>
          <dgm:animOne val="branch"/>
          <dgm:animLvl val="lvl"/>
          <dgm:resizeHandles/>
        </dgm:presLayoutVars>
      </dgm:prSet>
      <dgm:spPr/>
    </dgm:pt>
    <dgm:pt modelId="{FAB243F2-212F-422D-858D-6A1F26E7FF94}" type="pres">
      <dgm:prSet presAssocID="{7169E787-9D31-408D-A3AF-5CEE62630CB9}" presName="hierRoot1" presStyleCnt="0">
        <dgm:presLayoutVars>
          <dgm:hierBranch val="init"/>
        </dgm:presLayoutVars>
      </dgm:prSet>
      <dgm:spPr/>
    </dgm:pt>
    <dgm:pt modelId="{10AEF1EB-60A4-4ADF-8D63-710B0F8756E5}" type="pres">
      <dgm:prSet presAssocID="{7169E787-9D31-408D-A3AF-5CEE62630CB9}" presName="rootComposite1" presStyleCnt="0"/>
      <dgm:spPr/>
    </dgm:pt>
    <dgm:pt modelId="{1AF22994-4BA5-43D7-9D5E-03E045766EFE}" type="pres">
      <dgm:prSet presAssocID="{7169E787-9D31-408D-A3AF-5CEE62630CB9}" presName="rootText1" presStyleLbl="node0" presStyleIdx="0" presStyleCnt="1" custScaleX="359604">
        <dgm:presLayoutVars>
          <dgm:chPref val="3"/>
        </dgm:presLayoutVars>
      </dgm:prSet>
      <dgm:spPr/>
    </dgm:pt>
    <dgm:pt modelId="{7647275D-AD3D-47AD-AA57-60E3A2D89DAD}" type="pres">
      <dgm:prSet presAssocID="{7169E787-9D31-408D-A3AF-5CEE62630CB9}" presName="rootConnector1" presStyleLbl="node1" presStyleIdx="0" presStyleCnt="0"/>
      <dgm:spPr/>
    </dgm:pt>
    <dgm:pt modelId="{1341A856-97A2-4EBB-B604-8F854F960AC2}" type="pres">
      <dgm:prSet presAssocID="{7169E787-9D31-408D-A3AF-5CEE62630CB9}" presName="hierChild2" presStyleCnt="0"/>
      <dgm:spPr/>
    </dgm:pt>
    <dgm:pt modelId="{30DEBC22-BDDD-465C-B066-99A5DEB13450}" type="pres">
      <dgm:prSet presAssocID="{EF3CC766-FA8D-48DA-9816-42AF724ABC1E}" presName="Name37" presStyleLbl="parChTrans1D2" presStyleIdx="0" presStyleCnt="4"/>
      <dgm:spPr/>
    </dgm:pt>
    <dgm:pt modelId="{97B29616-8FAD-46B4-BCAA-51B2B2666C8F}" type="pres">
      <dgm:prSet presAssocID="{BB9D7A71-3342-4406-B35A-88462BD8496C}" presName="hierRoot2" presStyleCnt="0">
        <dgm:presLayoutVars>
          <dgm:hierBranch val="init"/>
        </dgm:presLayoutVars>
      </dgm:prSet>
      <dgm:spPr/>
    </dgm:pt>
    <dgm:pt modelId="{D31D3AB2-3A40-4F48-A0FD-79DC4768C300}" type="pres">
      <dgm:prSet presAssocID="{BB9D7A71-3342-4406-B35A-88462BD8496C}" presName="rootComposite" presStyleCnt="0"/>
      <dgm:spPr/>
    </dgm:pt>
    <dgm:pt modelId="{10E46F98-B207-4B5F-B5B5-B872FF8FCB4E}" type="pres">
      <dgm:prSet presAssocID="{BB9D7A71-3342-4406-B35A-88462BD8496C}" presName="rootText" presStyleLbl="node2" presStyleIdx="0" presStyleCnt="4" custScaleY="452906">
        <dgm:presLayoutVars>
          <dgm:chPref val="3"/>
        </dgm:presLayoutVars>
      </dgm:prSet>
      <dgm:spPr/>
    </dgm:pt>
    <dgm:pt modelId="{93EC418E-35CC-472E-852C-A35E7901073D}" type="pres">
      <dgm:prSet presAssocID="{BB9D7A71-3342-4406-B35A-88462BD8496C}" presName="rootConnector" presStyleLbl="node2" presStyleIdx="0" presStyleCnt="4"/>
      <dgm:spPr/>
    </dgm:pt>
    <dgm:pt modelId="{1EB3C91D-9948-496A-BB1E-BEE0E794612F}" type="pres">
      <dgm:prSet presAssocID="{BB9D7A71-3342-4406-B35A-88462BD8496C}" presName="hierChild4" presStyleCnt="0"/>
      <dgm:spPr/>
    </dgm:pt>
    <dgm:pt modelId="{B710F92B-0C81-4194-A882-9DA7C90545B9}" type="pres">
      <dgm:prSet presAssocID="{BB9D7A71-3342-4406-B35A-88462BD8496C}" presName="hierChild5" presStyleCnt="0"/>
      <dgm:spPr/>
    </dgm:pt>
    <dgm:pt modelId="{E00CFB97-BB5F-46F1-BD42-7E28B048459D}" type="pres">
      <dgm:prSet presAssocID="{E1E4D772-D4D9-41F2-A0AB-B85689AE29ED}" presName="Name37" presStyleLbl="parChTrans1D2" presStyleIdx="1" presStyleCnt="4"/>
      <dgm:spPr/>
    </dgm:pt>
    <dgm:pt modelId="{5C8B69CF-DA6E-4DC1-961D-42BCC7A5DE54}" type="pres">
      <dgm:prSet presAssocID="{DD6435EF-C9C7-45AD-AA08-2EE5714B8BF6}" presName="hierRoot2" presStyleCnt="0">
        <dgm:presLayoutVars>
          <dgm:hierBranch val="init"/>
        </dgm:presLayoutVars>
      </dgm:prSet>
      <dgm:spPr/>
    </dgm:pt>
    <dgm:pt modelId="{E013773E-62A3-40ED-83DA-823DA915CC91}" type="pres">
      <dgm:prSet presAssocID="{DD6435EF-C9C7-45AD-AA08-2EE5714B8BF6}" presName="rootComposite" presStyleCnt="0"/>
      <dgm:spPr/>
    </dgm:pt>
    <dgm:pt modelId="{0F8B8F7A-FEE7-457F-8582-1C4C80065526}" type="pres">
      <dgm:prSet presAssocID="{DD6435EF-C9C7-45AD-AA08-2EE5714B8BF6}" presName="rootText" presStyleLbl="node2" presStyleIdx="1" presStyleCnt="4" custScaleX="104679" custScaleY="458050">
        <dgm:presLayoutVars>
          <dgm:chPref val="3"/>
        </dgm:presLayoutVars>
      </dgm:prSet>
      <dgm:spPr/>
    </dgm:pt>
    <dgm:pt modelId="{C702D3ED-DA04-4D54-B176-5C0BE89DFDB9}" type="pres">
      <dgm:prSet presAssocID="{DD6435EF-C9C7-45AD-AA08-2EE5714B8BF6}" presName="rootConnector" presStyleLbl="node2" presStyleIdx="1" presStyleCnt="4"/>
      <dgm:spPr/>
    </dgm:pt>
    <dgm:pt modelId="{3D1A5D72-BC6D-41A2-BCD9-E13F7D71C0AF}" type="pres">
      <dgm:prSet presAssocID="{DD6435EF-C9C7-45AD-AA08-2EE5714B8BF6}" presName="hierChild4" presStyleCnt="0"/>
      <dgm:spPr/>
    </dgm:pt>
    <dgm:pt modelId="{EE716C3A-3C09-43B5-BB08-F5C6B1B29BEF}" type="pres">
      <dgm:prSet presAssocID="{DD6435EF-C9C7-45AD-AA08-2EE5714B8BF6}" presName="hierChild5" presStyleCnt="0"/>
      <dgm:spPr/>
    </dgm:pt>
    <dgm:pt modelId="{D68829F4-6A7A-4ECA-B704-0C2D8775DB4F}" type="pres">
      <dgm:prSet presAssocID="{4CF718A6-C4AB-47E4-A34E-53853926F352}" presName="Name37" presStyleLbl="parChTrans1D2" presStyleIdx="2" presStyleCnt="4"/>
      <dgm:spPr/>
    </dgm:pt>
    <dgm:pt modelId="{0FDA425E-AD6A-4FED-BA00-B403CD7F509F}" type="pres">
      <dgm:prSet presAssocID="{F5373A44-D986-43B8-A9E0-D45B3751E851}" presName="hierRoot2" presStyleCnt="0">
        <dgm:presLayoutVars>
          <dgm:hierBranch val="init"/>
        </dgm:presLayoutVars>
      </dgm:prSet>
      <dgm:spPr/>
    </dgm:pt>
    <dgm:pt modelId="{CE3B57BC-3E06-4E28-A6D5-C4349F0CA15C}" type="pres">
      <dgm:prSet presAssocID="{F5373A44-D986-43B8-A9E0-D45B3751E851}" presName="rootComposite" presStyleCnt="0"/>
      <dgm:spPr/>
    </dgm:pt>
    <dgm:pt modelId="{8B9988BC-825E-415D-BBA8-0FBF6938E801}" type="pres">
      <dgm:prSet presAssocID="{F5373A44-D986-43B8-A9E0-D45B3751E851}" presName="rootText" presStyleLbl="node2" presStyleIdx="2" presStyleCnt="4" custScaleY="453339">
        <dgm:presLayoutVars>
          <dgm:chPref val="3"/>
        </dgm:presLayoutVars>
      </dgm:prSet>
      <dgm:spPr/>
    </dgm:pt>
    <dgm:pt modelId="{106870E4-6BD3-4225-AAE8-CCCC30566E14}" type="pres">
      <dgm:prSet presAssocID="{F5373A44-D986-43B8-A9E0-D45B3751E851}" presName="rootConnector" presStyleLbl="node2" presStyleIdx="2" presStyleCnt="4"/>
      <dgm:spPr/>
    </dgm:pt>
    <dgm:pt modelId="{9996C3A5-C33A-42C9-B7EF-04F6E917493D}" type="pres">
      <dgm:prSet presAssocID="{F5373A44-D986-43B8-A9E0-D45B3751E851}" presName="hierChild4" presStyleCnt="0"/>
      <dgm:spPr/>
    </dgm:pt>
    <dgm:pt modelId="{C3E5A324-ED70-4AC9-99F1-78FBBE61337E}" type="pres">
      <dgm:prSet presAssocID="{F5373A44-D986-43B8-A9E0-D45B3751E851}" presName="hierChild5" presStyleCnt="0"/>
      <dgm:spPr/>
    </dgm:pt>
    <dgm:pt modelId="{CBFE9CA5-2C58-4D59-AA5A-2834784141E6}" type="pres">
      <dgm:prSet presAssocID="{EC1C1E1C-EF91-4338-9F70-A0C808DCAC59}" presName="Name37" presStyleLbl="parChTrans1D2" presStyleIdx="3" presStyleCnt="4"/>
      <dgm:spPr/>
    </dgm:pt>
    <dgm:pt modelId="{F5BA142A-A64E-4195-AC83-71649F70BCB8}" type="pres">
      <dgm:prSet presAssocID="{F154D4B2-9241-499B-92B0-64E3FA388840}" presName="hierRoot2" presStyleCnt="0">
        <dgm:presLayoutVars>
          <dgm:hierBranch val="init"/>
        </dgm:presLayoutVars>
      </dgm:prSet>
      <dgm:spPr/>
    </dgm:pt>
    <dgm:pt modelId="{5BED3751-B97A-4603-B6AD-EF1E312A656D}" type="pres">
      <dgm:prSet presAssocID="{F154D4B2-9241-499B-92B0-64E3FA388840}" presName="rootComposite" presStyleCnt="0"/>
      <dgm:spPr/>
    </dgm:pt>
    <dgm:pt modelId="{AE32AE19-8478-4545-B9DA-5694D109547D}" type="pres">
      <dgm:prSet presAssocID="{F154D4B2-9241-499B-92B0-64E3FA388840}" presName="rootText" presStyleLbl="node2" presStyleIdx="3" presStyleCnt="4" custScaleY="464910">
        <dgm:presLayoutVars>
          <dgm:chPref val="3"/>
        </dgm:presLayoutVars>
      </dgm:prSet>
      <dgm:spPr/>
    </dgm:pt>
    <dgm:pt modelId="{19285A5F-AB4F-444E-9D14-A5620783E3E8}" type="pres">
      <dgm:prSet presAssocID="{F154D4B2-9241-499B-92B0-64E3FA388840}" presName="rootConnector" presStyleLbl="node2" presStyleIdx="3" presStyleCnt="4"/>
      <dgm:spPr/>
    </dgm:pt>
    <dgm:pt modelId="{A869E307-5B7D-48F5-AC4F-7CB0ED4A39E8}" type="pres">
      <dgm:prSet presAssocID="{F154D4B2-9241-499B-92B0-64E3FA388840}" presName="hierChild4" presStyleCnt="0"/>
      <dgm:spPr/>
    </dgm:pt>
    <dgm:pt modelId="{18BEF56D-CA63-48D7-A2BB-76B51DD2F0E5}" type="pres">
      <dgm:prSet presAssocID="{F154D4B2-9241-499B-92B0-64E3FA388840}" presName="hierChild5" presStyleCnt="0"/>
      <dgm:spPr/>
    </dgm:pt>
    <dgm:pt modelId="{26102027-069D-463A-9849-800007639172}" type="pres">
      <dgm:prSet presAssocID="{7169E787-9D31-408D-A3AF-5CEE62630CB9}" presName="hierChild3" presStyleCnt="0"/>
      <dgm:spPr/>
    </dgm:pt>
  </dgm:ptLst>
  <dgm:cxnLst>
    <dgm:cxn modelId="{371EB10A-B335-486D-9392-49C45427BBFD}" type="presOf" srcId="{DD6435EF-C9C7-45AD-AA08-2EE5714B8BF6}" destId="{0F8B8F7A-FEE7-457F-8582-1C4C80065526}" srcOrd="0" destOrd="0" presId="urn:microsoft.com/office/officeart/2005/8/layout/orgChart1"/>
    <dgm:cxn modelId="{924FAE0C-FC87-4AA4-B977-6BFB0B3F690E}" type="presOf" srcId="{DD6435EF-C9C7-45AD-AA08-2EE5714B8BF6}" destId="{C702D3ED-DA04-4D54-B176-5C0BE89DFDB9}" srcOrd="1" destOrd="0" presId="urn:microsoft.com/office/officeart/2005/8/layout/orgChart1"/>
    <dgm:cxn modelId="{31375B31-E7F5-435D-9124-5647E235DBCD}" type="presOf" srcId="{EC1C1E1C-EF91-4338-9F70-A0C808DCAC59}" destId="{CBFE9CA5-2C58-4D59-AA5A-2834784141E6}" srcOrd="0" destOrd="0" presId="urn:microsoft.com/office/officeart/2005/8/layout/orgChart1"/>
    <dgm:cxn modelId="{1B512937-F6A7-4EC5-BEC3-3BC74D7AA742}" type="presOf" srcId="{E1E4D772-D4D9-41F2-A0AB-B85689AE29ED}" destId="{E00CFB97-BB5F-46F1-BD42-7E28B048459D}" srcOrd="0" destOrd="0" presId="urn:microsoft.com/office/officeart/2005/8/layout/orgChart1"/>
    <dgm:cxn modelId="{C3AA823B-C729-4DCA-A5F5-114CB9A66D1E}" type="presOf" srcId="{4CF718A6-C4AB-47E4-A34E-53853926F352}" destId="{D68829F4-6A7A-4ECA-B704-0C2D8775DB4F}" srcOrd="0" destOrd="0" presId="urn:microsoft.com/office/officeart/2005/8/layout/orgChart1"/>
    <dgm:cxn modelId="{BD325062-8997-4F8B-AA41-07AC98281ADC}" type="presOf" srcId="{7169E787-9D31-408D-A3AF-5CEE62630CB9}" destId="{1AF22994-4BA5-43D7-9D5E-03E045766EFE}" srcOrd="0" destOrd="0" presId="urn:microsoft.com/office/officeart/2005/8/layout/orgChart1"/>
    <dgm:cxn modelId="{9D037F6B-33F0-4C99-A0C9-F4911E708D9F}" srcId="{7169E787-9D31-408D-A3AF-5CEE62630CB9}" destId="{F5373A44-D986-43B8-A9E0-D45B3751E851}" srcOrd="2" destOrd="0" parTransId="{4CF718A6-C4AB-47E4-A34E-53853926F352}" sibTransId="{41AF37DD-FB98-4FD4-837C-6FFBD66BEBD2}"/>
    <dgm:cxn modelId="{28021D6E-2978-4D43-958C-0413F44493F0}" srcId="{7169E787-9D31-408D-A3AF-5CEE62630CB9}" destId="{BB9D7A71-3342-4406-B35A-88462BD8496C}" srcOrd="0" destOrd="0" parTransId="{EF3CC766-FA8D-48DA-9816-42AF724ABC1E}" sibTransId="{081FCF24-CB62-4FFB-A5ED-4C03D371AC99}"/>
    <dgm:cxn modelId="{91A47A4E-AB2B-43A1-865F-C25809386FF6}" srcId="{A06CF846-667B-4186-8F00-546CBD3CB492}" destId="{7169E787-9D31-408D-A3AF-5CEE62630CB9}" srcOrd="0" destOrd="0" parTransId="{2F8861F3-BD4F-428C-B715-54FC5EFB41B6}" sibTransId="{35777A52-75B1-4F25-80F6-DDC352E25DE0}"/>
    <dgm:cxn modelId="{7711757C-61D3-41CB-8BAF-5E65B2C01581}" srcId="{7169E787-9D31-408D-A3AF-5CEE62630CB9}" destId="{DD6435EF-C9C7-45AD-AA08-2EE5714B8BF6}" srcOrd="1" destOrd="0" parTransId="{E1E4D772-D4D9-41F2-A0AB-B85689AE29ED}" sibTransId="{933052AC-1274-417F-AAE1-F7F569F2FB84}"/>
    <dgm:cxn modelId="{97979FB0-E6D6-45A0-A02B-ED2209817263}" type="presOf" srcId="{F154D4B2-9241-499B-92B0-64E3FA388840}" destId="{AE32AE19-8478-4545-B9DA-5694D109547D}" srcOrd="0" destOrd="0" presId="urn:microsoft.com/office/officeart/2005/8/layout/orgChart1"/>
    <dgm:cxn modelId="{2AD514B4-3615-4DC0-8928-A662E1D54F17}" type="presOf" srcId="{F5373A44-D986-43B8-A9E0-D45B3751E851}" destId="{106870E4-6BD3-4225-AAE8-CCCC30566E14}" srcOrd="1" destOrd="0" presId="urn:microsoft.com/office/officeart/2005/8/layout/orgChart1"/>
    <dgm:cxn modelId="{AFC395B9-76FA-4CE6-B976-5EA4E9B5F9DA}" type="presOf" srcId="{BB9D7A71-3342-4406-B35A-88462BD8496C}" destId="{10E46F98-B207-4B5F-B5B5-B872FF8FCB4E}" srcOrd="0" destOrd="0" presId="urn:microsoft.com/office/officeart/2005/8/layout/orgChart1"/>
    <dgm:cxn modelId="{812323BF-AC01-4164-BDBB-868281D1A236}" type="presOf" srcId="{A06CF846-667B-4186-8F00-546CBD3CB492}" destId="{968E390C-4760-487B-B693-A6F944261427}" srcOrd="0" destOrd="0" presId="urn:microsoft.com/office/officeart/2005/8/layout/orgChart1"/>
    <dgm:cxn modelId="{B4581DC0-1EA8-4A53-A48A-01923D83A505}" srcId="{7169E787-9D31-408D-A3AF-5CEE62630CB9}" destId="{F154D4B2-9241-499B-92B0-64E3FA388840}" srcOrd="3" destOrd="0" parTransId="{EC1C1E1C-EF91-4338-9F70-A0C808DCAC59}" sibTransId="{BB8BC55E-9A9A-4BED-826A-86E492B5F10E}"/>
    <dgm:cxn modelId="{C9BA23C5-25E8-4617-BBF8-BEC5463230F0}" type="presOf" srcId="{F5373A44-D986-43B8-A9E0-D45B3751E851}" destId="{8B9988BC-825E-415D-BBA8-0FBF6938E801}" srcOrd="0" destOrd="0" presId="urn:microsoft.com/office/officeart/2005/8/layout/orgChart1"/>
    <dgm:cxn modelId="{BC612ACA-1105-4D7F-9BF5-295DB1862B7F}" type="presOf" srcId="{F154D4B2-9241-499B-92B0-64E3FA388840}" destId="{19285A5F-AB4F-444E-9D14-A5620783E3E8}" srcOrd="1" destOrd="0" presId="urn:microsoft.com/office/officeart/2005/8/layout/orgChart1"/>
    <dgm:cxn modelId="{9EF2A9D7-F4AD-44F5-9E7A-B2FF8D5BAC2A}" type="presOf" srcId="{BB9D7A71-3342-4406-B35A-88462BD8496C}" destId="{93EC418E-35CC-472E-852C-A35E7901073D}" srcOrd="1" destOrd="0" presId="urn:microsoft.com/office/officeart/2005/8/layout/orgChart1"/>
    <dgm:cxn modelId="{6F28ADDD-7BE0-49AE-BAB9-A2B3FCF1BA6A}" type="presOf" srcId="{7169E787-9D31-408D-A3AF-5CEE62630CB9}" destId="{7647275D-AD3D-47AD-AA57-60E3A2D89DAD}" srcOrd="1" destOrd="0" presId="urn:microsoft.com/office/officeart/2005/8/layout/orgChart1"/>
    <dgm:cxn modelId="{6C127FDF-333F-4F8C-9A9D-2AABC0403C4B}" type="presOf" srcId="{EF3CC766-FA8D-48DA-9816-42AF724ABC1E}" destId="{30DEBC22-BDDD-465C-B066-99A5DEB13450}" srcOrd="0" destOrd="0" presId="urn:microsoft.com/office/officeart/2005/8/layout/orgChart1"/>
    <dgm:cxn modelId="{8A29376B-B934-4220-BB81-786B440B1E96}" type="presParOf" srcId="{968E390C-4760-487B-B693-A6F944261427}" destId="{FAB243F2-212F-422D-858D-6A1F26E7FF94}" srcOrd="0" destOrd="0" presId="urn:microsoft.com/office/officeart/2005/8/layout/orgChart1"/>
    <dgm:cxn modelId="{D4F21479-B5A6-4AF1-9BD5-E0C9EA71491B}" type="presParOf" srcId="{FAB243F2-212F-422D-858D-6A1F26E7FF94}" destId="{10AEF1EB-60A4-4ADF-8D63-710B0F8756E5}" srcOrd="0" destOrd="0" presId="urn:microsoft.com/office/officeart/2005/8/layout/orgChart1"/>
    <dgm:cxn modelId="{0C00D117-6D9C-432F-AF90-AA9B78B3CC05}" type="presParOf" srcId="{10AEF1EB-60A4-4ADF-8D63-710B0F8756E5}" destId="{1AF22994-4BA5-43D7-9D5E-03E045766EFE}" srcOrd="0" destOrd="0" presId="urn:microsoft.com/office/officeart/2005/8/layout/orgChart1"/>
    <dgm:cxn modelId="{7472710B-0615-41BE-9598-8D47B6793A0F}" type="presParOf" srcId="{10AEF1EB-60A4-4ADF-8D63-710B0F8756E5}" destId="{7647275D-AD3D-47AD-AA57-60E3A2D89DAD}" srcOrd="1" destOrd="0" presId="urn:microsoft.com/office/officeart/2005/8/layout/orgChart1"/>
    <dgm:cxn modelId="{0919BBA4-6A2F-4283-8F92-987AAC7E559F}" type="presParOf" srcId="{FAB243F2-212F-422D-858D-6A1F26E7FF94}" destId="{1341A856-97A2-4EBB-B604-8F854F960AC2}" srcOrd="1" destOrd="0" presId="urn:microsoft.com/office/officeart/2005/8/layout/orgChart1"/>
    <dgm:cxn modelId="{A140D769-D2B4-4BF5-937B-BF0D57C91C4C}" type="presParOf" srcId="{1341A856-97A2-4EBB-B604-8F854F960AC2}" destId="{30DEBC22-BDDD-465C-B066-99A5DEB13450}" srcOrd="0" destOrd="0" presId="urn:microsoft.com/office/officeart/2005/8/layout/orgChart1"/>
    <dgm:cxn modelId="{685790D1-3154-411C-9E80-9E5A9FE9EF5C}" type="presParOf" srcId="{1341A856-97A2-4EBB-B604-8F854F960AC2}" destId="{97B29616-8FAD-46B4-BCAA-51B2B2666C8F}" srcOrd="1" destOrd="0" presId="urn:microsoft.com/office/officeart/2005/8/layout/orgChart1"/>
    <dgm:cxn modelId="{1C3E11E0-C19A-48B7-A321-E8F81578213D}" type="presParOf" srcId="{97B29616-8FAD-46B4-BCAA-51B2B2666C8F}" destId="{D31D3AB2-3A40-4F48-A0FD-79DC4768C300}" srcOrd="0" destOrd="0" presId="urn:microsoft.com/office/officeart/2005/8/layout/orgChart1"/>
    <dgm:cxn modelId="{25D06AB9-C59F-4B63-8931-DDC44F4E007A}" type="presParOf" srcId="{D31D3AB2-3A40-4F48-A0FD-79DC4768C300}" destId="{10E46F98-B207-4B5F-B5B5-B872FF8FCB4E}" srcOrd="0" destOrd="0" presId="urn:microsoft.com/office/officeart/2005/8/layout/orgChart1"/>
    <dgm:cxn modelId="{051CA9B7-6E0F-4E1C-9953-60704E57C956}" type="presParOf" srcId="{D31D3AB2-3A40-4F48-A0FD-79DC4768C300}" destId="{93EC418E-35CC-472E-852C-A35E7901073D}" srcOrd="1" destOrd="0" presId="urn:microsoft.com/office/officeart/2005/8/layout/orgChart1"/>
    <dgm:cxn modelId="{53A06A21-3A01-416E-94B4-118D9E555495}" type="presParOf" srcId="{97B29616-8FAD-46B4-BCAA-51B2B2666C8F}" destId="{1EB3C91D-9948-496A-BB1E-BEE0E794612F}" srcOrd="1" destOrd="0" presId="urn:microsoft.com/office/officeart/2005/8/layout/orgChart1"/>
    <dgm:cxn modelId="{B28E9384-C822-458B-9375-FC59DA2587FF}" type="presParOf" srcId="{97B29616-8FAD-46B4-BCAA-51B2B2666C8F}" destId="{B710F92B-0C81-4194-A882-9DA7C90545B9}" srcOrd="2" destOrd="0" presId="urn:microsoft.com/office/officeart/2005/8/layout/orgChart1"/>
    <dgm:cxn modelId="{D6AC31B0-78FE-4EA7-B506-824DD8FB82C0}" type="presParOf" srcId="{1341A856-97A2-4EBB-B604-8F854F960AC2}" destId="{E00CFB97-BB5F-46F1-BD42-7E28B048459D}" srcOrd="2" destOrd="0" presId="urn:microsoft.com/office/officeart/2005/8/layout/orgChart1"/>
    <dgm:cxn modelId="{A877447C-67F3-4FE1-90AE-E1AF5D4C2623}" type="presParOf" srcId="{1341A856-97A2-4EBB-B604-8F854F960AC2}" destId="{5C8B69CF-DA6E-4DC1-961D-42BCC7A5DE54}" srcOrd="3" destOrd="0" presId="urn:microsoft.com/office/officeart/2005/8/layout/orgChart1"/>
    <dgm:cxn modelId="{3EDA2334-C047-489E-B72E-6AE2CF79B467}" type="presParOf" srcId="{5C8B69CF-DA6E-4DC1-961D-42BCC7A5DE54}" destId="{E013773E-62A3-40ED-83DA-823DA915CC91}" srcOrd="0" destOrd="0" presId="urn:microsoft.com/office/officeart/2005/8/layout/orgChart1"/>
    <dgm:cxn modelId="{0A69855F-8B64-4175-85B1-9E1C3281C22A}" type="presParOf" srcId="{E013773E-62A3-40ED-83DA-823DA915CC91}" destId="{0F8B8F7A-FEE7-457F-8582-1C4C80065526}" srcOrd="0" destOrd="0" presId="urn:microsoft.com/office/officeart/2005/8/layout/orgChart1"/>
    <dgm:cxn modelId="{91ED64F3-AE50-4BA9-BE45-83B4DD7847E5}" type="presParOf" srcId="{E013773E-62A3-40ED-83DA-823DA915CC91}" destId="{C702D3ED-DA04-4D54-B176-5C0BE89DFDB9}" srcOrd="1" destOrd="0" presId="urn:microsoft.com/office/officeart/2005/8/layout/orgChart1"/>
    <dgm:cxn modelId="{F0EA292E-A361-4CC9-89D9-2D7A1DFA28D1}" type="presParOf" srcId="{5C8B69CF-DA6E-4DC1-961D-42BCC7A5DE54}" destId="{3D1A5D72-BC6D-41A2-BCD9-E13F7D71C0AF}" srcOrd="1" destOrd="0" presId="urn:microsoft.com/office/officeart/2005/8/layout/orgChart1"/>
    <dgm:cxn modelId="{0133866E-46D2-4DCF-969C-CE464F96C27C}" type="presParOf" srcId="{5C8B69CF-DA6E-4DC1-961D-42BCC7A5DE54}" destId="{EE716C3A-3C09-43B5-BB08-F5C6B1B29BEF}" srcOrd="2" destOrd="0" presId="urn:microsoft.com/office/officeart/2005/8/layout/orgChart1"/>
    <dgm:cxn modelId="{ABB83A7B-5965-4572-9B9A-2882717EAEA5}" type="presParOf" srcId="{1341A856-97A2-4EBB-B604-8F854F960AC2}" destId="{D68829F4-6A7A-4ECA-B704-0C2D8775DB4F}" srcOrd="4" destOrd="0" presId="urn:microsoft.com/office/officeart/2005/8/layout/orgChart1"/>
    <dgm:cxn modelId="{528FACF7-4CF4-426D-BDCF-BD931A04F9A4}" type="presParOf" srcId="{1341A856-97A2-4EBB-B604-8F854F960AC2}" destId="{0FDA425E-AD6A-4FED-BA00-B403CD7F509F}" srcOrd="5" destOrd="0" presId="urn:microsoft.com/office/officeart/2005/8/layout/orgChart1"/>
    <dgm:cxn modelId="{5F0A0039-956A-4D49-B6C5-F32375A9B257}" type="presParOf" srcId="{0FDA425E-AD6A-4FED-BA00-B403CD7F509F}" destId="{CE3B57BC-3E06-4E28-A6D5-C4349F0CA15C}" srcOrd="0" destOrd="0" presId="urn:microsoft.com/office/officeart/2005/8/layout/orgChart1"/>
    <dgm:cxn modelId="{ACFD4F4B-895A-4BD7-8648-AB0142E0D9ED}" type="presParOf" srcId="{CE3B57BC-3E06-4E28-A6D5-C4349F0CA15C}" destId="{8B9988BC-825E-415D-BBA8-0FBF6938E801}" srcOrd="0" destOrd="0" presId="urn:microsoft.com/office/officeart/2005/8/layout/orgChart1"/>
    <dgm:cxn modelId="{A556653F-9D1B-430D-B6DD-D5CBE983B428}" type="presParOf" srcId="{CE3B57BC-3E06-4E28-A6D5-C4349F0CA15C}" destId="{106870E4-6BD3-4225-AAE8-CCCC30566E14}" srcOrd="1" destOrd="0" presId="urn:microsoft.com/office/officeart/2005/8/layout/orgChart1"/>
    <dgm:cxn modelId="{8569E13A-EE9F-4FCA-8CCD-C89B5F68D0E3}" type="presParOf" srcId="{0FDA425E-AD6A-4FED-BA00-B403CD7F509F}" destId="{9996C3A5-C33A-42C9-B7EF-04F6E917493D}" srcOrd="1" destOrd="0" presId="urn:microsoft.com/office/officeart/2005/8/layout/orgChart1"/>
    <dgm:cxn modelId="{EDD72F8E-FB49-4D30-AD19-521546C048DA}" type="presParOf" srcId="{0FDA425E-AD6A-4FED-BA00-B403CD7F509F}" destId="{C3E5A324-ED70-4AC9-99F1-78FBBE61337E}" srcOrd="2" destOrd="0" presId="urn:microsoft.com/office/officeart/2005/8/layout/orgChart1"/>
    <dgm:cxn modelId="{617CDD81-664C-4A3A-8FE9-EAC4A3CD0520}" type="presParOf" srcId="{1341A856-97A2-4EBB-B604-8F854F960AC2}" destId="{CBFE9CA5-2C58-4D59-AA5A-2834784141E6}" srcOrd="6" destOrd="0" presId="urn:microsoft.com/office/officeart/2005/8/layout/orgChart1"/>
    <dgm:cxn modelId="{AD1EBE5B-F103-4A92-94F4-D1D2DA031703}" type="presParOf" srcId="{1341A856-97A2-4EBB-B604-8F854F960AC2}" destId="{F5BA142A-A64E-4195-AC83-71649F70BCB8}" srcOrd="7" destOrd="0" presId="urn:microsoft.com/office/officeart/2005/8/layout/orgChart1"/>
    <dgm:cxn modelId="{B3830FD1-5C8A-4C07-A648-006CB9A5EBCD}" type="presParOf" srcId="{F5BA142A-A64E-4195-AC83-71649F70BCB8}" destId="{5BED3751-B97A-4603-B6AD-EF1E312A656D}" srcOrd="0" destOrd="0" presId="urn:microsoft.com/office/officeart/2005/8/layout/orgChart1"/>
    <dgm:cxn modelId="{F1144B3C-31CF-4629-A58F-836A79C6DBBC}" type="presParOf" srcId="{5BED3751-B97A-4603-B6AD-EF1E312A656D}" destId="{AE32AE19-8478-4545-B9DA-5694D109547D}" srcOrd="0" destOrd="0" presId="urn:microsoft.com/office/officeart/2005/8/layout/orgChart1"/>
    <dgm:cxn modelId="{CCC45A51-BB07-442A-AF7B-70934B9990EB}" type="presParOf" srcId="{5BED3751-B97A-4603-B6AD-EF1E312A656D}" destId="{19285A5F-AB4F-444E-9D14-A5620783E3E8}" srcOrd="1" destOrd="0" presId="urn:microsoft.com/office/officeart/2005/8/layout/orgChart1"/>
    <dgm:cxn modelId="{717F8FF4-D425-4D08-BDB6-844E8AD4D6A7}" type="presParOf" srcId="{F5BA142A-A64E-4195-AC83-71649F70BCB8}" destId="{A869E307-5B7D-48F5-AC4F-7CB0ED4A39E8}" srcOrd="1" destOrd="0" presId="urn:microsoft.com/office/officeart/2005/8/layout/orgChart1"/>
    <dgm:cxn modelId="{BE8DFABA-7E0C-4921-A383-B0D4F1B156E4}" type="presParOf" srcId="{F5BA142A-A64E-4195-AC83-71649F70BCB8}" destId="{18BEF56D-CA63-48D7-A2BB-76B51DD2F0E5}" srcOrd="2" destOrd="0" presId="urn:microsoft.com/office/officeart/2005/8/layout/orgChart1"/>
    <dgm:cxn modelId="{E41D9C67-615D-46B9-AFB4-F0D893355A97}" type="presParOf" srcId="{FAB243F2-212F-422D-858D-6A1F26E7FF94}" destId="{26102027-069D-463A-9849-800007639172}" srcOrd="2" destOrd="0" presId="urn:microsoft.com/office/officeart/2005/8/layout/orgChar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BFE9CA5-2C58-4D59-AA5A-2834784141E6}">
      <dsp:nvSpPr>
        <dsp:cNvPr id="0" name=""/>
        <dsp:cNvSpPr/>
      </dsp:nvSpPr>
      <dsp:spPr>
        <a:xfrm>
          <a:off x="2743200" y="605358"/>
          <a:ext cx="2154638" cy="246124"/>
        </a:xfrm>
        <a:custGeom>
          <a:avLst/>
          <a:gdLst/>
          <a:ahLst/>
          <a:cxnLst/>
          <a:rect l="0" t="0" r="0" b="0"/>
          <a:pathLst>
            <a:path>
              <a:moveTo>
                <a:pt x="0" y="0"/>
              </a:moveTo>
              <a:lnTo>
                <a:pt x="0" y="123062"/>
              </a:lnTo>
              <a:lnTo>
                <a:pt x="2154638" y="123062"/>
              </a:lnTo>
              <a:lnTo>
                <a:pt x="2154638" y="24612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68829F4-6A7A-4ECA-B704-0C2D8775DB4F}">
      <dsp:nvSpPr>
        <dsp:cNvPr id="0" name=""/>
        <dsp:cNvSpPr/>
      </dsp:nvSpPr>
      <dsp:spPr>
        <a:xfrm>
          <a:off x="2743200" y="605358"/>
          <a:ext cx="736492" cy="246124"/>
        </a:xfrm>
        <a:custGeom>
          <a:avLst/>
          <a:gdLst/>
          <a:ahLst/>
          <a:cxnLst/>
          <a:rect l="0" t="0" r="0" b="0"/>
          <a:pathLst>
            <a:path>
              <a:moveTo>
                <a:pt x="0" y="0"/>
              </a:moveTo>
              <a:lnTo>
                <a:pt x="0" y="123062"/>
              </a:lnTo>
              <a:lnTo>
                <a:pt x="736492" y="123062"/>
              </a:lnTo>
              <a:lnTo>
                <a:pt x="736492" y="24612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0CFB97-BB5F-46F1-BD42-7E28B048459D}">
      <dsp:nvSpPr>
        <dsp:cNvPr id="0" name=""/>
        <dsp:cNvSpPr/>
      </dsp:nvSpPr>
      <dsp:spPr>
        <a:xfrm>
          <a:off x="2034127" y="605358"/>
          <a:ext cx="709072" cy="246124"/>
        </a:xfrm>
        <a:custGeom>
          <a:avLst/>
          <a:gdLst/>
          <a:ahLst/>
          <a:cxnLst/>
          <a:rect l="0" t="0" r="0" b="0"/>
          <a:pathLst>
            <a:path>
              <a:moveTo>
                <a:pt x="709072" y="0"/>
              </a:moveTo>
              <a:lnTo>
                <a:pt x="709072" y="123062"/>
              </a:lnTo>
              <a:lnTo>
                <a:pt x="0" y="123062"/>
              </a:lnTo>
              <a:lnTo>
                <a:pt x="0" y="24612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DEBC22-BDDD-465C-B066-99A5DEB13450}">
      <dsp:nvSpPr>
        <dsp:cNvPr id="0" name=""/>
        <dsp:cNvSpPr/>
      </dsp:nvSpPr>
      <dsp:spPr>
        <a:xfrm>
          <a:off x="588561" y="605358"/>
          <a:ext cx="2154638" cy="246124"/>
        </a:xfrm>
        <a:custGeom>
          <a:avLst/>
          <a:gdLst/>
          <a:ahLst/>
          <a:cxnLst/>
          <a:rect l="0" t="0" r="0" b="0"/>
          <a:pathLst>
            <a:path>
              <a:moveTo>
                <a:pt x="2154638" y="0"/>
              </a:moveTo>
              <a:lnTo>
                <a:pt x="2154638" y="123062"/>
              </a:lnTo>
              <a:lnTo>
                <a:pt x="0" y="123062"/>
              </a:lnTo>
              <a:lnTo>
                <a:pt x="0" y="246124"/>
              </a:lnTo>
            </a:path>
          </a:pathLst>
        </a:custGeom>
        <a:noFill/>
        <a:ln w="12700" cap="flat" cmpd="sng" algn="ctr">
          <a:solidFill>
            <a:schemeClr val="accent5">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F22994-4BA5-43D7-9D5E-03E045766EFE}">
      <dsp:nvSpPr>
        <dsp:cNvPr id="0" name=""/>
        <dsp:cNvSpPr/>
      </dsp:nvSpPr>
      <dsp:spPr>
        <a:xfrm>
          <a:off x="635881" y="19348"/>
          <a:ext cx="4214636" cy="586010"/>
        </a:xfrm>
        <a:prstGeom prst="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Hilton Hotels &amp; Resorts Post-COVID </a:t>
          </a:r>
        </a:p>
        <a:p>
          <a:pPr marL="0" lvl="0" indent="0" algn="ctr" defTabSz="533400">
            <a:lnSpc>
              <a:spcPct val="90000"/>
            </a:lnSpc>
            <a:spcBef>
              <a:spcPct val="0"/>
            </a:spcBef>
            <a:spcAft>
              <a:spcPct val="35000"/>
            </a:spcAft>
            <a:buNone/>
          </a:pPr>
          <a:r>
            <a:rPr lang="en-US" sz="1200" b="1" kern="1200">
              <a:latin typeface="Arial" panose="020B0604020202020204" pitchFamily="34" charset="0"/>
              <a:cs typeface="Arial" panose="020B0604020202020204" pitchFamily="34" charset="0"/>
            </a:rPr>
            <a:t>Strategic Objectives Framework </a:t>
          </a:r>
        </a:p>
      </dsp:txBody>
      <dsp:txXfrm>
        <a:off x="635881" y="19348"/>
        <a:ext cx="4214636" cy="586010"/>
      </dsp:txXfrm>
    </dsp:sp>
    <dsp:sp modelId="{10E46F98-B207-4B5F-B5B5-B872FF8FCB4E}">
      <dsp:nvSpPr>
        <dsp:cNvPr id="0" name=""/>
        <dsp:cNvSpPr/>
      </dsp:nvSpPr>
      <dsp:spPr>
        <a:xfrm>
          <a:off x="2550" y="851483"/>
          <a:ext cx="1172021" cy="2654077"/>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-Revitalise the MICE  segment through hybrid event formats</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-Partner with tech firms (Zoom, Teams)  to expand EventReady </a:t>
          </a:r>
        </a:p>
      </dsp:txBody>
      <dsp:txXfrm>
        <a:off x="2550" y="851483"/>
        <a:ext cx="1172021" cy="2654077"/>
      </dsp:txXfrm>
    </dsp:sp>
    <dsp:sp modelId="{0F8B8F7A-FEE7-457F-8582-1C4C80065526}">
      <dsp:nvSpPr>
        <dsp:cNvPr id="0" name=""/>
        <dsp:cNvSpPr/>
      </dsp:nvSpPr>
      <dsp:spPr>
        <a:xfrm>
          <a:off x="1420696" y="851483"/>
          <a:ext cx="1226860" cy="268422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 -Strengthen Hybrid  Hospitality Model</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-Introduce flexible long-stay packages &amp; wellness-based hybrid suites </a:t>
          </a:r>
        </a:p>
      </dsp:txBody>
      <dsp:txXfrm>
        <a:off x="1420696" y="851483"/>
        <a:ext cx="1226860" cy="2684222"/>
      </dsp:txXfrm>
    </dsp:sp>
    <dsp:sp modelId="{8B9988BC-825E-415D-BBA8-0FBF6938E801}">
      <dsp:nvSpPr>
        <dsp:cNvPr id="0" name=""/>
        <dsp:cNvSpPr/>
      </dsp:nvSpPr>
      <dsp:spPr>
        <a:xfrm>
          <a:off x="2893681" y="851483"/>
          <a:ext cx="1172021" cy="2656615"/>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-Enhance the ESG and local sustainability partnerships</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-Integration the carbon-neutral modes of transport and app-based trackers.</a:t>
          </a:r>
        </a:p>
      </dsp:txBody>
      <dsp:txXfrm>
        <a:off x="2893681" y="851483"/>
        <a:ext cx="1172021" cy="2656615"/>
      </dsp:txXfrm>
    </dsp:sp>
    <dsp:sp modelId="{AE32AE19-8478-4545-B9DA-5694D109547D}">
      <dsp:nvSpPr>
        <dsp:cNvPr id="0" name=""/>
        <dsp:cNvSpPr/>
      </dsp:nvSpPr>
      <dsp:spPr>
        <a:xfrm>
          <a:off x="4311827" y="851483"/>
          <a:ext cx="1172021" cy="2724422"/>
        </a:xfrm>
        <a:prstGeom prst="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-Utilise the Artificial Intelligence-driven analytics and data personalisation.</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 -Optimise the pricing and experience of loyalty</a:t>
          </a:r>
        </a:p>
        <a:p>
          <a:pPr marL="0" lvl="0" indent="0" algn="ctr" defTabSz="533400">
            <a:lnSpc>
              <a:spcPct val="90000"/>
            </a:lnSpc>
            <a:spcBef>
              <a:spcPct val="0"/>
            </a:spcBef>
            <a:spcAft>
              <a:spcPct val="35000"/>
            </a:spcAft>
            <a:buNone/>
          </a:pPr>
          <a:r>
            <a:rPr lang="en-US" sz="1200" kern="1200">
              <a:latin typeface="Arial" panose="020B0604020202020204" pitchFamily="34" charset="0"/>
              <a:cs typeface="Arial" panose="020B0604020202020204" pitchFamily="34" charset="0"/>
            </a:rPr>
            <a:t>-Benchmark against the Marriott Bonvoy and ALL platforms of Accor  </a:t>
          </a:r>
        </a:p>
      </dsp:txBody>
      <dsp:txXfrm>
        <a:off x="4311827" y="851483"/>
        <a:ext cx="1172021" cy="272442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6A15341FA7545CBA899946DF95AB9C6"/>
        <w:category>
          <w:name w:val="General"/>
          <w:gallery w:val="placeholder"/>
        </w:category>
        <w:types>
          <w:type w:val="bbPlcHdr"/>
        </w:types>
        <w:behaviors>
          <w:behavior w:val="content"/>
        </w:behaviors>
        <w:guid w:val="{70948E0C-B813-4C46-B6B0-EAF54CEECD30}"/>
      </w:docPartPr>
      <w:docPartBody>
        <w:p w:rsidR="00A90000" w:rsidRDefault="00C91D58" w:rsidP="00C91D58">
          <w:pPr>
            <w:pStyle w:val="86A15341FA7545CBA899946DF95AB9C6"/>
          </w:pPr>
          <w:r>
            <w:rPr>
              <w:rFonts w:asciiTheme="majorHAnsi" w:eastAsiaTheme="majorEastAsia" w:hAnsiTheme="majorHAnsi" w:cstheme="majorBidi"/>
              <w:caps/>
              <w:color w:val="156082" w:themeColor="accent1"/>
              <w:sz w:val="80"/>
              <w:szCs w:val="80"/>
            </w:rPr>
            <w:t>[Document title]</w:t>
          </w:r>
        </w:p>
      </w:docPartBody>
    </w:docPart>
    <w:docPart>
      <w:docPartPr>
        <w:name w:val="54A58299DD3D4C8697C72B45A64A426A"/>
        <w:category>
          <w:name w:val="General"/>
          <w:gallery w:val="placeholder"/>
        </w:category>
        <w:types>
          <w:type w:val="bbPlcHdr"/>
        </w:types>
        <w:behaviors>
          <w:behavior w:val="content"/>
        </w:behaviors>
        <w:guid w:val="{FE796729-422B-4E36-92DA-8B508CF38A2A}"/>
      </w:docPartPr>
      <w:docPartBody>
        <w:p w:rsidR="00A90000" w:rsidRDefault="00C91D58" w:rsidP="00C91D58">
          <w:pPr>
            <w:pStyle w:val="54A58299DD3D4C8697C72B45A64A426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D58"/>
    <w:rsid w:val="0040500B"/>
    <w:rsid w:val="009B48D6"/>
    <w:rsid w:val="00A90000"/>
    <w:rsid w:val="00AF683C"/>
    <w:rsid w:val="00BC1DE6"/>
    <w:rsid w:val="00C91D58"/>
    <w:rsid w:val="00CC649F"/>
    <w:rsid w:val="00EE6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6A15341FA7545CBA899946DF95AB9C6">
    <w:name w:val="86A15341FA7545CBA899946DF95AB9C6"/>
    <w:rsid w:val="00C91D58"/>
  </w:style>
  <w:style w:type="paragraph" w:customStyle="1" w:styleId="54A58299DD3D4C8697C72B45A64A426A">
    <w:name w:val="54A58299DD3D4C8697C72B45A64A426A"/>
    <w:rsid w:val="00C91D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D30C29-450E-4E00-8DD5-451986F7E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19</Pages>
  <Words>4619</Words>
  <Characters>26329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Shift in Hotel Strategies Post-COVID with Reduced Business Commuting A Case Study of Hilton Hotels’ Adaptation to Reduced Business Travel”</vt:lpstr>
    </vt:vector>
  </TitlesOfParts>
  <Company/>
  <LinksUpToDate>false</LinksUpToDate>
  <CharactersWithSpaces>30887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Shift in Hotel Strategies Post-COVID with Reduced Business Commuting A Case Study of Hilton Hotels’ Adaptation to Reduced Business Travel”</dc:title>
  <dc:subject>Conference Research Paper</dc:subject>
  <dc:creator>Kamrul Khan</dc:creator>
  <cp:keywords/>
  <dc:description/>
  <cp:lastModifiedBy>Sylhet 126</cp:lastModifiedBy>
  <cp:revision>167</cp:revision>
  <dcterms:created xsi:type="dcterms:W3CDTF">2025-10-14T15:26:00Z</dcterms:created>
  <dcterms:modified xsi:type="dcterms:W3CDTF">2025-10-22T10:24:00Z</dcterms:modified>
</cp:coreProperties>
</file>