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notes+xml" PartName="/word/footnot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0">
      <w:pPr>
        <w:spacing w:line="360" w:lineRule="auto"/>
        <w:ind w:right="-40.8661417322827"/>
        <w:contextualSpacing w:val="0"/>
        <w:rPr>
          <w:rFonts w:ascii="Times New Roman" w:cs="Times New Roman" w:eastAsia="Times New Roman" w:hAnsi="Times New Roman"/>
          <w:b w:val="1"/>
          <w:sz w:val="20"/>
          <w:szCs w:val="20"/>
        </w:rPr>
      </w:pPr>
      <w:r w:rsidDel="00000000" w:rsidR="00000000" w:rsidRPr="00000000">
        <w:rPr>
          <w:rFonts w:ascii="Times New Roman" w:cs="Times New Roman" w:eastAsia="Times New Roman" w:hAnsi="Times New Roman"/>
          <w:b w:val="1"/>
          <w:sz w:val="20"/>
          <w:szCs w:val="20"/>
          <w:rtl w:val="0"/>
        </w:rPr>
        <w:t xml:space="preserve">Commentary - St Peter and St Paul’s Church, Pickering</w:t>
      </w:r>
    </w:p>
    <w:p w:rsidR="00000000" w:rsidDel="00000000" w:rsidP="00000000" w:rsidRDefault="00000000" w:rsidRPr="00000000" w14:paraId="00000001">
      <w:pPr>
        <w:spacing w:line="360" w:lineRule="auto"/>
        <w:contextualSpacing w:val="0"/>
        <w:rPr>
          <w:rFonts w:ascii="Times New Roman" w:cs="Times New Roman" w:eastAsia="Times New Roman" w:hAnsi="Times New Roman"/>
          <w:sz w:val="20"/>
          <w:szCs w:val="20"/>
        </w:rPr>
      </w:pPr>
      <w:r w:rsidDel="00000000" w:rsidR="00000000" w:rsidRPr="00000000">
        <w:rPr>
          <w:rFonts w:ascii="Times New Roman" w:cs="Times New Roman" w:eastAsia="Times New Roman" w:hAnsi="Times New Roman"/>
          <w:sz w:val="20"/>
          <w:szCs w:val="20"/>
          <w:rtl w:val="0"/>
        </w:rPr>
        <w:t xml:space="preserve">Mural painting of The Saint Christopher (c1450)</w:t>
      </w:r>
    </w:p>
    <w:p w:rsidR="00000000" w:rsidDel="00000000" w:rsidP="00000000" w:rsidRDefault="00000000" w:rsidRPr="00000000" w14:paraId="00000002">
      <w:pPr>
        <w:spacing w:line="360" w:lineRule="auto"/>
        <w:contextualSpacing w:val="0"/>
        <w:rPr>
          <w:rFonts w:ascii="Times New Roman" w:cs="Times New Roman" w:eastAsia="Times New Roman" w:hAnsi="Times New Roman"/>
          <w:sz w:val="20"/>
          <w:szCs w:val="20"/>
        </w:rPr>
      </w:pPr>
      <w:r w:rsidDel="00000000" w:rsidR="00000000" w:rsidRPr="00000000">
        <w:rPr>
          <w:rFonts w:ascii="Times New Roman" w:cs="Times New Roman" w:eastAsia="Times New Roman" w:hAnsi="Times New Roman"/>
          <w:sz w:val="20"/>
          <w:szCs w:val="20"/>
          <w:rtl w:val="0"/>
        </w:rPr>
        <w:t xml:space="preserve">By Sadie J Page, October 2018</w:t>
      </w:r>
    </w:p>
    <w:p w:rsidR="00000000" w:rsidDel="00000000" w:rsidP="00000000" w:rsidRDefault="00000000" w:rsidRPr="00000000" w14:paraId="00000003">
      <w:pPr>
        <w:spacing w:line="360" w:lineRule="auto"/>
        <w:contextualSpacing w:val="0"/>
        <w:rPr>
          <w:rFonts w:ascii="Times New Roman" w:cs="Times New Roman" w:eastAsia="Times New Roman" w:hAnsi="Times New Roman"/>
          <w:sz w:val="20"/>
          <w:szCs w:val="20"/>
        </w:rPr>
      </w:pPr>
      <w:r w:rsidDel="00000000" w:rsidR="00000000" w:rsidRPr="00000000">
        <w:rPr>
          <w:rtl w:val="0"/>
        </w:rPr>
      </w:r>
    </w:p>
    <w:p w:rsidR="00000000" w:rsidDel="00000000" w:rsidP="00000000" w:rsidRDefault="00000000" w:rsidRPr="00000000" w14:paraId="00000004">
      <w:pPr>
        <w:spacing w:line="360" w:lineRule="auto"/>
        <w:contextualSpacing w:val="0"/>
        <w:rPr>
          <w:rFonts w:ascii="Times New Roman" w:cs="Times New Roman" w:eastAsia="Times New Roman" w:hAnsi="Times New Roman"/>
          <w:sz w:val="20"/>
          <w:szCs w:val="20"/>
        </w:rPr>
      </w:pPr>
      <w:r w:rsidDel="00000000" w:rsidR="00000000" w:rsidRPr="00000000">
        <w:rPr>
          <w:rFonts w:ascii="Times New Roman" w:cs="Times New Roman" w:eastAsia="Times New Roman" w:hAnsi="Times New Roman"/>
          <w:sz w:val="20"/>
          <w:szCs w:val="20"/>
          <w:rtl w:val="0"/>
        </w:rPr>
        <w:t xml:space="preserve">Construction on the parish church of St Peter and St Paul's, Pickering, North Yorkshire, began c1140, with additions to its structure and interior continuing over the next 400 years. In </w:t>
      </w:r>
      <w:r w:rsidDel="00000000" w:rsidR="00000000" w:rsidRPr="00000000">
        <w:rPr>
          <w:rFonts w:ascii="Times New Roman" w:cs="Times New Roman" w:eastAsia="Times New Roman" w:hAnsi="Times New Roman"/>
          <w:sz w:val="20"/>
          <w:szCs w:val="20"/>
          <w:highlight w:val="white"/>
          <w:rtl w:val="0"/>
        </w:rPr>
        <w:t xml:space="preserve">1870–1, extensive murals were uncovered inside the church, (dating c1450), but whitewashed over a hundred years after their commission. </w:t>
      </w:r>
      <w:r w:rsidDel="00000000" w:rsidR="00000000" w:rsidRPr="00000000">
        <w:rPr>
          <w:rFonts w:ascii="Times New Roman" w:cs="Times New Roman" w:eastAsia="Times New Roman" w:hAnsi="Times New Roman"/>
          <w:sz w:val="20"/>
          <w:szCs w:val="20"/>
          <w:rtl w:val="0"/>
        </w:rPr>
        <w:t xml:space="preserve">This commentary is focussed on one image, the depiction of Saint Christopher. My research aims to examine the content and artistic style of the mural, with attention to decoding the components that offer clues into wider social, cultural and geographical issues.</w:t>
      </w:r>
    </w:p>
    <w:p w:rsidR="00000000" w:rsidDel="00000000" w:rsidP="00000000" w:rsidRDefault="00000000" w:rsidRPr="00000000" w14:paraId="00000005">
      <w:pPr>
        <w:spacing w:line="360" w:lineRule="auto"/>
        <w:contextualSpacing w:val="0"/>
        <w:rPr>
          <w:rFonts w:ascii="Times New Roman" w:cs="Times New Roman" w:eastAsia="Times New Roman" w:hAnsi="Times New Roman"/>
          <w:sz w:val="20"/>
          <w:szCs w:val="20"/>
        </w:rPr>
      </w:pPr>
      <w:r w:rsidDel="00000000" w:rsidR="00000000" w:rsidRPr="00000000">
        <w:rPr>
          <w:rtl w:val="0"/>
        </w:rPr>
      </w:r>
    </w:p>
    <w:p w:rsidR="00000000" w:rsidDel="00000000" w:rsidP="00000000" w:rsidRDefault="00000000" w:rsidRPr="00000000" w14:paraId="00000006">
      <w:pPr>
        <w:spacing w:line="360" w:lineRule="auto"/>
        <w:contextualSpacing w:val="0"/>
        <w:rPr>
          <w:rFonts w:ascii="Times New Roman" w:cs="Times New Roman" w:eastAsia="Times New Roman" w:hAnsi="Times New Roman"/>
          <w:sz w:val="20"/>
          <w:szCs w:val="20"/>
          <w:highlight w:val="white"/>
        </w:rPr>
      </w:pPr>
      <w:r w:rsidDel="00000000" w:rsidR="00000000" w:rsidRPr="00000000">
        <w:rPr>
          <w:rFonts w:ascii="Times New Roman" w:cs="Times New Roman" w:eastAsia="Times New Roman" w:hAnsi="Times New Roman"/>
          <w:sz w:val="20"/>
          <w:szCs w:val="20"/>
          <w:highlight w:val="white"/>
          <w:rtl w:val="0"/>
        </w:rPr>
        <w:t xml:space="preserve">Since no records exist at Pickering or at </w:t>
      </w:r>
      <w:r w:rsidDel="00000000" w:rsidR="00000000" w:rsidRPr="00000000">
        <w:rPr>
          <w:rFonts w:ascii="Times New Roman" w:cs="Times New Roman" w:eastAsia="Times New Roman" w:hAnsi="Times New Roman"/>
          <w:sz w:val="20"/>
          <w:szCs w:val="20"/>
          <w:highlight w:val="white"/>
          <w:rtl w:val="0"/>
        </w:rPr>
        <w:t xml:space="preserve">The Borthwick Institute in Yor</w:t>
      </w:r>
      <w:r w:rsidDel="00000000" w:rsidR="00000000" w:rsidRPr="00000000">
        <w:rPr>
          <w:rFonts w:ascii="Times New Roman" w:cs="Times New Roman" w:eastAsia="Times New Roman" w:hAnsi="Times New Roman"/>
          <w:color w:val="373a3c"/>
          <w:sz w:val="20"/>
          <w:szCs w:val="20"/>
          <w:highlight w:val="white"/>
          <w:rtl w:val="0"/>
        </w:rPr>
        <w:t xml:space="preserve">k,</w:t>
      </w:r>
      <w:r w:rsidDel="00000000" w:rsidR="00000000" w:rsidRPr="00000000">
        <w:rPr>
          <w:rFonts w:ascii="Times New Roman" w:cs="Times New Roman" w:eastAsia="Times New Roman" w:hAnsi="Times New Roman"/>
          <w:sz w:val="20"/>
          <w:szCs w:val="20"/>
          <w:highlight w:val="white"/>
          <w:rtl w:val="0"/>
        </w:rPr>
        <w:t xml:space="preserve"> to indicate a patron for the murals, we have no information about the artist/s, or about the instruction of the murals. However, we know that the clerestory, nave walls and porch were extended in the mid-fifteenth century. The murals were added to these walls at that time, indicating that a significant sum of money was available.</w:t>
      </w:r>
    </w:p>
    <w:p w:rsidR="00000000" w:rsidDel="00000000" w:rsidP="00000000" w:rsidRDefault="00000000" w:rsidRPr="00000000" w14:paraId="00000007">
      <w:pPr>
        <w:spacing w:line="360" w:lineRule="auto"/>
        <w:contextualSpacing w:val="0"/>
        <w:rPr>
          <w:rFonts w:ascii="Times New Roman" w:cs="Times New Roman" w:eastAsia="Times New Roman" w:hAnsi="Times New Roman"/>
          <w:sz w:val="20"/>
          <w:szCs w:val="20"/>
          <w:highlight w:val="white"/>
        </w:rPr>
      </w:pPr>
      <w:r w:rsidDel="00000000" w:rsidR="00000000" w:rsidRPr="00000000">
        <w:rPr>
          <w:rtl w:val="0"/>
        </w:rPr>
      </w:r>
    </w:p>
    <w:p w:rsidR="00000000" w:rsidDel="00000000" w:rsidP="00000000" w:rsidRDefault="00000000" w:rsidRPr="00000000" w14:paraId="00000008">
      <w:pPr>
        <w:spacing w:line="360" w:lineRule="auto"/>
        <w:contextualSpacing w:val="0"/>
        <w:rPr>
          <w:rFonts w:ascii="Times New Roman" w:cs="Times New Roman" w:eastAsia="Times New Roman" w:hAnsi="Times New Roman"/>
          <w:sz w:val="20"/>
          <w:szCs w:val="20"/>
          <w:highlight w:val="white"/>
          <w:vertAlign w:val="superscript"/>
        </w:rPr>
      </w:pPr>
      <w:r w:rsidDel="00000000" w:rsidR="00000000" w:rsidRPr="00000000">
        <w:rPr>
          <w:rFonts w:ascii="Times New Roman" w:cs="Times New Roman" w:eastAsia="Times New Roman" w:hAnsi="Times New Roman"/>
          <w:sz w:val="20"/>
          <w:szCs w:val="20"/>
          <w:highlight w:val="white"/>
          <w:rtl w:val="0"/>
        </w:rPr>
        <w:t xml:space="preserve">The image of Saint Christopher is located immediately opposite the main entrance, the first image seen on entering the Church.</w:t>
      </w:r>
      <w:r w:rsidDel="00000000" w:rsidR="00000000" w:rsidRPr="00000000">
        <w:rPr>
          <w:rFonts w:ascii="Times New Roman" w:cs="Times New Roman" w:eastAsia="Times New Roman" w:hAnsi="Times New Roman"/>
          <w:color w:val="ff0000"/>
          <w:sz w:val="20"/>
          <w:szCs w:val="20"/>
          <w:highlight w:val="white"/>
          <w:rtl w:val="0"/>
        </w:rPr>
        <w:t xml:space="preserve"> </w:t>
      </w:r>
      <w:r w:rsidDel="00000000" w:rsidR="00000000" w:rsidRPr="00000000">
        <w:rPr>
          <w:rFonts w:ascii="Times New Roman" w:cs="Times New Roman" w:eastAsia="Times New Roman" w:hAnsi="Times New Roman"/>
          <w:sz w:val="20"/>
          <w:szCs w:val="20"/>
          <w:highlight w:val="white"/>
          <w:rtl w:val="0"/>
        </w:rPr>
        <w:t xml:space="preserve">Saint Christopher holds patronage for travel and travellers, offering protection against sudden death and storms. He was revered by much of the Medieval population, in particular, merchants, sailors, gardeners, archers, soldiers and boatmen. This great number of affected common trades and standings, accounts for the popularity of this Saint and indicates why his image is conventionally placed at entrances, ‘ In England, there are more wall paintings of St. Christopher than of any other saint;</w:t>
      </w:r>
      <w:r w:rsidDel="00000000" w:rsidR="00000000" w:rsidRPr="00000000">
        <w:rPr>
          <w:rFonts w:ascii="Times New Roman" w:cs="Times New Roman" w:eastAsia="Times New Roman" w:hAnsi="Times New Roman"/>
          <w:sz w:val="20"/>
          <w:szCs w:val="20"/>
          <w:highlight w:val="white"/>
          <w:vertAlign w:val="superscript"/>
          <w:rtl w:val="0"/>
        </w:rPr>
        <w:t xml:space="preserve"> </w:t>
      </w:r>
      <w:r w:rsidDel="00000000" w:rsidR="00000000" w:rsidRPr="00000000">
        <w:rPr>
          <w:rFonts w:ascii="Times New Roman" w:cs="Times New Roman" w:eastAsia="Times New Roman" w:hAnsi="Times New Roman"/>
          <w:sz w:val="20"/>
          <w:szCs w:val="20"/>
          <w:highlight w:val="white"/>
          <w:rtl w:val="0"/>
        </w:rPr>
        <w:t xml:space="preserve">outnumbering all others except for the Virgin Mary.</w:t>
      </w:r>
      <w:r w:rsidDel="00000000" w:rsidR="00000000" w:rsidRPr="00000000">
        <w:rPr>
          <w:rFonts w:ascii="Times New Roman" w:cs="Times New Roman" w:eastAsia="Times New Roman" w:hAnsi="Times New Roman"/>
          <w:sz w:val="20"/>
          <w:szCs w:val="20"/>
          <w:highlight w:val="white"/>
          <w:vertAlign w:val="superscript"/>
        </w:rPr>
        <w:footnoteReference w:customMarkFollows="0" w:id="0"/>
      </w:r>
      <w:r w:rsidDel="00000000" w:rsidR="00000000" w:rsidRPr="00000000">
        <w:rPr>
          <w:rFonts w:ascii="Times New Roman" w:cs="Times New Roman" w:eastAsia="Times New Roman" w:hAnsi="Times New Roman"/>
          <w:sz w:val="20"/>
          <w:szCs w:val="20"/>
          <w:highlight w:val="white"/>
          <w:vertAlign w:val="superscript"/>
          <w:rtl w:val="0"/>
        </w:rPr>
        <w:t xml:space="preserve"> </w:t>
      </w:r>
    </w:p>
    <w:p w:rsidR="00000000" w:rsidDel="00000000" w:rsidP="00000000" w:rsidRDefault="00000000" w:rsidRPr="00000000" w14:paraId="00000009">
      <w:pPr>
        <w:spacing w:line="360" w:lineRule="auto"/>
        <w:contextualSpacing w:val="0"/>
        <w:rPr>
          <w:rFonts w:ascii="Times New Roman" w:cs="Times New Roman" w:eastAsia="Times New Roman" w:hAnsi="Times New Roman"/>
          <w:sz w:val="20"/>
          <w:szCs w:val="20"/>
          <w:highlight w:val="white"/>
        </w:rPr>
      </w:pPr>
      <w:r w:rsidDel="00000000" w:rsidR="00000000" w:rsidRPr="00000000">
        <w:rPr>
          <w:rtl w:val="0"/>
        </w:rPr>
      </w:r>
    </w:p>
    <w:p w:rsidR="00000000" w:rsidDel="00000000" w:rsidP="00000000" w:rsidRDefault="00000000" w:rsidRPr="00000000" w14:paraId="0000000A">
      <w:pPr>
        <w:spacing w:line="360" w:lineRule="auto"/>
        <w:contextualSpacing w:val="0"/>
        <w:rPr>
          <w:rFonts w:ascii="Times New Roman" w:cs="Times New Roman" w:eastAsia="Times New Roman" w:hAnsi="Times New Roman"/>
          <w:sz w:val="20"/>
          <w:szCs w:val="20"/>
          <w:highlight w:val="white"/>
        </w:rPr>
      </w:pPr>
      <w:r w:rsidDel="00000000" w:rsidR="00000000" w:rsidRPr="00000000">
        <w:rPr>
          <w:rFonts w:ascii="Times New Roman" w:cs="Times New Roman" w:eastAsia="Times New Roman" w:hAnsi="Times New Roman"/>
          <w:sz w:val="20"/>
          <w:szCs w:val="20"/>
          <w:highlight w:val="white"/>
          <w:rtl w:val="0"/>
        </w:rPr>
        <w:t xml:space="preserve">Convention plays an important part in depictions of the lives of Christian Saints. The familiar representation of Saint Christopher subscribes to general consensus about past representations</w:t>
      </w:r>
      <w:r w:rsidDel="00000000" w:rsidR="00000000" w:rsidRPr="00000000">
        <w:rPr>
          <w:rFonts w:ascii="Times New Roman" w:cs="Times New Roman" w:eastAsia="Times New Roman" w:hAnsi="Times New Roman"/>
          <w:sz w:val="20"/>
          <w:szCs w:val="20"/>
          <w:highlight w:val="white"/>
          <w:rtl w:val="0"/>
        </w:rPr>
        <w:t xml:space="preserve">.</w:t>
      </w:r>
      <w:r w:rsidDel="00000000" w:rsidR="00000000" w:rsidRPr="00000000">
        <w:rPr>
          <w:rFonts w:ascii="Times New Roman" w:cs="Times New Roman" w:eastAsia="Times New Roman" w:hAnsi="Times New Roman"/>
          <w:sz w:val="20"/>
          <w:szCs w:val="20"/>
          <w:highlight w:val="white"/>
          <w:rtl w:val="0"/>
        </w:rPr>
        <w:t xml:space="preserve"> </w:t>
      </w:r>
      <w:r w:rsidDel="00000000" w:rsidR="00000000" w:rsidRPr="00000000">
        <w:rPr>
          <w:rFonts w:ascii="Times New Roman" w:cs="Times New Roman" w:eastAsia="Times New Roman" w:hAnsi="Times New Roman"/>
          <w:sz w:val="20"/>
          <w:szCs w:val="20"/>
          <w:rtl w:val="0"/>
        </w:rPr>
        <w:t xml:space="preserve">T</w:t>
      </w:r>
      <w:r w:rsidDel="00000000" w:rsidR="00000000" w:rsidRPr="00000000">
        <w:rPr>
          <w:rFonts w:ascii="Times New Roman" w:cs="Times New Roman" w:eastAsia="Times New Roman" w:hAnsi="Times New Roman"/>
          <w:sz w:val="20"/>
          <w:szCs w:val="20"/>
          <w:rtl w:val="0"/>
        </w:rPr>
        <w:t xml:space="preserve">he</w:t>
      </w:r>
      <w:r w:rsidDel="00000000" w:rsidR="00000000" w:rsidRPr="00000000">
        <w:rPr>
          <w:rFonts w:ascii="Times New Roman" w:cs="Times New Roman" w:eastAsia="Times New Roman" w:hAnsi="Times New Roman"/>
          <w:sz w:val="20"/>
          <w:szCs w:val="20"/>
          <w:highlight w:val="white"/>
          <w:rtl w:val="0"/>
        </w:rPr>
        <w:t xml:space="preserve"> image of Saint Christopher at Pickering is immediately identifiable by his conventional attributes : a red robe,  carrying of the Christ child through a river, a staff. The assumption was that such symbols and attributes would be means to identification and thus the image correctly interpreted by the Medieval Christian audience.</w:t>
      </w:r>
      <w:r w:rsidDel="00000000" w:rsidR="00000000" w:rsidRPr="00000000">
        <w:rPr>
          <w:rFonts w:ascii="Times New Roman" w:cs="Times New Roman" w:eastAsia="Times New Roman" w:hAnsi="Times New Roman"/>
          <w:sz w:val="20"/>
          <w:szCs w:val="20"/>
          <w:highlight w:val="white"/>
          <w:rtl w:val="0"/>
        </w:rPr>
        <w:t xml:space="preserve">  However symbols can have multiple meanings, and are commonly used to convey hierarchy, instruction, rule and reason. </w:t>
      </w:r>
    </w:p>
    <w:p w:rsidR="00000000" w:rsidDel="00000000" w:rsidP="00000000" w:rsidRDefault="00000000" w:rsidRPr="00000000" w14:paraId="0000000B">
      <w:pPr>
        <w:spacing w:line="360" w:lineRule="auto"/>
        <w:contextualSpacing w:val="0"/>
        <w:rPr>
          <w:rFonts w:ascii="Times New Roman" w:cs="Times New Roman" w:eastAsia="Times New Roman" w:hAnsi="Times New Roman"/>
          <w:sz w:val="20"/>
          <w:szCs w:val="20"/>
          <w:highlight w:val="white"/>
        </w:rPr>
      </w:pPr>
      <w:r w:rsidDel="00000000" w:rsidR="00000000" w:rsidRPr="00000000">
        <w:rPr>
          <w:rtl w:val="0"/>
        </w:rPr>
      </w:r>
    </w:p>
    <w:p w:rsidR="00000000" w:rsidDel="00000000" w:rsidP="00000000" w:rsidRDefault="00000000" w:rsidRPr="00000000" w14:paraId="0000000C">
      <w:pPr>
        <w:spacing w:line="360" w:lineRule="auto"/>
        <w:contextualSpacing w:val="0"/>
        <w:rPr>
          <w:rFonts w:ascii="Times New Roman" w:cs="Times New Roman" w:eastAsia="Times New Roman" w:hAnsi="Times New Roman"/>
          <w:sz w:val="20"/>
          <w:szCs w:val="20"/>
          <w:highlight w:val="white"/>
        </w:rPr>
      </w:pPr>
      <w:r w:rsidDel="00000000" w:rsidR="00000000" w:rsidRPr="00000000">
        <w:rPr>
          <w:rFonts w:ascii="Times New Roman" w:cs="Times New Roman" w:eastAsia="Times New Roman" w:hAnsi="Times New Roman"/>
          <w:sz w:val="20"/>
          <w:szCs w:val="20"/>
          <w:highlight w:val="white"/>
          <w:rtl w:val="0"/>
        </w:rPr>
        <w:t xml:space="preserve">Parish churches were the centre of  religious activity, at which local tradition and doctrine met and interacted</w:t>
      </w:r>
      <w:r w:rsidDel="00000000" w:rsidR="00000000" w:rsidRPr="00000000">
        <w:rPr>
          <w:rFonts w:ascii="Times New Roman" w:cs="Times New Roman" w:eastAsia="Times New Roman" w:hAnsi="Times New Roman"/>
          <w:sz w:val="20"/>
          <w:szCs w:val="20"/>
          <w:highlight w:val="white"/>
          <w:vertAlign w:val="superscript"/>
          <w:rtl w:val="0"/>
        </w:rPr>
        <w:t xml:space="preserve"> </w:t>
      </w:r>
      <w:r w:rsidDel="00000000" w:rsidR="00000000" w:rsidRPr="00000000">
        <w:rPr>
          <w:rFonts w:ascii="Times New Roman" w:cs="Times New Roman" w:eastAsia="Times New Roman" w:hAnsi="Times New Roman"/>
          <w:sz w:val="20"/>
          <w:szCs w:val="20"/>
          <w:highlight w:val="white"/>
          <w:rtl w:val="0"/>
        </w:rPr>
        <w:t xml:space="preserve">. The Church was a pervasive force in people's lives in the fifteenth century. The concerns about deviant and unorthodox practices during this period were fervent.  Belief in the supernatural governed daily rituals. People feared fairies and witches, spirits and saints, all of whom had to be appeased. The world was ‘inhabited by the living, the dead and by angels and devils...all these powers had to be dealt with, fended off or appropriated, enlisted or at least constrained into neutrality, and for this, the powers of Christianity offered some help’. </w:t>
      </w:r>
      <w:r w:rsidDel="00000000" w:rsidR="00000000" w:rsidRPr="00000000">
        <w:rPr>
          <w:rFonts w:ascii="Times New Roman" w:cs="Times New Roman" w:eastAsia="Times New Roman" w:hAnsi="Times New Roman"/>
          <w:sz w:val="20"/>
          <w:szCs w:val="20"/>
          <w:highlight w:val="white"/>
          <w:vertAlign w:val="superscript"/>
        </w:rPr>
        <w:footnoteReference w:customMarkFollows="0" w:id="1"/>
      </w:r>
      <w:r w:rsidDel="00000000" w:rsidR="00000000" w:rsidRPr="00000000">
        <w:rPr>
          <w:rFonts w:ascii="Times New Roman" w:cs="Times New Roman" w:eastAsia="Times New Roman" w:hAnsi="Times New Roman"/>
          <w:sz w:val="20"/>
          <w:szCs w:val="20"/>
          <w:highlight w:val="white"/>
          <w:rtl w:val="0"/>
        </w:rPr>
        <w:t xml:space="preserve"> </w:t>
      </w:r>
    </w:p>
    <w:p w:rsidR="00000000" w:rsidDel="00000000" w:rsidP="00000000" w:rsidRDefault="00000000" w:rsidRPr="00000000" w14:paraId="0000000D">
      <w:pPr>
        <w:spacing w:line="360" w:lineRule="auto"/>
        <w:contextualSpacing w:val="0"/>
        <w:rPr>
          <w:rFonts w:ascii="Times New Roman" w:cs="Times New Roman" w:eastAsia="Times New Roman" w:hAnsi="Times New Roman"/>
          <w:sz w:val="20"/>
          <w:szCs w:val="20"/>
          <w:highlight w:val="white"/>
        </w:rPr>
      </w:pPr>
      <w:r w:rsidDel="00000000" w:rsidR="00000000" w:rsidRPr="00000000">
        <w:rPr>
          <w:rtl w:val="0"/>
        </w:rPr>
      </w:r>
    </w:p>
    <w:p w:rsidR="00000000" w:rsidDel="00000000" w:rsidP="00000000" w:rsidRDefault="00000000" w:rsidRPr="00000000" w14:paraId="0000000E">
      <w:pPr>
        <w:spacing w:line="360" w:lineRule="auto"/>
        <w:contextualSpacing w:val="0"/>
        <w:rPr>
          <w:rFonts w:ascii="Times New Roman" w:cs="Times New Roman" w:eastAsia="Times New Roman" w:hAnsi="Times New Roman"/>
          <w:sz w:val="20"/>
          <w:szCs w:val="20"/>
          <w:highlight w:val="white"/>
        </w:rPr>
      </w:pPr>
      <w:r w:rsidDel="00000000" w:rsidR="00000000" w:rsidRPr="00000000">
        <w:rPr>
          <w:rFonts w:ascii="Times New Roman" w:cs="Times New Roman" w:eastAsia="Times New Roman" w:hAnsi="Times New Roman"/>
          <w:sz w:val="20"/>
          <w:szCs w:val="20"/>
          <w:highlight w:val="white"/>
          <w:rtl w:val="0"/>
        </w:rPr>
        <w:t xml:space="preserve">The public implored </w:t>
      </w:r>
      <w:r w:rsidDel="00000000" w:rsidR="00000000" w:rsidRPr="00000000">
        <w:rPr>
          <w:rFonts w:ascii="Times New Roman" w:cs="Times New Roman" w:eastAsia="Times New Roman" w:hAnsi="Times New Roman"/>
          <w:sz w:val="20"/>
          <w:szCs w:val="20"/>
          <w:highlight w:val="white"/>
          <w:rtl w:val="0"/>
        </w:rPr>
        <w:t xml:space="preserve">the saints </w:t>
      </w:r>
      <w:r w:rsidDel="00000000" w:rsidR="00000000" w:rsidRPr="00000000">
        <w:rPr>
          <w:rFonts w:ascii="Times New Roman" w:cs="Times New Roman" w:eastAsia="Times New Roman" w:hAnsi="Times New Roman"/>
          <w:sz w:val="20"/>
          <w:szCs w:val="20"/>
          <w:highlight w:val="white"/>
          <w:rtl w:val="0"/>
        </w:rPr>
        <w:t xml:space="preserve">to intercede on their behalf. In these frightening and uncertain times, bargaining with the Saints was a vital trading tool, a display of gratitude and a safeguarding provsion. ‘The fundamental devotion to Saints was manifested in vows and pilgrimages. For help in times of distress, whether periods of famine or illness, personal problems such as debt or conflict, loss of animals or oppression by local magnants, peasants made vows to their Saints, which they then had to fulfil’.</w:t>
      </w:r>
      <w:r w:rsidDel="00000000" w:rsidR="00000000" w:rsidRPr="00000000">
        <w:rPr>
          <w:rFonts w:ascii="Times New Roman" w:cs="Times New Roman" w:eastAsia="Times New Roman" w:hAnsi="Times New Roman"/>
          <w:sz w:val="20"/>
          <w:szCs w:val="20"/>
          <w:highlight w:val="white"/>
          <w:vertAlign w:val="superscript"/>
        </w:rPr>
        <w:footnoteReference w:customMarkFollows="0" w:id="2"/>
      </w:r>
      <w:r w:rsidDel="00000000" w:rsidR="00000000" w:rsidRPr="00000000">
        <w:rPr>
          <w:rFonts w:ascii="Times New Roman" w:cs="Times New Roman" w:eastAsia="Times New Roman" w:hAnsi="Times New Roman"/>
          <w:sz w:val="20"/>
          <w:szCs w:val="20"/>
          <w:highlight w:val="white"/>
          <w:vertAlign w:val="superscript"/>
          <w:rtl w:val="0"/>
        </w:rPr>
        <w:t xml:space="preserve"> </w:t>
      </w:r>
      <w:r w:rsidDel="00000000" w:rsidR="00000000" w:rsidRPr="00000000">
        <w:rPr>
          <w:rFonts w:ascii="Times New Roman" w:cs="Times New Roman" w:eastAsia="Times New Roman" w:hAnsi="Times New Roman"/>
          <w:sz w:val="20"/>
          <w:szCs w:val="20"/>
          <w:highlight w:val="white"/>
          <w:rtl w:val="0"/>
        </w:rPr>
        <w:t xml:space="preserve"> Saint Christopher offers his protection to pilgrims and visitors, alongside the steady reiteration from the Church, that obedience is a prerequisite trade-off for his protection. </w:t>
      </w:r>
    </w:p>
    <w:p w:rsidR="00000000" w:rsidDel="00000000" w:rsidP="00000000" w:rsidRDefault="00000000" w:rsidRPr="00000000" w14:paraId="0000000F">
      <w:pPr>
        <w:spacing w:line="360" w:lineRule="auto"/>
        <w:contextualSpacing w:val="0"/>
        <w:rPr>
          <w:rFonts w:ascii="Times New Roman" w:cs="Times New Roman" w:eastAsia="Times New Roman" w:hAnsi="Times New Roman"/>
          <w:color w:val="222222"/>
          <w:sz w:val="20"/>
          <w:szCs w:val="20"/>
          <w:highlight w:val="white"/>
        </w:rPr>
      </w:pPr>
      <w:r w:rsidDel="00000000" w:rsidR="00000000" w:rsidRPr="00000000">
        <w:rPr>
          <w:rtl w:val="0"/>
        </w:rPr>
      </w:r>
    </w:p>
    <w:p w:rsidR="00000000" w:rsidDel="00000000" w:rsidP="00000000" w:rsidRDefault="00000000" w:rsidRPr="00000000" w14:paraId="00000010">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contextualSpacing w:val="0"/>
        <w:jc w:val="left"/>
        <w:rPr>
          <w:rFonts w:ascii="Times New Roman" w:cs="Times New Roman" w:eastAsia="Times New Roman" w:hAnsi="Times New Roman"/>
          <w:sz w:val="20"/>
          <w:szCs w:val="20"/>
          <w:highlight w:val="white"/>
        </w:rPr>
      </w:pPr>
      <w:r w:rsidDel="00000000" w:rsidR="00000000" w:rsidRPr="00000000">
        <w:rPr>
          <w:rFonts w:ascii="Times New Roman" w:cs="Times New Roman" w:eastAsia="Times New Roman" w:hAnsi="Times New Roman"/>
          <w:sz w:val="20"/>
          <w:szCs w:val="20"/>
          <w:highlight w:val="white"/>
          <w:rtl w:val="0"/>
        </w:rPr>
        <w:t xml:space="preserve">The hierarchical system of rights and privileges that governed society in the fifteenth century meant that the vast majority of the English people </w:t>
      </w:r>
      <w:r w:rsidDel="00000000" w:rsidR="00000000" w:rsidRPr="00000000">
        <w:rPr>
          <w:rFonts w:ascii="Times New Roman" w:cs="Times New Roman" w:eastAsia="Times New Roman" w:hAnsi="Times New Roman"/>
          <w:color w:val="222222"/>
          <w:sz w:val="20"/>
          <w:szCs w:val="20"/>
          <w:highlight w:val="white"/>
          <w:rtl w:val="0"/>
        </w:rPr>
        <w:t xml:space="preserve">were poor smallholders or labourers of low social status, </w:t>
      </w:r>
      <w:r w:rsidDel="00000000" w:rsidR="00000000" w:rsidRPr="00000000">
        <w:rPr>
          <w:rFonts w:ascii="Times New Roman" w:cs="Times New Roman" w:eastAsia="Times New Roman" w:hAnsi="Times New Roman"/>
          <w:sz w:val="20"/>
          <w:szCs w:val="20"/>
          <w:highlight w:val="white"/>
          <w:rtl w:val="0"/>
        </w:rPr>
        <w:t xml:space="preserve">whose access to formal education was limited. Paintings such as these were referred to as, the poor man's Bible, and can be considered as a visual aid to help the congregation assimilate basic teaching, at a time in which literacy and access to literature was limited. The Pickering image is untitled and has no description to communicate or assist the audience. The painter presupposed that the audience would understand how Saint Christopher should be</w:t>
      </w:r>
      <w:r w:rsidDel="00000000" w:rsidR="00000000" w:rsidRPr="00000000">
        <w:rPr>
          <w:rFonts w:ascii="Times New Roman" w:cs="Times New Roman" w:eastAsia="Times New Roman" w:hAnsi="Times New Roman"/>
          <w:sz w:val="20"/>
          <w:szCs w:val="20"/>
          <w:highlight w:val="white"/>
          <w:rtl w:val="0"/>
        </w:rPr>
        <w:t xml:space="preserve"> experienced.</w:t>
      </w:r>
      <w:r w:rsidDel="00000000" w:rsidR="00000000" w:rsidRPr="00000000">
        <w:rPr>
          <w:rFonts w:ascii="Times New Roman" w:cs="Times New Roman" w:eastAsia="Times New Roman" w:hAnsi="Times New Roman"/>
          <w:sz w:val="20"/>
          <w:szCs w:val="20"/>
          <w:highlight w:val="white"/>
          <w:rtl w:val="0"/>
        </w:rPr>
        <w:t xml:space="preserve"> </w:t>
      </w:r>
    </w:p>
    <w:p w:rsidR="00000000" w:rsidDel="00000000" w:rsidP="00000000" w:rsidRDefault="00000000" w:rsidRPr="00000000" w14:paraId="00000011">
      <w:pPr>
        <w:spacing w:line="360" w:lineRule="auto"/>
        <w:contextualSpacing w:val="0"/>
        <w:rPr>
          <w:rFonts w:ascii="Times New Roman" w:cs="Times New Roman" w:eastAsia="Times New Roman" w:hAnsi="Times New Roman"/>
          <w:sz w:val="20"/>
          <w:szCs w:val="20"/>
          <w:highlight w:val="white"/>
        </w:rPr>
      </w:pPr>
      <w:r w:rsidDel="00000000" w:rsidR="00000000" w:rsidRPr="00000000">
        <w:rPr>
          <w:rtl w:val="0"/>
        </w:rPr>
      </w:r>
    </w:p>
    <w:p w:rsidR="00000000" w:rsidDel="00000000" w:rsidP="00000000" w:rsidRDefault="00000000" w:rsidRPr="00000000" w14:paraId="00000012">
      <w:pPr>
        <w:spacing w:line="360" w:lineRule="auto"/>
        <w:contextualSpacing w:val="0"/>
        <w:rPr>
          <w:rFonts w:ascii="Times New Roman" w:cs="Times New Roman" w:eastAsia="Times New Roman" w:hAnsi="Times New Roman"/>
          <w:sz w:val="20"/>
          <w:szCs w:val="20"/>
          <w:highlight w:val="white"/>
        </w:rPr>
      </w:pPr>
      <w:r w:rsidDel="00000000" w:rsidR="00000000" w:rsidRPr="00000000">
        <w:rPr>
          <w:rFonts w:ascii="Times New Roman" w:cs="Times New Roman" w:eastAsia="Times New Roman" w:hAnsi="Times New Roman"/>
          <w:sz w:val="20"/>
          <w:szCs w:val="20"/>
          <w:highlight w:val="white"/>
          <w:rtl w:val="0"/>
        </w:rPr>
        <w:t xml:space="preserve">The location of Pickering  offers an interesting insight into the people passing through the area in the mid fifteenth century. Pickering Church is situated at the junction of two important Northern roads leading to Scarborough and Malton, ‘surmounted by the castle to the north, with a natural water course’,</w:t>
      </w:r>
      <w:r w:rsidDel="00000000" w:rsidR="00000000" w:rsidRPr="00000000">
        <w:rPr>
          <w:rFonts w:ascii="Times New Roman" w:cs="Times New Roman" w:eastAsia="Times New Roman" w:hAnsi="Times New Roman"/>
          <w:sz w:val="20"/>
          <w:szCs w:val="20"/>
          <w:highlight w:val="white"/>
          <w:vertAlign w:val="superscript"/>
        </w:rPr>
        <w:footnoteReference w:customMarkFollows="0" w:id="3"/>
      </w:r>
      <w:r w:rsidDel="00000000" w:rsidR="00000000" w:rsidRPr="00000000">
        <w:rPr>
          <w:rFonts w:ascii="Times New Roman" w:cs="Times New Roman" w:eastAsia="Times New Roman" w:hAnsi="Times New Roman"/>
          <w:sz w:val="20"/>
          <w:szCs w:val="20"/>
          <w:highlight w:val="white"/>
          <w:rtl w:val="0"/>
        </w:rPr>
        <w:t xml:space="preserve"> making it an ideal place to rest.  Records at The National Archives  indicate that the nearby Castle was in regular use, accommodating royalty passing through North Yorkshire . From the 11th century onwards, Pickering would have seen a range of journeying groups ; pilgrims, merchants and </w:t>
      </w:r>
      <w:r w:rsidDel="00000000" w:rsidR="00000000" w:rsidRPr="00000000">
        <w:rPr>
          <w:rFonts w:ascii="Times New Roman" w:cs="Times New Roman" w:eastAsia="Times New Roman" w:hAnsi="Times New Roman"/>
          <w:sz w:val="20"/>
          <w:szCs w:val="20"/>
          <w:shd w:fill="ffffe8" w:val="clear"/>
          <w:rtl w:val="0"/>
        </w:rPr>
        <w:t xml:space="preserve">monks travelling between the religious houses at </w:t>
      </w:r>
      <w:r w:rsidDel="00000000" w:rsidR="00000000" w:rsidRPr="00000000">
        <w:rPr>
          <w:rFonts w:ascii="Times New Roman" w:cs="Times New Roman" w:eastAsia="Times New Roman" w:hAnsi="Times New Roman"/>
          <w:sz w:val="20"/>
          <w:szCs w:val="20"/>
          <w:highlight w:val="white"/>
          <w:rtl w:val="0"/>
        </w:rPr>
        <w:t xml:space="preserve">Rievaulx Abbey, </w:t>
      </w:r>
      <w:r w:rsidDel="00000000" w:rsidR="00000000" w:rsidRPr="00000000">
        <w:rPr>
          <w:rFonts w:ascii="Times New Roman" w:cs="Times New Roman" w:eastAsia="Times New Roman" w:hAnsi="Times New Roman"/>
          <w:sz w:val="20"/>
          <w:szCs w:val="20"/>
          <w:shd w:fill="ffffe8" w:val="clear"/>
          <w:rtl w:val="0"/>
        </w:rPr>
        <w:t xml:space="preserve">Kirkham and Whitby</w:t>
      </w:r>
      <w:r w:rsidDel="00000000" w:rsidR="00000000" w:rsidRPr="00000000">
        <w:rPr>
          <w:rFonts w:ascii="Times New Roman" w:cs="Times New Roman" w:eastAsia="Times New Roman" w:hAnsi="Times New Roman"/>
          <w:sz w:val="20"/>
          <w:szCs w:val="20"/>
          <w:highlight w:val="white"/>
          <w:rtl w:val="0"/>
        </w:rPr>
        <w:t xml:space="preserve">. All of the visitors would have been familiar with Saint Christopher, his image in Pickering would have served as </w:t>
      </w:r>
      <w:r w:rsidDel="00000000" w:rsidR="00000000" w:rsidRPr="00000000">
        <w:rPr>
          <w:rFonts w:ascii="Times New Roman" w:cs="Times New Roman" w:eastAsia="Times New Roman" w:hAnsi="Times New Roman"/>
          <w:sz w:val="20"/>
          <w:szCs w:val="20"/>
          <w:highlight w:val="white"/>
          <w:rtl w:val="0"/>
        </w:rPr>
        <w:t xml:space="preserve">a significant </w:t>
      </w:r>
      <w:r w:rsidDel="00000000" w:rsidR="00000000" w:rsidRPr="00000000">
        <w:rPr>
          <w:rFonts w:ascii="Times New Roman" w:cs="Times New Roman" w:eastAsia="Times New Roman" w:hAnsi="Times New Roman"/>
          <w:sz w:val="20"/>
          <w:szCs w:val="20"/>
          <w:highlight w:val="white"/>
          <w:rtl w:val="0"/>
        </w:rPr>
        <w:t xml:space="preserve">means</w:t>
      </w:r>
      <w:r w:rsidDel="00000000" w:rsidR="00000000" w:rsidRPr="00000000">
        <w:rPr>
          <w:rFonts w:ascii="Times New Roman" w:cs="Times New Roman" w:eastAsia="Times New Roman" w:hAnsi="Times New Roman"/>
          <w:sz w:val="20"/>
          <w:szCs w:val="20"/>
          <w:highlight w:val="white"/>
          <w:rtl w:val="0"/>
        </w:rPr>
        <w:t xml:space="preserve"> of support to </w:t>
      </w:r>
      <w:r w:rsidDel="00000000" w:rsidR="00000000" w:rsidRPr="00000000">
        <w:rPr>
          <w:rFonts w:ascii="Times New Roman" w:cs="Times New Roman" w:eastAsia="Times New Roman" w:hAnsi="Times New Roman"/>
          <w:sz w:val="20"/>
          <w:szCs w:val="20"/>
          <w:highlight w:val="white"/>
          <w:rtl w:val="0"/>
        </w:rPr>
        <w:t xml:space="preserve">encourage </w:t>
      </w:r>
      <w:r w:rsidDel="00000000" w:rsidR="00000000" w:rsidRPr="00000000">
        <w:rPr>
          <w:rFonts w:ascii="Times New Roman" w:cs="Times New Roman" w:eastAsia="Times New Roman" w:hAnsi="Times New Roman"/>
          <w:sz w:val="20"/>
          <w:szCs w:val="20"/>
          <w:highlight w:val="white"/>
          <w:rtl w:val="0"/>
        </w:rPr>
        <w:t xml:space="preserve">onward travel.</w:t>
      </w:r>
      <w:r w:rsidDel="00000000" w:rsidR="00000000" w:rsidRPr="00000000">
        <w:rPr>
          <w:rtl w:val="0"/>
        </w:rPr>
      </w:r>
    </w:p>
    <w:p w:rsidR="00000000" w:rsidDel="00000000" w:rsidP="00000000" w:rsidRDefault="00000000" w:rsidRPr="00000000" w14:paraId="00000013">
      <w:pPr>
        <w:spacing w:line="360" w:lineRule="auto"/>
        <w:contextualSpacing w:val="0"/>
        <w:rPr>
          <w:rFonts w:ascii="Times New Roman" w:cs="Times New Roman" w:eastAsia="Times New Roman" w:hAnsi="Times New Roman"/>
          <w:color w:val="ff0000"/>
          <w:sz w:val="20"/>
          <w:szCs w:val="20"/>
          <w:highlight w:val="white"/>
        </w:rPr>
      </w:pPr>
      <w:r w:rsidDel="00000000" w:rsidR="00000000" w:rsidRPr="00000000">
        <w:rPr>
          <w:rtl w:val="0"/>
        </w:rPr>
      </w:r>
    </w:p>
    <w:p w:rsidR="00000000" w:rsidDel="00000000" w:rsidP="00000000" w:rsidRDefault="00000000" w:rsidRPr="00000000" w14:paraId="00000014">
      <w:pPr>
        <w:spacing w:line="360" w:lineRule="auto"/>
        <w:contextualSpacing w:val="0"/>
        <w:rPr>
          <w:rFonts w:ascii="Times New Roman" w:cs="Times New Roman" w:eastAsia="Times New Roman" w:hAnsi="Times New Roman"/>
          <w:sz w:val="20"/>
          <w:szCs w:val="20"/>
          <w:highlight w:val="white"/>
        </w:rPr>
      </w:pPr>
      <w:r w:rsidDel="00000000" w:rsidR="00000000" w:rsidRPr="00000000">
        <w:rPr>
          <w:rFonts w:ascii="Times New Roman" w:cs="Times New Roman" w:eastAsia="Times New Roman" w:hAnsi="Times New Roman"/>
          <w:sz w:val="20"/>
          <w:szCs w:val="20"/>
          <w:highlight w:val="white"/>
          <w:rtl w:val="0"/>
        </w:rPr>
        <w:t xml:space="preserve">The details and symbols in any painting can provide valuable clues to popular principles of the times. </w:t>
      </w:r>
      <w:r w:rsidDel="00000000" w:rsidR="00000000" w:rsidRPr="00000000">
        <w:rPr>
          <w:rFonts w:ascii="Times New Roman" w:cs="Times New Roman" w:eastAsia="Times New Roman" w:hAnsi="Times New Roman"/>
          <w:sz w:val="20"/>
          <w:szCs w:val="20"/>
          <w:highlight w:val="white"/>
          <w:rtl w:val="0"/>
        </w:rPr>
        <w:t xml:space="preserve">Some conclusions about the mural at Pickering can be drawn from the primary source, however, with the benefit of methodical research into extraneous factors and by ‘apprehending those underlying principles which reveal the basic attitude of a nation, a period, a class or a philosophical persuasion’,</w:t>
      </w:r>
      <w:r w:rsidDel="00000000" w:rsidR="00000000" w:rsidRPr="00000000">
        <w:rPr>
          <w:rFonts w:ascii="Times New Roman" w:cs="Times New Roman" w:eastAsia="Times New Roman" w:hAnsi="Times New Roman"/>
          <w:sz w:val="20"/>
          <w:szCs w:val="20"/>
          <w:highlight w:val="white"/>
          <w:vertAlign w:val="superscript"/>
        </w:rPr>
        <w:footnoteReference w:customMarkFollows="0" w:id="4"/>
      </w:r>
      <w:r w:rsidDel="00000000" w:rsidR="00000000" w:rsidRPr="00000000">
        <w:rPr>
          <w:rFonts w:ascii="Times New Roman" w:cs="Times New Roman" w:eastAsia="Times New Roman" w:hAnsi="Times New Roman"/>
          <w:sz w:val="20"/>
          <w:szCs w:val="20"/>
          <w:highlight w:val="white"/>
          <w:rtl w:val="0"/>
        </w:rPr>
        <w:t xml:space="preserve"> we can begin to ascertain the intrinsic significance of the overall artwork. </w:t>
      </w:r>
    </w:p>
    <w:p w:rsidR="00000000" w:rsidDel="00000000" w:rsidP="00000000" w:rsidRDefault="00000000" w:rsidRPr="00000000" w14:paraId="00000015">
      <w:pPr>
        <w:spacing w:line="360" w:lineRule="auto"/>
        <w:contextualSpacing w:val="0"/>
        <w:rPr>
          <w:rFonts w:ascii="Times New Roman" w:cs="Times New Roman" w:eastAsia="Times New Roman" w:hAnsi="Times New Roman"/>
          <w:sz w:val="20"/>
          <w:szCs w:val="20"/>
          <w:highlight w:val="white"/>
        </w:rPr>
      </w:pPr>
      <w:r w:rsidDel="00000000" w:rsidR="00000000" w:rsidRPr="00000000">
        <w:rPr>
          <w:rtl w:val="0"/>
        </w:rPr>
      </w:r>
    </w:p>
    <w:p w:rsidR="00000000" w:rsidDel="00000000" w:rsidP="00000000" w:rsidRDefault="00000000" w:rsidRPr="00000000" w14:paraId="00000016">
      <w:pPr>
        <w:spacing w:line="360" w:lineRule="auto"/>
        <w:contextualSpacing w:val="0"/>
        <w:rPr>
          <w:rFonts w:ascii="Times New Roman" w:cs="Times New Roman" w:eastAsia="Times New Roman" w:hAnsi="Times New Roman"/>
          <w:sz w:val="20"/>
          <w:szCs w:val="20"/>
          <w:highlight w:val="white"/>
        </w:rPr>
      </w:pPr>
      <w:r w:rsidDel="00000000" w:rsidR="00000000" w:rsidRPr="00000000">
        <w:rPr>
          <w:rtl w:val="0"/>
        </w:rPr>
      </w:r>
    </w:p>
    <w:p w:rsidR="00000000" w:rsidDel="00000000" w:rsidP="00000000" w:rsidRDefault="00000000" w:rsidRPr="00000000" w14:paraId="00000017">
      <w:pPr>
        <w:spacing w:line="360" w:lineRule="auto"/>
        <w:contextualSpacing w:val="0"/>
        <w:rPr>
          <w:rFonts w:ascii="Times New Roman" w:cs="Times New Roman" w:eastAsia="Times New Roman" w:hAnsi="Times New Roman"/>
          <w:sz w:val="20"/>
          <w:szCs w:val="20"/>
          <w:highlight w:val="white"/>
        </w:rPr>
      </w:pPr>
      <w:r w:rsidDel="00000000" w:rsidR="00000000" w:rsidRPr="00000000">
        <w:rPr>
          <w:rtl w:val="0"/>
        </w:rPr>
      </w:r>
    </w:p>
    <w:p w:rsidR="00000000" w:rsidDel="00000000" w:rsidP="00000000" w:rsidRDefault="00000000" w:rsidRPr="00000000" w14:paraId="00000018">
      <w:pPr>
        <w:spacing w:line="360" w:lineRule="auto"/>
        <w:contextualSpacing w:val="0"/>
        <w:rPr>
          <w:rFonts w:ascii="Times New Roman" w:cs="Times New Roman" w:eastAsia="Times New Roman" w:hAnsi="Times New Roman"/>
          <w:sz w:val="20"/>
          <w:szCs w:val="20"/>
          <w:highlight w:val="white"/>
          <w:u w:val="single"/>
        </w:rPr>
      </w:pPr>
      <w:r w:rsidDel="00000000" w:rsidR="00000000" w:rsidRPr="00000000">
        <w:rPr>
          <w:rFonts w:ascii="Times New Roman" w:cs="Times New Roman" w:eastAsia="Times New Roman" w:hAnsi="Times New Roman"/>
          <w:sz w:val="20"/>
          <w:szCs w:val="20"/>
          <w:highlight w:val="white"/>
          <w:u w:val="single"/>
          <w:rtl w:val="0"/>
        </w:rPr>
        <w:t xml:space="preserve">Bibliography</w:t>
      </w:r>
    </w:p>
    <w:p w:rsidR="00000000" w:rsidDel="00000000" w:rsidP="00000000" w:rsidRDefault="00000000" w:rsidRPr="00000000" w14:paraId="00000019">
      <w:pPr>
        <w:spacing w:line="360" w:lineRule="auto"/>
        <w:contextualSpacing w:val="0"/>
        <w:rPr>
          <w:rFonts w:ascii="Times New Roman" w:cs="Times New Roman" w:eastAsia="Times New Roman" w:hAnsi="Times New Roman"/>
          <w:sz w:val="20"/>
          <w:szCs w:val="20"/>
          <w:highlight w:val="white"/>
          <w:u w:val="single"/>
        </w:rPr>
      </w:pPr>
      <w:r w:rsidDel="00000000" w:rsidR="00000000" w:rsidRPr="00000000">
        <w:rPr>
          <w:rtl w:val="0"/>
        </w:rPr>
      </w:r>
    </w:p>
    <w:p w:rsidR="00000000" w:rsidDel="00000000" w:rsidP="00000000" w:rsidRDefault="00000000" w:rsidRPr="00000000" w14:paraId="0000001A">
      <w:pPr>
        <w:spacing w:line="360" w:lineRule="auto"/>
        <w:contextualSpacing w:val="0"/>
        <w:jc w:val="both"/>
        <w:rPr>
          <w:rFonts w:ascii="Times New Roman" w:cs="Times New Roman" w:eastAsia="Times New Roman" w:hAnsi="Times New Roman"/>
          <w:color w:val="222222"/>
          <w:sz w:val="20"/>
          <w:szCs w:val="20"/>
          <w:highlight w:val="white"/>
        </w:rPr>
      </w:pPr>
      <w:r w:rsidDel="00000000" w:rsidR="00000000" w:rsidRPr="00000000">
        <w:rPr>
          <w:rFonts w:ascii="Times New Roman" w:cs="Times New Roman" w:eastAsia="Times New Roman" w:hAnsi="Times New Roman"/>
          <w:color w:val="222222"/>
          <w:sz w:val="20"/>
          <w:szCs w:val="20"/>
          <w:highlight w:val="white"/>
          <w:rtl w:val="0"/>
        </w:rPr>
        <w:t xml:space="preserve">Alexander,  M J, </w:t>
      </w:r>
      <w:r w:rsidDel="00000000" w:rsidR="00000000" w:rsidRPr="00000000">
        <w:rPr>
          <w:rFonts w:ascii="Times New Roman" w:cs="Times New Roman" w:eastAsia="Times New Roman" w:hAnsi="Times New Roman"/>
          <w:i w:val="1"/>
          <w:color w:val="222222"/>
          <w:sz w:val="20"/>
          <w:szCs w:val="20"/>
          <w:highlight w:val="white"/>
          <w:rtl w:val="0"/>
        </w:rPr>
        <w:t xml:space="preserve">Medievalism: The Middle Ages in Modern England </w:t>
      </w:r>
      <w:r w:rsidDel="00000000" w:rsidR="00000000" w:rsidRPr="00000000">
        <w:rPr>
          <w:rFonts w:ascii="Times New Roman" w:cs="Times New Roman" w:eastAsia="Times New Roman" w:hAnsi="Times New Roman"/>
          <w:color w:val="222222"/>
          <w:sz w:val="20"/>
          <w:szCs w:val="20"/>
          <w:highlight w:val="white"/>
          <w:rtl w:val="0"/>
        </w:rPr>
        <w:t xml:space="preserve">(Yale University Press, 2007)</w:t>
      </w:r>
    </w:p>
    <w:p w:rsidR="00000000" w:rsidDel="00000000" w:rsidP="00000000" w:rsidRDefault="00000000" w:rsidRPr="00000000" w14:paraId="0000001B">
      <w:pPr>
        <w:spacing w:line="360" w:lineRule="auto"/>
        <w:contextualSpacing w:val="0"/>
        <w:jc w:val="both"/>
        <w:rPr>
          <w:rFonts w:ascii="Times New Roman" w:cs="Times New Roman" w:eastAsia="Times New Roman" w:hAnsi="Times New Roman"/>
          <w:color w:val="222222"/>
          <w:sz w:val="20"/>
          <w:szCs w:val="20"/>
          <w:highlight w:val="white"/>
        </w:rPr>
      </w:pPr>
      <w:r w:rsidDel="00000000" w:rsidR="00000000" w:rsidRPr="00000000">
        <w:rPr>
          <w:rtl w:val="0"/>
        </w:rPr>
      </w:r>
    </w:p>
    <w:p w:rsidR="00000000" w:rsidDel="00000000" w:rsidP="00000000" w:rsidRDefault="00000000" w:rsidRPr="00000000" w14:paraId="0000001C">
      <w:pPr>
        <w:spacing w:line="360" w:lineRule="auto"/>
        <w:contextualSpacing w:val="0"/>
        <w:jc w:val="both"/>
        <w:rPr>
          <w:rFonts w:ascii="Times New Roman" w:cs="Times New Roman" w:eastAsia="Times New Roman" w:hAnsi="Times New Roman"/>
          <w:color w:val="222222"/>
          <w:sz w:val="20"/>
          <w:szCs w:val="20"/>
          <w:highlight w:val="white"/>
        </w:rPr>
      </w:pPr>
      <w:r w:rsidDel="00000000" w:rsidR="00000000" w:rsidRPr="00000000">
        <w:rPr>
          <w:rFonts w:ascii="Times New Roman" w:cs="Times New Roman" w:eastAsia="Times New Roman" w:hAnsi="Times New Roman"/>
          <w:color w:val="222222"/>
          <w:sz w:val="20"/>
          <w:szCs w:val="20"/>
          <w:highlight w:val="white"/>
          <w:rtl w:val="0"/>
        </w:rPr>
        <w:t xml:space="preserve">Barnard, Matthew, </w:t>
      </w:r>
      <w:r w:rsidDel="00000000" w:rsidR="00000000" w:rsidRPr="00000000">
        <w:rPr>
          <w:rFonts w:ascii="Times New Roman" w:cs="Times New Roman" w:eastAsia="Times New Roman" w:hAnsi="Times New Roman"/>
          <w:i w:val="1"/>
          <w:color w:val="222222"/>
          <w:sz w:val="20"/>
          <w:szCs w:val="20"/>
          <w:highlight w:val="white"/>
          <w:rtl w:val="0"/>
        </w:rPr>
        <w:t xml:space="preserve">Approaches to Understanding Visual Culture </w:t>
      </w:r>
      <w:r w:rsidDel="00000000" w:rsidR="00000000" w:rsidRPr="00000000">
        <w:rPr>
          <w:rFonts w:ascii="Times New Roman" w:cs="Times New Roman" w:eastAsia="Times New Roman" w:hAnsi="Times New Roman"/>
          <w:color w:val="222222"/>
          <w:sz w:val="20"/>
          <w:szCs w:val="20"/>
          <w:highlight w:val="white"/>
          <w:rtl w:val="0"/>
        </w:rPr>
        <w:t xml:space="preserve">(Basingstoke, 2001)</w:t>
      </w:r>
    </w:p>
    <w:p w:rsidR="00000000" w:rsidDel="00000000" w:rsidP="00000000" w:rsidRDefault="00000000" w:rsidRPr="00000000" w14:paraId="0000001D">
      <w:pPr>
        <w:spacing w:line="360" w:lineRule="auto"/>
        <w:contextualSpacing w:val="0"/>
        <w:rPr>
          <w:rFonts w:ascii="Times New Roman" w:cs="Times New Roman" w:eastAsia="Times New Roman" w:hAnsi="Times New Roman"/>
          <w:color w:val="222222"/>
          <w:sz w:val="20"/>
          <w:szCs w:val="20"/>
          <w:highlight w:val="white"/>
        </w:rPr>
      </w:pPr>
      <w:r w:rsidDel="00000000" w:rsidR="00000000" w:rsidRPr="00000000">
        <w:rPr>
          <w:rtl w:val="0"/>
        </w:rPr>
      </w:r>
    </w:p>
    <w:p w:rsidR="00000000" w:rsidDel="00000000" w:rsidP="00000000" w:rsidRDefault="00000000" w:rsidRPr="00000000" w14:paraId="0000001E">
      <w:pPr>
        <w:spacing w:line="360" w:lineRule="auto"/>
        <w:ind w:left="1133"/>
        <w:contextualSpacing w:val="0"/>
        <w:rPr>
          <w:rFonts w:ascii="Times New Roman" w:cs="Times New Roman" w:eastAsia="Times New Roman" w:hAnsi="Times New Roman"/>
          <w:color w:val="333333"/>
          <w:sz w:val="20"/>
          <w:szCs w:val="20"/>
          <w:highlight w:val="white"/>
        </w:rPr>
      </w:pPr>
      <w:r w:rsidDel="00000000" w:rsidR="00000000" w:rsidRPr="00000000">
        <w:rPr>
          <w:rFonts w:ascii="Times New Roman" w:cs="Times New Roman" w:eastAsia="Times New Roman" w:hAnsi="Times New Roman"/>
          <w:sz w:val="20"/>
          <w:szCs w:val="20"/>
          <w:highlight w:val="white"/>
          <w:rtl w:val="0"/>
        </w:rPr>
        <w:t xml:space="preserve">Clanchy MT ,  </w:t>
      </w:r>
      <w:r w:rsidDel="00000000" w:rsidR="00000000" w:rsidRPr="00000000">
        <w:rPr>
          <w:rFonts w:ascii="Times New Roman" w:cs="Times New Roman" w:eastAsia="Times New Roman" w:hAnsi="Times New Roman"/>
          <w:i w:val="1"/>
          <w:sz w:val="20"/>
          <w:szCs w:val="20"/>
          <w:highlight w:val="white"/>
          <w:rtl w:val="0"/>
        </w:rPr>
        <w:t xml:space="preserve">From Memory to Written Record, </w:t>
      </w:r>
      <w:r w:rsidDel="00000000" w:rsidR="00000000" w:rsidRPr="00000000">
        <w:rPr>
          <w:rFonts w:ascii="Times New Roman" w:cs="Times New Roman" w:eastAsia="Times New Roman" w:hAnsi="Times New Roman"/>
          <w:sz w:val="20"/>
          <w:szCs w:val="20"/>
          <w:highlight w:val="white"/>
          <w:rtl w:val="0"/>
        </w:rPr>
        <w:t xml:space="preserve">2nd edn, (Oxford, Blackwell 1993).  </w:t>
      </w:r>
      <w:r w:rsidDel="00000000" w:rsidR="00000000" w:rsidRPr="00000000">
        <w:rPr>
          <w:rtl w:val="0"/>
        </w:rPr>
      </w:r>
    </w:p>
    <w:p w:rsidR="00000000" w:rsidDel="00000000" w:rsidP="00000000" w:rsidRDefault="00000000" w:rsidRPr="00000000" w14:paraId="0000001F">
      <w:pPr>
        <w:spacing w:line="360" w:lineRule="auto"/>
        <w:ind w:left="1133"/>
        <w:contextualSpacing w:val="0"/>
        <w:rPr>
          <w:rFonts w:ascii="Times New Roman" w:cs="Times New Roman" w:eastAsia="Times New Roman" w:hAnsi="Times New Roman"/>
          <w:sz w:val="20"/>
          <w:szCs w:val="20"/>
          <w:highlight w:val="white"/>
        </w:rPr>
      </w:pPr>
      <w:r w:rsidDel="00000000" w:rsidR="00000000" w:rsidRPr="00000000">
        <w:rPr>
          <w:rtl w:val="0"/>
        </w:rPr>
      </w:r>
    </w:p>
    <w:p w:rsidR="00000000" w:rsidDel="00000000" w:rsidP="00000000" w:rsidRDefault="00000000" w:rsidRPr="00000000" w14:paraId="00000020">
      <w:pPr>
        <w:spacing w:line="360" w:lineRule="auto"/>
        <w:contextualSpacing w:val="0"/>
        <w:rPr>
          <w:rFonts w:ascii="Times New Roman" w:cs="Times New Roman" w:eastAsia="Times New Roman" w:hAnsi="Times New Roman"/>
          <w:color w:val="333333"/>
          <w:sz w:val="20"/>
          <w:szCs w:val="20"/>
          <w:highlight w:val="white"/>
        </w:rPr>
      </w:pPr>
      <w:r w:rsidDel="00000000" w:rsidR="00000000" w:rsidRPr="00000000">
        <w:rPr>
          <w:rFonts w:ascii="Times New Roman" w:cs="Times New Roman" w:eastAsia="Times New Roman" w:hAnsi="Times New Roman"/>
          <w:sz w:val="20"/>
          <w:szCs w:val="20"/>
          <w:highlight w:val="white"/>
          <w:rtl w:val="0"/>
        </w:rPr>
        <w:t xml:space="preserve">Geary, P. J, </w:t>
      </w:r>
      <w:r w:rsidDel="00000000" w:rsidR="00000000" w:rsidRPr="00000000">
        <w:rPr>
          <w:rFonts w:ascii="Times New Roman" w:cs="Times New Roman" w:eastAsia="Times New Roman" w:hAnsi="Times New Roman"/>
          <w:i w:val="1"/>
          <w:sz w:val="20"/>
          <w:szCs w:val="20"/>
          <w:highlight w:val="white"/>
          <w:rtl w:val="0"/>
        </w:rPr>
        <w:t xml:space="preserve">Peasant Religion in Medieval Europe.</w:t>
      </w:r>
      <w:r w:rsidDel="00000000" w:rsidR="00000000" w:rsidRPr="00000000">
        <w:rPr>
          <w:rFonts w:ascii="Times New Roman" w:cs="Times New Roman" w:eastAsia="Times New Roman" w:hAnsi="Times New Roman"/>
          <w:sz w:val="20"/>
          <w:szCs w:val="20"/>
          <w:highlight w:val="white"/>
          <w:rtl w:val="0"/>
        </w:rPr>
        <w:t xml:space="preserve"> In: ‘</w:t>
      </w:r>
      <w:r w:rsidDel="00000000" w:rsidR="00000000" w:rsidRPr="00000000">
        <w:rPr>
          <w:rFonts w:ascii="Times New Roman" w:cs="Times New Roman" w:eastAsia="Times New Roman" w:hAnsi="Times New Roman"/>
          <w:i w:val="1"/>
          <w:sz w:val="20"/>
          <w:szCs w:val="20"/>
          <w:highlight w:val="white"/>
          <w:rtl w:val="0"/>
        </w:rPr>
        <w:t xml:space="preserve">Cahiers d'Extrême-Asie’</w:t>
      </w:r>
      <w:r w:rsidDel="00000000" w:rsidR="00000000" w:rsidRPr="00000000">
        <w:rPr>
          <w:rFonts w:ascii="Times New Roman" w:cs="Times New Roman" w:eastAsia="Times New Roman" w:hAnsi="Times New Roman"/>
          <w:sz w:val="20"/>
          <w:szCs w:val="20"/>
          <w:highlight w:val="white"/>
          <w:rtl w:val="0"/>
        </w:rPr>
        <w:t xml:space="preserve">, vol. 12, 2001. Religions chinoises : nouvelles méthodes, nouveaux enjeux, sous la direction de John Lagerwey . pp. 185-209. (2001) via </w:t>
      </w:r>
      <w:hyperlink r:id="rId7">
        <w:r w:rsidDel="00000000" w:rsidR="00000000" w:rsidRPr="00000000">
          <w:rPr>
            <w:rFonts w:ascii="Times New Roman" w:cs="Times New Roman" w:eastAsia="Times New Roman" w:hAnsi="Times New Roman"/>
            <w:sz w:val="20"/>
            <w:szCs w:val="20"/>
            <w:highlight w:val="white"/>
            <w:rtl w:val="0"/>
          </w:rPr>
          <w:t xml:space="preserve">https://doi.org/10.3406/asie.2001.1170</w:t>
        </w:r>
      </w:hyperlink>
      <w:r w:rsidDel="00000000" w:rsidR="00000000" w:rsidRPr="00000000">
        <w:rPr>
          <w:rFonts w:ascii="Times New Roman" w:cs="Times New Roman" w:eastAsia="Times New Roman" w:hAnsi="Times New Roman"/>
          <w:sz w:val="20"/>
          <w:szCs w:val="20"/>
          <w:highlight w:val="white"/>
          <w:rtl w:val="0"/>
        </w:rPr>
        <w:t xml:space="preserve"> (Accessed 2018</w:t>
      </w:r>
      <w:r w:rsidDel="00000000" w:rsidR="00000000" w:rsidRPr="00000000">
        <w:rPr>
          <w:rFonts w:ascii="Times New Roman" w:cs="Times New Roman" w:eastAsia="Times New Roman" w:hAnsi="Times New Roman"/>
          <w:color w:val="333333"/>
          <w:sz w:val="20"/>
          <w:szCs w:val="20"/>
          <w:highlight w:val="white"/>
          <w:rtl w:val="0"/>
        </w:rPr>
        <w:t xml:space="preserve">)</w:t>
      </w:r>
    </w:p>
    <w:p w:rsidR="00000000" w:rsidDel="00000000" w:rsidP="00000000" w:rsidRDefault="00000000" w:rsidRPr="00000000" w14:paraId="00000021">
      <w:pPr>
        <w:spacing w:line="360" w:lineRule="auto"/>
        <w:contextualSpacing w:val="0"/>
        <w:rPr>
          <w:rFonts w:ascii="Times New Roman" w:cs="Times New Roman" w:eastAsia="Times New Roman" w:hAnsi="Times New Roman"/>
          <w:color w:val="333333"/>
          <w:sz w:val="20"/>
          <w:szCs w:val="20"/>
          <w:highlight w:val="white"/>
        </w:rPr>
      </w:pPr>
      <w:r w:rsidDel="00000000" w:rsidR="00000000" w:rsidRPr="00000000">
        <w:rPr>
          <w:rtl w:val="0"/>
        </w:rPr>
      </w:r>
    </w:p>
    <w:p w:rsidR="00000000" w:rsidDel="00000000" w:rsidP="00000000" w:rsidRDefault="00000000" w:rsidRPr="00000000" w14:paraId="00000022">
      <w:pPr>
        <w:spacing w:line="360" w:lineRule="auto"/>
        <w:contextualSpacing w:val="0"/>
        <w:jc w:val="both"/>
        <w:rPr>
          <w:rFonts w:ascii="Times New Roman" w:cs="Times New Roman" w:eastAsia="Times New Roman" w:hAnsi="Times New Roman"/>
          <w:sz w:val="20"/>
          <w:szCs w:val="20"/>
          <w:highlight w:val="white"/>
        </w:rPr>
      </w:pPr>
      <w:r w:rsidDel="00000000" w:rsidR="00000000" w:rsidRPr="00000000">
        <w:rPr>
          <w:rFonts w:ascii="Times New Roman" w:cs="Times New Roman" w:eastAsia="Times New Roman" w:hAnsi="Times New Roman"/>
          <w:sz w:val="20"/>
          <w:szCs w:val="20"/>
          <w:highlight w:val="white"/>
          <w:rtl w:val="0"/>
        </w:rPr>
        <w:t xml:space="preserve">Howells, R., </w:t>
      </w:r>
      <w:r w:rsidDel="00000000" w:rsidR="00000000" w:rsidRPr="00000000">
        <w:rPr>
          <w:rFonts w:ascii="Times New Roman" w:cs="Times New Roman" w:eastAsia="Times New Roman" w:hAnsi="Times New Roman"/>
          <w:i w:val="1"/>
          <w:sz w:val="20"/>
          <w:szCs w:val="20"/>
          <w:highlight w:val="white"/>
          <w:rtl w:val="0"/>
        </w:rPr>
        <w:t xml:space="preserve">Visual Culture</w:t>
      </w:r>
      <w:r w:rsidDel="00000000" w:rsidR="00000000" w:rsidRPr="00000000">
        <w:rPr>
          <w:rFonts w:ascii="Times New Roman" w:cs="Times New Roman" w:eastAsia="Times New Roman" w:hAnsi="Times New Roman"/>
          <w:sz w:val="20"/>
          <w:szCs w:val="20"/>
          <w:highlight w:val="white"/>
          <w:rtl w:val="0"/>
        </w:rPr>
        <w:t xml:space="preserve">, (Cambridge: Polity Press 2003).</w:t>
      </w:r>
    </w:p>
    <w:p w:rsidR="00000000" w:rsidDel="00000000" w:rsidP="00000000" w:rsidRDefault="00000000" w:rsidRPr="00000000" w14:paraId="00000023">
      <w:pPr>
        <w:spacing w:line="360" w:lineRule="auto"/>
        <w:contextualSpacing w:val="0"/>
        <w:jc w:val="both"/>
        <w:rPr>
          <w:rFonts w:ascii="Times New Roman" w:cs="Times New Roman" w:eastAsia="Times New Roman" w:hAnsi="Times New Roman"/>
          <w:color w:val="222222"/>
          <w:sz w:val="20"/>
          <w:szCs w:val="20"/>
          <w:highlight w:val="white"/>
        </w:rPr>
      </w:pPr>
      <w:r w:rsidDel="00000000" w:rsidR="00000000" w:rsidRPr="00000000">
        <w:rPr>
          <w:rtl w:val="0"/>
        </w:rPr>
      </w:r>
    </w:p>
    <w:p w:rsidR="00000000" w:rsidDel="00000000" w:rsidP="00000000" w:rsidRDefault="00000000" w:rsidRPr="00000000" w14:paraId="00000024">
      <w:pPr>
        <w:spacing w:line="360" w:lineRule="auto"/>
        <w:contextualSpacing w:val="0"/>
        <w:jc w:val="both"/>
        <w:rPr>
          <w:rFonts w:ascii="Times New Roman" w:cs="Times New Roman" w:eastAsia="Times New Roman" w:hAnsi="Times New Roman"/>
          <w:color w:val="222222"/>
          <w:sz w:val="20"/>
          <w:szCs w:val="20"/>
          <w:highlight w:val="white"/>
        </w:rPr>
      </w:pPr>
      <w:r w:rsidDel="00000000" w:rsidR="00000000" w:rsidRPr="00000000">
        <w:rPr>
          <w:rFonts w:ascii="Times New Roman" w:cs="Times New Roman" w:eastAsia="Times New Roman" w:hAnsi="Times New Roman"/>
          <w:color w:val="222222"/>
          <w:sz w:val="20"/>
          <w:szCs w:val="20"/>
          <w:highlight w:val="white"/>
          <w:rtl w:val="0"/>
        </w:rPr>
        <w:t xml:space="preserve">Hoskins, W. G., </w:t>
      </w:r>
      <w:r w:rsidDel="00000000" w:rsidR="00000000" w:rsidRPr="00000000">
        <w:rPr>
          <w:rFonts w:ascii="Times New Roman" w:cs="Times New Roman" w:eastAsia="Times New Roman" w:hAnsi="Times New Roman"/>
          <w:i w:val="1"/>
          <w:color w:val="222222"/>
          <w:sz w:val="20"/>
          <w:szCs w:val="20"/>
          <w:highlight w:val="white"/>
          <w:rtl w:val="0"/>
        </w:rPr>
        <w:t xml:space="preserve">Local History in England</w:t>
      </w:r>
      <w:r w:rsidDel="00000000" w:rsidR="00000000" w:rsidRPr="00000000">
        <w:rPr>
          <w:rFonts w:ascii="Times New Roman" w:cs="Times New Roman" w:eastAsia="Times New Roman" w:hAnsi="Times New Roman"/>
          <w:color w:val="222222"/>
          <w:sz w:val="20"/>
          <w:szCs w:val="20"/>
          <w:highlight w:val="white"/>
          <w:rtl w:val="0"/>
        </w:rPr>
        <w:t xml:space="preserve">, 3rd edn (London: Longman, 1984)</w:t>
      </w:r>
    </w:p>
    <w:p w:rsidR="00000000" w:rsidDel="00000000" w:rsidP="00000000" w:rsidRDefault="00000000" w:rsidRPr="00000000" w14:paraId="00000025">
      <w:pPr>
        <w:spacing w:line="360" w:lineRule="auto"/>
        <w:contextualSpacing w:val="0"/>
        <w:jc w:val="both"/>
        <w:rPr>
          <w:rFonts w:ascii="Times New Roman" w:cs="Times New Roman" w:eastAsia="Times New Roman" w:hAnsi="Times New Roman"/>
          <w:color w:val="222222"/>
          <w:sz w:val="20"/>
          <w:szCs w:val="20"/>
          <w:highlight w:val="white"/>
        </w:rPr>
      </w:pPr>
      <w:r w:rsidDel="00000000" w:rsidR="00000000" w:rsidRPr="00000000">
        <w:rPr>
          <w:rtl w:val="0"/>
        </w:rPr>
      </w:r>
    </w:p>
    <w:p w:rsidR="00000000" w:rsidDel="00000000" w:rsidP="00000000" w:rsidRDefault="00000000" w:rsidRPr="00000000" w14:paraId="00000026">
      <w:pPr>
        <w:spacing w:line="360" w:lineRule="auto"/>
        <w:contextualSpacing w:val="0"/>
        <w:rPr>
          <w:rFonts w:ascii="Times New Roman" w:cs="Times New Roman" w:eastAsia="Times New Roman" w:hAnsi="Times New Roman"/>
          <w:color w:val="222222"/>
          <w:sz w:val="20"/>
          <w:szCs w:val="20"/>
          <w:highlight w:val="white"/>
        </w:rPr>
      </w:pPr>
      <w:r w:rsidDel="00000000" w:rsidR="00000000" w:rsidRPr="00000000">
        <w:rPr>
          <w:rFonts w:ascii="Times New Roman" w:cs="Times New Roman" w:eastAsia="Times New Roman" w:hAnsi="Times New Roman"/>
          <w:sz w:val="20"/>
          <w:szCs w:val="20"/>
          <w:highlight w:val="white"/>
          <w:rtl w:val="0"/>
        </w:rPr>
        <w:t xml:space="preserve"> </w:t>
      </w:r>
      <w:r w:rsidDel="00000000" w:rsidR="00000000" w:rsidRPr="00000000">
        <w:rPr>
          <w:rFonts w:ascii="Times New Roman" w:cs="Times New Roman" w:eastAsia="Times New Roman" w:hAnsi="Times New Roman"/>
          <w:color w:val="222222"/>
          <w:sz w:val="20"/>
          <w:szCs w:val="20"/>
          <w:highlight w:val="white"/>
          <w:rtl w:val="0"/>
        </w:rPr>
        <w:t xml:space="preserve">Panofsky, E. , </w:t>
      </w:r>
      <w:r w:rsidDel="00000000" w:rsidR="00000000" w:rsidRPr="00000000">
        <w:rPr>
          <w:rFonts w:ascii="Times New Roman" w:cs="Times New Roman" w:eastAsia="Times New Roman" w:hAnsi="Times New Roman"/>
          <w:i w:val="1"/>
          <w:color w:val="222222"/>
          <w:sz w:val="20"/>
          <w:szCs w:val="20"/>
          <w:highlight w:val="white"/>
          <w:rtl w:val="0"/>
        </w:rPr>
        <w:t xml:space="preserve">Studies in Iconology</w:t>
      </w:r>
      <w:r w:rsidDel="00000000" w:rsidR="00000000" w:rsidRPr="00000000">
        <w:rPr>
          <w:rFonts w:ascii="Times New Roman" w:cs="Times New Roman" w:eastAsia="Times New Roman" w:hAnsi="Times New Roman"/>
          <w:color w:val="222222"/>
          <w:sz w:val="20"/>
          <w:szCs w:val="20"/>
          <w:highlight w:val="white"/>
          <w:rtl w:val="0"/>
        </w:rPr>
        <w:t xml:space="preserve">, NY Harper Row, Westview Press, (1972)</w:t>
      </w:r>
    </w:p>
    <w:p w:rsidR="00000000" w:rsidDel="00000000" w:rsidP="00000000" w:rsidRDefault="00000000" w:rsidRPr="00000000" w14:paraId="00000027">
      <w:pPr>
        <w:spacing w:line="360" w:lineRule="auto"/>
        <w:contextualSpacing w:val="0"/>
        <w:jc w:val="both"/>
        <w:rPr>
          <w:rFonts w:ascii="Times New Roman" w:cs="Times New Roman" w:eastAsia="Times New Roman" w:hAnsi="Times New Roman"/>
          <w:color w:val="222222"/>
          <w:sz w:val="20"/>
          <w:szCs w:val="20"/>
          <w:highlight w:val="white"/>
        </w:rPr>
      </w:pPr>
      <w:r w:rsidDel="00000000" w:rsidR="00000000" w:rsidRPr="00000000">
        <w:rPr>
          <w:rtl w:val="0"/>
        </w:rPr>
      </w:r>
    </w:p>
    <w:p w:rsidR="00000000" w:rsidDel="00000000" w:rsidP="00000000" w:rsidRDefault="00000000" w:rsidRPr="00000000" w14:paraId="00000028">
      <w:pPr>
        <w:spacing w:line="360" w:lineRule="auto"/>
        <w:contextualSpacing w:val="0"/>
        <w:jc w:val="both"/>
        <w:rPr>
          <w:rFonts w:ascii="Times New Roman" w:cs="Times New Roman" w:eastAsia="Times New Roman" w:hAnsi="Times New Roman"/>
          <w:color w:val="222222"/>
          <w:sz w:val="20"/>
          <w:szCs w:val="20"/>
          <w:highlight w:val="white"/>
        </w:rPr>
      </w:pPr>
      <w:r w:rsidDel="00000000" w:rsidR="00000000" w:rsidRPr="00000000">
        <w:rPr>
          <w:rFonts w:ascii="Times New Roman" w:cs="Times New Roman" w:eastAsia="Times New Roman" w:hAnsi="Times New Roman"/>
          <w:color w:val="222222"/>
          <w:sz w:val="20"/>
          <w:szCs w:val="20"/>
          <w:highlight w:val="white"/>
          <w:rtl w:val="0"/>
        </w:rPr>
        <w:t xml:space="preserve">http://www.pickeringchurch.com/</w:t>
      </w:r>
    </w:p>
    <w:p w:rsidR="00000000" w:rsidDel="00000000" w:rsidP="00000000" w:rsidRDefault="00000000" w:rsidRPr="00000000" w14:paraId="00000029">
      <w:pPr>
        <w:spacing w:line="360" w:lineRule="auto"/>
        <w:contextualSpacing w:val="0"/>
        <w:rPr>
          <w:rFonts w:ascii="Times New Roman" w:cs="Times New Roman" w:eastAsia="Times New Roman" w:hAnsi="Times New Roman"/>
          <w:color w:val="222222"/>
          <w:sz w:val="20"/>
          <w:szCs w:val="20"/>
          <w:highlight w:val="white"/>
        </w:rPr>
      </w:pPr>
      <w:r w:rsidDel="00000000" w:rsidR="00000000" w:rsidRPr="00000000">
        <w:rPr>
          <w:rtl w:val="0"/>
        </w:rPr>
      </w:r>
    </w:p>
    <w:p w:rsidR="00000000" w:rsidDel="00000000" w:rsidP="00000000" w:rsidRDefault="00000000" w:rsidRPr="00000000" w14:paraId="0000002A">
      <w:pPr>
        <w:spacing w:line="360" w:lineRule="auto"/>
        <w:contextualSpacing w:val="0"/>
        <w:rPr>
          <w:rFonts w:ascii="Times New Roman" w:cs="Times New Roman" w:eastAsia="Times New Roman" w:hAnsi="Times New Roman"/>
          <w:sz w:val="20"/>
          <w:szCs w:val="20"/>
          <w:highlight w:val="white"/>
        </w:rPr>
      </w:pPr>
      <w:hyperlink r:id="rId8">
        <w:r w:rsidDel="00000000" w:rsidR="00000000" w:rsidRPr="00000000">
          <w:rPr>
            <w:rFonts w:ascii="Times New Roman" w:cs="Times New Roman" w:eastAsia="Times New Roman" w:hAnsi="Times New Roman"/>
            <w:sz w:val="20"/>
            <w:szCs w:val="20"/>
            <w:highlight w:val="white"/>
            <w:rtl w:val="0"/>
          </w:rPr>
          <w:t xml:space="preserve">https://www.york.ac.uk/borthwick/</w:t>
        </w:r>
      </w:hyperlink>
      <w:r w:rsidDel="00000000" w:rsidR="00000000" w:rsidRPr="00000000">
        <w:rPr>
          <w:rtl w:val="0"/>
        </w:rPr>
      </w:r>
    </w:p>
    <w:p w:rsidR="00000000" w:rsidDel="00000000" w:rsidP="00000000" w:rsidRDefault="00000000" w:rsidRPr="00000000" w14:paraId="0000002B">
      <w:pPr>
        <w:spacing w:line="360" w:lineRule="auto"/>
        <w:contextualSpacing w:val="0"/>
        <w:rPr>
          <w:rFonts w:ascii="Times New Roman" w:cs="Times New Roman" w:eastAsia="Times New Roman" w:hAnsi="Times New Roman"/>
          <w:color w:val="222222"/>
          <w:sz w:val="20"/>
          <w:szCs w:val="20"/>
          <w:highlight w:val="white"/>
        </w:rPr>
      </w:pPr>
      <w:r w:rsidDel="00000000" w:rsidR="00000000" w:rsidRPr="00000000">
        <w:rPr>
          <w:rtl w:val="0"/>
        </w:rPr>
      </w:r>
    </w:p>
    <w:p w:rsidR="00000000" w:rsidDel="00000000" w:rsidP="00000000" w:rsidRDefault="00000000" w:rsidRPr="00000000" w14:paraId="0000002C">
      <w:pPr>
        <w:spacing w:line="360" w:lineRule="auto"/>
        <w:ind w:left="1133"/>
        <w:contextualSpacing w:val="0"/>
        <w:rPr>
          <w:rFonts w:ascii="Times New Roman" w:cs="Times New Roman" w:eastAsia="Times New Roman" w:hAnsi="Times New Roman"/>
          <w:sz w:val="20"/>
          <w:szCs w:val="20"/>
          <w:highlight w:val="white"/>
        </w:rPr>
      </w:pPr>
      <w:r w:rsidDel="00000000" w:rsidR="00000000" w:rsidRPr="00000000">
        <w:rPr>
          <w:rtl w:val="0"/>
        </w:rPr>
      </w:r>
    </w:p>
    <w:p w:rsidR="00000000" w:rsidDel="00000000" w:rsidP="00000000" w:rsidRDefault="00000000" w:rsidRPr="00000000" w14:paraId="0000002D">
      <w:pPr>
        <w:spacing w:line="360" w:lineRule="auto"/>
        <w:ind w:left="0" w:firstLine="0"/>
        <w:contextualSpacing w:val="0"/>
        <w:jc w:val="both"/>
        <w:rPr>
          <w:rFonts w:ascii="Times New Roman" w:cs="Times New Roman" w:eastAsia="Times New Roman" w:hAnsi="Times New Roman"/>
          <w:color w:val="222222"/>
          <w:sz w:val="20"/>
          <w:szCs w:val="20"/>
          <w:highlight w:val="white"/>
        </w:rPr>
      </w:pPr>
      <w:r w:rsidDel="00000000" w:rsidR="00000000" w:rsidRPr="00000000">
        <w:rPr>
          <w:rtl w:val="0"/>
        </w:rPr>
      </w:r>
    </w:p>
    <w:p w:rsidR="00000000" w:rsidDel="00000000" w:rsidP="00000000" w:rsidRDefault="00000000" w:rsidRPr="00000000" w14:paraId="0000002E">
      <w:pPr>
        <w:spacing w:line="360" w:lineRule="auto"/>
        <w:contextualSpacing w:val="0"/>
        <w:rPr>
          <w:rFonts w:ascii="Times New Roman" w:cs="Times New Roman" w:eastAsia="Times New Roman" w:hAnsi="Times New Roman"/>
          <w:sz w:val="20"/>
          <w:szCs w:val="20"/>
          <w:highlight w:val="white"/>
        </w:rPr>
      </w:pPr>
      <w:r w:rsidDel="00000000" w:rsidR="00000000" w:rsidRPr="00000000">
        <w:rPr>
          <w:rtl w:val="0"/>
        </w:rPr>
      </w:r>
    </w:p>
    <w:p w:rsidR="00000000" w:rsidDel="00000000" w:rsidP="00000000" w:rsidRDefault="00000000" w:rsidRPr="00000000" w14:paraId="0000002F">
      <w:pPr>
        <w:spacing w:line="360" w:lineRule="auto"/>
        <w:ind w:left="1133"/>
        <w:contextualSpacing w:val="0"/>
        <w:rPr>
          <w:rFonts w:ascii="Times New Roman" w:cs="Times New Roman" w:eastAsia="Times New Roman" w:hAnsi="Times New Roman"/>
          <w:color w:val="222222"/>
          <w:sz w:val="20"/>
          <w:szCs w:val="20"/>
          <w:highlight w:val="white"/>
        </w:rPr>
      </w:pPr>
      <w:r w:rsidDel="00000000" w:rsidR="00000000" w:rsidRPr="00000000">
        <w:rPr>
          <w:rtl w:val="0"/>
        </w:rPr>
      </w:r>
    </w:p>
    <w:p w:rsidR="00000000" w:rsidDel="00000000" w:rsidP="00000000" w:rsidRDefault="00000000" w:rsidRPr="00000000" w14:paraId="00000030">
      <w:pPr>
        <w:spacing w:line="360" w:lineRule="auto"/>
        <w:ind w:left="720"/>
        <w:contextualSpacing w:val="0"/>
        <w:rPr>
          <w:rFonts w:ascii="Times New Roman" w:cs="Times New Roman" w:eastAsia="Times New Roman" w:hAnsi="Times New Roman"/>
          <w:sz w:val="20"/>
          <w:szCs w:val="20"/>
          <w:highlight w:val="white"/>
        </w:rPr>
      </w:pPr>
      <w:r w:rsidDel="00000000" w:rsidR="00000000" w:rsidRPr="00000000">
        <w:rPr>
          <w:rtl w:val="0"/>
        </w:rPr>
      </w:r>
    </w:p>
    <w:p w:rsidR="00000000" w:rsidDel="00000000" w:rsidP="00000000" w:rsidRDefault="00000000" w:rsidRPr="00000000" w14:paraId="00000031">
      <w:pPr>
        <w:contextualSpacing w:val="0"/>
        <w:rPr/>
      </w:pPr>
      <w:r w:rsidDel="00000000" w:rsidR="00000000" w:rsidRPr="00000000">
        <w:rPr>
          <w:rtl w:val="0"/>
        </w:rPr>
      </w:r>
    </w:p>
    <w:sectPr>
      <w:pgSz w:h="16834" w:w="11909"/>
      <w:pgMar w:bottom="1440" w:top="992.1259842519685" w:left="1440" w:right="1440" w:header="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 w:name="Times New Roman"/>
</w:fonts>
</file>

<file path=word/footnotes.xml><?xml version="1.0" encoding="utf-8"?>
<w:footnot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otnote w:id="0">
    <w:p w:rsidR="00000000" w:rsidDel="00000000" w:rsidP="00000000" w:rsidRDefault="00000000" w:rsidRPr="00000000" w14:paraId="00000032">
      <w:pPr>
        <w:spacing w:line="240" w:lineRule="auto"/>
        <w:contextualSpacing w:val="0"/>
        <w:rPr>
          <w:sz w:val="20"/>
          <w:szCs w:val="20"/>
          <w:vertAlign w:val="superscript"/>
        </w:rPr>
      </w:pPr>
      <w:r w:rsidDel="00000000" w:rsidR="00000000" w:rsidRPr="00000000">
        <w:rPr>
          <w:rStyle w:val="FootnoteReference"/>
          <w:vertAlign w:val="superscript"/>
        </w:rPr>
        <w:footnoteRef/>
      </w:r>
      <w:r w:rsidDel="00000000" w:rsidR="00000000" w:rsidRPr="00000000">
        <w:rPr>
          <w:sz w:val="20"/>
          <w:szCs w:val="20"/>
          <w:vertAlign w:val="superscript"/>
          <w:rtl w:val="0"/>
        </w:rPr>
        <w:t xml:space="preserve"> </w:t>
      </w:r>
      <w:r w:rsidDel="00000000" w:rsidR="00000000" w:rsidRPr="00000000">
        <w:rPr>
          <w:rFonts w:ascii="Times New Roman" w:cs="Times New Roman" w:eastAsia="Times New Roman" w:hAnsi="Times New Roman"/>
          <w:sz w:val="20"/>
          <w:szCs w:val="20"/>
          <w:highlight w:val="white"/>
          <w:vertAlign w:val="superscript"/>
          <w:rtl w:val="0"/>
        </w:rPr>
        <w:t xml:space="preserve"> </w:t>
      </w:r>
      <w:r w:rsidDel="00000000" w:rsidR="00000000" w:rsidRPr="00000000">
        <w:rPr>
          <w:rFonts w:ascii="Times New Roman" w:cs="Times New Roman" w:eastAsia="Times New Roman" w:hAnsi="Times New Roman"/>
          <w:sz w:val="20"/>
          <w:szCs w:val="20"/>
          <w:highlight w:val="white"/>
          <w:rtl w:val="0"/>
        </w:rPr>
        <w:t xml:space="preserve">Collier, Mrs. (1904). </w:t>
      </w:r>
      <w:hyperlink r:id="rId1">
        <w:r w:rsidDel="00000000" w:rsidR="00000000" w:rsidRPr="00000000">
          <w:rPr>
            <w:rFonts w:ascii="Times New Roman" w:cs="Times New Roman" w:eastAsia="Times New Roman" w:hAnsi="Times New Roman"/>
            <w:sz w:val="20"/>
            <w:szCs w:val="20"/>
            <w:highlight w:val="white"/>
            <w:rtl w:val="0"/>
          </w:rPr>
          <w:t xml:space="preserve">"Saint Christopher and Some Representations of Him in English Churches"</w:t>
        </w:r>
      </w:hyperlink>
      <w:r w:rsidDel="00000000" w:rsidR="00000000" w:rsidRPr="00000000">
        <w:rPr>
          <w:rFonts w:ascii="Times New Roman" w:cs="Times New Roman" w:eastAsia="Times New Roman" w:hAnsi="Times New Roman"/>
          <w:sz w:val="20"/>
          <w:szCs w:val="20"/>
          <w:highlight w:val="white"/>
          <w:rtl w:val="0"/>
        </w:rPr>
        <w:t xml:space="preserve">. </w:t>
      </w:r>
      <w:hyperlink r:id="rId2">
        <w:r w:rsidDel="00000000" w:rsidR="00000000" w:rsidRPr="00000000">
          <w:rPr>
            <w:rFonts w:ascii="Times New Roman" w:cs="Times New Roman" w:eastAsia="Times New Roman" w:hAnsi="Times New Roman"/>
            <w:i w:val="1"/>
            <w:sz w:val="20"/>
            <w:szCs w:val="20"/>
            <w:highlight w:val="white"/>
            <w:rtl w:val="0"/>
          </w:rPr>
          <w:t xml:space="preserve">Journal of the British Archaeological Association</w:t>
        </w:r>
      </w:hyperlink>
      <w:r w:rsidDel="00000000" w:rsidR="00000000" w:rsidRPr="00000000">
        <w:rPr>
          <w:rFonts w:ascii="Times New Roman" w:cs="Times New Roman" w:eastAsia="Times New Roman" w:hAnsi="Times New Roman"/>
          <w:sz w:val="20"/>
          <w:szCs w:val="20"/>
          <w:highlight w:val="white"/>
          <w:rtl w:val="0"/>
        </w:rPr>
        <w:t xml:space="preserve">: p 130–45.</w:t>
      </w:r>
      <w:r w:rsidDel="00000000" w:rsidR="00000000" w:rsidRPr="00000000">
        <w:rPr>
          <w:rtl w:val="0"/>
        </w:rPr>
      </w:r>
    </w:p>
  </w:footnote>
  <w:footnote w:id="1">
    <w:p w:rsidR="00000000" w:rsidDel="00000000" w:rsidP="00000000" w:rsidRDefault="00000000" w:rsidRPr="00000000" w14:paraId="00000033">
      <w:pPr>
        <w:spacing w:line="240" w:lineRule="auto"/>
        <w:contextualSpacing w:val="0"/>
        <w:rPr>
          <w:sz w:val="20"/>
          <w:szCs w:val="20"/>
          <w:vertAlign w:val="superscript"/>
        </w:rPr>
      </w:pPr>
      <w:r w:rsidDel="00000000" w:rsidR="00000000" w:rsidRPr="00000000">
        <w:rPr>
          <w:rStyle w:val="FootnoteReference"/>
          <w:vertAlign w:val="superscript"/>
        </w:rPr>
        <w:footnoteRef/>
      </w:r>
      <w:r w:rsidDel="00000000" w:rsidR="00000000" w:rsidRPr="00000000">
        <w:rPr>
          <w:sz w:val="20"/>
          <w:szCs w:val="20"/>
          <w:vertAlign w:val="superscript"/>
          <w:rtl w:val="0"/>
        </w:rPr>
        <w:t xml:space="preserve"> </w:t>
      </w:r>
      <w:r w:rsidDel="00000000" w:rsidR="00000000" w:rsidRPr="00000000">
        <w:rPr>
          <w:rFonts w:ascii="Times New Roman" w:cs="Times New Roman" w:eastAsia="Times New Roman" w:hAnsi="Times New Roman"/>
          <w:sz w:val="20"/>
          <w:szCs w:val="20"/>
          <w:highlight w:val="white"/>
          <w:rtl w:val="0"/>
        </w:rPr>
        <w:t xml:space="preserve"> P J Geary, </w:t>
      </w:r>
      <w:r w:rsidDel="00000000" w:rsidR="00000000" w:rsidRPr="00000000">
        <w:rPr>
          <w:rFonts w:ascii="Times New Roman" w:cs="Times New Roman" w:eastAsia="Times New Roman" w:hAnsi="Times New Roman"/>
          <w:i w:val="1"/>
          <w:sz w:val="20"/>
          <w:szCs w:val="20"/>
          <w:highlight w:val="white"/>
          <w:rtl w:val="0"/>
        </w:rPr>
        <w:t xml:space="preserve">Peasant Religion in Medieval Europe</w:t>
      </w:r>
      <w:r w:rsidDel="00000000" w:rsidR="00000000" w:rsidRPr="00000000">
        <w:rPr>
          <w:rFonts w:ascii="Times New Roman" w:cs="Times New Roman" w:eastAsia="Times New Roman" w:hAnsi="Times New Roman"/>
          <w:sz w:val="20"/>
          <w:szCs w:val="20"/>
          <w:highlight w:val="white"/>
          <w:rtl w:val="0"/>
        </w:rPr>
        <w:t xml:space="preserve">. 2001 In: </w:t>
      </w:r>
      <w:r w:rsidDel="00000000" w:rsidR="00000000" w:rsidRPr="00000000">
        <w:rPr>
          <w:rFonts w:ascii="Times New Roman" w:cs="Times New Roman" w:eastAsia="Times New Roman" w:hAnsi="Times New Roman"/>
          <w:i w:val="1"/>
          <w:sz w:val="20"/>
          <w:szCs w:val="20"/>
          <w:highlight w:val="white"/>
          <w:rtl w:val="0"/>
        </w:rPr>
        <w:t xml:space="preserve">Cahiers d'Extrême-Asie</w:t>
      </w:r>
      <w:r w:rsidDel="00000000" w:rsidR="00000000" w:rsidRPr="00000000">
        <w:rPr>
          <w:rFonts w:ascii="Times New Roman" w:cs="Times New Roman" w:eastAsia="Times New Roman" w:hAnsi="Times New Roman"/>
          <w:sz w:val="20"/>
          <w:szCs w:val="20"/>
          <w:highlight w:val="white"/>
          <w:rtl w:val="0"/>
        </w:rPr>
        <w:t xml:space="preserve">, vol. 12, 2001. Religions chinoises : nouvelles méthodes, nouveaux enjeux, sous la direction de John Lagerwey . p 199</w:t>
      </w:r>
      <w:r w:rsidDel="00000000" w:rsidR="00000000" w:rsidRPr="00000000">
        <w:rPr>
          <w:rtl w:val="0"/>
        </w:rPr>
      </w:r>
    </w:p>
  </w:footnote>
  <w:footnote w:id="2">
    <w:p w:rsidR="00000000" w:rsidDel="00000000" w:rsidP="00000000" w:rsidRDefault="00000000" w:rsidRPr="00000000" w14:paraId="00000034">
      <w:pPr>
        <w:spacing w:line="240" w:lineRule="auto"/>
        <w:contextualSpacing w:val="0"/>
        <w:rPr>
          <w:sz w:val="20"/>
          <w:szCs w:val="20"/>
          <w:vertAlign w:val="superscript"/>
        </w:rPr>
      </w:pPr>
      <w:r w:rsidDel="00000000" w:rsidR="00000000" w:rsidRPr="00000000">
        <w:rPr>
          <w:rStyle w:val="FootnoteReference"/>
          <w:vertAlign w:val="superscript"/>
        </w:rPr>
        <w:footnoteRef/>
      </w:r>
      <w:r w:rsidDel="00000000" w:rsidR="00000000" w:rsidRPr="00000000">
        <w:rPr>
          <w:sz w:val="20"/>
          <w:szCs w:val="20"/>
          <w:vertAlign w:val="superscript"/>
          <w:rtl w:val="0"/>
        </w:rPr>
        <w:t xml:space="preserve"> </w:t>
      </w:r>
      <w:r w:rsidDel="00000000" w:rsidR="00000000" w:rsidRPr="00000000">
        <w:rPr>
          <w:rFonts w:ascii="Times New Roman" w:cs="Times New Roman" w:eastAsia="Times New Roman" w:hAnsi="Times New Roman"/>
          <w:highlight w:val="white"/>
          <w:rtl w:val="0"/>
        </w:rPr>
        <w:t xml:space="preserve">P J Geary, </w:t>
      </w:r>
      <w:r w:rsidDel="00000000" w:rsidR="00000000" w:rsidRPr="00000000">
        <w:rPr>
          <w:rFonts w:ascii="Times New Roman" w:cs="Times New Roman" w:eastAsia="Times New Roman" w:hAnsi="Times New Roman"/>
          <w:i w:val="1"/>
          <w:highlight w:val="white"/>
          <w:rtl w:val="0"/>
        </w:rPr>
        <w:t xml:space="preserve">Peasant Religion in Medieval Europe</w:t>
      </w:r>
      <w:r w:rsidDel="00000000" w:rsidR="00000000" w:rsidRPr="00000000">
        <w:rPr>
          <w:rFonts w:ascii="Times New Roman" w:cs="Times New Roman" w:eastAsia="Times New Roman" w:hAnsi="Times New Roman"/>
          <w:highlight w:val="white"/>
          <w:rtl w:val="0"/>
        </w:rPr>
        <w:t xml:space="preserve">, p203.</w:t>
      </w:r>
      <w:r w:rsidDel="00000000" w:rsidR="00000000" w:rsidRPr="00000000">
        <w:rPr>
          <w:rtl w:val="0"/>
        </w:rPr>
      </w:r>
    </w:p>
  </w:footnote>
  <w:footnote w:id="3">
    <w:p w:rsidR="00000000" w:rsidDel="00000000" w:rsidP="00000000" w:rsidRDefault="00000000" w:rsidRPr="00000000" w14:paraId="00000035">
      <w:pPr>
        <w:spacing w:line="240" w:lineRule="auto"/>
        <w:contextualSpacing w:val="0"/>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sz w:val="20"/>
          <w:szCs w:val="20"/>
          <w:vertAlign w:val="superscript"/>
          <w:rtl w:val="0"/>
        </w:rPr>
        <w:t xml:space="preserve"> </w:t>
      </w:r>
      <w:r w:rsidDel="00000000" w:rsidR="00000000" w:rsidRPr="00000000">
        <w:rPr>
          <w:rFonts w:ascii="Times New Roman" w:cs="Times New Roman" w:eastAsia="Times New Roman" w:hAnsi="Times New Roman"/>
          <w:sz w:val="20"/>
          <w:szCs w:val="20"/>
          <w:highlight w:val="white"/>
          <w:rtl w:val="0"/>
        </w:rPr>
        <w:t xml:space="preserve">Roman Roads Research Association, </w:t>
      </w:r>
      <w:r w:rsidDel="00000000" w:rsidR="00000000" w:rsidRPr="00000000">
        <w:rPr>
          <w:rFonts w:ascii="Times New Roman" w:cs="Times New Roman" w:eastAsia="Times New Roman" w:hAnsi="Times New Roman"/>
          <w:i w:val="1"/>
          <w:sz w:val="20"/>
          <w:szCs w:val="20"/>
          <w:highlight w:val="white"/>
          <w:rtl w:val="0"/>
        </w:rPr>
        <w:t xml:space="preserve">Roman Roads</w:t>
      </w:r>
      <w:r w:rsidDel="00000000" w:rsidR="00000000" w:rsidRPr="00000000">
        <w:rPr>
          <w:rFonts w:ascii="Times New Roman" w:cs="Times New Roman" w:eastAsia="Times New Roman" w:hAnsi="Times New Roman"/>
          <w:sz w:val="20"/>
          <w:szCs w:val="20"/>
          <w:highlight w:val="white"/>
          <w:rtl w:val="0"/>
        </w:rPr>
        <w:t xml:space="preserve"> (2016) http://www.romanroads.org/yorkshiregazetteer.html [accessed 2018]</w:t>
      </w:r>
      <w:r w:rsidDel="00000000" w:rsidR="00000000" w:rsidRPr="00000000">
        <w:rPr>
          <w:rtl w:val="0"/>
        </w:rPr>
      </w:r>
    </w:p>
  </w:footnote>
  <w:footnote w:id="4">
    <w:p w:rsidR="00000000" w:rsidDel="00000000" w:rsidP="00000000" w:rsidRDefault="00000000" w:rsidRPr="00000000" w14:paraId="00000036">
      <w:pPr>
        <w:spacing w:line="240" w:lineRule="auto"/>
        <w:contextualSpacing w:val="0"/>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rFonts w:ascii="Times New Roman" w:cs="Times New Roman" w:eastAsia="Times New Roman" w:hAnsi="Times New Roman"/>
          <w:sz w:val="20"/>
          <w:szCs w:val="20"/>
          <w:highlight w:val="white"/>
          <w:rtl w:val="0"/>
        </w:rPr>
        <w:t xml:space="preserve">R Howells, </w:t>
      </w:r>
      <w:r w:rsidDel="00000000" w:rsidR="00000000" w:rsidRPr="00000000">
        <w:rPr>
          <w:rFonts w:ascii="Times New Roman" w:cs="Times New Roman" w:eastAsia="Times New Roman" w:hAnsi="Times New Roman"/>
          <w:i w:val="1"/>
          <w:sz w:val="20"/>
          <w:szCs w:val="20"/>
          <w:highlight w:val="white"/>
          <w:rtl w:val="0"/>
        </w:rPr>
        <w:t xml:space="preserve">Visual Culture</w:t>
      </w:r>
      <w:r w:rsidDel="00000000" w:rsidR="00000000" w:rsidRPr="00000000">
        <w:rPr>
          <w:rFonts w:ascii="Times New Roman" w:cs="Times New Roman" w:eastAsia="Times New Roman" w:hAnsi="Times New Roman"/>
          <w:sz w:val="20"/>
          <w:szCs w:val="20"/>
          <w:highlight w:val="white"/>
          <w:rtl w:val="0"/>
        </w:rPr>
        <w:t xml:space="preserve"> (Cambridge: Polity Press, 2010), p. 19.</w:t>
      </w:r>
      <w:r w:rsidDel="00000000" w:rsidR="00000000" w:rsidRPr="00000000">
        <w:rPr>
          <w:rtl w:val="0"/>
        </w:rPr>
      </w:r>
    </w:p>
  </w:footnote>
</w:footnote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4"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GB"/>
      </w:rPr>
    </w:rPrDefault>
    <w:pPrDefault>
      <w:pPr>
        <w:spacing w:line="276" w:lineRule="auto"/>
        <w:contextualSpacing w:val="1"/>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120" w:before="400" w:lineRule="auto"/>
    </w:pPr>
    <w:rPr>
      <w:sz w:val="40"/>
      <w:szCs w:val="40"/>
    </w:rPr>
  </w:style>
  <w:style w:type="paragraph" w:styleId="Heading2">
    <w:name w:val="heading 2"/>
    <w:basedOn w:val="Normal"/>
    <w:next w:val="Normal"/>
    <w:pPr>
      <w:keepNext w:val="1"/>
      <w:keepLines w:val="1"/>
      <w:spacing w:after="120" w:before="360" w:lineRule="auto"/>
    </w:pPr>
    <w:rPr>
      <w:sz w:val="32"/>
      <w:szCs w:val="32"/>
    </w:rPr>
  </w:style>
  <w:style w:type="paragraph" w:styleId="Heading3">
    <w:name w:val="heading 3"/>
    <w:basedOn w:val="Normal"/>
    <w:next w:val="Normal"/>
    <w:pPr>
      <w:keepNext w:val="1"/>
      <w:keepLines w:val="1"/>
      <w:spacing w:after="80" w:before="320" w:lineRule="auto"/>
    </w:pPr>
    <w:rPr>
      <w:color w:val="434343"/>
      <w:sz w:val="28"/>
      <w:szCs w:val="28"/>
    </w:rPr>
  </w:style>
  <w:style w:type="paragraph" w:styleId="Heading4">
    <w:name w:val="heading 4"/>
    <w:basedOn w:val="Normal"/>
    <w:next w:val="Normal"/>
    <w:pPr>
      <w:keepNext w:val="1"/>
      <w:keepLines w:val="1"/>
      <w:spacing w:after="80" w:before="280" w:lineRule="auto"/>
    </w:pPr>
    <w:rPr>
      <w:color w:val="666666"/>
      <w:sz w:val="24"/>
      <w:szCs w:val="24"/>
    </w:rPr>
  </w:style>
  <w:style w:type="paragraph" w:styleId="Heading5">
    <w:name w:val="heading 5"/>
    <w:basedOn w:val="Normal"/>
    <w:next w:val="Normal"/>
    <w:pPr>
      <w:keepNext w:val="1"/>
      <w:keepLines w:val="1"/>
      <w:spacing w:after="80" w:before="240" w:lineRule="auto"/>
    </w:pPr>
    <w:rPr>
      <w:color w:val="666666"/>
    </w:rPr>
  </w:style>
  <w:style w:type="paragraph" w:styleId="Heading6">
    <w:name w:val="heading 6"/>
    <w:basedOn w:val="Normal"/>
    <w:next w:val="Normal"/>
    <w:pPr>
      <w:keepNext w:val="1"/>
      <w:keepLines w:val="1"/>
      <w:spacing w:after="80" w:before="240" w:lineRule="auto"/>
    </w:pPr>
    <w:rPr>
      <w:i w:val="1"/>
      <w:color w:val="666666"/>
    </w:rPr>
  </w:style>
  <w:style w:type="paragraph" w:styleId="Title">
    <w:name w:val="Title"/>
    <w:basedOn w:val="Normal"/>
    <w:next w:val="Normal"/>
    <w:pPr>
      <w:keepNext w:val="1"/>
      <w:keepLines w:val="1"/>
      <w:spacing w:after="60" w:lineRule="auto"/>
    </w:pPr>
    <w:rPr>
      <w:sz w:val="52"/>
      <w:szCs w:val="52"/>
    </w:rPr>
  </w:style>
  <w:style w:type="paragraph" w:styleId="Subtitle">
    <w:name w:val="Subtitle"/>
    <w:basedOn w:val="Normal"/>
    <w:next w:val="Normal"/>
    <w:pPr>
      <w:keepNext w:val="1"/>
      <w:keepLines w:val="1"/>
      <w:spacing w:after="320" w:lineRule="auto"/>
    </w:pPr>
    <w:rPr>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footnotes" Target="footnotes.xml"/><Relationship Id="rId5" Type="http://schemas.openxmlformats.org/officeDocument/2006/relationships/numbering" Target="numbering.xml"/><Relationship Id="rId6" Type="http://schemas.openxmlformats.org/officeDocument/2006/relationships/styles" Target="styles.xml"/><Relationship Id="rId7" Type="http://schemas.openxmlformats.org/officeDocument/2006/relationships/hyperlink" Target="https://doi.org/10.3406/asie.2001.1170" TargetMode="External"/><Relationship Id="rId8" Type="http://schemas.openxmlformats.org/officeDocument/2006/relationships/hyperlink" Target="https://www.york.ac.uk/borthwick/" TargetMode="External"/></Relationships>
</file>

<file path=word/_rels/footnotes.xml.rels><?xml version="1.0" encoding="UTF-8" standalone="yes"?><Relationships xmlns="http://schemas.openxmlformats.org/package/2006/relationships"><Relationship Id="rId1" Type="http://schemas.openxmlformats.org/officeDocument/2006/relationships/hyperlink" Target="https://books.google.com/books?id=UDgNAAAAYAAJ&amp;pg=PA130" TargetMode="External"/><Relationship Id="rId2" Type="http://schemas.openxmlformats.org/officeDocument/2006/relationships/hyperlink" Target="https://en.wikipedia.org/wiki/British_Archaeological_Associatio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