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01C19" w14:textId="77777777" w:rsidR="008A551A" w:rsidRDefault="008A551A" w:rsidP="008A551A">
      <w:pPr>
        <w:pStyle w:val="Title"/>
      </w:pPr>
    </w:p>
    <w:p w14:paraId="2B92092C" w14:textId="77777777" w:rsidR="008A551A" w:rsidRDefault="008A551A" w:rsidP="008A551A">
      <w:pPr>
        <w:pStyle w:val="Title"/>
      </w:pPr>
    </w:p>
    <w:p w14:paraId="0D9BF901" w14:textId="77777777" w:rsidR="008A551A" w:rsidRDefault="008A551A" w:rsidP="008A551A">
      <w:pPr>
        <w:pStyle w:val="Title"/>
      </w:pPr>
    </w:p>
    <w:p w14:paraId="06E2FCC0" w14:textId="14AD302F" w:rsidR="008A551A" w:rsidRDefault="008A551A" w:rsidP="008A551A">
      <w:pPr>
        <w:pStyle w:val="Title"/>
      </w:pPr>
      <w:r w:rsidRPr="008A551A">
        <w:t xml:space="preserve">The </w:t>
      </w:r>
      <w:r>
        <w:t>r</w:t>
      </w:r>
      <w:r w:rsidRPr="008A551A">
        <w:t>ecognition of faces following a distract</w:t>
      </w:r>
      <w:r>
        <w:t>or</w:t>
      </w:r>
      <w:r w:rsidRPr="008A551A">
        <w:t xml:space="preserve"> task</w:t>
      </w:r>
      <w:r>
        <w:t>.</w:t>
      </w:r>
    </w:p>
    <w:p w14:paraId="531E4793" w14:textId="77777777" w:rsidR="00232CF7" w:rsidRPr="00232CF7" w:rsidRDefault="00232CF7" w:rsidP="00232CF7"/>
    <w:p w14:paraId="627289AA" w14:textId="0E0DC552" w:rsidR="008A551A" w:rsidRDefault="00232CF7" w:rsidP="00232CF7">
      <w:pPr>
        <w:jc w:val="center"/>
      </w:pPr>
      <w:r>
        <w:t>Sean Morgan</w:t>
      </w:r>
    </w:p>
    <w:p w14:paraId="41578340" w14:textId="571D9E7F" w:rsidR="00232CF7" w:rsidRDefault="00232CF7" w:rsidP="00232CF7">
      <w:pPr>
        <w:jc w:val="center"/>
        <w:rPr>
          <w:rFonts w:ascii="Times New Roman" w:eastAsiaTheme="majorEastAsia" w:hAnsi="Times New Roman" w:cstheme="majorBidi"/>
          <w:spacing w:val="-10"/>
          <w:kern w:val="28"/>
          <w:sz w:val="56"/>
          <w:szCs w:val="56"/>
        </w:rPr>
      </w:pPr>
    </w:p>
    <w:p w14:paraId="265662A7" w14:textId="5B136573" w:rsidR="00232CF7" w:rsidRDefault="00232CF7" w:rsidP="00232CF7">
      <w:pPr>
        <w:jc w:val="center"/>
        <w:rPr>
          <w:rFonts w:ascii="Times New Roman" w:eastAsiaTheme="majorEastAsia" w:hAnsi="Times New Roman" w:cstheme="majorBidi"/>
          <w:spacing w:val="-10"/>
          <w:kern w:val="28"/>
          <w:sz w:val="56"/>
          <w:szCs w:val="56"/>
        </w:rPr>
      </w:pPr>
    </w:p>
    <w:p w14:paraId="1227E33E" w14:textId="1F457BAC" w:rsidR="00232CF7" w:rsidRDefault="00232CF7" w:rsidP="00232CF7">
      <w:pPr>
        <w:jc w:val="center"/>
        <w:rPr>
          <w:rFonts w:ascii="Times New Roman" w:eastAsiaTheme="majorEastAsia" w:hAnsi="Times New Roman" w:cstheme="majorBidi"/>
          <w:spacing w:val="-10"/>
          <w:kern w:val="28"/>
          <w:sz w:val="56"/>
          <w:szCs w:val="56"/>
        </w:rPr>
      </w:pPr>
    </w:p>
    <w:p w14:paraId="47A62729" w14:textId="4C393A24" w:rsidR="00232CF7" w:rsidRDefault="00232CF7" w:rsidP="00232CF7">
      <w:pPr>
        <w:jc w:val="center"/>
        <w:rPr>
          <w:rFonts w:ascii="Times New Roman" w:eastAsiaTheme="majorEastAsia" w:hAnsi="Times New Roman" w:cstheme="majorBidi"/>
          <w:spacing w:val="-10"/>
          <w:kern w:val="28"/>
          <w:sz w:val="56"/>
          <w:szCs w:val="56"/>
        </w:rPr>
      </w:pPr>
    </w:p>
    <w:p w14:paraId="4A7866A5" w14:textId="0806B38B" w:rsidR="00232CF7" w:rsidRDefault="00232CF7" w:rsidP="00232CF7">
      <w:pPr>
        <w:jc w:val="center"/>
        <w:rPr>
          <w:rFonts w:ascii="Times New Roman" w:eastAsiaTheme="majorEastAsia" w:hAnsi="Times New Roman" w:cstheme="majorBidi"/>
          <w:spacing w:val="-10"/>
          <w:kern w:val="28"/>
          <w:sz w:val="56"/>
          <w:szCs w:val="56"/>
        </w:rPr>
      </w:pPr>
    </w:p>
    <w:p w14:paraId="042288AF" w14:textId="3BE242FE" w:rsidR="00232CF7" w:rsidRDefault="00232CF7" w:rsidP="00232CF7">
      <w:pPr>
        <w:jc w:val="center"/>
        <w:rPr>
          <w:rFonts w:ascii="Times New Roman" w:eastAsiaTheme="majorEastAsia" w:hAnsi="Times New Roman" w:cstheme="majorBidi"/>
          <w:spacing w:val="-10"/>
          <w:kern w:val="28"/>
          <w:sz w:val="56"/>
          <w:szCs w:val="56"/>
        </w:rPr>
      </w:pPr>
    </w:p>
    <w:p w14:paraId="7230E48F" w14:textId="58BD3D6E" w:rsidR="00232CF7" w:rsidRDefault="00232CF7" w:rsidP="00232CF7">
      <w:pPr>
        <w:jc w:val="center"/>
        <w:rPr>
          <w:rFonts w:ascii="Times New Roman" w:eastAsiaTheme="majorEastAsia" w:hAnsi="Times New Roman" w:cstheme="majorBidi"/>
          <w:spacing w:val="-10"/>
          <w:kern w:val="28"/>
          <w:sz w:val="56"/>
          <w:szCs w:val="56"/>
        </w:rPr>
      </w:pPr>
    </w:p>
    <w:p w14:paraId="6EEA8BFC" w14:textId="37093962" w:rsidR="00232CF7" w:rsidRDefault="00232CF7" w:rsidP="00232CF7">
      <w:pPr>
        <w:jc w:val="center"/>
        <w:rPr>
          <w:rFonts w:ascii="Times New Roman" w:eastAsiaTheme="majorEastAsia" w:hAnsi="Times New Roman" w:cstheme="majorBidi"/>
          <w:spacing w:val="-10"/>
          <w:kern w:val="28"/>
          <w:sz w:val="56"/>
          <w:szCs w:val="56"/>
        </w:rPr>
      </w:pPr>
    </w:p>
    <w:p w14:paraId="77EB41BC" w14:textId="1745C109" w:rsidR="00232CF7" w:rsidRDefault="00232CF7" w:rsidP="00232CF7">
      <w:pPr>
        <w:jc w:val="center"/>
        <w:rPr>
          <w:rFonts w:ascii="Times New Roman" w:eastAsiaTheme="majorEastAsia" w:hAnsi="Times New Roman" w:cstheme="majorBidi"/>
          <w:spacing w:val="-10"/>
          <w:kern w:val="28"/>
          <w:sz w:val="56"/>
          <w:szCs w:val="56"/>
        </w:rPr>
      </w:pPr>
    </w:p>
    <w:p w14:paraId="6A0B33EF" w14:textId="4AD44478" w:rsidR="00232CF7" w:rsidRDefault="00232CF7" w:rsidP="00232CF7">
      <w:pPr>
        <w:jc w:val="center"/>
        <w:rPr>
          <w:rFonts w:ascii="Times New Roman" w:eastAsiaTheme="majorEastAsia" w:hAnsi="Times New Roman" w:cstheme="majorBidi"/>
          <w:spacing w:val="-10"/>
          <w:kern w:val="28"/>
          <w:sz w:val="56"/>
          <w:szCs w:val="56"/>
        </w:rPr>
      </w:pPr>
    </w:p>
    <w:p w14:paraId="4C5397F8" w14:textId="77777777" w:rsidR="00232CF7" w:rsidRDefault="00232CF7" w:rsidP="00232CF7">
      <w:pPr>
        <w:jc w:val="center"/>
        <w:rPr>
          <w:rFonts w:ascii="Times New Roman" w:eastAsiaTheme="majorEastAsia" w:hAnsi="Times New Roman" w:cstheme="majorBidi"/>
          <w:spacing w:val="-10"/>
          <w:kern w:val="28"/>
          <w:sz w:val="56"/>
          <w:szCs w:val="56"/>
        </w:rPr>
      </w:pPr>
    </w:p>
    <w:p w14:paraId="142B650F" w14:textId="24A7DEDE" w:rsidR="008A551A" w:rsidRPr="00603A0D" w:rsidRDefault="008A551A" w:rsidP="00875F4F">
      <w:pPr>
        <w:pStyle w:val="Heading2"/>
      </w:pPr>
      <w:r w:rsidRPr="00603A0D">
        <w:t>Abstract:</w:t>
      </w:r>
    </w:p>
    <w:p w14:paraId="1FE4ACEA" w14:textId="01AEA6EE" w:rsidR="00875F4F" w:rsidRDefault="00875F4F" w:rsidP="00875F4F">
      <w:pPr>
        <w:jc w:val="both"/>
        <w:rPr>
          <w:b/>
        </w:rPr>
      </w:pPr>
      <w:r>
        <w:rPr>
          <w:b/>
        </w:rPr>
        <w:tab/>
      </w:r>
    </w:p>
    <w:p w14:paraId="2446AB30" w14:textId="7C6DE8A7" w:rsidR="00875F4F" w:rsidRPr="00232CF7" w:rsidRDefault="00875F4F" w:rsidP="00875F4F">
      <w:pPr>
        <w:rPr>
          <w:rFonts w:ascii="Times New Roman" w:hAnsi="Times New Roman" w:cs="Times New Roman"/>
          <w:sz w:val="24"/>
          <w:szCs w:val="24"/>
        </w:rPr>
      </w:pPr>
      <w:r>
        <w:rPr>
          <w:b/>
        </w:rPr>
        <w:tab/>
      </w:r>
      <w:r w:rsidRPr="00232CF7">
        <w:rPr>
          <w:rFonts w:ascii="Times New Roman" w:hAnsi="Times New Roman" w:cs="Times New Roman"/>
          <w:sz w:val="24"/>
          <w:szCs w:val="24"/>
        </w:rPr>
        <w:t>The study looked at the phenomenon of race and ethnicity bias within a face recognition task. It consisted of a group</w:t>
      </w:r>
      <w:r w:rsidR="00232CF7" w:rsidRPr="00232CF7">
        <w:rPr>
          <w:rFonts w:ascii="Times New Roman" w:hAnsi="Times New Roman" w:cs="Times New Roman"/>
          <w:sz w:val="24"/>
          <w:szCs w:val="24"/>
        </w:rPr>
        <w:t xml:space="preserve"> </w:t>
      </w:r>
      <w:r w:rsidRPr="00232CF7">
        <w:rPr>
          <w:rFonts w:ascii="Times New Roman" w:hAnsi="Times New Roman" w:cs="Times New Roman"/>
          <w:sz w:val="24"/>
          <w:szCs w:val="24"/>
        </w:rPr>
        <w:t xml:space="preserve">of </w:t>
      </w:r>
      <w:r w:rsidR="00232CF7" w:rsidRPr="00232CF7">
        <w:rPr>
          <w:rFonts w:ascii="Times New Roman" w:hAnsi="Times New Roman" w:cs="Times New Roman"/>
          <w:sz w:val="24"/>
          <w:szCs w:val="24"/>
        </w:rPr>
        <w:t xml:space="preserve">twenty-nine </w:t>
      </w:r>
      <w:r w:rsidRPr="00232CF7">
        <w:rPr>
          <w:rFonts w:ascii="Times New Roman" w:hAnsi="Times New Roman" w:cs="Times New Roman"/>
          <w:sz w:val="24"/>
          <w:szCs w:val="24"/>
        </w:rPr>
        <w:t>white students taking part in a two-part face recognition task</w:t>
      </w:r>
      <w:r w:rsidR="00232CF7" w:rsidRPr="00232CF7">
        <w:rPr>
          <w:rFonts w:ascii="Times New Roman" w:hAnsi="Times New Roman" w:cs="Times New Roman"/>
          <w:sz w:val="24"/>
          <w:szCs w:val="24"/>
        </w:rPr>
        <w:t xml:space="preserve"> where they compared single images of white and black faces then picking them out of grouped pictures</w:t>
      </w:r>
      <w:r w:rsidRPr="00232CF7">
        <w:rPr>
          <w:rFonts w:ascii="Times New Roman" w:hAnsi="Times New Roman" w:cs="Times New Roman"/>
          <w:sz w:val="24"/>
          <w:szCs w:val="24"/>
        </w:rPr>
        <w:t>. The hypothesis being that white</w:t>
      </w:r>
      <w:r w:rsidR="00232CF7" w:rsidRPr="00232CF7">
        <w:rPr>
          <w:rFonts w:ascii="Times New Roman" w:hAnsi="Times New Roman" w:cs="Times New Roman"/>
          <w:sz w:val="24"/>
          <w:szCs w:val="24"/>
        </w:rPr>
        <w:t xml:space="preserve"> </w:t>
      </w:r>
      <w:r w:rsidRPr="00232CF7">
        <w:rPr>
          <w:rFonts w:ascii="Times New Roman" w:hAnsi="Times New Roman" w:cs="Times New Roman"/>
          <w:sz w:val="24"/>
          <w:szCs w:val="24"/>
        </w:rPr>
        <w:t xml:space="preserve">participants will </w:t>
      </w:r>
      <w:r w:rsidR="00232CF7" w:rsidRPr="00232CF7">
        <w:rPr>
          <w:rFonts w:ascii="Times New Roman" w:hAnsi="Times New Roman" w:cs="Times New Roman"/>
          <w:sz w:val="24"/>
          <w:szCs w:val="24"/>
        </w:rPr>
        <w:t xml:space="preserve">correctly </w:t>
      </w:r>
      <w:r w:rsidRPr="00232CF7">
        <w:rPr>
          <w:rFonts w:ascii="Times New Roman" w:hAnsi="Times New Roman" w:cs="Times New Roman"/>
          <w:sz w:val="24"/>
          <w:szCs w:val="24"/>
        </w:rPr>
        <w:t xml:space="preserve">recognise more white faces than black faces in the task. This study </w:t>
      </w:r>
      <w:r w:rsidR="00232CF7" w:rsidRPr="00232CF7">
        <w:rPr>
          <w:rFonts w:ascii="Times New Roman" w:hAnsi="Times New Roman" w:cs="Times New Roman"/>
          <w:sz w:val="24"/>
          <w:szCs w:val="24"/>
        </w:rPr>
        <w:t>disproved the hypothesis, although it had no ecological value.</w:t>
      </w:r>
    </w:p>
    <w:p w14:paraId="1F83571D" w14:textId="575D8465" w:rsidR="00232CF7" w:rsidRDefault="00232CF7">
      <w:r>
        <w:br w:type="page"/>
      </w:r>
    </w:p>
    <w:p w14:paraId="4DF369F6" w14:textId="7B31A1A8" w:rsidR="004F0E30" w:rsidRPr="00603A0D" w:rsidRDefault="008A551A" w:rsidP="00232CF7">
      <w:pPr>
        <w:pStyle w:val="Heading2"/>
      </w:pPr>
      <w:r w:rsidRPr="00603A0D">
        <w:lastRenderedPageBreak/>
        <w:t>Introduction</w:t>
      </w:r>
      <w:r w:rsidR="00603A0D">
        <w:t>:</w:t>
      </w:r>
    </w:p>
    <w:p w14:paraId="2B39357C" w14:textId="79F589F4" w:rsidR="006C1784" w:rsidRDefault="006C1784" w:rsidP="00875F4F">
      <w:pPr>
        <w:pStyle w:val="uniassignment"/>
      </w:pPr>
      <w:r>
        <w:tab/>
        <w:t>This study was carried out to examine the hypothesis that facial recognition of own ethnicity faces</w:t>
      </w:r>
      <w:r w:rsidR="00F069FD">
        <w:t xml:space="preserve"> are</w:t>
      </w:r>
      <w:r w:rsidR="00597A52">
        <w:t xml:space="preserve"> mor</w:t>
      </w:r>
      <w:r>
        <w:t xml:space="preserve">e easily recalled than those of faces from a different ethnic background. </w:t>
      </w:r>
      <w:r w:rsidR="00F069FD">
        <w:t>Hence</w:t>
      </w:r>
      <w:r w:rsidR="005C3524">
        <w:t>,</w:t>
      </w:r>
      <w:r w:rsidR="00F069FD">
        <w:t xml:space="preserve"> as an all-white participation group, there should be a significantly higher recall of the white faces </w:t>
      </w:r>
      <w:sdt>
        <w:sdtPr>
          <w:id w:val="2080326138"/>
          <w:citation/>
        </w:sdtPr>
        <w:sdtEndPr/>
        <w:sdtContent>
          <w:r w:rsidR="00F069FD">
            <w:fldChar w:fldCharType="begin"/>
          </w:r>
          <w:r w:rsidR="00F069FD">
            <w:instrText>CITATION Chi95 \m Hor08 \t  \l 2057  \m Mal69 \m Mei01</w:instrText>
          </w:r>
          <w:r w:rsidR="00F069FD">
            <w:fldChar w:fldCharType="separate"/>
          </w:r>
          <w:r w:rsidR="00F069FD">
            <w:rPr>
              <w:noProof/>
            </w:rPr>
            <w:t>(Chiroro &amp; Valentine, 1995; Horry &amp; Wright, 2008; Malpass &amp; Kravitz, 1969; Meissner &amp; Brigham, 2001)</w:t>
          </w:r>
          <w:r w:rsidR="00F069FD">
            <w:fldChar w:fldCharType="end"/>
          </w:r>
        </w:sdtContent>
      </w:sdt>
      <w:r w:rsidR="00F069FD">
        <w:t>. The first empirical study of the adage “</w:t>
      </w:r>
      <w:r w:rsidR="00F069FD" w:rsidRPr="00F069FD">
        <w:t>all those Orientals [Blacks, Arabs] look alike</w:t>
      </w:r>
      <w:r w:rsidR="00F069FD">
        <w:t xml:space="preserve">” was Malpass &amp; Kravitz </w:t>
      </w:r>
      <w:sdt>
        <w:sdtPr>
          <w:id w:val="1722475739"/>
          <w:citation/>
        </w:sdtPr>
        <w:sdtEndPr/>
        <w:sdtContent>
          <w:r w:rsidR="00502CA6">
            <w:fldChar w:fldCharType="begin"/>
          </w:r>
          <w:r w:rsidR="00502CA6">
            <w:instrText xml:space="preserve">CITATION Mal69 \n  \t  \l 2057 </w:instrText>
          </w:r>
          <w:r w:rsidR="00502CA6">
            <w:fldChar w:fldCharType="separate"/>
          </w:r>
          <w:r w:rsidR="00502CA6">
            <w:rPr>
              <w:noProof/>
            </w:rPr>
            <w:t>(1969)</w:t>
          </w:r>
          <w:r w:rsidR="00502CA6">
            <w:fldChar w:fldCharType="end"/>
          </w:r>
        </w:sdtContent>
      </w:sdt>
      <w:r w:rsidR="00502CA6">
        <w:t>, where they noticed the phenomenon of other-ethnicity effect</w:t>
      </w:r>
      <w:r w:rsidR="00B970D3">
        <w:t xml:space="preserve">, this may be produced by a deficit </w:t>
      </w:r>
      <w:r w:rsidR="0046325E">
        <w:t>in recollective memory</w:t>
      </w:r>
      <w:r w:rsidR="00502CA6">
        <w:t xml:space="preserve"> </w:t>
      </w:r>
      <w:sdt>
        <w:sdtPr>
          <w:id w:val="-674335398"/>
          <w:citation/>
        </w:sdtPr>
        <w:sdtEndPr/>
        <w:sdtContent>
          <w:r w:rsidR="00502CA6">
            <w:fldChar w:fldCharType="begin"/>
          </w:r>
          <w:r w:rsidR="00502CA6">
            <w:instrText xml:space="preserve">CITATION Hor \t  \l 2057 </w:instrText>
          </w:r>
          <w:r w:rsidR="00502CA6">
            <w:fldChar w:fldCharType="separate"/>
          </w:r>
          <w:r w:rsidR="00502CA6">
            <w:rPr>
              <w:noProof/>
            </w:rPr>
            <w:t>(Horry, Wright, &amp; Tredoux, 2010)</w:t>
          </w:r>
          <w:r w:rsidR="00502CA6">
            <w:fldChar w:fldCharType="end"/>
          </w:r>
        </w:sdtContent>
      </w:sdt>
      <w:r w:rsidR="00502CA6">
        <w:t xml:space="preserve">. </w:t>
      </w:r>
      <w:r w:rsidR="00502CA6">
        <w:rPr>
          <w:noProof/>
        </w:rPr>
        <w:t>Meissner &amp; Brigham</w:t>
      </w:r>
      <w:r w:rsidR="00502CA6">
        <w:t xml:space="preserve"> </w:t>
      </w:r>
      <w:sdt>
        <w:sdtPr>
          <w:id w:val="-1778243299"/>
          <w:citation/>
        </w:sdtPr>
        <w:sdtEndPr/>
        <w:sdtContent>
          <w:r w:rsidR="00502CA6">
            <w:fldChar w:fldCharType="begin"/>
          </w:r>
          <w:r w:rsidR="00502CA6">
            <w:instrText xml:space="preserve">CITATION Mei01 \n  \t  \l 2057 </w:instrText>
          </w:r>
          <w:r w:rsidR="00502CA6">
            <w:fldChar w:fldCharType="separate"/>
          </w:r>
          <w:r w:rsidR="00502CA6">
            <w:rPr>
              <w:noProof/>
            </w:rPr>
            <w:t>(2001)</w:t>
          </w:r>
          <w:r w:rsidR="00502CA6">
            <w:fldChar w:fldCharType="end"/>
          </w:r>
        </w:sdtContent>
      </w:sdt>
      <w:r w:rsidR="00502CA6">
        <w:t xml:space="preserve"> analysed thirty-nine research articles that contained ninety-one independent samples and nearly 5 000 participants. </w:t>
      </w:r>
    </w:p>
    <w:p w14:paraId="72CD7055" w14:textId="77777777" w:rsidR="008627A2" w:rsidRDefault="0046325E" w:rsidP="00875F4F">
      <w:pPr>
        <w:pStyle w:val="uniassignment"/>
      </w:pPr>
      <w:r>
        <w:tab/>
        <w:t xml:space="preserve">Horry, Wright, &amp; Tredoux (2010) explained that humans have a face recognition that is of remarkable capacity though not all these faces are remembered as well, with own ethnicity having higher </w:t>
      </w:r>
      <w:r w:rsidR="005C3524">
        <w:t>‘</w:t>
      </w:r>
      <w:r>
        <w:t>hit</w:t>
      </w:r>
      <w:r w:rsidR="005C3524">
        <w:t>’</w:t>
      </w:r>
      <w:r>
        <w:t xml:space="preserve"> and lower </w:t>
      </w:r>
      <w:r w:rsidR="005C3524">
        <w:t>‘</w:t>
      </w:r>
      <w:r>
        <w:t>false alarms</w:t>
      </w:r>
      <w:r w:rsidR="005C3524">
        <w:t>’</w:t>
      </w:r>
      <w:r>
        <w:t xml:space="preserve">, this could be confounded by what Wells &amp; Olsen (2001) (cited in Horry, Wright and Tredoux, 2010) referred to as priori differences, this was found to emerge over the first nine months of life </w:t>
      </w:r>
      <w:sdt>
        <w:sdtPr>
          <w:id w:val="-1495801137"/>
          <w:citation/>
        </w:sdtPr>
        <w:sdtEndPr/>
        <w:sdtContent>
          <w:r>
            <w:fldChar w:fldCharType="begin"/>
          </w:r>
          <w:r>
            <w:instrText xml:space="preserve">CITATION Hor15 \t  \l 2057 </w:instrText>
          </w:r>
          <w:r>
            <w:fldChar w:fldCharType="separate"/>
          </w:r>
          <w:r>
            <w:rPr>
              <w:noProof/>
            </w:rPr>
            <w:t>(Horry, Cheong, &amp; Brewer, 2015)</w:t>
          </w:r>
          <w:r>
            <w:fldChar w:fldCharType="end"/>
          </w:r>
        </w:sdtContent>
      </w:sdt>
      <w:r>
        <w:t xml:space="preserve">, though can be delayed if a fairly equal number of other ethnicities are perceived in this time frame. </w:t>
      </w:r>
      <w:r w:rsidR="008627A2">
        <w:t xml:space="preserve">This mis-recognition of other race faces has led to wrongful convictions, for example the “Quincy Five” in 1971 where five black men were indicted on white eye-witnesses positive identification of them as among the attackers. Two of these were then found guilty on this basis and coerced confessions. Later the “Jacksonville Three” were correctly convicted on latent fingerprint evidence (Meissner &amp; Brigham, 2001) this false identification of other race faces was identified by Horry &amp; Wright (2008). </w:t>
      </w:r>
    </w:p>
    <w:p w14:paraId="4E5B73D3" w14:textId="77777777" w:rsidR="008627A2" w:rsidRDefault="008627A2" w:rsidP="00875F4F">
      <w:pPr>
        <w:pStyle w:val="uniassignment"/>
      </w:pPr>
      <w:r>
        <w:t>As humans are apt to be ‘cognitive misers’ (Fiske &amp; Taylor, 1991), it takes less cognitive expenditure to recognise own race faces (Horry, Cheong, &amp; Brewer, 2015).</w:t>
      </w:r>
    </w:p>
    <w:p w14:paraId="596F3457" w14:textId="257744BD" w:rsidR="0046325E" w:rsidRPr="006C1784" w:rsidRDefault="008627A2" w:rsidP="00875F4F">
      <w:pPr>
        <w:pStyle w:val="uniassignment"/>
      </w:pPr>
      <w:r>
        <w:lastRenderedPageBreak/>
        <w:t xml:space="preserve"> .</w:t>
      </w:r>
    </w:p>
    <w:p w14:paraId="308ED37C" w14:textId="4F2AFF83" w:rsidR="00F24019" w:rsidRDefault="00F24019" w:rsidP="00875F4F">
      <w:pPr>
        <w:pStyle w:val="Heading2"/>
      </w:pPr>
      <w:r w:rsidRPr="00F24019">
        <w:t>Method</w:t>
      </w:r>
      <w:r w:rsidR="00F069FD">
        <w:t xml:space="preserve"> </w:t>
      </w:r>
    </w:p>
    <w:p w14:paraId="718E44E7" w14:textId="3A139B19" w:rsidR="00F24019" w:rsidRDefault="00F24019" w:rsidP="00875F4F">
      <w:pPr>
        <w:pStyle w:val="Heading2"/>
      </w:pPr>
      <w:r>
        <w:t xml:space="preserve">Participants: </w:t>
      </w:r>
    </w:p>
    <w:p w14:paraId="0F4BDC98" w14:textId="6E359CCF" w:rsidR="00F24019" w:rsidRDefault="00F24019" w:rsidP="00875F4F">
      <w:pPr>
        <w:pStyle w:val="uniassignment"/>
      </w:pPr>
      <w:r>
        <w:tab/>
      </w:r>
      <w:r w:rsidR="00EB7C28">
        <w:tab/>
      </w:r>
      <w:r>
        <w:t xml:space="preserve">The Participants were </w:t>
      </w:r>
      <w:r w:rsidR="00767B7E">
        <w:t>a convenient sample</w:t>
      </w:r>
      <w:r>
        <w:t xml:space="preserve"> of </w:t>
      </w:r>
      <w:r w:rsidR="00821E04" w:rsidRPr="00821E04">
        <w:t xml:space="preserve">first year </w:t>
      </w:r>
      <w:r w:rsidR="00821E04">
        <w:t>psychology</w:t>
      </w:r>
      <w:r w:rsidR="00821E04" w:rsidRPr="00821E04">
        <w:t xml:space="preserve"> and </w:t>
      </w:r>
      <w:r w:rsidR="00821E04">
        <w:t xml:space="preserve">counselling </w:t>
      </w:r>
      <w:r w:rsidR="00821E04" w:rsidRPr="00821E04">
        <w:t>students</w:t>
      </w:r>
      <w:r w:rsidR="00821E04">
        <w:t xml:space="preserve">, consisting of </w:t>
      </w:r>
      <w:r>
        <w:t>29 (7 males, 22 females</w:t>
      </w:r>
      <w:r w:rsidR="00821E04">
        <w:t xml:space="preserve">), aged </w:t>
      </w:r>
      <w:r>
        <w:t xml:space="preserve">18 to 60 </w:t>
      </w:r>
      <w:r w:rsidR="00767B7E">
        <w:t>(</w:t>
      </w:r>
      <w:r w:rsidR="00767B7E">
        <w:rPr>
          <w:i/>
        </w:rPr>
        <w:t>M</w:t>
      </w:r>
      <w:r w:rsidR="00767B7E">
        <w:t xml:space="preserve"> = 27.31, </w:t>
      </w:r>
      <w:r w:rsidR="00767B7E">
        <w:rPr>
          <w:i/>
        </w:rPr>
        <w:t>SD</w:t>
      </w:r>
      <w:r w:rsidR="00767B7E">
        <w:t xml:space="preserve"> = 10.81). This </w:t>
      </w:r>
      <w:r w:rsidR="00821E04">
        <w:t>group of participants</w:t>
      </w:r>
      <w:r w:rsidR="00767B7E">
        <w:t xml:space="preserve"> consisted of 100% white participants</w:t>
      </w:r>
      <w:r w:rsidR="00821E04">
        <w:t xml:space="preserve"> only.</w:t>
      </w:r>
    </w:p>
    <w:p w14:paraId="370B6332" w14:textId="1D31EBAB" w:rsidR="00767B7E" w:rsidRDefault="00767B7E" w:rsidP="00875F4F">
      <w:pPr>
        <w:pStyle w:val="Heading2"/>
      </w:pPr>
      <w:r>
        <w:t>Design:</w:t>
      </w:r>
    </w:p>
    <w:p w14:paraId="0153124B" w14:textId="19CDA471" w:rsidR="00767B7E" w:rsidRDefault="00767B7E" w:rsidP="00875F4F">
      <w:pPr>
        <w:pStyle w:val="uniassignment"/>
      </w:pPr>
      <w:r>
        <w:tab/>
      </w:r>
      <w:r w:rsidR="00EB7C28">
        <w:tab/>
      </w:r>
      <w:r>
        <w:t>Th</w:t>
      </w:r>
      <w:r w:rsidR="00821E04">
        <w:t xml:space="preserve">is </w:t>
      </w:r>
      <w:r>
        <w:t>was a</w:t>
      </w:r>
      <w:r w:rsidR="00821E04">
        <w:t>,</w:t>
      </w:r>
      <w:r>
        <w:t xml:space="preserve"> within participants study. The Independent Variable (IV) </w:t>
      </w:r>
      <w:r w:rsidR="00821E04">
        <w:t>being</w:t>
      </w:r>
      <w:r>
        <w:t xml:space="preserve"> the </w:t>
      </w:r>
      <w:r w:rsidR="00821E04">
        <w:t xml:space="preserve">colour </w:t>
      </w:r>
      <w:r>
        <w:t>of the faces within the test</w:t>
      </w:r>
      <w:r w:rsidR="000A3954">
        <w:t>; split between black and white.</w:t>
      </w:r>
      <w:r w:rsidR="00821E04">
        <w:t xml:space="preserve"> The dependent variable (DV) was the number of faces correctly identified in a paired sample t-test.</w:t>
      </w:r>
    </w:p>
    <w:p w14:paraId="5F5ACBB4" w14:textId="1F2AD3F1" w:rsidR="00821E04" w:rsidRDefault="00821E04" w:rsidP="00875F4F">
      <w:pPr>
        <w:pStyle w:val="Heading2"/>
      </w:pPr>
      <w:r>
        <w:t>Materials:</w:t>
      </w:r>
    </w:p>
    <w:p w14:paraId="6E512F8D" w14:textId="780E4F05" w:rsidR="008A551A" w:rsidRDefault="009713DE" w:rsidP="00875F4F">
      <w:pPr>
        <w:pStyle w:val="uniassignment"/>
      </w:pPr>
      <w:r>
        <w:t xml:space="preserve"> </w:t>
      </w:r>
      <w:r>
        <w:tab/>
      </w:r>
      <w:r w:rsidR="00343702">
        <w:t>The study consisted of a two-part PowerPoint presentation. The first part contained instructions, twelve individual slides consisting of either a black or white face</w:t>
      </w:r>
      <w:r w:rsidR="00687932">
        <w:t xml:space="preserve"> (</w:t>
      </w:r>
      <w:r w:rsidR="00687932">
        <w:rPr>
          <w:i/>
        </w:rPr>
        <w:t>see Appendix A)</w:t>
      </w:r>
      <w:r w:rsidR="00040B5B">
        <w:t>.</w:t>
      </w:r>
      <w:r w:rsidR="00343702">
        <w:t xml:space="preserve"> </w:t>
      </w:r>
      <w:r w:rsidR="00040B5B">
        <w:t>T</w:t>
      </w:r>
      <w:r w:rsidR="00343702">
        <w:t>he second part, had the instructions and six slides of six faces</w:t>
      </w:r>
      <w:r w:rsidR="00040B5B">
        <w:t>, which included the twelve original pictures</w:t>
      </w:r>
      <w:r w:rsidR="00687932">
        <w:t xml:space="preserve"> </w:t>
      </w:r>
      <w:r w:rsidR="00687932">
        <w:rPr>
          <w:i/>
        </w:rPr>
        <w:t>(ibid)</w:t>
      </w:r>
      <w:r w:rsidR="00040B5B">
        <w:t>. A response sheet consisting of three demographic questions and separate area for reporting responses</w:t>
      </w:r>
      <w:r w:rsidR="00687932">
        <w:t xml:space="preserve"> </w:t>
      </w:r>
      <w:r w:rsidR="00687932">
        <w:rPr>
          <w:i/>
        </w:rPr>
        <w:t>(see Appendix B)</w:t>
      </w:r>
      <w:r w:rsidR="00040B5B">
        <w:t>.</w:t>
      </w:r>
    </w:p>
    <w:p w14:paraId="031E4C81" w14:textId="7BE96679" w:rsidR="00040B5B" w:rsidRDefault="00040B5B" w:rsidP="00875F4F">
      <w:pPr>
        <w:pStyle w:val="Heading2"/>
      </w:pPr>
      <w:r>
        <w:t>Procedure:</w:t>
      </w:r>
    </w:p>
    <w:p w14:paraId="440D199B" w14:textId="012A449E" w:rsidR="00040B5B" w:rsidRDefault="00040B5B" w:rsidP="00875F4F">
      <w:pPr>
        <w:pStyle w:val="uniassignment"/>
      </w:pPr>
      <w:r>
        <w:tab/>
      </w:r>
      <w:r w:rsidR="00EB7C28">
        <w:tab/>
      </w:r>
      <w:r>
        <w:t>The study started with participants being given a consent form to sign</w:t>
      </w:r>
      <w:r w:rsidR="00687932">
        <w:t xml:space="preserve"> </w:t>
      </w:r>
      <w:r w:rsidR="00687932">
        <w:rPr>
          <w:i/>
        </w:rPr>
        <w:t>(see Appendix C)</w:t>
      </w:r>
      <w:r w:rsidR="006E5F04">
        <w:t xml:space="preserve">, followed by a response sheet for the participants to record the demographic data of age, gender and ethnicity. </w:t>
      </w:r>
      <w:r>
        <w:t>Verbal instructions then followed to watch the screen and follow the additional instructions</w:t>
      </w:r>
      <w:r w:rsidR="0075329E">
        <w:t>. The group of participants were instructed to carry out the study in silence. There was then a countdown from three to one for part one and the presentation of individual faces for two seconds each</w:t>
      </w:r>
      <w:r w:rsidR="00FD68B2">
        <w:t xml:space="preserve">. After the first part there was a distraction in the form of the lecturer imparting information for one minute. After the minute distraction, the group </w:t>
      </w:r>
      <w:r w:rsidR="00FD68B2">
        <w:lastRenderedPageBreak/>
        <w:t>were then asked to once again watch the screen in silence. The second</w:t>
      </w:r>
      <w:r w:rsidR="00687932">
        <w:t xml:space="preserve">, again </w:t>
      </w:r>
      <w:r w:rsidR="00FD68B2">
        <w:t>contained the instructions</w:t>
      </w:r>
      <w:r w:rsidR="00831F32">
        <w:t xml:space="preserve">, and a countdown, then six slides, each of six faces </w:t>
      </w:r>
      <w:r w:rsidR="00687932">
        <w:t xml:space="preserve">that </w:t>
      </w:r>
      <w:r w:rsidR="00831F32">
        <w:t>were shown for twelve seconds each. The participants were instructed to correctly record the numbers of the faces from part two</w:t>
      </w:r>
      <w:r w:rsidR="00687932">
        <w:t>,</w:t>
      </w:r>
      <w:r w:rsidR="00831F32">
        <w:t xml:space="preserve"> that were in part one of the test on the response sheet. After the sixth page of pictures were shown, two slides</w:t>
      </w:r>
      <w:r w:rsidR="00687932">
        <w:t xml:space="preserve"> were then shown</w:t>
      </w:r>
      <w:r w:rsidR="00831F32">
        <w:t>, the first</w:t>
      </w:r>
      <w:r w:rsidR="00687932">
        <w:t>,</w:t>
      </w:r>
      <w:r w:rsidR="00831F32">
        <w:t xml:space="preserve"> thanking the participants for taking part and the second with the debrief</w:t>
      </w:r>
      <w:r w:rsidR="00687932">
        <w:t xml:space="preserve"> presented to allow all participants to receive the same debrief.</w:t>
      </w:r>
    </w:p>
    <w:p w14:paraId="7A2C4756" w14:textId="6D7269A1" w:rsidR="00687932" w:rsidRDefault="00603A0D" w:rsidP="00875F4F">
      <w:pPr>
        <w:pStyle w:val="Heading2"/>
      </w:pPr>
      <w:r>
        <w:t>Results:</w:t>
      </w:r>
    </w:p>
    <w:p w14:paraId="7D7B0A1C" w14:textId="60D0901E" w:rsidR="009202BA" w:rsidRDefault="00603A0D" w:rsidP="00875F4F">
      <w:pPr>
        <w:pStyle w:val="uniassignment"/>
      </w:pPr>
      <w:r>
        <w:tab/>
      </w:r>
      <w:r w:rsidR="009202BA" w:rsidRPr="00767849">
        <w:t xml:space="preserve">A paired-samples t-test was conducted </w:t>
      </w:r>
      <w:r w:rsidR="009B3B9F">
        <w:t>(</w:t>
      </w:r>
      <w:r w:rsidR="009B3B9F">
        <w:rPr>
          <w:i/>
        </w:rPr>
        <w:t xml:space="preserve">see Appendix </w:t>
      </w:r>
      <w:r w:rsidR="009B3B9F" w:rsidRPr="009B3B9F">
        <w:t>D</w:t>
      </w:r>
      <w:r w:rsidR="009B3B9F">
        <w:t xml:space="preserve">) </w:t>
      </w:r>
      <w:r w:rsidR="009202BA" w:rsidRPr="009B3B9F">
        <w:t>to</w:t>
      </w:r>
      <w:r w:rsidR="009202BA" w:rsidRPr="00767849">
        <w:t xml:space="preserve"> determine whether participants were</w:t>
      </w:r>
      <w:r w:rsidR="00767849">
        <w:t xml:space="preserve"> </w:t>
      </w:r>
      <w:r w:rsidR="009202BA" w:rsidRPr="00767849">
        <w:t xml:space="preserve">able to recall more white faces than black faces following a period of </w:t>
      </w:r>
      <w:r w:rsidR="00767849" w:rsidRPr="00767849">
        <w:t>distraction.</w:t>
      </w:r>
      <w:r w:rsidR="009B3B9F">
        <w:t xml:space="preserve"> </w:t>
      </w:r>
      <w:r w:rsidR="00767849" w:rsidRPr="00767849">
        <w:t>The</w:t>
      </w:r>
      <w:r w:rsidR="009202BA" w:rsidRPr="00767849">
        <w:t xml:space="preserve"> results show that participants recalled significantly more black faces (</w:t>
      </w:r>
      <w:r w:rsidR="00767849" w:rsidRPr="00767849">
        <w:t>M = 3.34</w:t>
      </w:r>
      <w:r w:rsidR="00767849">
        <w:t>,</w:t>
      </w:r>
      <w:r w:rsidR="00767849" w:rsidRPr="00767849">
        <w:t xml:space="preserve"> SD = 2.42</w:t>
      </w:r>
      <w:r w:rsidR="009202BA" w:rsidRPr="00767849">
        <w:t xml:space="preserve">) than white faces </w:t>
      </w:r>
      <w:r w:rsidR="00767849" w:rsidRPr="00767849">
        <w:t>(M = 2.67, SD = 1.97</w:t>
      </w:r>
      <w:r w:rsidR="009202BA" w:rsidRPr="00767849">
        <w:t xml:space="preserve">); </w:t>
      </w:r>
      <w:r w:rsidR="00767849" w:rsidRPr="00767849">
        <w:t>t (29) = 3.12; p &lt; 0.05</w:t>
      </w:r>
      <w:r w:rsidR="009B3B9F">
        <w:t xml:space="preserve"> (</w:t>
      </w:r>
      <w:r w:rsidR="009B3B9F">
        <w:rPr>
          <w:i/>
        </w:rPr>
        <w:t>see Appendix E</w:t>
      </w:r>
      <w:r w:rsidR="009B3B9F">
        <w:t>)</w:t>
      </w:r>
      <w:r w:rsidR="009202BA" w:rsidRPr="00767849">
        <w:t>. The</w:t>
      </w:r>
      <w:r w:rsidR="00767849" w:rsidRPr="00767849">
        <w:t xml:space="preserve"> </w:t>
      </w:r>
      <w:r w:rsidR="009202BA" w:rsidRPr="00767849">
        <w:t xml:space="preserve">original hypothesis for this study </w:t>
      </w:r>
      <w:r w:rsidR="009B3B9F">
        <w:t xml:space="preserve">was </w:t>
      </w:r>
      <w:r w:rsidR="009202BA" w:rsidRPr="00767849">
        <w:t>that participants would recall significantly more</w:t>
      </w:r>
      <w:r w:rsidR="00767849" w:rsidRPr="00767849">
        <w:t xml:space="preserve"> </w:t>
      </w:r>
      <w:r w:rsidR="009202BA" w:rsidRPr="00767849">
        <w:t xml:space="preserve">white </w:t>
      </w:r>
      <w:r w:rsidR="009B3B9F" w:rsidRPr="00767849">
        <w:t>faces</w:t>
      </w:r>
      <w:r w:rsidR="009B3B9F">
        <w:t>; therefore, this</w:t>
      </w:r>
      <w:r w:rsidR="009202BA" w:rsidRPr="00767849">
        <w:t xml:space="preserve"> </w:t>
      </w:r>
      <w:r w:rsidR="009B3B9F">
        <w:t xml:space="preserve">hypothesis </w:t>
      </w:r>
      <w:r w:rsidR="009202BA" w:rsidRPr="00767849">
        <w:t>must be rejected.</w:t>
      </w:r>
    </w:p>
    <w:p w14:paraId="530BB162" w14:textId="23EE9A80" w:rsidR="009B3B9F" w:rsidRDefault="009B3B9F" w:rsidP="00875F4F">
      <w:pPr>
        <w:pStyle w:val="Heading2"/>
      </w:pPr>
      <w:r>
        <w:t>Discussion:</w:t>
      </w:r>
    </w:p>
    <w:p w14:paraId="511E0774" w14:textId="6B94CD64" w:rsidR="00B970D3" w:rsidRDefault="009B3B9F" w:rsidP="00875F4F">
      <w:pPr>
        <w:pStyle w:val="uniassignment"/>
      </w:pPr>
      <w:r>
        <w:tab/>
      </w:r>
      <w:r w:rsidR="00AB0003">
        <w:t xml:space="preserve">This study looked at the hypothesis that a group of all white participants would remember more white faces than black in the task. This however was not borne out by the results and </w:t>
      </w:r>
      <w:r w:rsidR="003865DC">
        <w:t>therefore refutes this</w:t>
      </w:r>
      <w:r w:rsidR="005C3524">
        <w:t xml:space="preserve"> hypothesis</w:t>
      </w:r>
      <w:r w:rsidR="003865DC">
        <w:t xml:space="preserve">. </w:t>
      </w:r>
      <w:r w:rsidR="00597A52">
        <w:t>T</w:t>
      </w:r>
      <w:r w:rsidR="003865DC">
        <w:t>here was no allowance in the results for accuracy of recognition, as Meissner and Brigham (2001) report</w:t>
      </w:r>
      <w:r w:rsidR="00597A52">
        <w:t xml:space="preserve">ed a “higher proportion of hits </w:t>
      </w:r>
      <w:r w:rsidR="003865DC">
        <w:t>and</w:t>
      </w:r>
      <w:r w:rsidR="00597A52">
        <w:t xml:space="preserve"> lower false</w:t>
      </w:r>
      <w:r w:rsidR="003865DC">
        <w:t xml:space="preserve"> alarms</w:t>
      </w:r>
      <w:r w:rsidR="00597A52">
        <w:t>” in own ethnicity recognition</w:t>
      </w:r>
      <w:r w:rsidR="003865DC">
        <w:t>.</w:t>
      </w:r>
      <w:r w:rsidR="00597A52">
        <w:t xml:space="preserve"> </w:t>
      </w:r>
      <w:r w:rsidR="005C3524">
        <w:t>Moreover, a</w:t>
      </w:r>
      <w:r w:rsidR="003865DC">
        <w:t xml:space="preserve"> correction for th</w:t>
      </w:r>
      <w:r w:rsidR="00597A52">
        <w:t>is</w:t>
      </w:r>
      <w:r w:rsidR="003865DC">
        <w:t xml:space="preserve"> may have produced a different result</w:t>
      </w:r>
      <w:r w:rsidR="00597A52">
        <w:t xml:space="preserve">ant </w:t>
      </w:r>
      <w:r w:rsidR="00597A52">
        <w:rPr>
          <w:i/>
        </w:rPr>
        <w:t xml:space="preserve">p </w:t>
      </w:r>
      <w:r w:rsidR="00597A52">
        <w:t>value</w:t>
      </w:r>
      <w:r w:rsidR="00597A52">
        <w:rPr>
          <w:i/>
        </w:rPr>
        <w:t>.</w:t>
      </w:r>
      <w:r w:rsidR="003865DC">
        <w:t xml:space="preserve"> One of the problems in doing the study to a group was the orientation and </w:t>
      </w:r>
      <w:r w:rsidR="00597A52">
        <w:t>proximity</w:t>
      </w:r>
      <w:r w:rsidR="003865DC">
        <w:t xml:space="preserve"> of the participants to the images,</w:t>
      </w:r>
      <w:r w:rsidR="006C1784">
        <w:t xml:space="preserve"> </w:t>
      </w:r>
      <w:r w:rsidR="00597A52">
        <w:t xml:space="preserve">which </w:t>
      </w:r>
      <w:r w:rsidR="00F069FD">
        <w:t xml:space="preserve">meant that not all participants would have had the same opportunity </w:t>
      </w:r>
      <w:r w:rsidR="005C3524">
        <w:t>to</w:t>
      </w:r>
      <w:r w:rsidR="00F069FD">
        <w:t xml:space="preserve"> correctly identify the faces</w:t>
      </w:r>
      <w:r w:rsidR="006C1784">
        <w:t>.</w:t>
      </w:r>
      <w:r w:rsidR="00F069FD">
        <w:t xml:space="preserve"> </w:t>
      </w:r>
      <w:r w:rsidR="00744CA6">
        <w:t xml:space="preserve">Valentine </w:t>
      </w:r>
      <w:sdt>
        <w:sdtPr>
          <w:id w:val="-807702618"/>
          <w:citation/>
        </w:sdtPr>
        <w:sdtContent>
          <w:r w:rsidR="00744CA6">
            <w:fldChar w:fldCharType="begin"/>
          </w:r>
          <w:r w:rsidR="00744CA6">
            <w:instrText xml:space="preserve">CITATION Val91 \n  \t  \l 2057 </w:instrText>
          </w:r>
          <w:r w:rsidR="00744CA6">
            <w:fldChar w:fldCharType="separate"/>
          </w:r>
          <w:r w:rsidR="00744CA6">
            <w:rPr>
              <w:noProof/>
            </w:rPr>
            <w:t>(1991)</w:t>
          </w:r>
          <w:r w:rsidR="00744CA6">
            <w:fldChar w:fldCharType="end"/>
          </w:r>
        </w:sdtContent>
      </w:sdt>
      <w:r w:rsidR="00744CA6">
        <w:t xml:space="preserve"> explained that a framework of encoding takes place and that, this is multidimensional in space and time which can lead to discrimination of faces. </w:t>
      </w:r>
      <w:r w:rsidR="00F069FD">
        <w:t>This, then leads to</w:t>
      </w:r>
      <w:r w:rsidR="006C1784">
        <w:t xml:space="preserve"> </w:t>
      </w:r>
      <w:r w:rsidR="00F069FD">
        <w:t>a</w:t>
      </w:r>
      <w:r w:rsidR="006C1784">
        <w:t xml:space="preserve">nother </w:t>
      </w:r>
      <w:r w:rsidR="006C1784">
        <w:lastRenderedPageBreak/>
        <w:t>discrepancy with this study</w:t>
      </w:r>
      <w:r w:rsidR="005C3524">
        <w:t>,</w:t>
      </w:r>
      <w:r w:rsidR="006C1784">
        <w:t xml:space="preserve"> </w:t>
      </w:r>
      <w:r w:rsidR="00F069FD">
        <w:t xml:space="preserve">in that </w:t>
      </w:r>
      <w:r w:rsidR="006C1784">
        <w:t>the size of the images from part one</w:t>
      </w:r>
      <w:r w:rsidR="00F069FD">
        <w:t>,</w:t>
      </w:r>
      <w:r w:rsidR="006C1784">
        <w:t xml:space="preserve"> where they were large</w:t>
      </w:r>
      <w:r w:rsidR="00502CA6">
        <w:t>r</w:t>
      </w:r>
      <w:r w:rsidR="00F069FD">
        <w:t xml:space="preserve"> t</w:t>
      </w:r>
      <w:r w:rsidR="006C1784">
        <w:t>han in the second part</w:t>
      </w:r>
      <w:r w:rsidR="00F069FD">
        <w:t>,</w:t>
      </w:r>
      <w:r w:rsidR="006C1784">
        <w:t xml:space="preserve"> where six </w:t>
      </w:r>
      <w:r w:rsidR="00F069FD">
        <w:t xml:space="preserve">smaller images </w:t>
      </w:r>
      <w:r w:rsidR="006C1784">
        <w:t>were on screen together</w:t>
      </w:r>
      <w:r w:rsidR="00F069FD">
        <w:t>.</w:t>
      </w:r>
      <w:r w:rsidR="00502CA6">
        <w:t xml:space="preserve"> </w:t>
      </w:r>
    </w:p>
    <w:p w14:paraId="179CA6F0" w14:textId="04B6473E" w:rsidR="00565A90" w:rsidRDefault="008627A2" w:rsidP="00875F4F">
      <w:pPr>
        <w:pStyle w:val="uniassignment"/>
      </w:pPr>
      <w:r>
        <w:tab/>
      </w:r>
      <w:r w:rsidR="00565A90">
        <w:t xml:space="preserve">To ensure the </w:t>
      </w:r>
      <w:r w:rsidR="00EE1A72">
        <w:t xml:space="preserve">validity of the significant difference, there would need to be a more rigorous study set up to balance out the ethnicity of the participants, and the context in which the faces are viewed as in Valentine (1991), though the difference in </w:t>
      </w:r>
      <w:r w:rsidR="00EE1A72">
        <w:rPr>
          <w:i/>
        </w:rPr>
        <w:t>t</w:t>
      </w:r>
      <w:r w:rsidR="00EE1A72">
        <w:t xml:space="preserve"> value did corroborate Chiroro &amp; Valentine </w:t>
      </w:r>
      <w:sdt>
        <w:sdtPr>
          <w:id w:val="773516143"/>
          <w:citation/>
        </w:sdtPr>
        <w:sdtContent>
          <w:r w:rsidR="00EE1A72">
            <w:fldChar w:fldCharType="begin"/>
          </w:r>
          <w:r w:rsidR="00EE1A72">
            <w:instrText xml:space="preserve">CITATION Chi95 \n  \t  \l 2057 </w:instrText>
          </w:r>
          <w:r w:rsidR="00EE1A72">
            <w:fldChar w:fldCharType="separate"/>
          </w:r>
          <w:r w:rsidR="00EE1A72">
            <w:rPr>
              <w:noProof/>
            </w:rPr>
            <w:t>(1995)</w:t>
          </w:r>
          <w:r w:rsidR="00EE1A72">
            <w:fldChar w:fldCharType="end"/>
          </w:r>
        </w:sdtContent>
      </w:sdt>
      <w:r w:rsidR="00875F4F">
        <w:t>.</w:t>
      </w:r>
    </w:p>
    <w:p w14:paraId="5FD7C16E" w14:textId="69F4E86E" w:rsidR="00875F4F" w:rsidRDefault="00875F4F" w:rsidP="00875F4F">
      <w:pPr>
        <w:pStyle w:val="uniassignment"/>
      </w:pPr>
      <w:r>
        <w:tab/>
      </w:r>
      <w:r w:rsidRPr="00875F4F">
        <w:t xml:space="preserve">These factors, although they can account for the significant difference in </w:t>
      </w:r>
      <w:r w:rsidRPr="00875F4F">
        <w:rPr>
          <w:i/>
        </w:rPr>
        <w:t>p</w:t>
      </w:r>
      <w:r w:rsidRPr="00875F4F">
        <w:t xml:space="preserve"> value, there is low ecological value in this study, and therefore cannot be generalised</w:t>
      </w:r>
      <w:r>
        <w:t xml:space="preserve"> to the wider population.</w:t>
      </w:r>
    </w:p>
    <w:p w14:paraId="018BD6D8" w14:textId="117F6A1C" w:rsidR="00232CF7" w:rsidRDefault="00875F4F" w:rsidP="00875F4F">
      <w:pPr>
        <w:pStyle w:val="uniassignment"/>
      </w:pPr>
      <w:r>
        <w:tab/>
      </w:r>
    </w:p>
    <w:p w14:paraId="601660E7" w14:textId="77777777" w:rsidR="00232CF7" w:rsidRDefault="00232CF7">
      <w:pPr>
        <w:rPr>
          <w:rFonts w:ascii="Times New Roman" w:hAnsi="Times New Roman"/>
          <w:sz w:val="24"/>
        </w:rPr>
      </w:pPr>
      <w:r>
        <w:br w:type="page"/>
      </w:r>
    </w:p>
    <w:sdt>
      <w:sdtPr>
        <w:id w:val="1900470005"/>
        <w:docPartObj>
          <w:docPartGallery w:val="Bibliographies"/>
          <w:docPartUnique/>
        </w:docPartObj>
      </w:sdtPr>
      <w:sdtEndPr>
        <w:rPr>
          <w:rFonts w:asciiTheme="minorHAnsi" w:eastAsiaTheme="minorHAnsi" w:hAnsiTheme="minorHAnsi" w:cstheme="minorBidi"/>
          <w:sz w:val="22"/>
          <w:szCs w:val="22"/>
        </w:rPr>
      </w:sdtEndPr>
      <w:sdtContent>
        <w:p w14:paraId="15D99084" w14:textId="1110B599" w:rsidR="00232CF7" w:rsidRDefault="00232CF7">
          <w:pPr>
            <w:pStyle w:val="Heading1"/>
          </w:pPr>
          <w:r>
            <w:t>References</w:t>
          </w:r>
        </w:p>
        <w:sdt>
          <w:sdtPr>
            <w:id w:val="111145805"/>
            <w:bibliography/>
          </w:sdtPr>
          <w:sdtContent>
            <w:p w14:paraId="0035B503" w14:textId="77777777" w:rsidR="00232CF7" w:rsidRDefault="00232CF7" w:rsidP="00232CF7">
              <w:pPr>
                <w:pStyle w:val="Bibliography"/>
                <w:ind w:left="720" w:hanging="720"/>
                <w:rPr>
                  <w:noProof/>
                  <w:sz w:val="24"/>
                  <w:szCs w:val="24"/>
                </w:rPr>
              </w:pPr>
              <w:r>
                <w:fldChar w:fldCharType="begin"/>
              </w:r>
              <w:r>
                <w:instrText xml:space="preserve"> BIBLIOGRAPHY </w:instrText>
              </w:r>
              <w:r>
                <w:fldChar w:fldCharType="separate"/>
              </w:r>
              <w:r>
                <w:rPr>
                  <w:noProof/>
                </w:rPr>
                <w:t xml:space="preserve">Chiroro, P., &amp; Valentine, T. (1995). An Investigation of the Contact Hypothesis of the Own-race Bias in Face Recognition. </w:t>
              </w:r>
              <w:r>
                <w:rPr>
                  <w:i/>
                  <w:iCs/>
                  <w:noProof/>
                </w:rPr>
                <w:t>The Quarterly Journal of Experimental Psychology, 48A</w:t>
              </w:r>
              <w:r>
                <w:rPr>
                  <w:noProof/>
                </w:rPr>
                <w:t>(4), 879-894.</w:t>
              </w:r>
            </w:p>
            <w:p w14:paraId="276DE698" w14:textId="77777777" w:rsidR="00232CF7" w:rsidRDefault="00232CF7" w:rsidP="00232CF7">
              <w:pPr>
                <w:pStyle w:val="Bibliography"/>
                <w:ind w:left="720" w:hanging="720"/>
                <w:rPr>
                  <w:noProof/>
                </w:rPr>
              </w:pPr>
              <w:r>
                <w:rPr>
                  <w:noProof/>
                </w:rPr>
                <w:t xml:space="preserve">Fiske, S. T., &amp; Taylor, S. E. (1991). </w:t>
              </w:r>
              <w:r>
                <w:rPr>
                  <w:i/>
                  <w:iCs/>
                  <w:noProof/>
                </w:rPr>
                <w:t>Social Cognition</w:t>
              </w:r>
              <w:r>
                <w:rPr>
                  <w:noProof/>
                </w:rPr>
                <w:t xml:space="preserve"> (2nd ed.). New York: McGraw Hill.</w:t>
              </w:r>
            </w:p>
            <w:p w14:paraId="3E341908" w14:textId="77777777" w:rsidR="00232CF7" w:rsidRDefault="00232CF7" w:rsidP="00232CF7">
              <w:pPr>
                <w:pStyle w:val="Bibliography"/>
                <w:ind w:left="720" w:hanging="720"/>
                <w:rPr>
                  <w:noProof/>
                </w:rPr>
              </w:pPr>
              <w:r>
                <w:rPr>
                  <w:noProof/>
                </w:rPr>
                <w:t xml:space="preserve">Horry, R., &amp; Wright, D. B. (2008). I know your face but not where I saw you: Context memory is impaired for other-race faces. </w:t>
              </w:r>
              <w:r>
                <w:rPr>
                  <w:i/>
                  <w:iCs/>
                  <w:noProof/>
                </w:rPr>
                <w:t>Psychonomic Bulletin &amp; Review, 15</w:t>
              </w:r>
              <w:r>
                <w:rPr>
                  <w:noProof/>
                </w:rPr>
                <w:t>(3), 610-614. doi:10.3758/PBR.15.3.610</w:t>
              </w:r>
            </w:p>
            <w:p w14:paraId="6FB11887" w14:textId="77777777" w:rsidR="00232CF7" w:rsidRDefault="00232CF7" w:rsidP="00232CF7">
              <w:pPr>
                <w:pStyle w:val="Bibliography"/>
                <w:ind w:left="720" w:hanging="720"/>
                <w:rPr>
                  <w:noProof/>
                </w:rPr>
              </w:pPr>
              <w:r>
                <w:rPr>
                  <w:noProof/>
                </w:rPr>
                <w:t xml:space="preserve">Horry, R., Cheong, W., &amp; Brewer, N. (2015). The Other-Race Effect in Perception and Recognition: Insights From the Complete Composite Task. </w:t>
              </w:r>
              <w:r>
                <w:rPr>
                  <w:i/>
                  <w:iCs/>
                  <w:noProof/>
                </w:rPr>
                <w:t>Journal of Experimental Psychology: Human Perception and Performance, 41</w:t>
              </w:r>
              <w:r>
                <w:rPr>
                  <w:noProof/>
                </w:rPr>
                <w:t>(2), 508-524. doi:http://dx.doi.org/10.1037/xhp0000042</w:t>
              </w:r>
            </w:p>
            <w:p w14:paraId="7806DDF6" w14:textId="77777777" w:rsidR="00232CF7" w:rsidRDefault="00232CF7" w:rsidP="00232CF7">
              <w:pPr>
                <w:pStyle w:val="Bibliography"/>
                <w:ind w:left="720" w:hanging="720"/>
                <w:rPr>
                  <w:noProof/>
                </w:rPr>
              </w:pPr>
              <w:r>
                <w:rPr>
                  <w:noProof/>
                </w:rPr>
                <w:t xml:space="preserve">Horry, R., Wright, D. B., &amp; Tredoux, C. G. (2010, 2010). Recognition and context memory for faces from own and other ethnic groups: A remember–know investigation. </w:t>
              </w:r>
              <w:r>
                <w:rPr>
                  <w:i/>
                  <w:iCs/>
                  <w:noProof/>
                </w:rPr>
                <w:t xml:space="preserve">Memory &amp; Cognition, </w:t>
              </w:r>
              <w:bookmarkStart w:id="0" w:name="_GoBack"/>
              <w:bookmarkEnd w:id="0"/>
              <w:r>
                <w:rPr>
                  <w:i/>
                  <w:iCs/>
                  <w:noProof/>
                </w:rPr>
                <w:t>38</w:t>
              </w:r>
              <w:r>
                <w:rPr>
                  <w:noProof/>
                </w:rPr>
                <w:t>(2), 134-141. doi:10.3758/MC.38.2.134</w:t>
              </w:r>
            </w:p>
            <w:p w14:paraId="3A7E2E5D" w14:textId="77777777" w:rsidR="00232CF7" w:rsidRDefault="00232CF7" w:rsidP="00232CF7">
              <w:pPr>
                <w:pStyle w:val="Bibliography"/>
                <w:ind w:left="720" w:hanging="720"/>
                <w:rPr>
                  <w:noProof/>
                </w:rPr>
              </w:pPr>
              <w:r>
                <w:rPr>
                  <w:noProof/>
                </w:rPr>
                <w:t xml:space="preserve">Malpass, R. S., &amp; Kravitz, J. (1969). Recognition for faces of own and other race. </w:t>
              </w:r>
              <w:r>
                <w:rPr>
                  <w:i/>
                  <w:iCs/>
                  <w:noProof/>
                </w:rPr>
                <w:t>Journal of Personality and Social Psychology, 13</w:t>
              </w:r>
              <w:r>
                <w:rPr>
                  <w:noProof/>
                </w:rPr>
                <w:t>(4), 330-334.</w:t>
              </w:r>
            </w:p>
            <w:p w14:paraId="15C57357" w14:textId="77777777" w:rsidR="00232CF7" w:rsidRDefault="00232CF7" w:rsidP="00232CF7">
              <w:pPr>
                <w:pStyle w:val="Bibliography"/>
                <w:ind w:left="720" w:hanging="720"/>
                <w:rPr>
                  <w:noProof/>
                </w:rPr>
              </w:pPr>
              <w:r>
                <w:rPr>
                  <w:noProof/>
                </w:rPr>
                <w:t xml:space="preserve">Meissner, C. A., &amp; Brigham, J. C. (2001). Thirty years of investigating the own-race bias in memory for faces: A Meta-Analytic Review. </w:t>
              </w:r>
              <w:r>
                <w:rPr>
                  <w:i/>
                  <w:iCs/>
                  <w:noProof/>
                </w:rPr>
                <w:t>Psychology, Public Policy, and Law, 7</w:t>
              </w:r>
              <w:r>
                <w:rPr>
                  <w:noProof/>
                </w:rPr>
                <w:t>(1), 3-35. doi:10.1037//1076-8971.7.1.3</w:t>
              </w:r>
            </w:p>
            <w:p w14:paraId="52E68401" w14:textId="77777777" w:rsidR="00232CF7" w:rsidRDefault="00232CF7" w:rsidP="00232CF7">
              <w:pPr>
                <w:pStyle w:val="Bibliography"/>
                <w:ind w:left="720" w:hanging="720"/>
                <w:rPr>
                  <w:noProof/>
                </w:rPr>
              </w:pPr>
              <w:r>
                <w:rPr>
                  <w:noProof/>
                </w:rPr>
                <w:t xml:space="preserve">Sporer, S. L., &amp; Horry, R. (2011). Recognizing Faces from Ethnic In-groups and Out-groups: Importance of Outer Face Features and Effects of Retention Interval. </w:t>
              </w:r>
              <w:r>
                <w:rPr>
                  <w:i/>
                  <w:iCs/>
                  <w:noProof/>
                </w:rPr>
                <w:t>Applied Cognitive Psychology, 25</w:t>
              </w:r>
              <w:r>
                <w:rPr>
                  <w:noProof/>
                </w:rPr>
                <w:t>(3), 424-431. doi:10.1002/acp.1709</w:t>
              </w:r>
            </w:p>
            <w:p w14:paraId="70630B6D" w14:textId="77777777" w:rsidR="00232CF7" w:rsidRDefault="00232CF7" w:rsidP="00232CF7">
              <w:pPr>
                <w:pStyle w:val="Bibliography"/>
                <w:ind w:left="720" w:hanging="720"/>
                <w:rPr>
                  <w:noProof/>
                </w:rPr>
              </w:pPr>
              <w:r>
                <w:rPr>
                  <w:noProof/>
                </w:rPr>
                <w:t xml:space="preserve">Valentine, T. (1991). A Unified Account of the Effects of Distinctiveness, Inversion and Race in Face Recognition. </w:t>
              </w:r>
              <w:r>
                <w:rPr>
                  <w:i/>
                  <w:iCs/>
                  <w:noProof/>
                </w:rPr>
                <w:t>The Quarterly Journal of Experimental Psychology, 43A</w:t>
              </w:r>
              <w:r>
                <w:rPr>
                  <w:noProof/>
                </w:rPr>
                <w:t>(2), 161-204.</w:t>
              </w:r>
            </w:p>
            <w:p w14:paraId="5689C595" w14:textId="61E0E7CE" w:rsidR="00232CF7" w:rsidRDefault="00232CF7" w:rsidP="00232CF7">
              <w:r>
                <w:rPr>
                  <w:b/>
                  <w:bCs/>
                  <w:noProof/>
                </w:rPr>
                <w:fldChar w:fldCharType="end"/>
              </w:r>
            </w:p>
          </w:sdtContent>
        </w:sdt>
      </w:sdtContent>
    </w:sdt>
    <w:p w14:paraId="360FA6D1" w14:textId="77777777" w:rsidR="00875F4F" w:rsidRPr="00EE1A72" w:rsidRDefault="00875F4F" w:rsidP="00875F4F">
      <w:pPr>
        <w:pStyle w:val="uniassignment"/>
      </w:pPr>
    </w:p>
    <w:sectPr w:rsidR="00875F4F" w:rsidRPr="00EE1A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1A71C" w14:textId="77777777" w:rsidR="00F069FD" w:rsidRDefault="00F069FD" w:rsidP="00F069FD">
      <w:pPr>
        <w:spacing w:after="0" w:line="240" w:lineRule="auto"/>
      </w:pPr>
      <w:r>
        <w:separator/>
      </w:r>
    </w:p>
  </w:endnote>
  <w:endnote w:type="continuationSeparator" w:id="0">
    <w:p w14:paraId="1D670D42" w14:textId="77777777" w:rsidR="00F069FD" w:rsidRDefault="00F069FD" w:rsidP="00F06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C329C" w14:textId="77777777" w:rsidR="00F069FD" w:rsidRDefault="00F069FD" w:rsidP="00F069FD">
      <w:pPr>
        <w:spacing w:after="0" w:line="240" w:lineRule="auto"/>
      </w:pPr>
      <w:r>
        <w:separator/>
      </w:r>
    </w:p>
  </w:footnote>
  <w:footnote w:type="continuationSeparator" w:id="0">
    <w:p w14:paraId="41710A45" w14:textId="77777777" w:rsidR="00F069FD" w:rsidRDefault="00F069FD" w:rsidP="00F069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51A"/>
    <w:rsid w:val="00040B5B"/>
    <w:rsid w:val="000A3954"/>
    <w:rsid w:val="001A71C0"/>
    <w:rsid w:val="00232CF7"/>
    <w:rsid w:val="00343702"/>
    <w:rsid w:val="00350FB3"/>
    <w:rsid w:val="003865DC"/>
    <w:rsid w:val="00394CB5"/>
    <w:rsid w:val="004538B3"/>
    <w:rsid w:val="0046325E"/>
    <w:rsid w:val="004F0E30"/>
    <w:rsid w:val="00502CA6"/>
    <w:rsid w:val="00565A90"/>
    <w:rsid w:val="00597A52"/>
    <w:rsid w:val="005C3524"/>
    <w:rsid w:val="005D3EDE"/>
    <w:rsid w:val="00603A0D"/>
    <w:rsid w:val="0060561C"/>
    <w:rsid w:val="00687932"/>
    <w:rsid w:val="006C1784"/>
    <w:rsid w:val="006E5F04"/>
    <w:rsid w:val="00744CA6"/>
    <w:rsid w:val="0075329E"/>
    <w:rsid w:val="00767849"/>
    <w:rsid w:val="00767B7E"/>
    <w:rsid w:val="00793B61"/>
    <w:rsid w:val="00821E04"/>
    <w:rsid w:val="00831C80"/>
    <w:rsid w:val="00831F32"/>
    <w:rsid w:val="008627A2"/>
    <w:rsid w:val="00875F4F"/>
    <w:rsid w:val="008A551A"/>
    <w:rsid w:val="008B348B"/>
    <w:rsid w:val="009202BA"/>
    <w:rsid w:val="00951B49"/>
    <w:rsid w:val="009713DE"/>
    <w:rsid w:val="009B3B9F"/>
    <w:rsid w:val="00AB0003"/>
    <w:rsid w:val="00AF3ED8"/>
    <w:rsid w:val="00B216C2"/>
    <w:rsid w:val="00B970D3"/>
    <w:rsid w:val="00CC1517"/>
    <w:rsid w:val="00DF0839"/>
    <w:rsid w:val="00EB7C28"/>
    <w:rsid w:val="00EE1A72"/>
    <w:rsid w:val="00EF2329"/>
    <w:rsid w:val="00F069FD"/>
    <w:rsid w:val="00F24019"/>
    <w:rsid w:val="00FD6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64966"/>
  <w15:chartTrackingRefBased/>
  <w15:docId w15:val="{23283307-39AA-488F-977E-950CB2A11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uni Heading 1"/>
    <w:basedOn w:val="Normal"/>
    <w:next w:val="Normal"/>
    <w:link w:val="Heading1Char"/>
    <w:autoRedefine/>
    <w:uiPriority w:val="9"/>
    <w:qFormat/>
    <w:rsid w:val="00831C80"/>
    <w:pPr>
      <w:keepNext/>
      <w:keepLines/>
      <w:spacing w:before="240" w:after="0"/>
      <w:outlineLvl w:val="0"/>
    </w:pPr>
    <w:rPr>
      <w:rFonts w:ascii="Times New Roman" w:eastAsiaTheme="majorEastAsia" w:hAnsi="Times New Roman" w:cstheme="majorBidi"/>
      <w:sz w:val="32"/>
      <w:szCs w:val="32"/>
    </w:rPr>
  </w:style>
  <w:style w:type="paragraph" w:styleId="Heading2">
    <w:name w:val="heading 2"/>
    <w:aliases w:val="uni Heading 2"/>
    <w:basedOn w:val="Normal"/>
    <w:next w:val="Normal"/>
    <w:link w:val="Heading2Char"/>
    <w:autoRedefine/>
    <w:uiPriority w:val="9"/>
    <w:unhideWhenUsed/>
    <w:qFormat/>
    <w:rsid w:val="00875F4F"/>
    <w:pPr>
      <w:keepNext/>
      <w:keepLines/>
      <w:spacing w:before="40" w:after="0"/>
      <w:jc w:val="center"/>
      <w:outlineLvl w:val="1"/>
    </w:pPr>
    <w:rPr>
      <w:rFonts w:ascii="Times New Roman" w:eastAsiaTheme="majorEastAsia" w:hAnsi="Times New Roman" w:cstheme="majorBidi"/>
      <w:b/>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assignment">
    <w:name w:val="uni assignment"/>
    <w:basedOn w:val="Normal"/>
    <w:autoRedefine/>
    <w:qFormat/>
    <w:rsid w:val="00875F4F"/>
    <w:pPr>
      <w:spacing w:before="240" w:line="480" w:lineRule="auto"/>
    </w:pPr>
    <w:rPr>
      <w:rFonts w:ascii="Times New Roman" w:hAnsi="Times New Roman"/>
      <w:sz w:val="24"/>
    </w:rPr>
  </w:style>
  <w:style w:type="paragraph" w:customStyle="1" w:styleId="Style1">
    <w:name w:val="Style1"/>
    <w:basedOn w:val="Heading1"/>
    <w:autoRedefine/>
    <w:qFormat/>
    <w:rsid w:val="00831C80"/>
  </w:style>
  <w:style w:type="character" w:customStyle="1" w:styleId="Heading1Char">
    <w:name w:val="Heading 1 Char"/>
    <w:aliases w:val="uni Heading 1 Char"/>
    <w:basedOn w:val="DefaultParagraphFont"/>
    <w:link w:val="Heading1"/>
    <w:uiPriority w:val="9"/>
    <w:rsid w:val="00831C80"/>
    <w:rPr>
      <w:rFonts w:ascii="Times New Roman" w:eastAsiaTheme="majorEastAsia" w:hAnsi="Times New Roman" w:cstheme="majorBidi"/>
      <w:sz w:val="32"/>
      <w:szCs w:val="32"/>
    </w:rPr>
  </w:style>
  <w:style w:type="character" w:customStyle="1" w:styleId="Heading2Char">
    <w:name w:val="Heading 2 Char"/>
    <w:aliases w:val="uni Heading 2 Char"/>
    <w:basedOn w:val="DefaultParagraphFont"/>
    <w:link w:val="Heading2"/>
    <w:uiPriority w:val="9"/>
    <w:rsid w:val="00875F4F"/>
    <w:rPr>
      <w:rFonts w:ascii="Times New Roman" w:eastAsiaTheme="majorEastAsia" w:hAnsi="Times New Roman" w:cstheme="majorBidi"/>
      <w:b/>
      <w:sz w:val="26"/>
      <w:szCs w:val="26"/>
      <w:u w:val="single"/>
    </w:rPr>
  </w:style>
  <w:style w:type="paragraph" w:styleId="Title">
    <w:name w:val="Title"/>
    <w:basedOn w:val="Normal"/>
    <w:next w:val="Normal"/>
    <w:link w:val="TitleChar"/>
    <w:autoRedefine/>
    <w:uiPriority w:val="10"/>
    <w:qFormat/>
    <w:rsid w:val="008A551A"/>
    <w:pPr>
      <w:spacing w:after="0" w:line="240" w:lineRule="auto"/>
      <w:contextualSpacing/>
      <w:jc w:val="center"/>
    </w:pPr>
    <w:rPr>
      <w:rFonts w:ascii="Times New Roman" w:eastAsiaTheme="majorEastAsia" w:hAnsi="Times New Roman" w:cstheme="majorBidi"/>
      <w:spacing w:val="-10"/>
      <w:kern w:val="28"/>
      <w:sz w:val="56"/>
      <w:szCs w:val="56"/>
    </w:rPr>
  </w:style>
  <w:style w:type="character" w:customStyle="1" w:styleId="TitleChar">
    <w:name w:val="Title Char"/>
    <w:basedOn w:val="DefaultParagraphFont"/>
    <w:link w:val="Title"/>
    <w:uiPriority w:val="10"/>
    <w:rsid w:val="008A551A"/>
    <w:rPr>
      <w:rFonts w:ascii="Times New Roman" w:eastAsiaTheme="majorEastAsia" w:hAnsi="Times New Roman" w:cstheme="majorBidi"/>
      <w:spacing w:val="-10"/>
      <w:kern w:val="28"/>
      <w:sz w:val="56"/>
      <w:szCs w:val="56"/>
    </w:rPr>
  </w:style>
  <w:style w:type="character" w:styleId="CommentReference">
    <w:name w:val="annotation reference"/>
    <w:basedOn w:val="DefaultParagraphFont"/>
    <w:uiPriority w:val="99"/>
    <w:semiHidden/>
    <w:unhideWhenUsed/>
    <w:rsid w:val="006C1784"/>
    <w:rPr>
      <w:sz w:val="16"/>
      <w:szCs w:val="16"/>
    </w:rPr>
  </w:style>
  <w:style w:type="paragraph" w:styleId="CommentText">
    <w:name w:val="annotation text"/>
    <w:basedOn w:val="Normal"/>
    <w:link w:val="CommentTextChar"/>
    <w:uiPriority w:val="99"/>
    <w:semiHidden/>
    <w:unhideWhenUsed/>
    <w:rsid w:val="006C1784"/>
    <w:pPr>
      <w:spacing w:line="240" w:lineRule="auto"/>
    </w:pPr>
    <w:rPr>
      <w:sz w:val="20"/>
      <w:szCs w:val="20"/>
    </w:rPr>
  </w:style>
  <w:style w:type="character" w:customStyle="1" w:styleId="CommentTextChar">
    <w:name w:val="Comment Text Char"/>
    <w:basedOn w:val="DefaultParagraphFont"/>
    <w:link w:val="CommentText"/>
    <w:uiPriority w:val="99"/>
    <w:semiHidden/>
    <w:rsid w:val="006C1784"/>
    <w:rPr>
      <w:sz w:val="20"/>
      <w:szCs w:val="20"/>
    </w:rPr>
  </w:style>
  <w:style w:type="paragraph" w:styleId="CommentSubject">
    <w:name w:val="annotation subject"/>
    <w:basedOn w:val="CommentText"/>
    <w:next w:val="CommentText"/>
    <w:link w:val="CommentSubjectChar"/>
    <w:uiPriority w:val="99"/>
    <w:semiHidden/>
    <w:unhideWhenUsed/>
    <w:rsid w:val="006C1784"/>
    <w:rPr>
      <w:b/>
      <w:bCs/>
    </w:rPr>
  </w:style>
  <w:style w:type="character" w:customStyle="1" w:styleId="CommentSubjectChar">
    <w:name w:val="Comment Subject Char"/>
    <w:basedOn w:val="CommentTextChar"/>
    <w:link w:val="CommentSubject"/>
    <w:uiPriority w:val="99"/>
    <w:semiHidden/>
    <w:rsid w:val="006C1784"/>
    <w:rPr>
      <w:b/>
      <w:bCs/>
      <w:sz w:val="20"/>
      <w:szCs w:val="20"/>
    </w:rPr>
  </w:style>
  <w:style w:type="paragraph" w:styleId="BalloonText">
    <w:name w:val="Balloon Text"/>
    <w:basedOn w:val="Normal"/>
    <w:link w:val="BalloonTextChar"/>
    <w:uiPriority w:val="99"/>
    <w:semiHidden/>
    <w:unhideWhenUsed/>
    <w:rsid w:val="006C1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1784"/>
    <w:rPr>
      <w:rFonts w:ascii="Segoe UI" w:hAnsi="Segoe UI" w:cs="Segoe UI"/>
      <w:sz w:val="18"/>
      <w:szCs w:val="18"/>
    </w:rPr>
  </w:style>
  <w:style w:type="paragraph" w:styleId="FootnoteText">
    <w:name w:val="footnote text"/>
    <w:basedOn w:val="Normal"/>
    <w:link w:val="FootnoteTextChar"/>
    <w:uiPriority w:val="99"/>
    <w:semiHidden/>
    <w:unhideWhenUsed/>
    <w:rsid w:val="00F069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69FD"/>
    <w:rPr>
      <w:sz w:val="20"/>
      <w:szCs w:val="20"/>
    </w:rPr>
  </w:style>
  <w:style w:type="character" w:styleId="FootnoteReference">
    <w:name w:val="footnote reference"/>
    <w:basedOn w:val="DefaultParagraphFont"/>
    <w:uiPriority w:val="99"/>
    <w:semiHidden/>
    <w:unhideWhenUsed/>
    <w:rsid w:val="00F069FD"/>
    <w:rPr>
      <w:vertAlign w:val="superscript"/>
    </w:rPr>
  </w:style>
  <w:style w:type="paragraph" w:styleId="Bibliography">
    <w:name w:val="Bibliography"/>
    <w:basedOn w:val="Normal"/>
    <w:next w:val="Normal"/>
    <w:uiPriority w:val="37"/>
    <w:unhideWhenUsed/>
    <w:rsid w:val="00232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86434">
      <w:bodyDiv w:val="1"/>
      <w:marLeft w:val="0"/>
      <w:marRight w:val="0"/>
      <w:marTop w:val="0"/>
      <w:marBottom w:val="0"/>
      <w:divBdr>
        <w:top w:val="none" w:sz="0" w:space="0" w:color="auto"/>
        <w:left w:val="none" w:sz="0" w:space="0" w:color="auto"/>
        <w:bottom w:val="none" w:sz="0" w:space="0" w:color="auto"/>
        <w:right w:val="none" w:sz="0" w:space="0" w:color="auto"/>
      </w:divBdr>
    </w:div>
    <w:div w:id="32924634">
      <w:bodyDiv w:val="1"/>
      <w:marLeft w:val="0"/>
      <w:marRight w:val="0"/>
      <w:marTop w:val="0"/>
      <w:marBottom w:val="0"/>
      <w:divBdr>
        <w:top w:val="none" w:sz="0" w:space="0" w:color="auto"/>
        <w:left w:val="none" w:sz="0" w:space="0" w:color="auto"/>
        <w:bottom w:val="none" w:sz="0" w:space="0" w:color="auto"/>
        <w:right w:val="none" w:sz="0" w:space="0" w:color="auto"/>
      </w:divBdr>
    </w:div>
    <w:div w:id="63771122">
      <w:bodyDiv w:val="1"/>
      <w:marLeft w:val="0"/>
      <w:marRight w:val="0"/>
      <w:marTop w:val="0"/>
      <w:marBottom w:val="0"/>
      <w:divBdr>
        <w:top w:val="none" w:sz="0" w:space="0" w:color="auto"/>
        <w:left w:val="none" w:sz="0" w:space="0" w:color="auto"/>
        <w:bottom w:val="none" w:sz="0" w:space="0" w:color="auto"/>
        <w:right w:val="none" w:sz="0" w:space="0" w:color="auto"/>
      </w:divBdr>
    </w:div>
    <w:div w:id="114643082">
      <w:bodyDiv w:val="1"/>
      <w:marLeft w:val="0"/>
      <w:marRight w:val="0"/>
      <w:marTop w:val="0"/>
      <w:marBottom w:val="0"/>
      <w:divBdr>
        <w:top w:val="none" w:sz="0" w:space="0" w:color="auto"/>
        <w:left w:val="none" w:sz="0" w:space="0" w:color="auto"/>
        <w:bottom w:val="none" w:sz="0" w:space="0" w:color="auto"/>
        <w:right w:val="none" w:sz="0" w:space="0" w:color="auto"/>
      </w:divBdr>
    </w:div>
    <w:div w:id="117338512">
      <w:bodyDiv w:val="1"/>
      <w:marLeft w:val="0"/>
      <w:marRight w:val="0"/>
      <w:marTop w:val="0"/>
      <w:marBottom w:val="0"/>
      <w:divBdr>
        <w:top w:val="none" w:sz="0" w:space="0" w:color="auto"/>
        <w:left w:val="none" w:sz="0" w:space="0" w:color="auto"/>
        <w:bottom w:val="none" w:sz="0" w:space="0" w:color="auto"/>
        <w:right w:val="none" w:sz="0" w:space="0" w:color="auto"/>
      </w:divBdr>
    </w:div>
    <w:div w:id="129052818">
      <w:bodyDiv w:val="1"/>
      <w:marLeft w:val="0"/>
      <w:marRight w:val="0"/>
      <w:marTop w:val="0"/>
      <w:marBottom w:val="0"/>
      <w:divBdr>
        <w:top w:val="none" w:sz="0" w:space="0" w:color="auto"/>
        <w:left w:val="none" w:sz="0" w:space="0" w:color="auto"/>
        <w:bottom w:val="none" w:sz="0" w:space="0" w:color="auto"/>
        <w:right w:val="none" w:sz="0" w:space="0" w:color="auto"/>
      </w:divBdr>
    </w:div>
    <w:div w:id="224294675">
      <w:bodyDiv w:val="1"/>
      <w:marLeft w:val="0"/>
      <w:marRight w:val="0"/>
      <w:marTop w:val="0"/>
      <w:marBottom w:val="0"/>
      <w:divBdr>
        <w:top w:val="none" w:sz="0" w:space="0" w:color="auto"/>
        <w:left w:val="none" w:sz="0" w:space="0" w:color="auto"/>
        <w:bottom w:val="none" w:sz="0" w:space="0" w:color="auto"/>
        <w:right w:val="none" w:sz="0" w:space="0" w:color="auto"/>
      </w:divBdr>
    </w:div>
    <w:div w:id="239566056">
      <w:bodyDiv w:val="1"/>
      <w:marLeft w:val="0"/>
      <w:marRight w:val="0"/>
      <w:marTop w:val="0"/>
      <w:marBottom w:val="0"/>
      <w:divBdr>
        <w:top w:val="none" w:sz="0" w:space="0" w:color="auto"/>
        <w:left w:val="none" w:sz="0" w:space="0" w:color="auto"/>
        <w:bottom w:val="none" w:sz="0" w:space="0" w:color="auto"/>
        <w:right w:val="none" w:sz="0" w:space="0" w:color="auto"/>
      </w:divBdr>
    </w:div>
    <w:div w:id="282277025">
      <w:bodyDiv w:val="1"/>
      <w:marLeft w:val="0"/>
      <w:marRight w:val="0"/>
      <w:marTop w:val="0"/>
      <w:marBottom w:val="0"/>
      <w:divBdr>
        <w:top w:val="none" w:sz="0" w:space="0" w:color="auto"/>
        <w:left w:val="none" w:sz="0" w:space="0" w:color="auto"/>
        <w:bottom w:val="none" w:sz="0" w:space="0" w:color="auto"/>
        <w:right w:val="none" w:sz="0" w:space="0" w:color="auto"/>
      </w:divBdr>
    </w:div>
    <w:div w:id="439227626">
      <w:bodyDiv w:val="1"/>
      <w:marLeft w:val="0"/>
      <w:marRight w:val="0"/>
      <w:marTop w:val="0"/>
      <w:marBottom w:val="0"/>
      <w:divBdr>
        <w:top w:val="none" w:sz="0" w:space="0" w:color="auto"/>
        <w:left w:val="none" w:sz="0" w:space="0" w:color="auto"/>
        <w:bottom w:val="none" w:sz="0" w:space="0" w:color="auto"/>
        <w:right w:val="none" w:sz="0" w:space="0" w:color="auto"/>
      </w:divBdr>
    </w:div>
    <w:div w:id="452789426">
      <w:bodyDiv w:val="1"/>
      <w:marLeft w:val="0"/>
      <w:marRight w:val="0"/>
      <w:marTop w:val="0"/>
      <w:marBottom w:val="0"/>
      <w:divBdr>
        <w:top w:val="none" w:sz="0" w:space="0" w:color="auto"/>
        <w:left w:val="none" w:sz="0" w:space="0" w:color="auto"/>
        <w:bottom w:val="none" w:sz="0" w:space="0" w:color="auto"/>
        <w:right w:val="none" w:sz="0" w:space="0" w:color="auto"/>
      </w:divBdr>
    </w:div>
    <w:div w:id="467011756">
      <w:bodyDiv w:val="1"/>
      <w:marLeft w:val="0"/>
      <w:marRight w:val="0"/>
      <w:marTop w:val="0"/>
      <w:marBottom w:val="0"/>
      <w:divBdr>
        <w:top w:val="none" w:sz="0" w:space="0" w:color="auto"/>
        <w:left w:val="none" w:sz="0" w:space="0" w:color="auto"/>
        <w:bottom w:val="none" w:sz="0" w:space="0" w:color="auto"/>
        <w:right w:val="none" w:sz="0" w:space="0" w:color="auto"/>
      </w:divBdr>
    </w:div>
    <w:div w:id="483399727">
      <w:bodyDiv w:val="1"/>
      <w:marLeft w:val="0"/>
      <w:marRight w:val="0"/>
      <w:marTop w:val="0"/>
      <w:marBottom w:val="0"/>
      <w:divBdr>
        <w:top w:val="none" w:sz="0" w:space="0" w:color="auto"/>
        <w:left w:val="none" w:sz="0" w:space="0" w:color="auto"/>
        <w:bottom w:val="none" w:sz="0" w:space="0" w:color="auto"/>
        <w:right w:val="none" w:sz="0" w:space="0" w:color="auto"/>
      </w:divBdr>
    </w:div>
    <w:div w:id="560481500">
      <w:bodyDiv w:val="1"/>
      <w:marLeft w:val="0"/>
      <w:marRight w:val="0"/>
      <w:marTop w:val="0"/>
      <w:marBottom w:val="0"/>
      <w:divBdr>
        <w:top w:val="none" w:sz="0" w:space="0" w:color="auto"/>
        <w:left w:val="none" w:sz="0" w:space="0" w:color="auto"/>
        <w:bottom w:val="none" w:sz="0" w:space="0" w:color="auto"/>
        <w:right w:val="none" w:sz="0" w:space="0" w:color="auto"/>
      </w:divBdr>
    </w:div>
    <w:div w:id="582690573">
      <w:bodyDiv w:val="1"/>
      <w:marLeft w:val="0"/>
      <w:marRight w:val="0"/>
      <w:marTop w:val="0"/>
      <w:marBottom w:val="0"/>
      <w:divBdr>
        <w:top w:val="none" w:sz="0" w:space="0" w:color="auto"/>
        <w:left w:val="none" w:sz="0" w:space="0" w:color="auto"/>
        <w:bottom w:val="none" w:sz="0" w:space="0" w:color="auto"/>
        <w:right w:val="none" w:sz="0" w:space="0" w:color="auto"/>
      </w:divBdr>
    </w:div>
    <w:div w:id="608902226">
      <w:bodyDiv w:val="1"/>
      <w:marLeft w:val="0"/>
      <w:marRight w:val="0"/>
      <w:marTop w:val="0"/>
      <w:marBottom w:val="0"/>
      <w:divBdr>
        <w:top w:val="none" w:sz="0" w:space="0" w:color="auto"/>
        <w:left w:val="none" w:sz="0" w:space="0" w:color="auto"/>
        <w:bottom w:val="none" w:sz="0" w:space="0" w:color="auto"/>
        <w:right w:val="none" w:sz="0" w:space="0" w:color="auto"/>
      </w:divBdr>
    </w:div>
    <w:div w:id="616840198">
      <w:bodyDiv w:val="1"/>
      <w:marLeft w:val="0"/>
      <w:marRight w:val="0"/>
      <w:marTop w:val="0"/>
      <w:marBottom w:val="0"/>
      <w:divBdr>
        <w:top w:val="none" w:sz="0" w:space="0" w:color="auto"/>
        <w:left w:val="none" w:sz="0" w:space="0" w:color="auto"/>
        <w:bottom w:val="none" w:sz="0" w:space="0" w:color="auto"/>
        <w:right w:val="none" w:sz="0" w:space="0" w:color="auto"/>
      </w:divBdr>
    </w:div>
    <w:div w:id="695228038">
      <w:bodyDiv w:val="1"/>
      <w:marLeft w:val="0"/>
      <w:marRight w:val="0"/>
      <w:marTop w:val="0"/>
      <w:marBottom w:val="0"/>
      <w:divBdr>
        <w:top w:val="none" w:sz="0" w:space="0" w:color="auto"/>
        <w:left w:val="none" w:sz="0" w:space="0" w:color="auto"/>
        <w:bottom w:val="none" w:sz="0" w:space="0" w:color="auto"/>
        <w:right w:val="none" w:sz="0" w:space="0" w:color="auto"/>
      </w:divBdr>
    </w:div>
    <w:div w:id="754519460">
      <w:bodyDiv w:val="1"/>
      <w:marLeft w:val="0"/>
      <w:marRight w:val="0"/>
      <w:marTop w:val="0"/>
      <w:marBottom w:val="0"/>
      <w:divBdr>
        <w:top w:val="none" w:sz="0" w:space="0" w:color="auto"/>
        <w:left w:val="none" w:sz="0" w:space="0" w:color="auto"/>
        <w:bottom w:val="none" w:sz="0" w:space="0" w:color="auto"/>
        <w:right w:val="none" w:sz="0" w:space="0" w:color="auto"/>
      </w:divBdr>
    </w:div>
    <w:div w:id="764813138">
      <w:bodyDiv w:val="1"/>
      <w:marLeft w:val="0"/>
      <w:marRight w:val="0"/>
      <w:marTop w:val="0"/>
      <w:marBottom w:val="0"/>
      <w:divBdr>
        <w:top w:val="none" w:sz="0" w:space="0" w:color="auto"/>
        <w:left w:val="none" w:sz="0" w:space="0" w:color="auto"/>
        <w:bottom w:val="none" w:sz="0" w:space="0" w:color="auto"/>
        <w:right w:val="none" w:sz="0" w:space="0" w:color="auto"/>
      </w:divBdr>
    </w:div>
    <w:div w:id="848637516">
      <w:bodyDiv w:val="1"/>
      <w:marLeft w:val="0"/>
      <w:marRight w:val="0"/>
      <w:marTop w:val="0"/>
      <w:marBottom w:val="0"/>
      <w:divBdr>
        <w:top w:val="none" w:sz="0" w:space="0" w:color="auto"/>
        <w:left w:val="none" w:sz="0" w:space="0" w:color="auto"/>
        <w:bottom w:val="none" w:sz="0" w:space="0" w:color="auto"/>
        <w:right w:val="none" w:sz="0" w:space="0" w:color="auto"/>
      </w:divBdr>
    </w:div>
    <w:div w:id="890069065">
      <w:bodyDiv w:val="1"/>
      <w:marLeft w:val="0"/>
      <w:marRight w:val="0"/>
      <w:marTop w:val="0"/>
      <w:marBottom w:val="0"/>
      <w:divBdr>
        <w:top w:val="none" w:sz="0" w:space="0" w:color="auto"/>
        <w:left w:val="none" w:sz="0" w:space="0" w:color="auto"/>
        <w:bottom w:val="none" w:sz="0" w:space="0" w:color="auto"/>
        <w:right w:val="none" w:sz="0" w:space="0" w:color="auto"/>
      </w:divBdr>
    </w:div>
    <w:div w:id="893194876">
      <w:bodyDiv w:val="1"/>
      <w:marLeft w:val="0"/>
      <w:marRight w:val="0"/>
      <w:marTop w:val="0"/>
      <w:marBottom w:val="0"/>
      <w:divBdr>
        <w:top w:val="none" w:sz="0" w:space="0" w:color="auto"/>
        <w:left w:val="none" w:sz="0" w:space="0" w:color="auto"/>
        <w:bottom w:val="none" w:sz="0" w:space="0" w:color="auto"/>
        <w:right w:val="none" w:sz="0" w:space="0" w:color="auto"/>
      </w:divBdr>
    </w:div>
    <w:div w:id="897202571">
      <w:bodyDiv w:val="1"/>
      <w:marLeft w:val="0"/>
      <w:marRight w:val="0"/>
      <w:marTop w:val="0"/>
      <w:marBottom w:val="0"/>
      <w:divBdr>
        <w:top w:val="none" w:sz="0" w:space="0" w:color="auto"/>
        <w:left w:val="none" w:sz="0" w:space="0" w:color="auto"/>
        <w:bottom w:val="none" w:sz="0" w:space="0" w:color="auto"/>
        <w:right w:val="none" w:sz="0" w:space="0" w:color="auto"/>
      </w:divBdr>
    </w:div>
    <w:div w:id="898369448">
      <w:bodyDiv w:val="1"/>
      <w:marLeft w:val="0"/>
      <w:marRight w:val="0"/>
      <w:marTop w:val="0"/>
      <w:marBottom w:val="0"/>
      <w:divBdr>
        <w:top w:val="none" w:sz="0" w:space="0" w:color="auto"/>
        <w:left w:val="none" w:sz="0" w:space="0" w:color="auto"/>
        <w:bottom w:val="none" w:sz="0" w:space="0" w:color="auto"/>
        <w:right w:val="none" w:sz="0" w:space="0" w:color="auto"/>
      </w:divBdr>
    </w:div>
    <w:div w:id="915557091">
      <w:bodyDiv w:val="1"/>
      <w:marLeft w:val="0"/>
      <w:marRight w:val="0"/>
      <w:marTop w:val="0"/>
      <w:marBottom w:val="0"/>
      <w:divBdr>
        <w:top w:val="none" w:sz="0" w:space="0" w:color="auto"/>
        <w:left w:val="none" w:sz="0" w:space="0" w:color="auto"/>
        <w:bottom w:val="none" w:sz="0" w:space="0" w:color="auto"/>
        <w:right w:val="none" w:sz="0" w:space="0" w:color="auto"/>
      </w:divBdr>
    </w:div>
    <w:div w:id="917059993">
      <w:bodyDiv w:val="1"/>
      <w:marLeft w:val="0"/>
      <w:marRight w:val="0"/>
      <w:marTop w:val="0"/>
      <w:marBottom w:val="0"/>
      <w:divBdr>
        <w:top w:val="none" w:sz="0" w:space="0" w:color="auto"/>
        <w:left w:val="none" w:sz="0" w:space="0" w:color="auto"/>
        <w:bottom w:val="none" w:sz="0" w:space="0" w:color="auto"/>
        <w:right w:val="none" w:sz="0" w:space="0" w:color="auto"/>
      </w:divBdr>
    </w:div>
    <w:div w:id="923488365">
      <w:bodyDiv w:val="1"/>
      <w:marLeft w:val="0"/>
      <w:marRight w:val="0"/>
      <w:marTop w:val="0"/>
      <w:marBottom w:val="0"/>
      <w:divBdr>
        <w:top w:val="none" w:sz="0" w:space="0" w:color="auto"/>
        <w:left w:val="none" w:sz="0" w:space="0" w:color="auto"/>
        <w:bottom w:val="none" w:sz="0" w:space="0" w:color="auto"/>
        <w:right w:val="none" w:sz="0" w:space="0" w:color="auto"/>
      </w:divBdr>
    </w:div>
    <w:div w:id="974216278">
      <w:bodyDiv w:val="1"/>
      <w:marLeft w:val="0"/>
      <w:marRight w:val="0"/>
      <w:marTop w:val="0"/>
      <w:marBottom w:val="0"/>
      <w:divBdr>
        <w:top w:val="none" w:sz="0" w:space="0" w:color="auto"/>
        <w:left w:val="none" w:sz="0" w:space="0" w:color="auto"/>
        <w:bottom w:val="none" w:sz="0" w:space="0" w:color="auto"/>
        <w:right w:val="none" w:sz="0" w:space="0" w:color="auto"/>
      </w:divBdr>
    </w:div>
    <w:div w:id="1033194798">
      <w:bodyDiv w:val="1"/>
      <w:marLeft w:val="0"/>
      <w:marRight w:val="0"/>
      <w:marTop w:val="0"/>
      <w:marBottom w:val="0"/>
      <w:divBdr>
        <w:top w:val="none" w:sz="0" w:space="0" w:color="auto"/>
        <w:left w:val="none" w:sz="0" w:space="0" w:color="auto"/>
        <w:bottom w:val="none" w:sz="0" w:space="0" w:color="auto"/>
        <w:right w:val="none" w:sz="0" w:space="0" w:color="auto"/>
      </w:divBdr>
    </w:div>
    <w:div w:id="1038090414">
      <w:bodyDiv w:val="1"/>
      <w:marLeft w:val="0"/>
      <w:marRight w:val="0"/>
      <w:marTop w:val="0"/>
      <w:marBottom w:val="0"/>
      <w:divBdr>
        <w:top w:val="none" w:sz="0" w:space="0" w:color="auto"/>
        <w:left w:val="none" w:sz="0" w:space="0" w:color="auto"/>
        <w:bottom w:val="none" w:sz="0" w:space="0" w:color="auto"/>
        <w:right w:val="none" w:sz="0" w:space="0" w:color="auto"/>
      </w:divBdr>
    </w:div>
    <w:div w:id="1056706098">
      <w:bodyDiv w:val="1"/>
      <w:marLeft w:val="0"/>
      <w:marRight w:val="0"/>
      <w:marTop w:val="0"/>
      <w:marBottom w:val="0"/>
      <w:divBdr>
        <w:top w:val="none" w:sz="0" w:space="0" w:color="auto"/>
        <w:left w:val="none" w:sz="0" w:space="0" w:color="auto"/>
        <w:bottom w:val="none" w:sz="0" w:space="0" w:color="auto"/>
        <w:right w:val="none" w:sz="0" w:space="0" w:color="auto"/>
      </w:divBdr>
    </w:div>
    <w:div w:id="1110198246">
      <w:bodyDiv w:val="1"/>
      <w:marLeft w:val="0"/>
      <w:marRight w:val="0"/>
      <w:marTop w:val="0"/>
      <w:marBottom w:val="0"/>
      <w:divBdr>
        <w:top w:val="none" w:sz="0" w:space="0" w:color="auto"/>
        <w:left w:val="none" w:sz="0" w:space="0" w:color="auto"/>
        <w:bottom w:val="none" w:sz="0" w:space="0" w:color="auto"/>
        <w:right w:val="none" w:sz="0" w:space="0" w:color="auto"/>
      </w:divBdr>
    </w:div>
    <w:div w:id="1141074634">
      <w:bodyDiv w:val="1"/>
      <w:marLeft w:val="0"/>
      <w:marRight w:val="0"/>
      <w:marTop w:val="0"/>
      <w:marBottom w:val="0"/>
      <w:divBdr>
        <w:top w:val="none" w:sz="0" w:space="0" w:color="auto"/>
        <w:left w:val="none" w:sz="0" w:space="0" w:color="auto"/>
        <w:bottom w:val="none" w:sz="0" w:space="0" w:color="auto"/>
        <w:right w:val="none" w:sz="0" w:space="0" w:color="auto"/>
      </w:divBdr>
    </w:div>
    <w:div w:id="1259023886">
      <w:bodyDiv w:val="1"/>
      <w:marLeft w:val="0"/>
      <w:marRight w:val="0"/>
      <w:marTop w:val="0"/>
      <w:marBottom w:val="0"/>
      <w:divBdr>
        <w:top w:val="none" w:sz="0" w:space="0" w:color="auto"/>
        <w:left w:val="none" w:sz="0" w:space="0" w:color="auto"/>
        <w:bottom w:val="none" w:sz="0" w:space="0" w:color="auto"/>
        <w:right w:val="none" w:sz="0" w:space="0" w:color="auto"/>
      </w:divBdr>
    </w:div>
    <w:div w:id="1275821306">
      <w:bodyDiv w:val="1"/>
      <w:marLeft w:val="0"/>
      <w:marRight w:val="0"/>
      <w:marTop w:val="0"/>
      <w:marBottom w:val="0"/>
      <w:divBdr>
        <w:top w:val="none" w:sz="0" w:space="0" w:color="auto"/>
        <w:left w:val="none" w:sz="0" w:space="0" w:color="auto"/>
        <w:bottom w:val="none" w:sz="0" w:space="0" w:color="auto"/>
        <w:right w:val="none" w:sz="0" w:space="0" w:color="auto"/>
      </w:divBdr>
    </w:div>
    <w:div w:id="1280382502">
      <w:bodyDiv w:val="1"/>
      <w:marLeft w:val="0"/>
      <w:marRight w:val="0"/>
      <w:marTop w:val="0"/>
      <w:marBottom w:val="0"/>
      <w:divBdr>
        <w:top w:val="none" w:sz="0" w:space="0" w:color="auto"/>
        <w:left w:val="none" w:sz="0" w:space="0" w:color="auto"/>
        <w:bottom w:val="none" w:sz="0" w:space="0" w:color="auto"/>
        <w:right w:val="none" w:sz="0" w:space="0" w:color="auto"/>
      </w:divBdr>
    </w:div>
    <w:div w:id="1318994387">
      <w:bodyDiv w:val="1"/>
      <w:marLeft w:val="0"/>
      <w:marRight w:val="0"/>
      <w:marTop w:val="0"/>
      <w:marBottom w:val="0"/>
      <w:divBdr>
        <w:top w:val="none" w:sz="0" w:space="0" w:color="auto"/>
        <w:left w:val="none" w:sz="0" w:space="0" w:color="auto"/>
        <w:bottom w:val="none" w:sz="0" w:space="0" w:color="auto"/>
        <w:right w:val="none" w:sz="0" w:space="0" w:color="auto"/>
      </w:divBdr>
    </w:div>
    <w:div w:id="1363939571">
      <w:bodyDiv w:val="1"/>
      <w:marLeft w:val="0"/>
      <w:marRight w:val="0"/>
      <w:marTop w:val="0"/>
      <w:marBottom w:val="0"/>
      <w:divBdr>
        <w:top w:val="none" w:sz="0" w:space="0" w:color="auto"/>
        <w:left w:val="none" w:sz="0" w:space="0" w:color="auto"/>
        <w:bottom w:val="none" w:sz="0" w:space="0" w:color="auto"/>
        <w:right w:val="none" w:sz="0" w:space="0" w:color="auto"/>
      </w:divBdr>
    </w:div>
    <w:div w:id="1388989802">
      <w:bodyDiv w:val="1"/>
      <w:marLeft w:val="0"/>
      <w:marRight w:val="0"/>
      <w:marTop w:val="0"/>
      <w:marBottom w:val="0"/>
      <w:divBdr>
        <w:top w:val="none" w:sz="0" w:space="0" w:color="auto"/>
        <w:left w:val="none" w:sz="0" w:space="0" w:color="auto"/>
        <w:bottom w:val="none" w:sz="0" w:space="0" w:color="auto"/>
        <w:right w:val="none" w:sz="0" w:space="0" w:color="auto"/>
      </w:divBdr>
    </w:div>
    <w:div w:id="1440371870">
      <w:bodyDiv w:val="1"/>
      <w:marLeft w:val="0"/>
      <w:marRight w:val="0"/>
      <w:marTop w:val="0"/>
      <w:marBottom w:val="0"/>
      <w:divBdr>
        <w:top w:val="none" w:sz="0" w:space="0" w:color="auto"/>
        <w:left w:val="none" w:sz="0" w:space="0" w:color="auto"/>
        <w:bottom w:val="none" w:sz="0" w:space="0" w:color="auto"/>
        <w:right w:val="none" w:sz="0" w:space="0" w:color="auto"/>
      </w:divBdr>
    </w:div>
    <w:div w:id="1443574380">
      <w:bodyDiv w:val="1"/>
      <w:marLeft w:val="0"/>
      <w:marRight w:val="0"/>
      <w:marTop w:val="0"/>
      <w:marBottom w:val="0"/>
      <w:divBdr>
        <w:top w:val="none" w:sz="0" w:space="0" w:color="auto"/>
        <w:left w:val="none" w:sz="0" w:space="0" w:color="auto"/>
        <w:bottom w:val="none" w:sz="0" w:space="0" w:color="auto"/>
        <w:right w:val="none" w:sz="0" w:space="0" w:color="auto"/>
      </w:divBdr>
    </w:div>
    <w:div w:id="1446536820">
      <w:bodyDiv w:val="1"/>
      <w:marLeft w:val="0"/>
      <w:marRight w:val="0"/>
      <w:marTop w:val="0"/>
      <w:marBottom w:val="0"/>
      <w:divBdr>
        <w:top w:val="none" w:sz="0" w:space="0" w:color="auto"/>
        <w:left w:val="none" w:sz="0" w:space="0" w:color="auto"/>
        <w:bottom w:val="none" w:sz="0" w:space="0" w:color="auto"/>
        <w:right w:val="none" w:sz="0" w:space="0" w:color="auto"/>
      </w:divBdr>
    </w:div>
    <w:div w:id="1477453993">
      <w:bodyDiv w:val="1"/>
      <w:marLeft w:val="0"/>
      <w:marRight w:val="0"/>
      <w:marTop w:val="0"/>
      <w:marBottom w:val="0"/>
      <w:divBdr>
        <w:top w:val="none" w:sz="0" w:space="0" w:color="auto"/>
        <w:left w:val="none" w:sz="0" w:space="0" w:color="auto"/>
        <w:bottom w:val="none" w:sz="0" w:space="0" w:color="auto"/>
        <w:right w:val="none" w:sz="0" w:space="0" w:color="auto"/>
      </w:divBdr>
    </w:div>
    <w:div w:id="1490563386">
      <w:bodyDiv w:val="1"/>
      <w:marLeft w:val="0"/>
      <w:marRight w:val="0"/>
      <w:marTop w:val="0"/>
      <w:marBottom w:val="0"/>
      <w:divBdr>
        <w:top w:val="none" w:sz="0" w:space="0" w:color="auto"/>
        <w:left w:val="none" w:sz="0" w:space="0" w:color="auto"/>
        <w:bottom w:val="none" w:sz="0" w:space="0" w:color="auto"/>
        <w:right w:val="none" w:sz="0" w:space="0" w:color="auto"/>
      </w:divBdr>
    </w:div>
    <w:div w:id="1499737310">
      <w:bodyDiv w:val="1"/>
      <w:marLeft w:val="0"/>
      <w:marRight w:val="0"/>
      <w:marTop w:val="0"/>
      <w:marBottom w:val="0"/>
      <w:divBdr>
        <w:top w:val="none" w:sz="0" w:space="0" w:color="auto"/>
        <w:left w:val="none" w:sz="0" w:space="0" w:color="auto"/>
        <w:bottom w:val="none" w:sz="0" w:space="0" w:color="auto"/>
        <w:right w:val="none" w:sz="0" w:space="0" w:color="auto"/>
      </w:divBdr>
    </w:div>
    <w:div w:id="1558777441">
      <w:bodyDiv w:val="1"/>
      <w:marLeft w:val="0"/>
      <w:marRight w:val="0"/>
      <w:marTop w:val="0"/>
      <w:marBottom w:val="0"/>
      <w:divBdr>
        <w:top w:val="none" w:sz="0" w:space="0" w:color="auto"/>
        <w:left w:val="none" w:sz="0" w:space="0" w:color="auto"/>
        <w:bottom w:val="none" w:sz="0" w:space="0" w:color="auto"/>
        <w:right w:val="none" w:sz="0" w:space="0" w:color="auto"/>
      </w:divBdr>
    </w:div>
    <w:div w:id="1597664346">
      <w:bodyDiv w:val="1"/>
      <w:marLeft w:val="0"/>
      <w:marRight w:val="0"/>
      <w:marTop w:val="0"/>
      <w:marBottom w:val="0"/>
      <w:divBdr>
        <w:top w:val="none" w:sz="0" w:space="0" w:color="auto"/>
        <w:left w:val="none" w:sz="0" w:space="0" w:color="auto"/>
        <w:bottom w:val="none" w:sz="0" w:space="0" w:color="auto"/>
        <w:right w:val="none" w:sz="0" w:space="0" w:color="auto"/>
      </w:divBdr>
    </w:div>
    <w:div w:id="1636718617">
      <w:bodyDiv w:val="1"/>
      <w:marLeft w:val="0"/>
      <w:marRight w:val="0"/>
      <w:marTop w:val="0"/>
      <w:marBottom w:val="0"/>
      <w:divBdr>
        <w:top w:val="none" w:sz="0" w:space="0" w:color="auto"/>
        <w:left w:val="none" w:sz="0" w:space="0" w:color="auto"/>
        <w:bottom w:val="none" w:sz="0" w:space="0" w:color="auto"/>
        <w:right w:val="none" w:sz="0" w:space="0" w:color="auto"/>
      </w:divBdr>
    </w:div>
    <w:div w:id="1692293033">
      <w:bodyDiv w:val="1"/>
      <w:marLeft w:val="0"/>
      <w:marRight w:val="0"/>
      <w:marTop w:val="0"/>
      <w:marBottom w:val="0"/>
      <w:divBdr>
        <w:top w:val="none" w:sz="0" w:space="0" w:color="auto"/>
        <w:left w:val="none" w:sz="0" w:space="0" w:color="auto"/>
        <w:bottom w:val="none" w:sz="0" w:space="0" w:color="auto"/>
        <w:right w:val="none" w:sz="0" w:space="0" w:color="auto"/>
      </w:divBdr>
    </w:div>
    <w:div w:id="1706173993">
      <w:bodyDiv w:val="1"/>
      <w:marLeft w:val="0"/>
      <w:marRight w:val="0"/>
      <w:marTop w:val="0"/>
      <w:marBottom w:val="0"/>
      <w:divBdr>
        <w:top w:val="none" w:sz="0" w:space="0" w:color="auto"/>
        <w:left w:val="none" w:sz="0" w:space="0" w:color="auto"/>
        <w:bottom w:val="none" w:sz="0" w:space="0" w:color="auto"/>
        <w:right w:val="none" w:sz="0" w:space="0" w:color="auto"/>
      </w:divBdr>
    </w:div>
    <w:div w:id="1708137372">
      <w:bodyDiv w:val="1"/>
      <w:marLeft w:val="0"/>
      <w:marRight w:val="0"/>
      <w:marTop w:val="0"/>
      <w:marBottom w:val="0"/>
      <w:divBdr>
        <w:top w:val="none" w:sz="0" w:space="0" w:color="auto"/>
        <w:left w:val="none" w:sz="0" w:space="0" w:color="auto"/>
        <w:bottom w:val="none" w:sz="0" w:space="0" w:color="auto"/>
        <w:right w:val="none" w:sz="0" w:space="0" w:color="auto"/>
      </w:divBdr>
    </w:div>
    <w:div w:id="1764495047">
      <w:bodyDiv w:val="1"/>
      <w:marLeft w:val="0"/>
      <w:marRight w:val="0"/>
      <w:marTop w:val="0"/>
      <w:marBottom w:val="0"/>
      <w:divBdr>
        <w:top w:val="none" w:sz="0" w:space="0" w:color="auto"/>
        <w:left w:val="none" w:sz="0" w:space="0" w:color="auto"/>
        <w:bottom w:val="none" w:sz="0" w:space="0" w:color="auto"/>
        <w:right w:val="none" w:sz="0" w:space="0" w:color="auto"/>
      </w:divBdr>
    </w:div>
    <w:div w:id="1839271660">
      <w:bodyDiv w:val="1"/>
      <w:marLeft w:val="0"/>
      <w:marRight w:val="0"/>
      <w:marTop w:val="0"/>
      <w:marBottom w:val="0"/>
      <w:divBdr>
        <w:top w:val="none" w:sz="0" w:space="0" w:color="auto"/>
        <w:left w:val="none" w:sz="0" w:space="0" w:color="auto"/>
        <w:bottom w:val="none" w:sz="0" w:space="0" w:color="auto"/>
        <w:right w:val="none" w:sz="0" w:space="0" w:color="auto"/>
      </w:divBdr>
    </w:div>
    <w:div w:id="1871841344">
      <w:bodyDiv w:val="1"/>
      <w:marLeft w:val="0"/>
      <w:marRight w:val="0"/>
      <w:marTop w:val="0"/>
      <w:marBottom w:val="0"/>
      <w:divBdr>
        <w:top w:val="none" w:sz="0" w:space="0" w:color="auto"/>
        <w:left w:val="none" w:sz="0" w:space="0" w:color="auto"/>
        <w:bottom w:val="none" w:sz="0" w:space="0" w:color="auto"/>
        <w:right w:val="none" w:sz="0" w:space="0" w:color="auto"/>
      </w:divBdr>
    </w:div>
    <w:div w:id="1890996481">
      <w:bodyDiv w:val="1"/>
      <w:marLeft w:val="0"/>
      <w:marRight w:val="0"/>
      <w:marTop w:val="0"/>
      <w:marBottom w:val="0"/>
      <w:divBdr>
        <w:top w:val="none" w:sz="0" w:space="0" w:color="auto"/>
        <w:left w:val="none" w:sz="0" w:space="0" w:color="auto"/>
        <w:bottom w:val="none" w:sz="0" w:space="0" w:color="auto"/>
        <w:right w:val="none" w:sz="0" w:space="0" w:color="auto"/>
      </w:divBdr>
    </w:div>
    <w:div w:id="1965573483">
      <w:bodyDiv w:val="1"/>
      <w:marLeft w:val="0"/>
      <w:marRight w:val="0"/>
      <w:marTop w:val="0"/>
      <w:marBottom w:val="0"/>
      <w:divBdr>
        <w:top w:val="none" w:sz="0" w:space="0" w:color="auto"/>
        <w:left w:val="none" w:sz="0" w:space="0" w:color="auto"/>
        <w:bottom w:val="none" w:sz="0" w:space="0" w:color="auto"/>
        <w:right w:val="none" w:sz="0" w:space="0" w:color="auto"/>
      </w:divBdr>
    </w:div>
    <w:div w:id="1987540763">
      <w:bodyDiv w:val="1"/>
      <w:marLeft w:val="0"/>
      <w:marRight w:val="0"/>
      <w:marTop w:val="0"/>
      <w:marBottom w:val="0"/>
      <w:divBdr>
        <w:top w:val="none" w:sz="0" w:space="0" w:color="auto"/>
        <w:left w:val="none" w:sz="0" w:space="0" w:color="auto"/>
        <w:bottom w:val="none" w:sz="0" w:space="0" w:color="auto"/>
        <w:right w:val="none" w:sz="0" w:space="0" w:color="auto"/>
      </w:divBdr>
    </w:div>
    <w:div w:id="2063288901">
      <w:bodyDiv w:val="1"/>
      <w:marLeft w:val="0"/>
      <w:marRight w:val="0"/>
      <w:marTop w:val="0"/>
      <w:marBottom w:val="0"/>
      <w:divBdr>
        <w:top w:val="none" w:sz="0" w:space="0" w:color="auto"/>
        <w:left w:val="none" w:sz="0" w:space="0" w:color="auto"/>
        <w:bottom w:val="none" w:sz="0" w:space="0" w:color="auto"/>
        <w:right w:val="none" w:sz="0" w:space="0" w:color="auto"/>
      </w:divBdr>
    </w:div>
    <w:div w:id="2075620527">
      <w:bodyDiv w:val="1"/>
      <w:marLeft w:val="0"/>
      <w:marRight w:val="0"/>
      <w:marTop w:val="0"/>
      <w:marBottom w:val="0"/>
      <w:divBdr>
        <w:top w:val="none" w:sz="0" w:space="0" w:color="auto"/>
        <w:left w:val="none" w:sz="0" w:space="0" w:color="auto"/>
        <w:bottom w:val="none" w:sz="0" w:space="0" w:color="auto"/>
        <w:right w:val="none" w:sz="0" w:space="0" w:color="auto"/>
      </w:divBdr>
    </w:div>
    <w:div w:id="2076079043">
      <w:bodyDiv w:val="1"/>
      <w:marLeft w:val="0"/>
      <w:marRight w:val="0"/>
      <w:marTop w:val="0"/>
      <w:marBottom w:val="0"/>
      <w:divBdr>
        <w:top w:val="none" w:sz="0" w:space="0" w:color="auto"/>
        <w:left w:val="none" w:sz="0" w:space="0" w:color="auto"/>
        <w:bottom w:val="none" w:sz="0" w:space="0" w:color="auto"/>
        <w:right w:val="none" w:sz="0" w:space="0" w:color="auto"/>
      </w:divBdr>
    </w:div>
    <w:div w:id="212102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Mal69</b:Tag>
    <b:SourceType>JournalArticle</b:SourceType>
    <b:Guid>{7D142EDF-344B-4140-9491-346E1EC4C610}</b:Guid>
    <b:Title>Recognition for faces of own and other race</b:Title>
    <b:Year>1969</b:Year>
    <b:JournalName>Journal of Personality and Social Psychology</b:JournalName>
    <b:Pages>330-334</b:Pages>
    <b:Author>
      <b:Author>
        <b:NameList>
          <b:Person>
            <b:Last>Malpass</b:Last>
            <b:Middle>S</b:Middle>
            <b:First>Roy</b:First>
          </b:Person>
          <b:Person>
            <b:Last>Kravitz</b:Last>
            <b:First>Jerome</b:First>
          </b:Person>
        </b:NameList>
      </b:Author>
    </b:Author>
    <b:Volume>13</b:Volume>
    <b:Issue>4</b:Issue>
    <b:RefOrder>3</b:RefOrder>
  </b:Source>
  <b:Source>
    <b:Tag>Val91</b:Tag>
    <b:SourceType>JournalArticle</b:SourceType>
    <b:Guid>{4B6DD443-9ADA-4DA4-B0C4-1735FAC6728A}</b:Guid>
    <b:Title>A Unified Account of the Effects of Distinctiveness, Inversion and Race in Face Recognition</b:Title>
    <b:JournalName>The Quarterly Journal of Experimental Psychology</b:JournalName>
    <b:Year>1991</b:Year>
    <b:Pages>161-204</b:Pages>
    <b:Volume>43A</b:Volume>
    <b:Issue>2</b:Issue>
    <b:Author>
      <b:Author>
        <b:NameList>
          <b:Person>
            <b:Last>Valentine</b:Last>
            <b:First>Tim</b:First>
          </b:Person>
        </b:NameList>
      </b:Author>
    </b:Author>
    <b:RefOrder>7</b:RefOrder>
  </b:Source>
  <b:Source>
    <b:Tag>Chi95</b:Tag>
    <b:SourceType>JournalArticle</b:SourceType>
    <b:Guid>{B7AE85F1-EE44-413E-AF01-8E866EB8132B}</b:Guid>
    <b:Title>An Investigation of the Contact Hypothesis of the Own-race Bias in Face Recognition</b:Title>
    <b:JournalName>The Quarterly Journal of Experimental Psychology</b:JournalName>
    <b:Year>1995</b:Year>
    <b:Pages>879-894</b:Pages>
    <b:Author>
      <b:Author>
        <b:NameList>
          <b:Person>
            <b:Last>Chiroro</b:Last>
            <b:First>Patrick</b:First>
          </b:Person>
          <b:Person>
            <b:Last>Valentine</b:Last>
            <b:First>Tim</b:First>
          </b:Person>
        </b:NameList>
      </b:Author>
    </b:Author>
    <b:Volume>48A</b:Volume>
    <b:Issue>4</b:Issue>
    <b:RefOrder>1</b:RefOrder>
  </b:Source>
  <b:Source>
    <b:Tag>Mei01</b:Tag>
    <b:SourceType>JournalArticle</b:SourceType>
    <b:Guid>{341AF27B-1A10-4CEE-A6D4-A264D1DC7522}</b:Guid>
    <b:Title>Thirty years of investigating the own-race bias in memory for faces: A Meta-Analytic Review</b:Title>
    <b:JournalName>Psychology, Public Policy, and Law</b:JournalName>
    <b:Year>2001</b:Year>
    <b:Pages>3-35</b:Pages>
    <b:Volume>7</b:Volume>
    <b:Issue>1</b:Issue>
    <b:DOI>10.1037//1076-8971.7.1.3</b:DOI>
    <b:Author>
      <b:Author>
        <b:NameList>
          <b:Person>
            <b:Last>Meissner</b:Last>
            <b:Middle>A</b:Middle>
            <b:First>Christian</b:First>
          </b:Person>
          <b:Person>
            <b:Last>Brigham</b:Last>
            <b:Middle>C</b:Middle>
            <b:First>John</b:First>
          </b:Person>
        </b:NameList>
      </b:Author>
    </b:Author>
    <b:RefOrder>4</b:RefOrder>
  </b:Source>
  <b:Source>
    <b:Tag>Hor08</b:Tag>
    <b:SourceType>JournalArticle</b:SourceType>
    <b:Guid>{5F90B23C-B2EC-4A7D-97FC-64A9DB2418A4}</b:Guid>
    <b:Title>I know your face but not where I saw you: Context memory is impaired for other-race faces</b:Title>
    <b:JournalName>Psychonomic Bulletin &amp; Review</b:JournalName>
    <b:Year>2008</b:Year>
    <b:Pages>610-614</b:Pages>
    <b:Volume>15</b:Volume>
    <b:Issue>3</b:Issue>
    <b:DOI>10.3758/PBR.15.3.610</b:DOI>
    <b:Author>
      <b:Author>
        <b:NameList>
          <b:Person>
            <b:Last>Horry</b:Last>
            <b:First>Ruth</b:First>
          </b:Person>
          <b:Person>
            <b:Last>Wright</b:Last>
            <b:Middle>B</b:Middle>
            <b:First>Daniel</b:First>
          </b:Person>
        </b:NameList>
      </b:Author>
    </b:Author>
    <b:RefOrder>2</b:RefOrder>
  </b:Source>
  <b:Source>
    <b:Tag>Spo11</b:Tag>
    <b:SourceType>JournalArticle</b:SourceType>
    <b:Guid>{F5D07FD1-5CAE-4BD1-BD93-035AAFC995E3}</b:Guid>
    <b:Title>Recognizing Faces from Ethnic In-groups and Out-groups: Importance of Outer Face Features and Effects of Retention Interval</b:Title>
    <b:JournalName>Applied Cognitive Psychology</b:JournalName>
    <b:Year>2011</b:Year>
    <b:Pages>424-431</b:Pages>
    <b:Volume>25</b:Volume>
    <b:Issue>3</b:Issue>
    <b:DOI>10.1002/acp.1709</b:DOI>
    <b:Author>
      <b:Author>
        <b:NameList>
          <b:Person>
            <b:Last>Sporer</b:Last>
            <b:Middle>L</b:Middle>
            <b:First>Siegfried</b:First>
          </b:Person>
          <b:Person>
            <b:Last>Horry</b:Last>
            <b:First>R</b:First>
          </b:Person>
        </b:NameList>
      </b:Author>
    </b:Author>
    <b:RefOrder>8</b:RefOrder>
  </b:Source>
  <b:Source>
    <b:Tag>Hor15</b:Tag>
    <b:SourceType>JournalArticle</b:SourceType>
    <b:Guid>{0B58FDA0-6906-4D7A-930D-69DCC7C59D4A}</b:Guid>
    <b:Title>The Other-Race Effect in Perception and Recognition: Insights From the Complete Composite Task</b:Title>
    <b:JournalName>Journal of Experimental Psychology: Human Perception and Performance</b:JournalName>
    <b:Year>2015</b:Year>
    <b:Pages>508-524</b:Pages>
    <b:Volume>41</b:Volume>
    <b:Issue>2</b:Issue>
    <b:DOI>http://dx.doi.org/10.1037/xhp0000042</b:DOI>
    <b:Author>
      <b:Author>
        <b:NameList>
          <b:Person>
            <b:Last>Horry</b:Last>
            <b:First>Ruth</b:First>
          </b:Person>
          <b:Person>
            <b:Last>Cheong</b:Last>
            <b:First>Winnee</b:First>
          </b:Person>
          <b:Person>
            <b:Last>Brewer</b:Last>
            <b:First>Neil</b:First>
          </b:Person>
        </b:NameList>
      </b:Author>
    </b:Author>
    <b:RefOrder>6</b:RefOrder>
  </b:Source>
  <b:Source>
    <b:Tag>Hor</b:Tag>
    <b:SourceType>JournalArticle</b:SourceType>
    <b:Guid>{60E01D19-AF3E-47DE-85A4-9B3A026AEF41}</b:Guid>
    <b:Title>Recognition and context memory for faces  from own and other ethnic groups: A remember–know investigation</b:Title>
    <b:JournalName>Memory &amp; Cognition</b:JournalName>
    <b:Pages>134-141</b:Pages>
    <b:Month>2010</b:Month>
    <b:Volume>38</b:Volume>
    <b:Issue>2</b:Issue>
    <b:DOI>10.3758/MC.38.2.134</b:DOI>
    <b:Author>
      <b:Author>
        <b:NameList>
          <b:Person>
            <b:Last>Horry</b:Last>
            <b:First>Ruth</b:First>
          </b:Person>
          <b:Person>
            <b:Last>Wright</b:Last>
            <b:Middle>B</b:Middle>
            <b:First>Daniel</b:First>
          </b:Person>
          <b:Person>
            <b:Last>Tredoux</b:Last>
            <b:Middle>G</b:Middle>
            <b:First>Colin</b:First>
          </b:Person>
        </b:NameList>
      </b:Author>
    </b:Author>
    <b:Year>2010</b:Year>
    <b:RefOrder>5</b:RefOrder>
  </b:Source>
  <b:Source>
    <b:Tag>Fis91</b:Tag>
    <b:SourceType>Book</b:SourceType>
    <b:Guid>{EE90572A-A069-42C9-8257-6994C76D0879}</b:Guid>
    <b:Title>Social Cognition</b:Title>
    <b:Year>1991</b:Year>
    <b:City>New York</b:City>
    <b:Publisher>McGraw Hill</b:Publisher>
    <b:Edition>2nd</b:Edition>
    <b:Author>
      <b:Author>
        <b:NameList>
          <b:Person>
            <b:Last>Fiske</b:Last>
            <b:Middle>T</b:Middle>
            <b:First>Susan</b:First>
          </b:Person>
          <b:Person>
            <b:Last>Taylor</b:Last>
            <b:Middle>E</b:Middle>
            <b:First>Shelley</b:First>
          </b:Person>
        </b:NameList>
      </b:Author>
    </b:Author>
    <b:RefOrder>9</b:RefOrder>
  </b:Source>
</b:Sources>
</file>

<file path=customXml/itemProps1.xml><?xml version="1.0" encoding="utf-8"?>
<ds:datastoreItem xmlns:ds="http://schemas.openxmlformats.org/officeDocument/2006/customXml" ds:itemID="{9562B18C-838D-4A80-974A-090734D39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7</Pages>
  <Words>1336</Words>
  <Characters>7618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Morgan (0851699)</dc:creator>
  <cp:keywords/>
  <dc:description/>
  <cp:lastModifiedBy>Sean Morgan</cp:lastModifiedBy>
  <cp:revision>11</cp:revision>
  <dcterms:created xsi:type="dcterms:W3CDTF">2018-03-09T07:47:00Z</dcterms:created>
  <dcterms:modified xsi:type="dcterms:W3CDTF">2018-03-15T11:57:00Z</dcterms:modified>
</cp:coreProperties>
</file>