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006097119"/>
        <w:docPartObj>
          <w:docPartGallery w:val="Cover Pages"/>
          <w:docPartUnique/>
        </w:docPartObj>
      </w:sdtPr>
      <w:sdtEndPr>
        <w:rPr>
          <w:rFonts w:eastAsiaTheme="minorHAnsi"/>
          <w:color w:val="auto"/>
          <w:kern w:val="2"/>
          <w:sz w:val="24"/>
          <w:szCs w:val="24"/>
          <w:lang w:val="en-GB"/>
          <w14:ligatures w14:val="standardContextual"/>
        </w:rPr>
      </w:sdtEndPr>
      <w:sdtContent>
        <w:p w14:paraId="0EB018CA" w14:textId="1739C30A" w:rsidR="00BD41D1" w:rsidRDefault="00BD41D1">
          <w:pPr>
            <w:pStyle w:val="NoSpacing"/>
            <w:spacing w:before="1540" w:after="240"/>
            <w:jc w:val="center"/>
            <w:rPr>
              <w:color w:val="156082" w:themeColor="accent1"/>
            </w:rPr>
          </w:pPr>
          <w:r>
            <w:rPr>
              <w:noProof/>
              <w:color w:val="156082" w:themeColor="accent1"/>
            </w:rPr>
            <w:drawing>
              <wp:inline distT="0" distB="0" distL="0" distR="0" wp14:anchorId="74A4F451" wp14:editId="773DCC1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07ECD8E5834451888B6D4238F166C2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B3A6AC" w14:textId="46906013" w:rsidR="00BD41D1" w:rsidRDefault="00751A8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International Financial management</w:t>
              </w:r>
            </w:p>
          </w:sdtContent>
        </w:sdt>
        <w:sdt>
          <w:sdtPr>
            <w:rPr>
              <w:rFonts w:ascii="Times New Roman" w:hAnsi="Times New Roman" w:cs="Times New Roman"/>
              <w:color w:val="156082" w:themeColor="accent1"/>
              <w:sz w:val="28"/>
              <w:szCs w:val="28"/>
            </w:rPr>
            <w:alias w:val="Subtitle"/>
            <w:tag w:val=""/>
            <w:id w:val="328029620"/>
            <w:placeholder>
              <w:docPart w:val="B40907A8E7BC4E44BE5EB212E4C45BEE"/>
            </w:placeholder>
            <w:dataBinding w:prefixMappings="xmlns:ns0='http://purl.org/dc/elements/1.1/' xmlns:ns1='http://schemas.openxmlformats.org/package/2006/metadata/core-properties' " w:xpath="/ns1:coreProperties[1]/ns0:subject[1]" w:storeItemID="{6C3C8BC8-F283-45AE-878A-BAB7291924A1}"/>
            <w:text/>
          </w:sdtPr>
          <w:sdtContent>
            <w:p w14:paraId="4B0DCB2F" w14:textId="448D3543" w:rsidR="00BD41D1" w:rsidRPr="00751A8F" w:rsidRDefault="00751A8F">
              <w:pPr>
                <w:pStyle w:val="NoSpacing"/>
                <w:jc w:val="center"/>
                <w:rPr>
                  <w:rFonts w:ascii="Times New Roman" w:hAnsi="Times New Roman" w:cs="Times New Roman"/>
                  <w:color w:val="156082" w:themeColor="accent1"/>
                  <w:sz w:val="28"/>
                  <w:szCs w:val="28"/>
                </w:rPr>
              </w:pPr>
              <w:r w:rsidRPr="00751A8F">
                <w:rPr>
                  <w:rFonts w:ascii="Times New Roman" w:hAnsi="Times New Roman" w:cs="Times New Roman"/>
                  <w:color w:val="156082" w:themeColor="accent1"/>
                  <w:sz w:val="28"/>
                  <w:szCs w:val="28"/>
                </w:rPr>
                <w:t>Written Report</w:t>
              </w:r>
            </w:p>
          </w:sdtContent>
        </w:sdt>
        <w:p w14:paraId="6B38947A" w14:textId="77777777" w:rsidR="00BD41D1" w:rsidRDefault="00BD41D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8CCB57A" wp14:editId="70E0715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3T00:00:00Z">
                                    <w:dateFormat w:val="MMMM d, yyyy"/>
                                    <w:lid w:val="en-US"/>
                                    <w:storeMappedDataAs w:val="dateTime"/>
                                    <w:calendar w:val="gregorian"/>
                                  </w:date>
                                </w:sdtPr>
                                <w:sdtContent>
                                  <w:p w14:paraId="4AF9E805" w14:textId="7E9209ED" w:rsidR="00BD41D1" w:rsidRDefault="00BD41D1">
                                    <w:pPr>
                                      <w:pStyle w:val="NoSpacing"/>
                                      <w:spacing w:after="40"/>
                                      <w:jc w:val="center"/>
                                      <w:rPr>
                                        <w:caps/>
                                        <w:color w:val="156082" w:themeColor="accent1"/>
                                        <w:sz w:val="28"/>
                                        <w:szCs w:val="28"/>
                                      </w:rPr>
                                    </w:pPr>
                                    <w:r>
                                      <w:rPr>
                                        <w:caps/>
                                        <w:color w:val="156082" w:themeColor="accent1"/>
                                        <w:sz w:val="28"/>
                                        <w:szCs w:val="28"/>
                                      </w:rPr>
                                      <w:t>February 23, 2025</w:t>
                                    </w:r>
                                  </w:p>
                                </w:sdtContent>
                              </w:sdt>
                              <w:p w14:paraId="7046D7B0" w14:textId="38860F88" w:rsidR="00BD41D1" w:rsidRDefault="00BD41D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68CD6CE7" w14:textId="50BC51C2" w:rsidR="00BD41D1" w:rsidRDefault="00BD41D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Birmingham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8CCB57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3T00:00:00Z">
                              <w:dateFormat w:val="MMMM d, yyyy"/>
                              <w:lid w:val="en-US"/>
                              <w:storeMappedDataAs w:val="dateTime"/>
                              <w:calendar w:val="gregorian"/>
                            </w:date>
                          </w:sdtPr>
                          <w:sdtContent>
                            <w:p w14:paraId="4AF9E805" w14:textId="7E9209ED" w:rsidR="00BD41D1" w:rsidRDefault="00BD41D1">
                              <w:pPr>
                                <w:pStyle w:val="NoSpacing"/>
                                <w:spacing w:after="40"/>
                                <w:jc w:val="center"/>
                                <w:rPr>
                                  <w:caps/>
                                  <w:color w:val="156082" w:themeColor="accent1"/>
                                  <w:sz w:val="28"/>
                                  <w:szCs w:val="28"/>
                                </w:rPr>
                              </w:pPr>
                              <w:r>
                                <w:rPr>
                                  <w:caps/>
                                  <w:color w:val="156082" w:themeColor="accent1"/>
                                  <w:sz w:val="28"/>
                                  <w:szCs w:val="28"/>
                                </w:rPr>
                                <w:t>February 23, 2025</w:t>
                              </w:r>
                            </w:p>
                          </w:sdtContent>
                        </w:sdt>
                        <w:p w14:paraId="7046D7B0" w14:textId="38860F88" w:rsidR="00BD41D1" w:rsidRDefault="00BD41D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68CD6CE7" w14:textId="50BC51C2" w:rsidR="00BD41D1" w:rsidRDefault="00BD41D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Birmingham</w:t>
                          </w:r>
                        </w:p>
                      </w:txbxContent>
                    </v:textbox>
                    <w10:wrap anchorx="margin" anchory="page"/>
                  </v:shape>
                </w:pict>
              </mc:Fallback>
            </mc:AlternateContent>
          </w:r>
          <w:r>
            <w:rPr>
              <w:noProof/>
              <w:color w:val="156082" w:themeColor="accent1"/>
            </w:rPr>
            <w:drawing>
              <wp:inline distT="0" distB="0" distL="0" distR="0" wp14:anchorId="3836FFAC" wp14:editId="30FB446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600791" w14:textId="77777777" w:rsidR="00E51C16" w:rsidRDefault="00E51C16">
          <w:pPr>
            <w:rPr>
              <w:rFonts w:ascii="Times New Roman" w:hAnsi="Times New Roman" w:cs="Times New Roman"/>
            </w:rPr>
          </w:pPr>
          <w:r>
            <w:rPr>
              <w:rFonts w:ascii="Times New Roman" w:hAnsi="Times New Roman" w:cs="Times New Roman"/>
            </w:rPr>
            <w:t>By</w:t>
          </w:r>
        </w:p>
        <w:p w14:paraId="59525ED8" w14:textId="77777777" w:rsidR="00E51C16" w:rsidRDefault="00E51C16">
          <w:pPr>
            <w:rPr>
              <w:rFonts w:ascii="Times New Roman" w:hAnsi="Times New Roman" w:cs="Times New Roman"/>
            </w:rPr>
          </w:pPr>
          <w:r>
            <w:rPr>
              <w:rFonts w:ascii="Times New Roman" w:hAnsi="Times New Roman" w:cs="Times New Roman"/>
            </w:rPr>
            <w:t>Andzhela Toneva</w:t>
          </w:r>
        </w:p>
        <w:p w14:paraId="3C0C900F" w14:textId="77777777" w:rsidR="00E51C16" w:rsidRDefault="00E51C16">
          <w:pPr>
            <w:rPr>
              <w:rFonts w:ascii="Times New Roman" w:hAnsi="Times New Roman" w:cs="Times New Roman"/>
            </w:rPr>
          </w:pPr>
          <w:r>
            <w:rPr>
              <w:rFonts w:ascii="Times New Roman" w:hAnsi="Times New Roman" w:cs="Times New Roman"/>
            </w:rPr>
            <w:t>ID: 2217837</w:t>
          </w:r>
        </w:p>
        <w:p w14:paraId="2133F85A" w14:textId="77777777" w:rsidR="00E51C16" w:rsidRDefault="00E51C16">
          <w:pPr>
            <w:rPr>
              <w:rFonts w:ascii="Times New Roman" w:hAnsi="Times New Roman" w:cs="Times New Roman"/>
            </w:rPr>
          </w:pPr>
          <w:r>
            <w:rPr>
              <w:rFonts w:ascii="Times New Roman" w:hAnsi="Times New Roman" w:cs="Times New Roman"/>
            </w:rPr>
            <w:t>Course: Business Management</w:t>
          </w:r>
        </w:p>
        <w:p w14:paraId="1056B723" w14:textId="77777777" w:rsidR="00E51C16" w:rsidRDefault="00E51C16">
          <w:pPr>
            <w:rPr>
              <w:rFonts w:ascii="Times New Roman" w:hAnsi="Times New Roman" w:cs="Times New Roman"/>
            </w:rPr>
          </w:pPr>
          <w:r>
            <w:rPr>
              <w:rFonts w:ascii="Times New Roman" w:hAnsi="Times New Roman" w:cs="Times New Roman"/>
            </w:rPr>
            <w:t>Module: International Financial Management LCBB6002</w:t>
          </w:r>
        </w:p>
        <w:p w14:paraId="6C87EE11" w14:textId="6B619E51" w:rsidR="00BD41D1" w:rsidRDefault="00E51C16">
          <w:r>
            <w:rPr>
              <w:rFonts w:ascii="Times New Roman" w:hAnsi="Times New Roman" w:cs="Times New Roman"/>
            </w:rPr>
            <w:t>Module Leader: Dr Mudassar Hasan</w:t>
          </w:r>
          <w:r w:rsidR="00BD41D1">
            <w:br w:type="page"/>
          </w:r>
        </w:p>
      </w:sdtContent>
    </w:sdt>
    <w:p w14:paraId="6BFE58A5" w14:textId="77777777" w:rsidR="00BD41D1" w:rsidRDefault="00BD41D1"/>
    <w:sdt>
      <w:sdtPr>
        <w:id w:val="44249764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1700D05" w14:textId="6089452D" w:rsidR="004C31B2" w:rsidRDefault="004C31B2">
          <w:pPr>
            <w:pStyle w:val="TOCHeading"/>
          </w:pPr>
          <w:r>
            <w:t>Contents</w:t>
          </w:r>
        </w:p>
        <w:p w14:paraId="089782F4" w14:textId="765E515B" w:rsidR="004C31B2" w:rsidRDefault="004C31B2">
          <w:pPr>
            <w:pStyle w:val="TOC1"/>
            <w:tabs>
              <w:tab w:val="right" w:leader="dot" w:pos="9016"/>
            </w:tabs>
            <w:rPr>
              <w:noProof/>
            </w:rPr>
          </w:pPr>
          <w:r>
            <w:fldChar w:fldCharType="begin"/>
          </w:r>
          <w:r>
            <w:instrText xml:space="preserve"> TOC \o "1-3" \h \z \u </w:instrText>
          </w:r>
          <w:r>
            <w:fldChar w:fldCharType="separate"/>
          </w:r>
          <w:hyperlink w:anchor="_Toc191058227" w:history="1">
            <w:r w:rsidRPr="000E2A06">
              <w:rPr>
                <w:rStyle w:val="Hyperlink"/>
                <w:rFonts w:eastAsia="Times New Roman"/>
                <w:noProof/>
              </w:rPr>
              <w:t>Executive Summary</w:t>
            </w:r>
            <w:r>
              <w:rPr>
                <w:noProof/>
                <w:webHidden/>
              </w:rPr>
              <w:tab/>
            </w:r>
            <w:r>
              <w:rPr>
                <w:noProof/>
                <w:webHidden/>
              </w:rPr>
              <w:fldChar w:fldCharType="begin"/>
            </w:r>
            <w:r>
              <w:rPr>
                <w:noProof/>
                <w:webHidden/>
              </w:rPr>
              <w:instrText xml:space="preserve"> PAGEREF _Toc191058227 \h </w:instrText>
            </w:r>
            <w:r>
              <w:rPr>
                <w:noProof/>
                <w:webHidden/>
              </w:rPr>
            </w:r>
            <w:r>
              <w:rPr>
                <w:noProof/>
                <w:webHidden/>
              </w:rPr>
              <w:fldChar w:fldCharType="separate"/>
            </w:r>
            <w:r w:rsidR="00860921">
              <w:rPr>
                <w:noProof/>
                <w:webHidden/>
              </w:rPr>
              <w:t>2</w:t>
            </w:r>
            <w:r>
              <w:rPr>
                <w:noProof/>
                <w:webHidden/>
              </w:rPr>
              <w:fldChar w:fldCharType="end"/>
            </w:r>
          </w:hyperlink>
        </w:p>
        <w:p w14:paraId="378784A3" w14:textId="682433D8" w:rsidR="004C31B2" w:rsidRDefault="004C31B2">
          <w:pPr>
            <w:pStyle w:val="TOC1"/>
            <w:tabs>
              <w:tab w:val="right" w:leader="dot" w:pos="9016"/>
            </w:tabs>
            <w:rPr>
              <w:noProof/>
            </w:rPr>
          </w:pPr>
          <w:hyperlink w:anchor="_Toc191058228" w:history="1">
            <w:r w:rsidRPr="000E2A06">
              <w:rPr>
                <w:rStyle w:val="Hyperlink"/>
                <w:noProof/>
              </w:rPr>
              <w:t>Introduction</w:t>
            </w:r>
            <w:r>
              <w:rPr>
                <w:noProof/>
                <w:webHidden/>
              </w:rPr>
              <w:tab/>
            </w:r>
            <w:r>
              <w:rPr>
                <w:noProof/>
                <w:webHidden/>
              </w:rPr>
              <w:fldChar w:fldCharType="begin"/>
            </w:r>
            <w:r>
              <w:rPr>
                <w:noProof/>
                <w:webHidden/>
              </w:rPr>
              <w:instrText xml:space="preserve"> PAGEREF _Toc191058228 \h </w:instrText>
            </w:r>
            <w:r>
              <w:rPr>
                <w:noProof/>
                <w:webHidden/>
              </w:rPr>
            </w:r>
            <w:r>
              <w:rPr>
                <w:noProof/>
                <w:webHidden/>
              </w:rPr>
              <w:fldChar w:fldCharType="separate"/>
            </w:r>
            <w:r w:rsidR="00860921">
              <w:rPr>
                <w:noProof/>
                <w:webHidden/>
              </w:rPr>
              <w:t>3</w:t>
            </w:r>
            <w:r>
              <w:rPr>
                <w:noProof/>
                <w:webHidden/>
              </w:rPr>
              <w:fldChar w:fldCharType="end"/>
            </w:r>
          </w:hyperlink>
        </w:p>
        <w:p w14:paraId="64F82B51" w14:textId="3F7282A2" w:rsidR="004C31B2" w:rsidRDefault="004C31B2">
          <w:pPr>
            <w:pStyle w:val="TOC1"/>
            <w:tabs>
              <w:tab w:val="right" w:leader="dot" w:pos="9016"/>
            </w:tabs>
            <w:rPr>
              <w:noProof/>
            </w:rPr>
          </w:pPr>
          <w:hyperlink w:anchor="_Toc191058229" w:history="1">
            <w:r w:rsidRPr="000E2A06">
              <w:rPr>
                <w:rStyle w:val="Hyperlink"/>
                <w:noProof/>
              </w:rPr>
              <w:t>Discussion of Findings</w:t>
            </w:r>
            <w:r>
              <w:rPr>
                <w:noProof/>
                <w:webHidden/>
              </w:rPr>
              <w:tab/>
            </w:r>
            <w:r>
              <w:rPr>
                <w:noProof/>
                <w:webHidden/>
              </w:rPr>
              <w:fldChar w:fldCharType="begin"/>
            </w:r>
            <w:r>
              <w:rPr>
                <w:noProof/>
                <w:webHidden/>
              </w:rPr>
              <w:instrText xml:space="preserve"> PAGEREF _Toc191058229 \h </w:instrText>
            </w:r>
            <w:r>
              <w:rPr>
                <w:noProof/>
                <w:webHidden/>
              </w:rPr>
            </w:r>
            <w:r>
              <w:rPr>
                <w:noProof/>
                <w:webHidden/>
              </w:rPr>
              <w:fldChar w:fldCharType="separate"/>
            </w:r>
            <w:r w:rsidR="00860921">
              <w:rPr>
                <w:noProof/>
                <w:webHidden/>
              </w:rPr>
              <w:t>3</w:t>
            </w:r>
            <w:r>
              <w:rPr>
                <w:noProof/>
                <w:webHidden/>
              </w:rPr>
              <w:fldChar w:fldCharType="end"/>
            </w:r>
          </w:hyperlink>
        </w:p>
        <w:p w14:paraId="1FA2B4EB" w14:textId="54236003" w:rsidR="004C31B2" w:rsidRDefault="004C31B2">
          <w:pPr>
            <w:pStyle w:val="TOC2"/>
            <w:tabs>
              <w:tab w:val="right" w:leader="dot" w:pos="9016"/>
            </w:tabs>
            <w:rPr>
              <w:noProof/>
            </w:rPr>
          </w:pPr>
          <w:hyperlink w:anchor="_Toc191058230" w:history="1">
            <w:r w:rsidRPr="000E2A06">
              <w:rPr>
                <w:rStyle w:val="Hyperlink"/>
                <w:noProof/>
              </w:rPr>
              <w:t>Corporate Governance and Agency Theory</w:t>
            </w:r>
            <w:r>
              <w:rPr>
                <w:noProof/>
                <w:webHidden/>
              </w:rPr>
              <w:tab/>
            </w:r>
            <w:r>
              <w:rPr>
                <w:noProof/>
                <w:webHidden/>
              </w:rPr>
              <w:fldChar w:fldCharType="begin"/>
            </w:r>
            <w:r>
              <w:rPr>
                <w:noProof/>
                <w:webHidden/>
              </w:rPr>
              <w:instrText xml:space="preserve"> PAGEREF _Toc191058230 \h </w:instrText>
            </w:r>
            <w:r>
              <w:rPr>
                <w:noProof/>
                <w:webHidden/>
              </w:rPr>
            </w:r>
            <w:r>
              <w:rPr>
                <w:noProof/>
                <w:webHidden/>
              </w:rPr>
              <w:fldChar w:fldCharType="separate"/>
            </w:r>
            <w:r w:rsidR="00860921">
              <w:rPr>
                <w:noProof/>
                <w:webHidden/>
              </w:rPr>
              <w:t>3</w:t>
            </w:r>
            <w:r>
              <w:rPr>
                <w:noProof/>
                <w:webHidden/>
              </w:rPr>
              <w:fldChar w:fldCharType="end"/>
            </w:r>
          </w:hyperlink>
        </w:p>
        <w:p w14:paraId="400363D4" w14:textId="3A1268AC" w:rsidR="004C31B2" w:rsidRDefault="004C31B2">
          <w:pPr>
            <w:pStyle w:val="TOC3"/>
            <w:tabs>
              <w:tab w:val="right" w:leader="dot" w:pos="9016"/>
            </w:tabs>
            <w:rPr>
              <w:noProof/>
            </w:rPr>
          </w:pPr>
          <w:hyperlink w:anchor="_Toc191058231" w:history="1">
            <w:r w:rsidRPr="000E2A06">
              <w:rPr>
                <w:rStyle w:val="Hyperlink"/>
                <w:rFonts w:ascii="Arial" w:hAnsi="Arial" w:cs="Arial"/>
                <w:b/>
                <w:bCs/>
                <w:noProof/>
              </w:rPr>
              <w:t>Corporate Governance</w:t>
            </w:r>
            <w:r>
              <w:rPr>
                <w:noProof/>
                <w:webHidden/>
              </w:rPr>
              <w:tab/>
            </w:r>
            <w:r>
              <w:rPr>
                <w:noProof/>
                <w:webHidden/>
              </w:rPr>
              <w:fldChar w:fldCharType="begin"/>
            </w:r>
            <w:r>
              <w:rPr>
                <w:noProof/>
                <w:webHidden/>
              </w:rPr>
              <w:instrText xml:space="preserve"> PAGEREF _Toc191058231 \h </w:instrText>
            </w:r>
            <w:r>
              <w:rPr>
                <w:noProof/>
                <w:webHidden/>
              </w:rPr>
            </w:r>
            <w:r>
              <w:rPr>
                <w:noProof/>
                <w:webHidden/>
              </w:rPr>
              <w:fldChar w:fldCharType="separate"/>
            </w:r>
            <w:r w:rsidR="00860921">
              <w:rPr>
                <w:noProof/>
                <w:webHidden/>
              </w:rPr>
              <w:t>3</w:t>
            </w:r>
            <w:r>
              <w:rPr>
                <w:noProof/>
                <w:webHidden/>
              </w:rPr>
              <w:fldChar w:fldCharType="end"/>
            </w:r>
          </w:hyperlink>
        </w:p>
        <w:p w14:paraId="5D19884B" w14:textId="789EE688" w:rsidR="004C31B2" w:rsidRDefault="004C31B2">
          <w:pPr>
            <w:pStyle w:val="TOC3"/>
            <w:tabs>
              <w:tab w:val="right" w:leader="dot" w:pos="9016"/>
            </w:tabs>
            <w:rPr>
              <w:noProof/>
            </w:rPr>
          </w:pPr>
          <w:hyperlink w:anchor="_Toc191058232" w:history="1">
            <w:r w:rsidRPr="000E2A06">
              <w:rPr>
                <w:rStyle w:val="Hyperlink"/>
                <w:rFonts w:eastAsia="Times New Roman"/>
                <w:noProof/>
              </w:rPr>
              <w:t>Agency Theory</w:t>
            </w:r>
            <w:r>
              <w:rPr>
                <w:noProof/>
                <w:webHidden/>
              </w:rPr>
              <w:tab/>
            </w:r>
            <w:r>
              <w:rPr>
                <w:noProof/>
                <w:webHidden/>
              </w:rPr>
              <w:fldChar w:fldCharType="begin"/>
            </w:r>
            <w:r>
              <w:rPr>
                <w:noProof/>
                <w:webHidden/>
              </w:rPr>
              <w:instrText xml:space="preserve"> PAGEREF _Toc191058232 \h </w:instrText>
            </w:r>
            <w:r>
              <w:rPr>
                <w:noProof/>
                <w:webHidden/>
              </w:rPr>
            </w:r>
            <w:r>
              <w:rPr>
                <w:noProof/>
                <w:webHidden/>
              </w:rPr>
              <w:fldChar w:fldCharType="separate"/>
            </w:r>
            <w:r w:rsidR="00860921">
              <w:rPr>
                <w:noProof/>
                <w:webHidden/>
              </w:rPr>
              <w:t>4</w:t>
            </w:r>
            <w:r>
              <w:rPr>
                <w:noProof/>
                <w:webHidden/>
              </w:rPr>
              <w:fldChar w:fldCharType="end"/>
            </w:r>
          </w:hyperlink>
        </w:p>
        <w:p w14:paraId="378E7BA4" w14:textId="08499049" w:rsidR="004C31B2" w:rsidRDefault="004C31B2">
          <w:pPr>
            <w:pStyle w:val="TOC1"/>
            <w:tabs>
              <w:tab w:val="right" w:leader="dot" w:pos="9016"/>
            </w:tabs>
            <w:rPr>
              <w:noProof/>
            </w:rPr>
          </w:pPr>
          <w:hyperlink w:anchor="_Toc191058233" w:history="1">
            <w:r w:rsidRPr="000E2A06">
              <w:rPr>
                <w:rStyle w:val="Hyperlink"/>
                <w:noProof/>
              </w:rPr>
              <w:t>Retaining Control with 30% Shareholding</w:t>
            </w:r>
            <w:r>
              <w:rPr>
                <w:noProof/>
                <w:webHidden/>
              </w:rPr>
              <w:tab/>
            </w:r>
            <w:r>
              <w:rPr>
                <w:noProof/>
                <w:webHidden/>
              </w:rPr>
              <w:fldChar w:fldCharType="begin"/>
            </w:r>
            <w:r>
              <w:rPr>
                <w:noProof/>
                <w:webHidden/>
              </w:rPr>
              <w:instrText xml:space="preserve"> PAGEREF _Toc191058233 \h </w:instrText>
            </w:r>
            <w:r>
              <w:rPr>
                <w:noProof/>
                <w:webHidden/>
              </w:rPr>
            </w:r>
            <w:r>
              <w:rPr>
                <w:noProof/>
                <w:webHidden/>
              </w:rPr>
              <w:fldChar w:fldCharType="separate"/>
            </w:r>
            <w:r w:rsidR="00860921">
              <w:rPr>
                <w:noProof/>
                <w:webHidden/>
              </w:rPr>
              <w:t>4</w:t>
            </w:r>
            <w:r>
              <w:rPr>
                <w:noProof/>
                <w:webHidden/>
              </w:rPr>
              <w:fldChar w:fldCharType="end"/>
            </w:r>
          </w:hyperlink>
        </w:p>
        <w:p w14:paraId="702A069C" w14:textId="3729F980" w:rsidR="004C31B2" w:rsidRDefault="004C31B2">
          <w:pPr>
            <w:pStyle w:val="TOC1"/>
            <w:tabs>
              <w:tab w:val="right" w:leader="dot" w:pos="9016"/>
            </w:tabs>
            <w:rPr>
              <w:noProof/>
            </w:rPr>
          </w:pPr>
          <w:hyperlink w:anchor="_Toc191058234" w:history="1">
            <w:r w:rsidRPr="000E2A06">
              <w:rPr>
                <w:rStyle w:val="Hyperlink"/>
                <w:noProof/>
              </w:rPr>
              <w:t>Director Remuneration</w:t>
            </w:r>
            <w:r>
              <w:rPr>
                <w:noProof/>
                <w:webHidden/>
              </w:rPr>
              <w:tab/>
            </w:r>
            <w:r>
              <w:rPr>
                <w:noProof/>
                <w:webHidden/>
              </w:rPr>
              <w:fldChar w:fldCharType="begin"/>
            </w:r>
            <w:r>
              <w:rPr>
                <w:noProof/>
                <w:webHidden/>
              </w:rPr>
              <w:instrText xml:space="preserve"> PAGEREF _Toc191058234 \h </w:instrText>
            </w:r>
            <w:r>
              <w:rPr>
                <w:noProof/>
                <w:webHidden/>
              </w:rPr>
            </w:r>
            <w:r>
              <w:rPr>
                <w:noProof/>
                <w:webHidden/>
              </w:rPr>
              <w:fldChar w:fldCharType="separate"/>
            </w:r>
            <w:r w:rsidR="00860921">
              <w:rPr>
                <w:noProof/>
                <w:webHidden/>
              </w:rPr>
              <w:t>5</w:t>
            </w:r>
            <w:r>
              <w:rPr>
                <w:noProof/>
                <w:webHidden/>
              </w:rPr>
              <w:fldChar w:fldCharType="end"/>
            </w:r>
          </w:hyperlink>
        </w:p>
        <w:p w14:paraId="174C8C2E" w14:textId="49196ADC" w:rsidR="004C31B2" w:rsidRDefault="004C31B2">
          <w:pPr>
            <w:pStyle w:val="TOC2"/>
            <w:tabs>
              <w:tab w:val="right" w:leader="dot" w:pos="9016"/>
            </w:tabs>
            <w:rPr>
              <w:noProof/>
            </w:rPr>
          </w:pPr>
          <w:hyperlink w:anchor="_Toc191058235" w:history="1">
            <w:r w:rsidRPr="000E2A06">
              <w:rPr>
                <w:rStyle w:val="Hyperlink"/>
                <w:noProof/>
              </w:rPr>
              <w:t>The procedure to determine compensation for directors should follow what guidelines</w:t>
            </w:r>
            <w:r>
              <w:rPr>
                <w:noProof/>
                <w:webHidden/>
              </w:rPr>
              <w:tab/>
            </w:r>
            <w:r>
              <w:rPr>
                <w:noProof/>
                <w:webHidden/>
              </w:rPr>
              <w:fldChar w:fldCharType="begin"/>
            </w:r>
            <w:r>
              <w:rPr>
                <w:noProof/>
                <w:webHidden/>
              </w:rPr>
              <w:instrText xml:space="preserve"> PAGEREF _Toc191058235 \h </w:instrText>
            </w:r>
            <w:r>
              <w:rPr>
                <w:noProof/>
                <w:webHidden/>
              </w:rPr>
            </w:r>
            <w:r>
              <w:rPr>
                <w:noProof/>
                <w:webHidden/>
              </w:rPr>
              <w:fldChar w:fldCharType="separate"/>
            </w:r>
            <w:r w:rsidR="00860921">
              <w:rPr>
                <w:noProof/>
                <w:webHidden/>
              </w:rPr>
              <w:t>5</w:t>
            </w:r>
            <w:r>
              <w:rPr>
                <w:noProof/>
                <w:webHidden/>
              </w:rPr>
              <w:fldChar w:fldCharType="end"/>
            </w:r>
          </w:hyperlink>
        </w:p>
        <w:p w14:paraId="6EAA7DC6" w14:textId="0891F46B" w:rsidR="004C31B2" w:rsidRDefault="004C31B2">
          <w:pPr>
            <w:pStyle w:val="TOC2"/>
            <w:tabs>
              <w:tab w:val="right" w:leader="dot" w:pos="9016"/>
            </w:tabs>
            <w:rPr>
              <w:noProof/>
            </w:rPr>
          </w:pPr>
          <w:hyperlink w:anchor="_Toc191058236" w:history="1">
            <w:r w:rsidRPr="000E2A06">
              <w:rPr>
                <w:rStyle w:val="Hyperlink"/>
                <w:rFonts w:ascii="Arial" w:hAnsi="Arial" w:cs="Arial"/>
                <w:b/>
                <w:bCs/>
                <w:noProof/>
              </w:rPr>
              <w:t>Relevant Structures for Fair Compensation</w:t>
            </w:r>
            <w:r>
              <w:rPr>
                <w:noProof/>
                <w:webHidden/>
              </w:rPr>
              <w:tab/>
            </w:r>
            <w:r>
              <w:rPr>
                <w:noProof/>
                <w:webHidden/>
              </w:rPr>
              <w:fldChar w:fldCharType="begin"/>
            </w:r>
            <w:r>
              <w:rPr>
                <w:noProof/>
                <w:webHidden/>
              </w:rPr>
              <w:instrText xml:space="preserve"> PAGEREF _Toc191058236 \h </w:instrText>
            </w:r>
            <w:r>
              <w:rPr>
                <w:noProof/>
                <w:webHidden/>
              </w:rPr>
            </w:r>
            <w:r>
              <w:rPr>
                <w:noProof/>
                <w:webHidden/>
              </w:rPr>
              <w:fldChar w:fldCharType="separate"/>
            </w:r>
            <w:r w:rsidR="00860921">
              <w:rPr>
                <w:noProof/>
                <w:webHidden/>
              </w:rPr>
              <w:t>5</w:t>
            </w:r>
            <w:r>
              <w:rPr>
                <w:noProof/>
                <w:webHidden/>
              </w:rPr>
              <w:fldChar w:fldCharType="end"/>
            </w:r>
          </w:hyperlink>
        </w:p>
        <w:p w14:paraId="1DA8168F" w14:textId="3F2693E7" w:rsidR="004C31B2" w:rsidRDefault="004C31B2">
          <w:pPr>
            <w:pStyle w:val="TOC1"/>
            <w:tabs>
              <w:tab w:val="right" w:leader="dot" w:pos="9016"/>
            </w:tabs>
            <w:rPr>
              <w:noProof/>
            </w:rPr>
          </w:pPr>
          <w:hyperlink w:anchor="_Toc191058237" w:history="1">
            <w:r w:rsidRPr="000E2A06">
              <w:rPr>
                <w:rStyle w:val="Hyperlink"/>
                <w:noProof/>
              </w:rPr>
              <w:t>Institutional Differences: Shanghai vs. Netherlands</w:t>
            </w:r>
            <w:r>
              <w:rPr>
                <w:noProof/>
                <w:webHidden/>
              </w:rPr>
              <w:tab/>
            </w:r>
            <w:r>
              <w:rPr>
                <w:noProof/>
                <w:webHidden/>
              </w:rPr>
              <w:fldChar w:fldCharType="begin"/>
            </w:r>
            <w:r>
              <w:rPr>
                <w:noProof/>
                <w:webHidden/>
              </w:rPr>
              <w:instrText xml:space="preserve"> PAGEREF _Toc191058237 \h </w:instrText>
            </w:r>
            <w:r>
              <w:rPr>
                <w:noProof/>
                <w:webHidden/>
              </w:rPr>
            </w:r>
            <w:r>
              <w:rPr>
                <w:noProof/>
                <w:webHidden/>
              </w:rPr>
              <w:fldChar w:fldCharType="separate"/>
            </w:r>
            <w:r w:rsidR="00860921">
              <w:rPr>
                <w:noProof/>
                <w:webHidden/>
              </w:rPr>
              <w:t>5</w:t>
            </w:r>
            <w:r>
              <w:rPr>
                <w:noProof/>
                <w:webHidden/>
              </w:rPr>
              <w:fldChar w:fldCharType="end"/>
            </w:r>
          </w:hyperlink>
        </w:p>
        <w:p w14:paraId="547628B7" w14:textId="4324D2AF" w:rsidR="004C31B2" w:rsidRDefault="004C31B2">
          <w:pPr>
            <w:pStyle w:val="TOC2"/>
            <w:tabs>
              <w:tab w:val="right" w:leader="dot" w:pos="9016"/>
            </w:tabs>
            <w:rPr>
              <w:noProof/>
            </w:rPr>
          </w:pPr>
          <w:hyperlink w:anchor="_Toc191058238" w:history="1">
            <w:r w:rsidRPr="000E2A06">
              <w:rPr>
                <w:rStyle w:val="Hyperlink"/>
                <w:rFonts w:eastAsia="Times New Roman"/>
                <w:noProof/>
              </w:rPr>
              <w:t>Corporate Governance in Shanghai</w:t>
            </w:r>
            <w:r>
              <w:rPr>
                <w:noProof/>
                <w:webHidden/>
              </w:rPr>
              <w:tab/>
            </w:r>
            <w:r>
              <w:rPr>
                <w:noProof/>
                <w:webHidden/>
              </w:rPr>
              <w:fldChar w:fldCharType="begin"/>
            </w:r>
            <w:r>
              <w:rPr>
                <w:noProof/>
                <w:webHidden/>
              </w:rPr>
              <w:instrText xml:space="preserve"> PAGEREF _Toc191058238 \h </w:instrText>
            </w:r>
            <w:r>
              <w:rPr>
                <w:noProof/>
                <w:webHidden/>
              </w:rPr>
            </w:r>
            <w:r>
              <w:rPr>
                <w:noProof/>
                <w:webHidden/>
              </w:rPr>
              <w:fldChar w:fldCharType="separate"/>
            </w:r>
            <w:r w:rsidR="00860921">
              <w:rPr>
                <w:noProof/>
                <w:webHidden/>
              </w:rPr>
              <w:t>5</w:t>
            </w:r>
            <w:r>
              <w:rPr>
                <w:noProof/>
                <w:webHidden/>
              </w:rPr>
              <w:fldChar w:fldCharType="end"/>
            </w:r>
          </w:hyperlink>
        </w:p>
        <w:p w14:paraId="5404DA3B" w14:textId="5A867801" w:rsidR="004C31B2" w:rsidRDefault="004C31B2">
          <w:pPr>
            <w:pStyle w:val="TOC2"/>
            <w:tabs>
              <w:tab w:val="right" w:leader="dot" w:pos="9016"/>
            </w:tabs>
            <w:rPr>
              <w:noProof/>
            </w:rPr>
          </w:pPr>
          <w:hyperlink w:anchor="_Toc191058239" w:history="1">
            <w:r w:rsidRPr="000E2A06">
              <w:rPr>
                <w:rStyle w:val="Hyperlink"/>
                <w:rFonts w:eastAsia="Times New Roman"/>
                <w:noProof/>
              </w:rPr>
              <w:t>Corporate Governance in the Netherlands</w:t>
            </w:r>
            <w:r>
              <w:rPr>
                <w:noProof/>
                <w:webHidden/>
              </w:rPr>
              <w:tab/>
            </w:r>
            <w:r>
              <w:rPr>
                <w:noProof/>
                <w:webHidden/>
              </w:rPr>
              <w:fldChar w:fldCharType="begin"/>
            </w:r>
            <w:r>
              <w:rPr>
                <w:noProof/>
                <w:webHidden/>
              </w:rPr>
              <w:instrText xml:space="preserve"> PAGEREF _Toc191058239 \h </w:instrText>
            </w:r>
            <w:r>
              <w:rPr>
                <w:noProof/>
                <w:webHidden/>
              </w:rPr>
            </w:r>
            <w:r>
              <w:rPr>
                <w:noProof/>
                <w:webHidden/>
              </w:rPr>
              <w:fldChar w:fldCharType="separate"/>
            </w:r>
            <w:r w:rsidR="00860921">
              <w:rPr>
                <w:noProof/>
                <w:webHidden/>
              </w:rPr>
              <w:t>6</w:t>
            </w:r>
            <w:r>
              <w:rPr>
                <w:noProof/>
                <w:webHidden/>
              </w:rPr>
              <w:fldChar w:fldCharType="end"/>
            </w:r>
          </w:hyperlink>
        </w:p>
        <w:p w14:paraId="5934FCE6" w14:textId="42F92686" w:rsidR="004C31B2" w:rsidRDefault="004C31B2">
          <w:pPr>
            <w:pStyle w:val="TOC1"/>
            <w:tabs>
              <w:tab w:val="right" w:leader="dot" w:pos="9016"/>
            </w:tabs>
            <w:rPr>
              <w:noProof/>
            </w:rPr>
          </w:pPr>
          <w:hyperlink w:anchor="_Toc191058240" w:history="1">
            <w:r w:rsidRPr="000E2A06">
              <w:rPr>
                <w:rStyle w:val="Hyperlink"/>
                <w:rFonts w:eastAsia="Times New Roman"/>
                <w:noProof/>
              </w:rPr>
              <w:t>Implications for Moving to Headquarters</w:t>
            </w:r>
            <w:r>
              <w:rPr>
                <w:noProof/>
                <w:webHidden/>
              </w:rPr>
              <w:tab/>
            </w:r>
            <w:r>
              <w:rPr>
                <w:noProof/>
                <w:webHidden/>
              </w:rPr>
              <w:fldChar w:fldCharType="begin"/>
            </w:r>
            <w:r>
              <w:rPr>
                <w:noProof/>
                <w:webHidden/>
              </w:rPr>
              <w:instrText xml:space="preserve"> PAGEREF _Toc191058240 \h </w:instrText>
            </w:r>
            <w:r>
              <w:rPr>
                <w:noProof/>
                <w:webHidden/>
              </w:rPr>
            </w:r>
            <w:r>
              <w:rPr>
                <w:noProof/>
                <w:webHidden/>
              </w:rPr>
              <w:fldChar w:fldCharType="separate"/>
            </w:r>
            <w:r w:rsidR="00860921">
              <w:rPr>
                <w:noProof/>
                <w:webHidden/>
              </w:rPr>
              <w:t>6</w:t>
            </w:r>
            <w:r>
              <w:rPr>
                <w:noProof/>
                <w:webHidden/>
              </w:rPr>
              <w:fldChar w:fldCharType="end"/>
            </w:r>
          </w:hyperlink>
        </w:p>
        <w:p w14:paraId="60D6D9DF" w14:textId="38A81C8B" w:rsidR="004C31B2" w:rsidRDefault="004C31B2">
          <w:pPr>
            <w:pStyle w:val="TOC1"/>
            <w:tabs>
              <w:tab w:val="right" w:leader="dot" w:pos="9016"/>
            </w:tabs>
            <w:rPr>
              <w:noProof/>
            </w:rPr>
          </w:pPr>
          <w:hyperlink w:anchor="_Toc191058241" w:history="1">
            <w:r w:rsidRPr="000E2A06">
              <w:rPr>
                <w:rStyle w:val="Hyperlink"/>
                <w:rFonts w:eastAsia="Times New Roman"/>
                <w:noProof/>
              </w:rPr>
              <w:t>Shareholder Engagement and Investor Relations</w:t>
            </w:r>
            <w:r>
              <w:rPr>
                <w:noProof/>
                <w:webHidden/>
              </w:rPr>
              <w:tab/>
            </w:r>
            <w:r>
              <w:rPr>
                <w:noProof/>
                <w:webHidden/>
              </w:rPr>
              <w:fldChar w:fldCharType="begin"/>
            </w:r>
            <w:r>
              <w:rPr>
                <w:noProof/>
                <w:webHidden/>
              </w:rPr>
              <w:instrText xml:space="preserve"> PAGEREF _Toc191058241 \h </w:instrText>
            </w:r>
            <w:r>
              <w:rPr>
                <w:noProof/>
                <w:webHidden/>
              </w:rPr>
            </w:r>
            <w:r>
              <w:rPr>
                <w:noProof/>
                <w:webHidden/>
              </w:rPr>
              <w:fldChar w:fldCharType="separate"/>
            </w:r>
            <w:r w:rsidR="00860921">
              <w:rPr>
                <w:noProof/>
                <w:webHidden/>
              </w:rPr>
              <w:t>6</w:t>
            </w:r>
            <w:r>
              <w:rPr>
                <w:noProof/>
                <w:webHidden/>
              </w:rPr>
              <w:fldChar w:fldCharType="end"/>
            </w:r>
          </w:hyperlink>
        </w:p>
        <w:p w14:paraId="2D712371" w14:textId="715877FB" w:rsidR="004C31B2" w:rsidRDefault="004C31B2">
          <w:pPr>
            <w:pStyle w:val="TOC1"/>
            <w:tabs>
              <w:tab w:val="right" w:leader="dot" w:pos="9016"/>
            </w:tabs>
            <w:rPr>
              <w:noProof/>
            </w:rPr>
          </w:pPr>
          <w:hyperlink w:anchor="_Toc191058242" w:history="1">
            <w:r w:rsidRPr="000E2A06">
              <w:rPr>
                <w:rStyle w:val="Hyperlink"/>
                <w:rFonts w:eastAsia="Times New Roman"/>
                <w:noProof/>
              </w:rPr>
              <w:t>Conclusion</w:t>
            </w:r>
            <w:r>
              <w:rPr>
                <w:noProof/>
                <w:webHidden/>
              </w:rPr>
              <w:tab/>
            </w:r>
            <w:r>
              <w:rPr>
                <w:noProof/>
                <w:webHidden/>
              </w:rPr>
              <w:fldChar w:fldCharType="begin"/>
            </w:r>
            <w:r>
              <w:rPr>
                <w:noProof/>
                <w:webHidden/>
              </w:rPr>
              <w:instrText xml:space="preserve"> PAGEREF _Toc191058242 \h </w:instrText>
            </w:r>
            <w:r>
              <w:rPr>
                <w:noProof/>
                <w:webHidden/>
              </w:rPr>
            </w:r>
            <w:r>
              <w:rPr>
                <w:noProof/>
                <w:webHidden/>
              </w:rPr>
              <w:fldChar w:fldCharType="separate"/>
            </w:r>
            <w:r w:rsidR="00860921">
              <w:rPr>
                <w:noProof/>
                <w:webHidden/>
              </w:rPr>
              <w:t>7</w:t>
            </w:r>
            <w:r>
              <w:rPr>
                <w:noProof/>
                <w:webHidden/>
              </w:rPr>
              <w:fldChar w:fldCharType="end"/>
            </w:r>
          </w:hyperlink>
        </w:p>
        <w:p w14:paraId="68698150" w14:textId="18145498" w:rsidR="004C31B2" w:rsidRDefault="004C31B2">
          <w:pPr>
            <w:pStyle w:val="TOC1"/>
            <w:tabs>
              <w:tab w:val="right" w:leader="dot" w:pos="9016"/>
            </w:tabs>
            <w:rPr>
              <w:noProof/>
            </w:rPr>
          </w:pPr>
          <w:hyperlink w:anchor="_Toc191058243" w:history="1">
            <w:r w:rsidRPr="000E2A06">
              <w:rPr>
                <w:rStyle w:val="Hyperlink"/>
                <w:noProof/>
              </w:rPr>
              <w:t>Recommendation</w:t>
            </w:r>
            <w:r>
              <w:rPr>
                <w:noProof/>
                <w:webHidden/>
              </w:rPr>
              <w:tab/>
            </w:r>
            <w:r>
              <w:rPr>
                <w:noProof/>
                <w:webHidden/>
              </w:rPr>
              <w:fldChar w:fldCharType="begin"/>
            </w:r>
            <w:r>
              <w:rPr>
                <w:noProof/>
                <w:webHidden/>
              </w:rPr>
              <w:instrText xml:space="preserve"> PAGEREF _Toc191058243 \h </w:instrText>
            </w:r>
            <w:r>
              <w:rPr>
                <w:noProof/>
                <w:webHidden/>
              </w:rPr>
            </w:r>
            <w:r>
              <w:rPr>
                <w:noProof/>
                <w:webHidden/>
              </w:rPr>
              <w:fldChar w:fldCharType="separate"/>
            </w:r>
            <w:r w:rsidR="00860921">
              <w:rPr>
                <w:noProof/>
                <w:webHidden/>
              </w:rPr>
              <w:t>7</w:t>
            </w:r>
            <w:r>
              <w:rPr>
                <w:noProof/>
                <w:webHidden/>
              </w:rPr>
              <w:fldChar w:fldCharType="end"/>
            </w:r>
          </w:hyperlink>
        </w:p>
        <w:p w14:paraId="3292BD0B" w14:textId="50BC28DD" w:rsidR="004C31B2" w:rsidRDefault="004C31B2">
          <w:pPr>
            <w:pStyle w:val="TOC1"/>
            <w:tabs>
              <w:tab w:val="right" w:leader="dot" w:pos="9016"/>
            </w:tabs>
            <w:rPr>
              <w:noProof/>
            </w:rPr>
          </w:pPr>
          <w:hyperlink w:anchor="_Toc191058244" w:history="1">
            <w:r w:rsidRPr="000E2A06">
              <w:rPr>
                <w:rStyle w:val="Hyperlink"/>
                <w:rFonts w:eastAsia="Times New Roman"/>
                <w:noProof/>
              </w:rPr>
              <w:t>References</w:t>
            </w:r>
            <w:r>
              <w:rPr>
                <w:noProof/>
                <w:webHidden/>
              </w:rPr>
              <w:tab/>
            </w:r>
            <w:r>
              <w:rPr>
                <w:noProof/>
                <w:webHidden/>
              </w:rPr>
              <w:fldChar w:fldCharType="begin"/>
            </w:r>
            <w:r>
              <w:rPr>
                <w:noProof/>
                <w:webHidden/>
              </w:rPr>
              <w:instrText xml:space="preserve"> PAGEREF _Toc191058244 \h </w:instrText>
            </w:r>
            <w:r>
              <w:rPr>
                <w:noProof/>
                <w:webHidden/>
              </w:rPr>
            </w:r>
            <w:r>
              <w:rPr>
                <w:noProof/>
                <w:webHidden/>
              </w:rPr>
              <w:fldChar w:fldCharType="separate"/>
            </w:r>
            <w:r w:rsidR="00860921">
              <w:rPr>
                <w:noProof/>
                <w:webHidden/>
              </w:rPr>
              <w:t>8</w:t>
            </w:r>
            <w:r>
              <w:rPr>
                <w:noProof/>
                <w:webHidden/>
              </w:rPr>
              <w:fldChar w:fldCharType="end"/>
            </w:r>
          </w:hyperlink>
        </w:p>
        <w:p w14:paraId="02B046BF" w14:textId="1150B700" w:rsidR="004C31B2" w:rsidRDefault="004C31B2">
          <w:r>
            <w:rPr>
              <w:b/>
              <w:bCs/>
              <w:noProof/>
            </w:rPr>
            <w:fldChar w:fldCharType="end"/>
          </w:r>
        </w:p>
      </w:sdtContent>
    </w:sdt>
    <w:p w14:paraId="5D6EB14A" w14:textId="77777777" w:rsidR="00BD41D1" w:rsidRDefault="00BD41D1"/>
    <w:p w14:paraId="28FBBB3C" w14:textId="77777777" w:rsidR="00BD41D1" w:rsidRDefault="00BD41D1"/>
    <w:p w14:paraId="3B573107" w14:textId="77777777" w:rsidR="00BD41D1" w:rsidRDefault="00BD41D1"/>
    <w:p w14:paraId="01A16E4D" w14:textId="77777777" w:rsidR="00BD41D1" w:rsidRDefault="00BD41D1"/>
    <w:p w14:paraId="117730E8" w14:textId="77777777" w:rsidR="00BD41D1" w:rsidRDefault="00BD41D1"/>
    <w:p w14:paraId="0BA26464" w14:textId="77777777" w:rsidR="00BD41D1" w:rsidRDefault="00BD41D1"/>
    <w:p w14:paraId="319BA22E" w14:textId="77777777" w:rsidR="00BD41D1" w:rsidRDefault="00BD41D1"/>
    <w:p w14:paraId="1393D5D5" w14:textId="77777777" w:rsidR="00BD41D1" w:rsidRDefault="00BD41D1"/>
    <w:p w14:paraId="0BEA5B0A" w14:textId="77777777" w:rsidR="00BD41D1" w:rsidRDefault="00BD41D1"/>
    <w:p w14:paraId="509CF69A" w14:textId="77777777" w:rsidR="00BD41D1" w:rsidRDefault="00BD41D1"/>
    <w:p w14:paraId="0318F182" w14:textId="77777777" w:rsidR="00BD41D1" w:rsidRDefault="00BD41D1"/>
    <w:p w14:paraId="61435BB0" w14:textId="77777777" w:rsidR="00BD41D1" w:rsidRDefault="00BD41D1"/>
    <w:p w14:paraId="172F07D8" w14:textId="77777777" w:rsidR="0013681B" w:rsidRPr="00AE6292" w:rsidRDefault="0013681B" w:rsidP="004C31B2">
      <w:pPr>
        <w:pStyle w:val="Heading1"/>
        <w:rPr>
          <w:rFonts w:eastAsia="Times New Roman"/>
        </w:rPr>
      </w:pPr>
      <w:bookmarkStart w:id="0" w:name="_Toc190631540"/>
      <w:bookmarkStart w:id="1" w:name="_Toc191058227"/>
      <w:r w:rsidRPr="00AE6292">
        <w:rPr>
          <w:rFonts w:eastAsia="Times New Roman"/>
        </w:rPr>
        <w:t>Executive Summary</w:t>
      </w:r>
      <w:bookmarkEnd w:id="0"/>
      <w:bookmarkEnd w:id="1"/>
    </w:p>
    <w:p w14:paraId="024C98D4"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This report provides advice to Prestige Service LTD, a family-owned service company, currently preparing for a listing on the Alternative Investment Market (AIM) in the UK. The company is owned by four siblings, each holding a 25% share. As the company transforms from a private family business to public status through the AIM listing the board of directors needs to handle matters involving corporate governance and agency theory while keeping control and determining director compensation after reducing their ownership stake. The study assesses the institutional framework differences that exist between Shanghai and the Netherlands when finding an appropriate listing location. A set of recommendations outlines control retention strategies together with director compensation structures and governance management across diverse legal frameworks with the goal to ensure both listing success on AIM and long-term organizational achievement.</w:t>
      </w:r>
    </w:p>
    <w:p w14:paraId="4F8FA8B3"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5547B0E6"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3A5A382E"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322A0146"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107F95A0"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099BE1A3" w14:textId="77777777" w:rsidR="0013681B" w:rsidRPr="00AE6292"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0E01109F" w14:textId="77777777" w:rsidR="004C31B2" w:rsidRDefault="004C31B2" w:rsidP="0013681B">
      <w:pPr>
        <w:pStyle w:val="Heading1"/>
        <w:spacing w:line="360" w:lineRule="auto"/>
        <w:jc w:val="center"/>
        <w:rPr>
          <w:rFonts w:ascii="Arial" w:eastAsia="Times New Roman" w:hAnsi="Arial" w:cs="Arial"/>
          <w:b/>
          <w:bCs/>
          <w:color w:val="auto"/>
          <w:sz w:val="22"/>
          <w:szCs w:val="22"/>
        </w:rPr>
      </w:pPr>
      <w:bookmarkStart w:id="2" w:name="_Toc190631541"/>
    </w:p>
    <w:p w14:paraId="1C1304F0" w14:textId="77777777" w:rsidR="004C31B2" w:rsidRDefault="004C31B2" w:rsidP="0013681B">
      <w:pPr>
        <w:pStyle w:val="Heading1"/>
        <w:spacing w:line="360" w:lineRule="auto"/>
        <w:jc w:val="center"/>
        <w:rPr>
          <w:rFonts w:ascii="Arial" w:eastAsia="Times New Roman" w:hAnsi="Arial" w:cs="Arial"/>
          <w:b/>
          <w:bCs/>
          <w:color w:val="auto"/>
          <w:sz w:val="22"/>
          <w:szCs w:val="22"/>
        </w:rPr>
      </w:pPr>
    </w:p>
    <w:p w14:paraId="468D6A72" w14:textId="77777777" w:rsidR="004C31B2" w:rsidRDefault="004C31B2" w:rsidP="0013681B">
      <w:pPr>
        <w:pStyle w:val="Heading1"/>
        <w:spacing w:line="360" w:lineRule="auto"/>
        <w:jc w:val="center"/>
        <w:rPr>
          <w:rFonts w:ascii="Arial" w:eastAsia="Times New Roman" w:hAnsi="Arial" w:cs="Arial"/>
          <w:b/>
          <w:bCs/>
          <w:color w:val="auto"/>
          <w:sz w:val="22"/>
          <w:szCs w:val="22"/>
        </w:rPr>
      </w:pPr>
    </w:p>
    <w:p w14:paraId="49CE8FDF" w14:textId="77777777" w:rsidR="004C31B2" w:rsidRDefault="004C31B2" w:rsidP="0013681B">
      <w:pPr>
        <w:pStyle w:val="Heading1"/>
        <w:spacing w:line="360" w:lineRule="auto"/>
        <w:jc w:val="center"/>
        <w:rPr>
          <w:rFonts w:ascii="Arial" w:eastAsia="Times New Roman" w:hAnsi="Arial" w:cs="Arial"/>
          <w:b/>
          <w:bCs/>
          <w:color w:val="auto"/>
          <w:sz w:val="22"/>
          <w:szCs w:val="22"/>
        </w:rPr>
      </w:pPr>
    </w:p>
    <w:p w14:paraId="7AF84D55" w14:textId="77777777" w:rsidR="004C31B2" w:rsidRDefault="004C31B2" w:rsidP="0013681B">
      <w:pPr>
        <w:pStyle w:val="Heading1"/>
        <w:spacing w:line="360" w:lineRule="auto"/>
        <w:jc w:val="center"/>
        <w:rPr>
          <w:rFonts w:ascii="Arial" w:eastAsia="Times New Roman" w:hAnsi="Arial" w:cs="Arial"/>
          <w:b/>
          <w:bCs/>
          <w:color w:val="auto"/>
          <w:sz w:val="22"/>
          <w:szCs w:val="22"/>
        </w:rPr>
      </w:pPr>
    </w:p>
    <w:p w14:paraId="3C2BDAC5" w14:textId="14722B6A" w:rsidR="0013681B" w:rsidRPr="004C31B2" w:rsidRDefault="0013681B" w:rsidP="004C31B2">
      <w:pPr>
        <w:pStyle w:val="Heading1"/>
      </w:pPr>
      <w:bookmarkStart w:id="3" w:name="_Toc191058228"/>
      <w:r w:rsidRPr="004C31B2">
        <w:t>Introduction</w:t>
      </w:r>
      <w:bookmarkEnd w:id="2"/>
      <w:bookmarkEnd w:id="3"/>
    </w:p>
    <w:p w14:paraId="79748603"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AE6292">
        <w:rPr>
          <w:rFonts w:ascii="Arial" w:hAnsi="Arial" w:cs="Arial"/>
          <w:sz w:val="22"/>
          <w:szCs w:val="22"/>
        </w:rPr>
        <w:t>Prestige Services Ltd</w:t>
      </w:r>
      <w:r w:rsidRPr="00AE6292">
        <w:rPr>
          <w:rFonts w:ascii="Arial" w:eastAsia="Times New Roman" w:hAnsi="Arial" w:cs="Arial"/>
          <w:kern w:val="0"/>
          <w:sz w:val="22"/>
          <w:szCs w:val="22"/>
          <w14:ligatures w14:val="none"/>
        </w:rPr>
        <w:t xml:space="preserve"> firm maintains status as a family-operated service provider since each of the four siblings maintains 25% ownership of company shares. The company aims to go public through the Alternative Investment Market (AIM) in the UK while carrying out its transition from private to public status. The organizational change necessitates the board to establish advanced systems for corporate governance and agency theory administration. External investors will purchase 70% of company shares, which makes the family shareholders own only 30% of the combined equity. Director remuneration becomes an essential challenge for the board along with the task of deciding headquarters relocation possibilities to Shanghai or the Netherlands. The report establishes complete guidance regarding these matters to uphold family control and follow high standards of corporate governance practice.</w:t>
      </w:r>
    </w:p>
    <w:p w14:paraId="0646281D" w14:textId="77777777" w:rsidR="0013681B" w:rsidRPr="004C31B2" w:rsidRDefault="0013681B" w:rsidP="004C31B2">
      <w:pPr>
        <w:pStyle w:val="Heading1"/>
      </w:pPr>
      <w:bookmarkStart w:id="4" w:name="_Toc190631542"/>
      <w:bookmarkStart w:id="5" w:name="_Toc191058229"/>
      <w:r w:rsidRPr="004C31B2">
        <w:t>Discussion of Findings</w:t>
      </w:r>
      <w:bookmarkEnd w:id="4"/>
      <w:bookmarkEnd w:id="5"/>
    </w:p>
    <w:p w14:paraId="4C7DA04C" w14:textId="77777777" w:rsidR="0013681B" w:rsidRPr="004C31B2" w:rsidRDefault="0013681B" w:rsidP="004C31B2">
      <w:pPr>
        <w:pStyle w:val="Heading2"/>
      </w:pPr>
      <w:bookmarkStart w:id="6" w:name="_Toc190631543"/>
      <w:bookmarkStart w:id="7" w:name="_Toc191058230"/>
      <w:r w:rsidRPr="004C31B2">
        <w:t>Corporate Governance and Agency Theory</w:t>
      </w:r>
      <w:bookmarkEnd w:id="6"/>
      <w:bookmarkEnd w:id="7"/>
    </w:p>
    <w:p w14:paraId="0A7B738E" w14:textId="77777777" w:rsidR="0013681B" w:rsidRPr="00AE6292" w:rsidRDefault="0013681B" w:rsidP="004C31B2">
      <w:pPr>
        <w:pStyle w:val="Heading3"/>
        <w:rPr>
          <w:rStyle w:val="Heading3Char"/>
          <w:rFonts w:ascii="Arial" w:hAnsi="Arial" w:cs="Arial"/>
          <w:b/>
          <w:bCs/>
          <w:color w:val="auto"/>
          <w:sz w:val="22"/>
          <w:szCs w:val="22"/>
        </w:rPr>
      </w:pPr>
      <w:bookmarkStart w:id="8" w:name="_Toc190631544"/>
      <w:bookmarkStart w:id="9" w:name="_Toc191058231"/>
      <w:r w:rsidRPr="00AE6292">
        <w:rPr>
          <w:rStyle w:val="Heading3Char"/>
          <w:rFonts w:ascii="Arial" w:hAnsi="Arial" w:cs="Arial"/>
          <w:b/>
          <w:bCs/>
          <w:color w:val="auto"/>
          <w:sz w:val="22"/>
          <w:szCs w:val="22"/>
        </w:rPr>
        <w:t>Corporate Governance</w:t>
      </w:r>
      <w:bookmarkEnd w:id="8"/>
      <w:bookmarkEnd w:id="9"/>
    </w:p>
    <w:p w14:paraId="3D0CD04C" w14:textId="76496B7C" w:rsidR="0013681B" w:rsidRPr="00AE6292" w:rsidRDefault="0013681B" w:rsidP="0013681B">
      <w:pPr>
        <w:spacing w:line="360" w:lineRule="auto"/>
        <w:jc w:val="both"/>
        <w:rPr>
          <w:rFonts w:ascii="Arial" w:eastAsia="Times New Roman" w:hAnsi="Arial" w:cs="Arial"/>
          <w:b/>
          <w:bCs/>
          <w:kern w:val="0"/>
          <w:sz w:val="22"/>
          <w:szCs w:val="22"/>
          <w14:ligatures w14:val="none"/>
        </w:rPr>
      </w:pPr>
      <w:r w:rsidRPr="00AE6292">
        <w:rPr>
          <w:rFonts w:ascii="Arial" w:hAnsi="Arial" w:cs="Arial"/>
          <w:sz w:val="22"/>
          <w:szCs w:val="22"/>
        </w:rPr>
        <w:tab/>
        <w:t xml:space="preserve">A business utilizes corporate governance to implement organizational directions through direct and controlling systems and principles and operational processes. The system ensures shareholder protection together with transparent ethical operation. A public limited company depends heavily on proper corporate governance to both sustain investor trust and defend shareholder worth and </w:t>
      </w:r>
      <w:r w:rsidR="004C31B2" w:rsidRPr="00AE6292">
        <w:rPr>
          <w:rFonts w:ascii="Arial" w:hAnsi="Arial" w:cs="Arial"/>
          <w:sz w:val="22"/>
          <w:szCs w:val="22"/>
        </w:rPr>
        <w:t>fulfil</w:t>
      </w:r>
      <w:r w:rsidRPr="00AE6292">
        <w:rPr>
          <w:rFonts w:ascii="Arial" w:hAnsi="Arial" w:cs="Arial"/>
          <w:sz w:val="22"/>
          <w:szCs w:val="22"/>
        </w:rPr>
        <w:t xml:space="preserve"> all required government regulations. Every AIM-listed company must strictly follow the requirements of the UK Corporate Governance Code. The code establishes key requirements for board member selection in addition to shareholder protection rights while requiring effective internal control systems needed to achieve good </w:t>
      </w:r>
      <w:r w:rsidRPr="00AE6292">
        <w:rPr>
          <w:rFonts w:ascii="Arial" w:hAnsi="Arial" w:cs="Arial"/>
          <w:sz w:val="22"/>
          <w:szCs w:val="22"/>
        </w:rPr>
        <w:lastRenderedPageBreak/>
        <w:t>governance outcomes. Prestige Service LTD needs to implement these principles because they serve as the foundation for building solid governance structures while proving its dedication to open reporting and dependable stewardship</w:t>
      </w:r>
      <w:r w:rsidRPr="00AE6292">
        <w:rPr>
          <w:rFonts w:ascii="Arial" w:eastAsia="Times New Roman" w:hAnsi="Arial" w:cs="Arial"/>
          <w:b/>
          <w:bCs/>
          <w:kern w:val="0"/>
          <w:sz w:val="22"/>
          <w:szCs w:val="22"/>
          <w14:ligatures w14:val="none"/>
        </w:rPr>
        <w:t>.</w:t>
      </w:r>
    </w:p>
    <w:p w14:paraId="2F9FD8EA" w14:textId="77777777" w:rsidR="0013681B" w:rsidRPr="00AE6292" w:rsidRDefault="0013681B" w:rsidP="004C31B2">
      <w:pPr>
        <w:pStyle w:val="Heading3"/>
        <w:rPr>
          <w:rFonts w:eastAsia="Times New Roman"/>
        </w:rPr>
      </w:pPr>
      <w:bookmarkStart w:id="10" w:name="_Toc191058232"/>
      <w:r w:rsidRPr="00AE6292">
        <w:rPr>
          <w:rFonts w:eastAsia="Times New Roman"/>
        </w:rPr>
        <w:t>Agency Theory</w:t>
      </w:r>
      <w:bookmarkEnd w:id="10"/>
    </w:p>
    <w:p w14:paraId="225152AA" w14:textId="77777777" w:rsidR="0013681B" w:rsidRPr="00AE6292" w:rsidRDefault="0013681B" w:rsidP="0013681B">
      <w:pPr>
        <w:spacing w:line="360" w:lineRule="auto"/>
        <w:ind w:firstLine="720"/>
        <w:jc w:val="both"/>
        <w:rPr>
          <w:rFonts w:ascii="Arial" w:hAnsi="Arial" w:cs="Arial"/>
          <w:sz w:val="22"/>
          <w:szCs w:val="22"/>
        </w:rPr>
      </w:pPr>
      <w:r w:rsidRPr="00AE6292">
        <w:rPr>
          <w:rFonts w:ascii="Arial" w:hAnsi="Arial" w:cs="Arial"/>
          <w:sz w:val="22"/>
          <w:szCs w:val="22"/>
        </w:rPr>
        <w:t>Agency theory studies the connection between shareholders who serve as principals and directors who function as agents to address the problems which occur when directors put their own personal interests ahead of shareholder value (</w:t>
      </w:r>
      <w:r w:rsidRPr="00AE6292">
        <w:rPr>
          <w:rFonts w:ascii="Arial" w:hAnsi="Arial" w:cs="Arial"/>
          <w:color w:val="222222"/>
          <w:sz w:val="22"/>
          <w:szCs w:val="22"/>
          <w:shd w:val="clear" w:color="auto" w:fill="FFFFFF"/>
        </w:rPr>
        <w:t xml:space="preserve">Dong, et al,2021). </w:t>
      </w:r>
      <w:r w:rsidRPr="00AE6292">
        <w:rPr>
          <w:rFonts w:ascii="Arial" w:hAnsi="Arial" w:cs="Arial"/>
          <w:sz w:val="22"/>
          <w:szCs w:val="22"/>
        </w:rPr>
        <w:t>The directors may create an agency problem when they choose short-term goals and personal interests above long-term shareholder value creation. According to the agency theory companies need three critical mechanisms to combine directory interests with shareholder priorities including performance compensation systems as well as voting rights and solid governance systems (</w:t>
      </w:r>
      <w:r w:rsidRPr="00AE6292">
        <w:rPr>
          <w:rFonts w:ascii="Arial" w:hAnsi="Arial" w:cs="Arial"/>
          <w:color w:val="222222"/>
          <w:sz w:val="22"/>
          <w:szCs w:val="22"/>
          <w:shd w:val="clear" w:color="auto" w:fill="FFFFFF"/>
        </w:rPr>
        <w:t xml:space="preserve">Park, and Lee, 2021). </w:t>
      </w:r>
      <w:r w:rsidRPr="00AE6292">
        <w:rPr>
          <w:rFonts w:ascii="Arial" w:hAnsi="Arial" w:cs="Arial"/>
          <w:sz w:val="22"/>
          <w:szCs w:val="22"/>
        </w:rPr>
        <w:t>By grasping agency theory, the family company can develop strategies which stop potential disputes when converting to a public company status.</w:t>
      </w:r>
    </w:p>
    <w:p w14:paraId="24DD0C71" w14:textId="77777777" w:rsidR="0013681B" w:rsidRPr="004C31B2" w:rsidRDefault="0013681B" w:rsidP="004C31B2">
      <w:pPr>
        <w:pStyle w:val="Heading1"/>
        <w:rPr>
          <w:rStyle w:val="Heading2Char"/>
          <w:sz w:val="40"/>
          <w:szCs w:val="40"/>
        </w:rPr>
      </w:pPr>
      <w:bookmarkStart w:id="11" w:name="_Toc190631545"/>
      <w:bookmarkStart w:id="12" w:name="_Toc191058233"/>
      <w:r w:rsidRPr="004C31B2">
        <w:rPr>
          <w:rStyle w:val="Heading2Char"/>
          <w:sz w:val="40"/>
          <w:szCs w:val="40"/>
        </w:rPr>
        <w:t>Retaining Control with 30% Shareholding</w:t>
      </w:r>
      <w:bookmarkEnd w:id="11"/>
      <w:bookmarkEnd w:id="12"/>
    </w:p>
    <w:p w14:paraId="4F3305DE"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A public company requires a combination of certain governance mechanisms for achieving control with 30% controlling stake. The implementation of dual-class shares represents an effective approach to achieving control. Through this structured approach the family maintains its voting authority even though they hold less than half of the company shares. The family's dual-class shares should possess superior voting authority compared to common stockholder voting rights which protects their capacity to shape directions for growth and dividend amounts. Investor reception towards dual-class shares may be negative when shareholders perceive such schemes as reducing their authority and compromising corporate democratic standards (</w:t>
      </w:r>
      <w:r w:rsidRPr="00AE6292">
        <w:rPr>
          <w:rFonts w:ascii="Arial" w:hAnsi="Arial" w:cs="Arial"/>
          <w:color w:val="222222"/>
          <w:sz w:val="22"/>
          <w:szCs w:val="22"/>
          <w:shd w:val="clear" w:color="auto" w:fill="FFFFFF"/>
        </w:rPr>
        <w:t xml:space="preserve">Wang. and Cheng, 2023). </w:t>
      </w:r>
      <w:r w:rsidRPr="00AE6292">
        <w:rPr>
          <w:rFonts w:ascii="Arial" w:eastAsia="Times New Roman" w:hAnsi="Arial" w:cs="Arial"/>
          <w:kern w:val="0"/>
          <w:sz w:val="22"/>
          <w:szCs w:val="22"/>
          <w14:ligatures w14:val="none"/>
        </w:rPr>
        <w:t>Family members can receive voting rights special privileges allowing decision-making authority regardless of their reduced equity stake. The family needs protection from external shareholders by implementing legal restrictions that manage their input in major business choices and maintain family control. The available options should receive careful arrangement to achieve a harmonious balance between family authority and the protection of other shareowners and regulatory standards.</w:t>
      </w:r>
    </w:p>
    <w:p w14:paraId="7375060A"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p>
    <w:p w14:paraId="6B759927"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p>
    <w:p w14:paraId="19816030" w14:textId="77777777" w:rsidR="0013681B" w:rsidRPr="004C31B2" w:rsidRDefault="0013681B" w:rsidP="004C31B2">
      <w:pPr>
        <w:pStyle w:val="Heading1"/>
        <w:rPr>
          <w:rStyle w:val="Heading2Char"/>
          <w:sz w:val="40"/>
          <w:szCs w:val="40"/>
        </w:rPr>
      </w:pPr>
      <w:bookmarkStart w:id="13" w:name="_Toc190631546"/>
      <w:bookmarkStart w:id="14" w:name="_Toc191058234"/>
      <w:r w:rsidRPr="004C31B2">
        <w:rPr>
          <w:rStyle w:val="Heading2Char"/>
          <w:sz w:val="40"/>
          <w:szCs w:val="40"/>
        </w:rPr>
        <w:lastRenderedPageBreak/>
        <w:t>Director Remuneration</w:t>
      </w:r>
      <w:bookmarkEnd w:id="13"/>
      <w:bookmarkEnd w:id="14"/>
    </w:p>
    <w:p w14:paraId="1353BE06" w14:textId="77777777" w:rsidR="0013681B" w:rsidRPr="00AE6292" w:rsidRDefault="0013681B" w:rsidP="004C31B2">
      <w:pPr>
        <w:pStyle w:val="Heading2"/>
      </w:pPr>
      <w:bookmarkStart w:id="15" w:name="_Toc191058235"/>
      <w:r w:rsidRPr="00AE6292">
        <w:t>The procedure to determine compensation for directors should follow what guidelines</w:t>
      </w:r>
      <w:bookmarkEnd w:id="15"/>
    </w:p>
    <w:p w14:paraId="0EADA295" w14:textId="39E31BCF" w:rsidR="0013681B" w:rsidRPr="00AE6292" w:rsidRDefault="0013681B" w:rsidP="0013681B">
      <w:pPr>
        <w:spacing w:line="360" w:lineRule="auto"/>
        <w:ind w:firstLine="720"/>
        <w:jc w:val="both"/>
        <w:rPr>
          <w:rFonts w:ascii="Arial" w:hAnsi="Arial" w:cs="Arial"/>
          <w:sz w:val="22"/>
          <w:szCs w:val="22"/>
        </w:rPr>
      </w:pPr>
      <w:r w:rsidRPr="00AE6292">
        <w:rPr>
          <w:rFonts w:ascii="Arial" w:hAnsi="Arial" w:cs="Arial"/>
          <w:sz w:val="22"/>
          <w:szCs w:val="22"/>
        </w:rPr>
        <w:t>The remuneration which directors receive both serves as a vital tool to attract employees and maintain their presence along with being a key factor to satisfy shareholder needs. The board must form an oversight committee whose responsibility includes compensation package assessment. The management team needs a committee featuring independent non-executive directors who function as independent evaluators of executive director performance (</w:t>
      </w:r>
      <w:r w:rsidRPr="00AE6292">
        <w:rPr>
          <w:rFonts w:ascii="Arial" w:hAnsi="Arial" w:cs="Arial"/>
          <w:color w:val="222222"/>
          <w:sz w:val="22"/>
          <w:szCs w:val="22"/>
          <w:shd w:val="clear" w:color="auto" w:fill="FFFFFF"/>
        </w:rPr>
        <w:t>Goel, 2023)</w:t>
      </w:r>
      <w:r>
        <w:rPr>
          <w:rFonts w:ascii="Arial" w:hAnsi="Arial" w:cs="Arial"/>
          <w:color w:val="222222"/>
          <w:sz w:val="22"/>
          <w:szCs w:val="22"/>
          <w:shd w:val="clear" w:color="auto" w:fill="FFFFFF"/>
        </w:rPr>
        <w:t>.</w:t>
      </w:r>
      <w:r>
        <w:rPr>
          <w:rFonts w:ascii="Arial" w:hAnsi="Arial" w:cs="Arial"/>
          <w:sz w:val="22"/>
          <w:szCs w:val="22"/>
        </w:rPr>
        <w:t xml:space="preserve"> </w:t>
      </w:r>
      <w:r w:rsidRPr="00AE6292">
        <w:rPr>
          <w:rFonts w:ascii="Arial" w:hAnsi="Arial" w:cs="Arial"/>
          <w:sz w:val="22"/>
          <w:szCs w:val="22"/>
        </w:rPr>
        <w:t>Compensation packages at the firm should follow a performance-based structure that connects payments directly to profits and revenue development and stock market performance success.</w:t>
      </w:r>
    </w:p>
    <w:p w14:paraId="3642DCA9" w14:textId="77777777" w:rsidR="0013681B" w:rsidRPr="00AE6292" w:rsidRDefault="0013681B" w:rsidP="004C31B2">
      <w:pPr>
        <w:pStyle w:val="Heading2"/>
        <w:rPr>
          <w:rStyle w:val="Heading2Char"/>
          <w:rFonts w:ascii="Arial" w:hAnsi="Arial" w:cs="Arial"/>
          <w:b/>
          <w:bCs/>
          <w:color w:val="auto"/>
          <w:sz w:val="22"/>
          <w:szCs w:val="22"/>
        </w:rPr>
      </w:pPr>
      <w:r w:rsidRPr="00AE6292">
        <w:rPr>
          <w:rFonts w:eastAsia="Times New Roman"/>
          <w:kern w:val="0"/>
          <w14:ligatures w14:val="none"/>
        </w:rPr>
        <w:t xml:space="preserve"> </w:t>
      </w:r>
      <w:bookmarkStart w:id="16" w:name="_Toc190631547"/>
      <w:bookmarkStart w:id="17" w:name="_Toc191058236"/>
      <w:r w:rsidRPr="00AE6292">
        <w:rPr>
          <w:rStyle w:val="Heading2Char"/>
          <w:rFonts w:ascii="Arial" w:hAnsi="Arial" w:cs="Arial"/>
          <w:b/>
          <w:bCs/>
          <w:color w:val="auto"/>
          <w:sz w:val="22"/>
          <w:szCs w:val="22"/>
        </w:rPr>
        <w:t>Relevant Structures for Fair Compensation</w:t>
      </w:r>
      <w:bookmarkEnd w:id="16"/>
      <w:bookmarkEnd w:id="17"/>
    </w:p>
    <w:p w14:paraId="3E181184" w14:textId="77777777" w:rsidR="0013681B" w:rsidRPr="00AE6292" w:rsidRDefault="0013681B" w:rsidP="0013681B">
      <w:pPr>
        <w:spacing w:line="360" w:lineRule="auto"/>
        <w:ind w:firstLine="720"/>
        <w:jc w:val="both"/>
        <w:rPr>
          <w:rFonts w:ascii="Arial" w:hAnsi="Arial" w:cs="Arial"/>
          <w:sz w:val="22"/>
          <w:szCs w:val="22"/>
        </w:rPr>
      </w:pPr>
      <w:r w:rsidRPr="00AE6292">
        <w:rPr>
          <w:rFonts w:ascii="Arial" w:hAnsi="Arial" w:cs="Arial"/>
          <w:sz w:val="22"/>
          <w:szCs w:val="22"/>
        </w:rPr>
        <w:t>An effective remuneration policy combines base salary with incentive-based compensation options such as bonuses and share-based plans which include stock options or restricted stock unit programs. Providing directors with incentives for long-term company success is achieved through this framework. The policy must comply with UK Corporate Governance Code regulations because it requires full transparency along with fair executive remuneration practices (</w:t>
      </w:r>
      <w:proofErr w:type="spellStart"/>
      <w:r w:rsidRPr="00AE6292">
        <w:rPr>
          <w:rFonts w:ascii="Arial" w:hAnsi="Arial" w:cs="Arial"/>
          <w:color w:val="222222"/>
          <w:sz w:val="22"/>
          <w:szCs w:val="22"/>
          <w:shd w:val="clear" w:color="auto" w:fill="FFFFFF"/>
        </w:rPr>
        <w:t>Syahrir</w:t>
      </w:r>
      <w:proofErr w:type="spellEnd"/>
      <w:r w:rsidRPr="00AE6292">
        <w:rPr>
          <w:rFonts w:ascii="Arial" w:hAnsi="Arial" w:cs="Arial"/>
          <w:color w:val="222222"/>
          <w:sz w:val="22"/>
          <w:szCs w:val="22"/>
          <w:shd w:val="clear" w:color="auto" w:fill="FFFFFF"/>
        </w:rPr>
        <w:t xml:space="preserve">, et al,.2021). </w:t>
      </w:r>
      <w:r w:rsidRPr="00AE6292">
        <w:rPr>
          <w:rFonts w:ascii="Arial" w:hAnsi="Arial" w:cs="Arial"/>
          <w:sz w:val="22"/>
          <w:szCs w:val="22"/>
        </w:rPr>
        <w:t>The compensation system follows methods which make compensation both competitive and supportive of shareholder interests.</w:t>
      </w:r>
    </w:p>
    <w:p w14:paraId="3C64D1CA" w14:textId="77777777" w:rsidR="0013681B" w:rsidRPr="004C31B2" w:rsidRDefault="0013681B" w:rsidP="004C31B2">
      <w:pPr>
        <w:pStyle w:val="Heading1"/>
        <w:rPr>
          <w:rStyle w:val="Heading2Char"/>
          <w:sz w:val="40"/>
          <w:szCs w:val="40"/>
        </w:rPr>
      </w:pPr>
      <w:bookmarkStart w:id="18" w:name="_Toc190631548"/>
      <w:bookmarkStart w:id="19" w:name="_Toc191058237"/>
      <w:r w:rsidRPr="004C31B2">
        <w:rPr>
          <w:rStyle w:val="Heading2Char"/>
          <w:sz w:val="40"/>
          <w:szCs w:val="40"/>
        </w:rPr>
        <w:t>Institutional Differences: Shanghai vs. Netherlands</w:t>
      </w:r>
      <w:bookmarkEnd w:id="18"/>
      <w:bookmarkEnd w:id="19"/>
    </w:p>
    <w:p w14:paraId="02D10E40" w14:textId="77777777" w:rsidR="0013681B" w:rsidRPr="00AE6292" w:rsidRDefault="0013681B" w:rsidP="004C31B2">
      <w:pPr>
        <w:pStyle w:val="Heading2"/>
        <w:rPr>
          <w:rFonts w:eastAsia="Times New Roman"/>
        </w:rPr>
      </w:pPr>
      <w:bookmarkStart w:id="20" w:name="_Toc191058238"/>
      <w:r w:rsidRPr="00AE6292">
        <w:rPr>
          <w:rFonts w:eastAsia="Times New Roman"/>
        </w:rPr>
        <w:t>Corporate Governance in Shanghai</w:t>
      </w:r>
      <w:bookmarkEnd w:id="20"/>
    </w:p>
    <w:p w14:paraId="291C54E4"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The company must consider substantial institutional differences between Shanghai and the UK if it selects Shanghai for its initial public offering. The state plays a prominent role in shaping corporate governance practices throughout China especially when companies operate in essential national industries. Major companies come under strong state control in China which makes government officials play key decision-making roles within corporate structures. Shanghai takes a different direction compared to UK standards which emphasize shareholder rights. China has taken commendable steps toward better corporate governance, yet its legal framework remains transparent mainly because it provides less protection to minority stockholders (</w:t>
      </w:r>
      <w:r w:rsidRPr="00AE6292">
        <w:rPr>
          <w:rFonts w:ascii="Arial" w:hAnsi="Arial" w:cs="Arial"/>
          <w:color w:val="222222"/>
          <w:sz w:val="22"/>
          <w:szCs w:val="22"/>
          <w:shd w:val="clear" w:color="auto" w:fill="FFFFFF"/>
        </w:rPr>
        <w:t xml:space="preserve">Bai, </w:t>
      </w:r>
      <w:r w:rsidRPr="00AE6292">
        <w:rPr>
          <w:rFonts w:ascii="Arial" w:hAnsi="Arial" w:cs="Arial"/>
          <w:i/>
          <w:iCs/>
          <w:color w:val="222222"/>
          <w:sz w:val="22"/>
          <w:szCs w:val="22"/>
          <w:shd w:val="clear" w:color="auto" w:fill="FFFFFF"/>
        </w:rPr>
        <w:t>et al</w:t>
      </w:r>
      <w:r w:rsidRPr="00AE6292">
        <w:rPr>
          <w:rFonts w:ascii="Arial" w:hAnsi="Arial" w:cs="Arial"/>
          <w:color w:val="222222"/>
          <w:sz w:val="22"/>
          <w:szCs w:val="22"/>
          <w:shd w:val="clear" w:color="auto" w:fill="FFFFFF"/>
        </w:rPr>
        <w:t xml:space="preserve">,.2023). </w:t>
      </w:r>
    </w:p>
    <w:p w14:paraId="3EF165AE" w14:textId="77777777" w:rsidR="0013681B" w:rsidRPr="00AE6292" w:rsidRDefault="0013681B" w:rsidP="004C31B2">
      <w:pPr>
        <w:pStyle w:val="Heading2"/>
        <w:rPr>
          <w:rFonts w:eastAsia="Times New Roman"/>
        </w:rPr>
      </w:pPr>
      <w:bookmarkStart w:id="21" w:name="_Toc191058239"/>
      <w:r w:rsidRPr="00AE6292">
        <w:rPr>
          <w:rFonts w:eastAsia="Times New Roman"/>
        </w:rPr>
        <w:lastRenderedPageBreak/>
        <w:t>Corporate Governance in the Netherlands</w:t>
      </w:r>
      <w:bookmarkEnd w:id="21"/>
    </w:p>
    <w:p w14:paraId="4DD68D31" w14:textId="77777777" w:rsidR="0013681B" w:rsidRPr="00AE6292" w:rsidRDefault="0013681B" w:rsidP="0013681B">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A UK company will recognize the Netherlands' corporate governance setup since it mirrors those implemented in the United Kingdom. Under the Dutch corporate structure two board tiers exist with daily operations being managed by the executive board under supervision from a supervisory board. The system offers enhanced checks and balances and exists to enhance company transparency together with increased accountability (</w:t>
      </w:r>
      <w:proofErr w:type="spellStart"/>
      <w:r w:rsidRPr="00AE6292">
        <w:rPr>
          <w:rFonts w:ascii="Arial" w:hAnsi="Arial" w:cs="Arial"/>
          <w:color w:val="222222"/>
          <w:sz w:val="22"/>
          <w:szCs w:val="22"/>
          <w:shd w:val="clear" w:color="auto" w:fill="FFFFFF"/>
        </w:rPr>
        <w:t>Wendry</w:t>
      </w:r>
      <w:proofErr w:type="spellEnd"/>
      <w:r w:rsidRPr="00AE6292">
        <w:rPr>
          <w:rFonts w:ascii="Arial" w:hAnsi="Arial" w:cs="Arial"/>
          <w:color w:val="222222"/>
          <w:sz w:val="22"/>
          <w:szCs w:val="22"/>
          <w:shd w:val="clear" w:color="auto" w:fill="FFFFFF"/>
        </w:rPr>
        <w:t>,</w:t>
      </w:r>
      <w:r w:rsidRPr="00AE6292">
        <w:rPr>
          <w:rFonts w:ascii="Arial" w:hAnsi="Arial" w:cs="Arial"/>
          <w:i/>
          <w:iCs/>
          <w:color w:val="222222"/>
          <w:sz w:val="22"/>
          <w:szCs w:val="22"/>
          <w:shd w:val="clear" w:color="auto" w:fill="FFFFFF"/>
        </w:rPr>
        <w:t xml:space="preserve"> et al,</w:t>
      </w:r>
      <w:r w:rsidRPr="00AE6292">
        <w:rPr>
          <w:rFonts w:ascii="Arial" w:hAnsi="Arial" w:cs="Arial"/>
          <w:color w:val="222222"/>
          <w:sz w:val="22"/>
          <w:szCs w:val="22"/>
          <w:shd w:val="clear" w:color="auto" w:fill="FFFFFF"/>
        </w:rPr>
        <w:t xml:space="preserve">.2023). </w:t>
      </w:r>
      <w:r w:rsidRPr="00AE6292">
        <w:rPr>
          <w:rFonts w:ascii="Arial" w:eastAsia="Times New Roman" w:hAnsi="Arial" w:cs="Arial"/>
          <w:kern w:val="0"/>
          <w:sz w:val="22"/>
          <w:szCs w:val="22"/>
          <w14:ligatures w14:val="none"/>
        </w:rPr>
        <w:t>The Netherlands possesses strong shareholder protections combined with a highly developed body of laws that follows EU standards. A family business seeking to maintain control might find the Netherlands provides better stability and predictability of governance over Shanghai.</w:t>
      </w:r>
    </w:p>
    <w:p w14:paraId="3AF3677E" w14:textId="77777777" w:rsidR="0013681B" w:rsidRPr="00AE6292" w:rsidRDefault="0013681B" w:rsidP="004C31B2">
      <w:pPr>
        <w:pStyle w:val="Heading1"/>
        <w:rPr>
          <w:rFonts w:eastAsia="Times New Roman"/>
        </w:rPr>
      </w:pPr>
      <w:r w:rsidRPr="00AE6292">
        <w:rPr>
          <w:rFonts w:eastAsia="Times New Roman"/>
        </w:rPr>
        <w:t xml:space="preserve">         </w:t>
      </w:r>
      <w:bookmarkStart w:id="22" w:name="_Toc191058240"/>
      <w:r w:rsidRPr="00AE6292">
        <w:rPr>
          <w:rFonts w:eastAsia="Times New Roman"/>
        </w:rPr>
        <w:t>Implications for Moving to Headquarters</w:t>
      </w:r>
      <w:bookmarkEnd w:id="22"/>
    </w:p>
    <w:p w14:paraId="26D62CAF" w14:textId="77777777" w:rsidR="0013681B" w:rsidRPr="00AE6292" w:rsidRDefault="0013681B" w:rsidP="0013681B">
      <w:pPr>
        <w:spacing w:after="0"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The decision to relocate the headquarters between Shanghai or the Netherlands creates powerful consequences for the company. A Shanghai headquarters would create higher regulatory dangers for the company because the Chinese government actively influences corporate operations. The Netherlands, on the other hand, offers a more stable and transparent regulatory environment, with better alignment with international standards. A headquarters relocation would potentially alter investor reputation because investors tend to feel more comfortable working within Dutch regulatory guidelines (</w:t>
      </w:r>
      <w:r w:rsidRPr="00AE6292">
        <w:rPr>
          <w:rFonts w:ascii="Arial" w:hAnsi="Arial" w:cs="Arial"/>
          <w:color w:val="222222"/>
          <w:sz w:val="22"/>
          <w:szCs w:val="22"/>
          <w:shd w:val="clear" w:color="auto" w:fill="FFFFFF"/>
        </w:rPr>
        <w:t xml:space="preserve">Nadeem, 2021). </w:t>
      </w:r>
      <w:r w:rsidRPr="00AE6292">
        <w:rPr>
          <w:rFonts w:ascii="Arial" w:eastAsia="Times New Roman" w:hAnsi="Arial" w:cs="Arial"/>
          <w:kern w:val="0"/>
          <w:sz w:val="22"/>
          <w:szCs w:val="22"/>
          <w14:ligatures w14:val="none"/>
        </w:rPr>
        <w:t>Speaking to an accountant would help the family determine which location to choose for their listing among UK, Shanghai and the Netherlands.</w:t>
      </w:r>
    </w:p>
    <w:p w14:paraId="017CFC3C" w14:textId="77777777" w:rsidR="0013681B" w:rsidRPr="00AE6292" w:rsidRDefault="0013681B" w:rsidP="004C31B2">
      <w:pPr>
        <w:pStyle w:val="Heading1"/>
        <w:rPr>
          <w:rFonts w:eastAsia="Times New Roman"/>
        </w:rPr>
      </w:pPr>
      <w:bookmarkStart w:id="23" w:name="_Toc190631549"/>
      <w:bookmarkStart w:id="24" w:name="_Toc191058241"/>
      <w:r w:rsidRPr="00AE6292">
        <w:rPr>
          <w:rFonts w:eastAsia="Times New Roman"/>
        </w:rPr>
        <w:t>Shareholder Engagement and Investor Relations</w:t>
      </w:r>
      <w:bookmarkEnd w:id="23"/>
      <w:bookmarkEnd w:id="24"/>
    </w:p>
    <w:p w14:paraId="32E5484A" w14:textId="77777777" w:rsidR="0013681B" w:rsidRPr="00AE6292" w:rsidRDefault="0013681B" w:rsidP="0013681B">
      <w:pPr>
        <w:spacing w:after="0"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Publicly traded status requires the company to excel in shareholder engagement and investor relations which will protect investor trust and secure extended market success. A publicly traded company needs to preserve complete transparency through open communication channels for all shareholders especially in the case of family-owned businesses. For developing robust investor relations, the organization must deploy an organized communication plan which combines regular financial disclosures with investor meetings and yearly shareholder meetings (AGMs) (</w:t>
      </w:r>
      <w:r w:rsidRPr="00AE6292">
        <w:rPr>
          <w:rFonts w:ascii="Arial" w:hAnsi="Arial" w:cs="Arial"/>
          <w:color w:val="222222"/>
          <w:sz w:val="22"/>
          <w:szCs w:val="22"/>
          <w:shd w:val="clear" w:color="auto" w:fill="FFFFFF"/>
        </w:rPr>
        <w:t xml:space="preserve">Chapman, et al,.2022). </w:t>
      </w:r>
      <w:r w:rsidRPr="00AE6292">
        <w:rPr>
          <w:rFonts w:ascii="Arial" w:eastAsia="Times New Roman" w:hAnsi="Arial" w:cs="Arial"/>
          <w:kern w:val="0"/>
          <w:sz w:val="22"/>
          <w:szCs w:val="22"/>
          <w14:ligatures w14:val="none"/>
        </w:rPr>
        <w:t>A specialized investor relations department is crucial for managing two types of investors while delivering the company's strategic plan in an easily understandable manner.</w:t>
      </w:r>
    </w:p>
    <w:p w14:paraId="21130518" w14:textId="77777777" w:rsidR="0013681B" w:rsidRPr="00AE6292" w:rsidRDefault="0013681B" w:rsidP="0013681B">
      <w:pPr>
        <w:spacing w:after="0" w:line="360" w:lineRule="auto"/>
        <w:ind w:firstLine="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The family needs to set shareholder agreements which will determine how shareholders interact including their voting power choices regarding share buyouts and </w:t>
      </w:r>
      <w:r w:rsidRPr="00AE6292">
        <w:rPr>
          <w:rFonts w:ascii="Arial" w:eastAsia="Times New Roman" w:hAnsi="Arial" w:cs="Arial"/>
          <w:kern w:val="0"/>
          <w:sz w:val="22"/>
          <w:szCs w:val="22"/>
          <w14:ligatures w14:val="none"/>
        </w:rPr>
        <w:lastRenderedPageBreak/>
        <w:t>director selection rights. The company should actively involve investors through quarterly financial updates to establish trust and minimize concerns about ownership structures which include dual-class shares. AIM-listed companies facing less stringent regulatory obligations than Main Market companies maintain their corporate reputation by keeping high voluntary disclosure standards which also improves investor trust in the organization.</w:t>
      </w:r>
    </w:p>
    <w:p w14:paraId="71B73043" w14:textId="77777777" w:rsidR="0013681B" w:rsidRPr="00AE6292" w:rsidRDefault="0013681B" w:rsidP="004C31B2">
      <w:pPr>
        <w:pStyle w:val="Heading1"/>
        <w:rPr>
          <w:rFonts w:eastAsia="Times New Roman"/>
        </w:rPr>
      </w:pPr>
      <w:bookmarkStart w:id="25" w:name="_Toc190631550"/>
      <w:bookmarkStart w:id="26" w:name="_Toc191058242"/>
      <w:r w:rsidRPr="00AE6292">
        <w:rPr>
          <w:rFonts w:eastAsia="Times New Roman"/>
        </w:rPr>
        <w:t>Conclusion</w:t>
      </w:r>
      <w:bookmarkEnd w:id="25"/>
      <w:bookmarkEnd w:id="26"/>
    </w:p>
    <w:p w14:paraId="1BC367ED" w14:textId="77777777" w:rsidR="0013681B" w:rsidRPr="00AE6292" w:rsidRDefault="0013681B" w:rsidP="0013681B">
      <w:pPr>
        <w:spacing w:after="0" w:line="360" w:lineRule="auto"/>
        <w:ind w:firstLine="720"/>
        <w:jc w:val="both"/>
        <w:rPr>
          <w:rFonts w:ascii="Arial" w:eastAsia="Times New Roman" w:hAnsi="Arial" w:cs="Arial"/>
          <w:kern w:val="0"/>
          <w:sz w:val="22"/>
          <w:szCs w:val="22"/>
          <w14:ligatures w14:val="none"/>
        </w:rPr>
      </w:pPr>
      <w:r w:rsidRPr="00AE6292">
        <w:rPr>
          <w:rFonts w:ascii="Arial" w:hAnsi="Arial" w:cs="Arial"/>
          <w:sz w:val="22"/>
          <w:szCs w:val="22"/>
        </w:rPr>
        <w:t>Prestige service LTD as a family business faces several challenges as it prepares to list on AIM, including corporate governance, agency theory, and the retention of control. Membership</w:t>
      </w:r>
      <w:r w:rsidRPr="00AE6292">
        <w:rPr>
          <w:rFonts w:ascii="Arial" w:eastAsia="Times New Roman" w:hAnsi="Arial" w:cs="Arial"/>
          <w:kern w:val="0"/>
          <w:sz w:val="22"/>
          <w:szCs w:val="22"/>
          <w14:ligatures w14:val="none"/>
        </w:rPr>
        <w:t xml:space="preserve"> to dual class shares and use of special voting rights allows the family to make strategic decisions independently even if they possess only 30% ownership. A remuneration committee with the responsibility to establish payments for directors based on performance results should be implemented to maintain transparency and fairness in compensation. The family needs to thoroughly evaluate the consequences of relocating the headquarters to Shanghai or the Netherlands since they must balance regulatory hazards and governance models.</w:t>
      </w:r>
    </w:p>
    <w:p w14:paraId="3276A86B" w14:textId="77777777" w:rsidR="0013681B" w:rsidRPr="00AE6292" w:rsidRDefault="0013681B" w:rsidP="0013681B">
      <w:pPr>
        <w:spacing w:after="0" w:line="360" w:lineRule="auto"/>
        <w:jc w:val="both"/>
        <w:rPr>
          <w:rFonts w:ascii="Arial" w:eastAsia="Times New Roman" w:hAnsi="Arial" w:cs="Arial"/>
          <w:kern w:val="0"/>
          <w:sz w:val="22"/>
          <w:szCs w:val="22"/>
          <w14:ligatures w14:val="none"/>
        </w:rPr>
      </w:pPr>
    </w:p>
    <w:p w14:paraId="0D27E8FD" w14:textId="77777777" w:rsidR="0013681B" w:rsidRPr="00AE6292" w:rsidRDefault="0013681B" w:rsidP="004C31B2">
      <w:pPr>
        <w:pStyle w:val="Heading1"/>
      </w:pPr>
      <w:bookmarkStart w:id="27" w:name="_Toc190631551"/>
      <w:bookmarkStart w:id="28" w:name="_Toc191058243"/>
      <w:r w:rsidRPr="00AE6292">
        <w:t>Recommendation</w:t>
      </w:r>
      <w:bookmarkEnd w:id="27"/>
      <w:bookmarkEnd w:id="28"/>
    </w:p>
    <w:p w14:paraId="4F21FCC3" w14:textId="77777777" w:rsidR="0013681B" w:rsidRPr="00AE6292" w:rsidRDefault="0013681B" w:rsidP="0013681B">
      <w:pPr>
        <w:numPr>
          <w:ilvl w:val="0"/>
          <w:numId w:val="1"/>
        </w:numPr>
        <w:spacing w:before="100" w:beforeAutospacing="1" w:after="100" w:afterAutospacing="1" w:line="360" w:lineRule="auto"/>
        <w:jc w:val="both"/>
        <w:rPr>
          <w:rFonts w:ascii="Arial" w:eastAsia="Times New Roman" w:hAnsi="Arial" w:cs="Arial"/>
          <w:kern w:val="0"/>
          <w:sz w:val="22"/>
          <w:szCs w:val="22"/>
          <w14:ligatures w14:val="none"/>
        </w:rPr>
      </w:pPr>
      <w:r w:rsidRPr="00AE6292">
        <w:rPr>
          <w:rFonts w:ascii="Arial" w:eastAsia="Times New Roman" w:hAnsi="Arial" w:cs="Arial"/>
          <w:b/>
          <w:bCs/>
          <w:kern w:val="0"/>
          <w:sz w:val="22"/>
          <w:szCs w:val="22"/>
          <w14:ligatures w14:val="none"/>
        </w:rPr>
        <w:t>Retaining Control</w:t>
      </w:r>
      <w:r w:rsidRPr="00AE6292">
        <w:rPr>
          <w:rFonts w:ascii="Arial" w:eastAsia="Times New Roman" w:hAnsi="Arial" w:cs="Arial"/>
          <w:kern w:val="0"/>
          <w:sz w:val="22"/>
          <w:szCs w:val="22"/>
          <w14:ligatures w14:val="none"/>
        </w:rPr>
        <w:t>: Implement a dual class share structure or special voting rights for family members to ensure control over key decisions.</w:t>
      </w:r>
    </w:p>
    <w:p w14:paraId="65EAB049" w14:textId="77777777" w:rsidR="0013681B" w:rsidRPr="00AE6292" w:rsidRDefault="0013681B" w:rsidP="0013681B">
      <w:pPr>
        <w:numPr>
          <w:ilvl w:val="0"/>
          <w:numId w:val="1"/>
        </w:numPr>
        <w:spacing w:before="100" w:beforeAutospacing="1" w:after="100" w:afterAutospacing="1" w:line="360" w:lineRule="auto"/>
        <w:jc w:val="both"/>
        <w:rPr>
          <w:rFonts w:ascii="Arial" w:eastAsia="Times New Roman" w:hAnsi="Arial" w:cs="Arial"/>
          <w:kern w:val="0"/>
          <w:sz w:val="22"/>
          <w:szCs w:val="22"/>
          <w14:ligatures w14:val="none"/>
        </w:rPr>
      </w:pPr>
      <w:r w:rsidRPr="00AE6292">
        <w:rPr>
          <w:rFonts w:ascii="Arial" w:eastAsia="Times New Roman" w:hAnsi="Arial" w:cs="Arial"/>
          <w:b/>
          <w:bCs/>
          <w:kern w:val="0"/>
          <w:sz w:val="22"/>
          <w:szCs w:val="22"/>
          <w14:ligatures w14:val="none"/>
        </w:rPr>
        <w:t>Director Remuneration</w:t>
      </w:r>
      <w:r w:rsidRPr="00AE6292">
        <w:rPr>
          <w:rFonts w:ascii="Arial" w:eastAsia="Times New Roman" w:hAnsi="Arial" w:cs="Arial"/>
          <w:kern w:val="0"/>
          <w:sz w:val="22"/>
          <w:szCs w:val="22"/>
          <w14:ligatures w14:val="none"/>
        </w:rPr>
        <w:t>: Establish a remuneration committee, link compensation to company performance, and offer equity-based incentives.</w:t>
      </w:r>
    </w:p>
    <w:p w14:paraId="7779CC7D" w14:textId="7613B288" w:rsidR="0013681B" w:rsidRPr="00AE6292" w:rsidRDefault="0013681B" w:rsidP="0013681B">
      <w:pPr>
        <w:numPr>
          <w:ilvl w:val="0"/>
          <w:numId w:val="1"/>
        </w:numPr>
        <w:spacing w:before="100" w:beforeAutospacing="1" w:after="100" w:afterAutospacing="1" w:line="360" w:lineRule="auto"/>
        <w:jc w:val="both"/>
        <w:rPr>
          <w:rFonts w:ascii="Arial" w:eastAsia="Times New Roman" w:hAnsi="Arial" w:cs="Arial"/>
          <w:kern w:val="0"/>
          <w:sz w:val="22"/>
          <w:szCs w:val="22"/>
          <w14:ligatures w14:val="none"/>
        </w:rPr>
      </w:pPr>
      <w:r w:rsidRPr="00AE6292">
        <w:rPr>
          <w:rFonts w:ascii="Arial" w:eastAsia="Times New Roman" w:hAnsi="Arial" w:cs="Arial"/>
          <w:b/>
          <w:bCs/>
          <w:kern w:val="0"/>
          <w:sz w:val="22"/>
          <w:szCs w:val="22"/>
          <w14:ligatures w14:val="none"/>
        </w:rPr>
        <w:t>International Listing Considerations</w:t>
      </w:r>
      <w:r w:rsidRPr="00AE6292">
        <w:rPr>
          <w:rFonts w:ascii="Arial" w:eastAsia="Times New Roman" w:hAnsi="Arial" w:cs="Arial"/>
          <w:kern w:val="0"/>
          <w:sz w:val="22"/>
          <w:szCs w:val="22"/>
          <w14:ligatures w14:val="none"/>
        </w:rPr>
        <w:t xml:space="preserve">: </w:t>
      </w:r>
      <w:proofErr w:type="spellStart"/>
      <w:r w:rsidR="004C31B2">
        <w:rPr>
          <w:rFonts w:ascii="Arial" w:eastAsia="Times New Roman" w:hAnsi="Arial" w:cs="Arial"/>
          <w:kern w:val="0"/>
          <w:sz w:val="22"/>
          <w:szCs w:val="22"/>
          <w14:ligatures w14:val="none"/>
        </w:rPr>
        <w:t>O</w:t>
      </w:r>
      <w:r w:rsidR="004C31B2" w:rsidRPr="00AE6292">
        <w:rPr>
          <w:rFonts w:ascii="Arial" w:eastAsia="Times New Roman" w:hAnsi="Arial" w:cs="Arial"/>
          <w:kern w:val="0"/>
          <w:sz w:val="22"/>
          <w:szCs w:val="22"/>
          <w14:ligatures w14:val="none"/>
        </w:rPr>
        <w:t>pt</w:t>
      </w:r>
      <w:proofErr w:type="spellEnd"/>
      <w:r w:rsidRPr="00AE6292">
        <w:rPr>
          <w:rFonts w:ascii="Arial" w:eastAsia="Times New Roman" w:hAnsi="Arial" w:cs="Arial"/>
          <w:kern w:val="0"/>
          <w:sz w:val="22"/>
          <w:szCs w:val="22"/>
          <w14:ligatures w14:val="none"/>
        </w:rPr>
        <w:t xml:space="preserve"> for the Netherlands as a listing location, given its stable governance framework and alignment with international standards. Avoid Shanghai unless the company is prepared for the regulatory challenges and government involvement in business operations.</w:t>
      </w:r>
    </w:p>
    <w:p w14:paraId="16A6CDCD" w14:textId="77777777" w:rsidR="0013681B" w:rsidRDefault="0013681B"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54127337" w14:textId="77777777" w:rsidR="004C31B2" w:rsidRPr="00AE6292" w:rsidRDefault="004C31B2" w:rsidP="0013681B">
      <w:pPr>
        <w:spacing w:before="100" w:beforeAutospacing="1" w:after="100" w:afterAutospacing="1" w:line="360" w:lineRule="auto"/>
        <w:jc w:val="both"/>
        <w:rPr>
          <w:rFonts w:ascii="Arial" w:eastAsia="Times New Roman" w:hAnsi="Arial" w:cs="Arial"/>
          <w:kern w:val="0"/>
          <w:sz w:val="22"/>
          <w:szCs w:val="22"/>
          <w14:ligatures w14:val="none"/>
        </w:rPr>
      </w:pPr>
    </w:p>
    <w:p w14:paraId="1831E4A7" w14:textId="77777777" w:rsidR="0013681B" w:rsidRPr="00AE6292" w:rsidRDefault="0013681B" w:rsidP="0013681B">
      <w:pPr>
        <w:spacing w:after="0" w:line="360" w:lineRule="auto"/>
        <w:jc w:val="both"/>
        <w:rPr>
          <w:rFonts w:ascii="Arial" w:eastAsia="Times New Roman" w:hAnsi="Arial" w:cs="Arial"/>
          <w:kern w:val="0"/>
          <w:sz w:val="22"/>
          <w:szCs w:val="22"/>
          <w14:ligatures w14:val="none"/>
        </w:rPr>
      </w:pPr>
    </w:p>
    <w:p w14:paraId="4D1D9077" w14:textId="77777777" w:rsidR="0013681B" w:rsidRPr="00AE6292" w:rsidRDefault="0013681B" w:rsidP="004C31B2">
      <w:pPr>
        <w:pStyle w:val="Heading1"/>
        <w:rPr>
          <w:rFonts w:eastAsia="Times New Roman"/>
        </w:rPr>
      </w:pPr>
      <w:bookmarkStart w:id="29" w:name="_Toc190631552"/>
      <w:bookmarkStart w:id="30" w:name="_Toc191058244"/>
      <w:r w:rsidRPr="00AE6292">
        <w:rPr>
          <w:rFonts w:eastAsia="Times New Roman"/>
        </w:rPr>
        <w:lastRenderedPageBreak/>
        <w:t>References</w:t>
      </w:r>
      <w:bookmarkEnd w:id="29"/>
      <w:bookmarkEnd w:id="30"/>
    </w:p>
    <w:p w14:paraId="023C0F1C"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proofErr w:type="spellStart"/>
      <w:r w:rsidRPr="00AE6292">
        <w:rPr>
          <w:rFonts w:ascii="Arial" w:hAnsi="Arial" w:cs="Arial"/>
          <w:color w:val="222222"/>
          <w:sz w:val="22"/>
          <w:szCs w:val="22"/>
          <w:shd w:val="clear" w:color="auto" w:fill="FFFFFF"/>
        </w:rPr>
        <w:t>Alkaraan</w:t>
      </w:r>
      <w:proofErr w:type="spellEnd"/>
      <w:r w:rsidRPr="00AE6292">
        <w:rPr>
          <w:rFonts w:ascii="Arial" w:hAnsi="Arial" w:cs="Arial"/>
          <w:color w:val="222222"/>
          <w:sz w:val="22"/>
          <w:szCs w:val="22"/>
          <w:shd w:val="clear" w:color="auto" w:fill="FFFFFF"/>
        </w:rPr>
        <w:t xml:space="preserve">, F., </w:t>
      </w:r>
      <w:proofErr w:type="spellStart"/>
      <w:r w:rsidRPr="00AE6292">
        <w:rPr>
          <w:rFonts w:ascii="Arial" w:hAnsi="Arial" w:cs="Arial"/>
          <w:color w:val="222222"/>
          <w:sz w:val="22"/>
          <w:szCs w:val="22"/>
          <w:shd w:val="clear" w:color="auto" w:fill="FFFFFF"/>
        </w:rPr>
        <w:t>Elmarzouky</w:t>
      </w:r>
      <w:proofErr w:type="spellEnd"/>
      <w:r w:rsidRPr="00AE6292">
        <w:rPr>
          <w:rFonts w:ascii="Arial" w:hAnsi="Arial" w:cs="Arial"/>
          <w:color w:val="222222"/>
          <w:sz w:val="22"/>
          <w:szCs w:val="22"/>
          <w:shd w:val="clear" w:color="auto" w:fill="FFFFFF"/>
        </w:rPr>
        <w:t xml:space="preserve">, M., </w:t>
      </w:r>
      <w:proofErr w:type="spellStart"/>
      <w:r w:rsidRPr="00AE6292">
        <w:rPr>
          <w:rFonts w:ascii="Arial" w:hAnsi="Arial" w:cs="Arial"/>
          <w:color w:val="222222"/>
          <w:sz w:val="22"/>
          <w:szCs w:val="22"/>
          <w:shd w:val="clear" w:color="auto" w:fill="FFFFFF"/>
        </w:rPr>
        <w:t>Hussainey</w:t>
      </w:r>
      <w:proofErr w:type="spellEnd"/>
      <w:r w:rsidRPr="00AE6292">
        <w:rPr>
          <w:rFonts w:ascii="Arial" w:hAnsi="Arial" w:cs="Arial"/>
          <w:color w:val="222222"/>
          <w:sz w:val="22"/>
          <w:szCs w:val="22"/>
          <w:shd w:val="clear" w:color="auto" w:fill="FFFFFF"/>
        </w:rPr>
        <w:t>, K. and Venkatesh, V.G., 2023. Sustainable strategic investment decision-making practices in UK companies: The influence of governance mechanisms on synergy between industry 4.0 and circular economy. </w:t>
      </w:r>
      <w:r w:rsidRPr="00AE6292">
        <w:rPr>
          <w:rFonts w:ascii="Arial" w:hAnsi="Arial" w:cs="Arial"/>
          <w:i/>
          <w:iCs/>
          <w:color w:val="222222"/>
          <w:sz w:val="22"/>
          <w:szCs w:val="22"/>
          <w:shd w:val="clear" w:color="auto" w:fill="FFFFFF"/>
        </w:rPr>
        <w:t>Technological Forecasting and Social Change</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187</w:t>
      </w:r>
      <w:r w:rsidRPr="00AE6292">
        <w:rPr>
          <w:rFonts w:ascii="Arial" w:hAnsi="Arial" w:cs="Arial"/>
          <w:color w:val="222222"/>
          <w:sz w:val="22"/>
          <w:szCs w:val="22"/>
          <w:shd w:val="clear" w:color="auto" w:fill="FFFFFF"/>
        </w:rPr>
        <w:t>, p.122187.</w:t>
      </w:r>
    </w:p>
    <w:p w14:paraId="551C4B89"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 xml:space="preserve">Bai, K., Ullah, F., Arif, M., </w:t>
      </w:r>
      <w:proofErr w:type="spellStart"/>
      <w:r w:rsidRPr="00AE6292">
        <w:rPr>
          <w:rFonts w:ascii="Arial" w:hAnsi="Arial" w:cs="Arial"/>
          <w:color w:val="222222"/>
          <w:sz w:val="22"/>
          <w:szCs w:val="22"/>
          <w:shd w:val="clear" w:color="auto" w:fill="FFFFFF"/>
        </w:rPr>
        <w:t>Erfanian</w:t>
      </w:r>
      <w:proofErr w:type="spellEnd"/>
      <w:r w:rsidRPr="00AE6292">
        <w:rPr>
          <w:rFonts w:ascii="Arial" w:hAnsi="Arial" w:cs="Arial"/>
          <w:color w:val="222222"/>
          <w:sz w:val="22"/>
          <w:szCs w:val="22"/>
          <w:shd w:val="clear" w:color="auto" w:fill="FFFFFF"/>
        </w:rPr>
        <w:t xml:space="preserve">, S. and </w:t>
      </w:r>
      <w:proofErr w:type="spellStart"/>
      <w:r w:rsidRPr="00AE6292">
        <w:rPr>
          <w:rFonts w:ascii="Arial" w:hAnsi="Arial" w:cs="Arial"/>
          <w:color w:val="222222"/>
          <w:sz w:val="22"/>
          <w:szCs w:val="22"/>
          <w:shd w:val="clear" w:color="auto" w:fill="FFFFFF"/>
        </w:rPr>
        <w:t>Urooge</w:t>
      </w:r>
      <w:proofErr w:type="spellEnd"/>
      <w:r w:rsidRPr="00AE6292">
        <w:rPr>
          <w:rFonts w:ascii="Arial" w:hAnsi="Arial" w:cs="Arial"/>
          <w:color w:val="222222"/>
          <w:sz w:val="22"/>
          <w:szCs w:val="22"/>
          <w:shd w:val="clear" w:color="auto" w:fill="FFFFFF"/>
        </w:rPr>
        <w:t>, S., 2023. Stakeholder-</w:t>
      </w:r>
      <w:proofErr w:type="spellStart"/>
      <w:r w:rsidRPr="00AE6292">
        <w:rPr>
          <w:rFonts w:ascii="Arial" w:hAnsi="Arial" w:cs="Arial"/>
          <w:color w:val="222222"/>
          <w:sz w:val="22"/>
          <w:szCs w:val="22"/>
          <w:shd w:val="clear" w:color="auto" w:fill="FFFFFF"/>
        </w:rPr>
        <w:t>centered</w:t>
      </w:r>
      <w:proofErr w:type="spellEnd"/>
      <w:r w:rsidRPr="00AE6292">
        <w:rPr>
          <w:rFonts w:ascii="Arial" w:hAnsi="Arial" w:cs="Arial"/>
          <w:color w:val="222222"/>
          <w:sz w:val="22"/>
          <w:szCs w:val="22"/>
          <w:shd w:val="clear" w:color="auto" w:fill="FFFFFF"/>
        </w:rPr>
        <w:t xml:space="preserve"> corporate governance and corporate sustainable development: evidence from CSR practices in the top companies by market capitalization at shanghai stock exchange of China. </w:t>
      </w:r>
      <w:r w:rsidRPr="00AE6292">
        <w:rPr>
          <w:rFonts w:ascii="Arial" w:hAnsi="Arial" w:cs="Arial"/>
          <w:i/>
          <w:iCs/>
          <w:color w:val="222222"/>
          <w:sz w:val="22"/>
          <w:szCs w:val="22"/>
          <w:shd w:val="clear" w:color="auto" w:fill="FFFFFF"/>
        </w:rPr>
        <w:t>Sustainability</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15</w:t>
      </w:r>
      <w:r w:rsidRPr="00AE6292">
        <w:rPr>
          <w:rFonts w:ascii="Arial" w:hAnsi="Arial" w:cs="Arial"/>
          <w:color w:val="222222"/>
          <w:sz w:val="22"/>
          <w:szCs w:val="22"/>
          <w:shd w:val="clear" w:color="auto" w:fill="FFFFFF"/>
        </w:rPr>
        <w:t>(4), p.2990.</w:t>
      </w:r>
    </w:p>
    <w:p w14:paraId="398AA09D"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Cadbury, A. (1992). </w:t>
      </w:r>
      <w:r w:rsidRPr="00AE6292">
        <w:rPr>
          <w:rFonts w:ascii="Arial" w:eastAsia="Times New Roman" w:hAnsi="Arial" w:cs="Arial"/>
          <w:i/>
          <w:iCs/>
          <w:kern w:val="0"/>
          <w:sz w:val="22"/>
          <w:szCs w:val="22"/>
          <w14:ligatures w14:val="none"/>
        </w:rPr>
        <w:t>Report of the Committee on the Financial Aspects of Corporate Governance</w:t>
      </w:r>
      <w:r w:rsidRPr="00AE6292">
        <w:rPr>
          <w:rFonts w:ascii="Arial" w:eastAsia="Times New Roman" w:hAnsi="Arial" w:cs="Arial"/>
          <w:kern w:val="0"/>
          <w:sz w:val="22"/>
          <w:szCs w:val="22"/>
          <w14:ligatures w14:val="none"/>
        </w:rPr>
        <w:t>. London: Gee Publishing.</w:t>
      </w:r>
    </w:p>
    <w:p w14:paraId="16406959"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Chapman, K.L., Miller, G.S., Neilson, J.J. and White, H.D., 2022. Investor relations, engagement, and shareholder activism. </w:t>
      </w:r>
      <w:r w:rsidRPr="00AE6292">
        <w:rPr>
          <w:rFonts w:ascii="Arial" w:hAnsi="Arial" w:cs="Arial"/>
          <w:i/>
          <w:iCs/>
          <w:color w:val="222222"/>
          <w:sz w:val="22"/>
          <w:szCs w:val="22"/>
          <w:shd w:val="clear" w:color="auto" w:fill="FFFFFF"/>
        </w:rPr>
        <w:t>The Accounting Review</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97</w:t>
      </w:r>
      <w:r w:rsidRPr="00AE6292">
        <w:rPr>
          <w:rFonts w:ascii="Arial" w:hAnsi="Arial" w:cs="Arial"/>
          <w:color w:val="222222"/>
          <w:sz w:val="22"/>
          <w:szCs w:val="22"/>
          <w:shd w:val="clear" w:color="auto" w:fill="FFFFFF"/>
        </w:rPr>
        <w:t>(2), pp.77-106.</w:t>
      </w:r>
    </w:p>
    <w:p w14:paraId="40164BA8"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Clarke, T. (2007). </w:t>
      </w:r>
      <w:r w:rsidRPr="00AE6292">
        <w:rPr>
          <w:rFonts w:ascii="Arial" w:eastAsia="Times New Roman" w:hAnsi="Arial" w:cs="Arial"/>
          <w:i/>
          <w:iCs/>
          <w:kern w:val="0"/>
          <w:sz w:val="22"/>
          <w:szCs w:val="22"/>
          <w14:ligatures w14:val="none"/>
        </w:rPr>
        <w:t>International Corporate Governance: A Comparative Approach</w:t>
      </w:r>
      <w:r w:rsidRPr="00AE6292">
        <w:rPr>
          <w:rFonts w:ascii="Arial" w:eastAsia="Times New Roman" w:hAnsi="Arial" w:cs="Arial"/>
          <w:kern w:val="0"/>
          <w:sz w:val="22"/>
          <w:szCs w:val="22"/>
          <w14:ligatures w14:val="none"/>
        </w:rPr>
        <w:t>. Routledge.</w:t>
      </w:r>
    </w:p>
    <w:p w14:paraId="32613B15"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 xml:space="preserve">Dong, J.Q., Karhade, P.P., Rai, A. and Xu, S.X., 2021. How firms make information technology investment decisions: Toward a </w:t>
      </w:r>
      <w:proofErr w:type="spellStart"/>
      <w:r w:rsidRPr="00AE6292">
        <w:rPr>
          <w:rFonts w:ascii="Arial" w:hAnsi="Arial" w:cs="Arial"/>
          <w:color w:val="222222"/>
          <w:sz w:val="22"/>
          <w:szCs w:val="22"/>
          <w:shd w:val="clear" w:color="auto" w:fill="FFFFFF"/>
        </w:rPr>
        <w:t>behavioral</w:t>
      </w:r>
      <w:proofErr w:type="spellEnd"/>
      <w:r w:rsidRPr="00AE6292">
        <w:rPr>
          <w:rFonts w:ascii="Arial" w:hAnsi="Arial" w:cs="Arial"/>
          <w:color w:val="222222"/>
          <w:sz w:val="22"/>
          <w:szCs w:val="22"/>
          <w:shd w:val="clear" w:color="auto" w:fill="FFFFFF"/>
        </w:rPr>
        <w:t xml:space="preserve"> agency theory. </w:t>
      </w:r>
      <w:r w:rsidRPr="00AE6292">
        <w:rPr>
          <w:rFonts w:ascii="Arial" w:hAnsi="Arial" w:cs="Arial"/>
          <w:i/>
          <w:iCs/>
          <w:color w:val="222222"/>
          <w:sz w:val="22"/>
          <w:szCs w:val="22"/>
          <w:shd w:val="clear" w:color="auto" w:fill="FFFFFF"/>
        </w:rPr>
        <w:t>Journal of Management Information Systems</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38</w:t>
      </w:r>
      <w:r w:rsidRPr="00AE6292">
        <w:rPr>
          <w:rFonts w:ascii="Arial" w:hAnsi="Arial" w:cs="Arial"/>
          <w:color w:val="222222"/>
          <w:sz w:val="22"/>
          <w:szCs w:val="22"/>
          <w:shd w:val="clear" w:color="auto" w:fill="FFFFFF"/>
        </w:rPr>
        <w:t>(1), pp.29-58.</w:t>
      </w:r>
    </w:p>
    <w:p w14:paraId="5724604E"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Fama, E.F. &amp; Jensen, M.C. (1983). </w:t>
      </w:r>
      <w:r w:rsidRPr="00AE6292">
        <w:rPr>
          <w:rFonts w:ascii="Arial" w:eastAsia="Times New Roman" w:hAnsi="Arial" w:cs="Arial"/>
          <w:i/>
          <w:iCs/>
          <w:kern w:val="0"/>
          <w:sz w:val="22"/>
          <w:szCs w:val="22"/>
          <w14:ligatures w14:val="none"/>
        </w:rPr>
        <w:t>Separation of Ownership and Control</w:t>
      </w:r>
      <w:r w:rsidRPr="00AE6292">
        <w:rPr>
          <w:rFonts w:ascii="Arial" w:eastAsia="Times New Roman" w:hAnsi="Arial" w:cs="Arial"/>
          <w:kern w:val="0"/>
          <w:sz w:val="22"/>
          <w:szCs w:val="22"/>
          <w14:ligatures w14:val="none"/>
        </w:rPr>
        <w:t>. Journal of Law and Economics, 26(2), 301-325.</w:t>
      </w:r>
    </w:p>
    <w:p w14:paraId="298F7BB6"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Goel, D., 2023. </w:t>
      </w:r>
      <w:r w:rsidRPr="00AE6292">
        <w:rPr>
          <w:rFonts w:ascii="Arial" w:hAnsi="Arial" w:cs="Arial"/>
          <w:i/>
          <w:iCs/>
          <w:color w:val="222222"/>
          <w:sz w:val="22"/>
          <w:szCs w:val="22"/>
          <w:shd w:val="clear" w:color="auto" w:fill="FFFFFF"/>
        </w:rPr>
        <w:t>Performance appraisal and compensation management: A modern approach</w:t>
      </w:r>
      <w:r w:rsidRPr="00AE6292">
        <w:rPr>
          <w:rFonts w:ascii="Arial" w:hAnsi="Arial" w:cs="Arial"/>
          <w:color w:val="222222"/>
          <w:sz w:val="22"/>
          <w:szCs w:val="22"/>
          <w:shd w:val="clear" w:color="auto" w:fill="FFFFFF"/>
        </w:rPr>
        <w:t xml:space="preserve">. PHI Learning </w:t>
      </w:r>
      <w:proofErr w:type="spellStart"/>
      <w:r w:rsidRPr="00AE6292">
        <w:rPr>
          <w:rFonts w:ascii="Arial" w:hAnsi="Arial" w:cs="Arial"/>
          <w:color w:val="222222"/>
          <w:sz w:val="22"/>
          <w:szCs w:val="22"/>
          <w:shd w:val="clear" w:color="auto" w:fill="FFFFFF"/>
        </w:rPr>
        <w:t>Pvt.</w:t>
      </w:r>
      <w:proofErr w:type="spellEnd"/>
      <w:r w:rsidRPr="00AE6292">
        <w:rPr>
          <w:rFonts w:ascii="Arial" w:hAnsi="Arial" w:cs="Arial"/>
          <w:color w:val="222222"/>
          <w:sz w:val="22"/>
          <w:szCs w:val="22"/>
          <w:shd w:val="clear" w:color="auto" w:fill="FFFFFF"/>
        </w:rPr>
        <w:t xml:space="preserve"> Ltd...</w:t>
      </w:r>
    </w:p>
    <w:p w14:paraId="0089B3C3"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Nadeem, M., 2021. Corporate governance and supplemental environmental projects: A restorative justice approach. </w:t>
      </w:r>
      <w:r w:rsidRPr="00AE6292">
        <w:rPr>
          <w:rFonts w:ascii="Arial" w:hAnsi="Arial" w:cs="Arial"/>
          <w:i/>
          <w:iCs/>
          <w:color w:val="222222"/>
          <w:sz w:val="22"/>
          <w:szCs w:val="22"/>
          <w:shd w:val="clear" w:color="auto" w:fill="FFFFFF"/>
        </w:rPr>
        <w:t>Journal of Business Ethics</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173</w:t>
      </w:r>
      <w:r w:rsidRPr="00AE6292">
        <w:rPr>
          <w:rFonts w:ascii="Arial" w:hAnsi="Arial" w:cs="Arial"/>
          <w:color w:val="222222"/>
          <w:sz w:val="22"/>
          <w:szCs w:val="22"/>
          <w:shd w:val="clear" w:color="auto" w:fill="FFFFFF"/>
        </w:rPr>
        <w:t>(2), pp.261-280.</w:t>
      </w:r>
    </w:p>
    <w:p w14:paraId="3DC1ED9F"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OECD. (2015). </w:t>
      </w:r>
      <w:r w:rsidRPr="00AE6292">
        <w:rPr>
          <w:rFonts w:ascii="Arial" w:eastAsia="Times New Roman" w:hAnsi="Arial" w:cs="Arial"/>
          <w:i/>
          <w:iCs/>
          <w:kern w:val="0"/>
          <w:sz w:val="22"/>
          <w:szCs w:val="22"/>
          <w14:ligatures w14:val="none"/>
        </w:rPr>
        <w:t>Corporate Governance and the OECD Principles</w:t>
      </w:r>
      <w:r w:rsidRPr="00AE6292">
        <w:rPr>
          <w:rFonts w:ascii="Arial" w:eastAsia="Times New Roman" w:hAnsi="Arial" w:cs="Arial"/>
          <w:kern w:val="0"/>
          <w:sz w:val="22"/>
          <w:szCs w:val="22"/>
          <w14:ligatures w14:val="none"/>
        </w:rPr>
        <w:t>. OECD Publishing.</w:t>
      </w:r>
    </w:p>
    <w:p w14:paraId="53C5C5ED"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Park, B.J. and Lee, K.H., 2021. The sensitivity of corporate social performance to corporate financial performance: A “time-based” agency theory perspective. </w:t>
      </w:r>
      <w:r w:rsidRPr="00AE6292">
        <w:rPr>
          <w:rFonts w:ascii="Arial" w:hAnsi="Arial" w:cs="Arial"/>
          <w:i/>
          <w:iCs/>
          <w:color w:val="222222"/>
          <w:sz w:val="22"/>
          <w:szCs w:val="22"/>
          <w:shd w:val="clear" w:color="auto" w:fill="FFFFFF"/>
        </w:rPr>
        <w:t>Australian Journal of Management</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46</w:t>
      </w:r>
      <w:r w:rsidRPr="00AE6292">
        <w:rPr>
          <w:rFonts w:ascii="Arial" w:hAnsi="Arial" w:cs="Arial"/>
          <w:color w:val="222222"/>
          <w:sz w:val="22"/>
          <w:szCs w:val="22"/>
          <w:shd w:val="clear" w:color="auto" w:fill="FFFFFF"/>
        </w:rPr>
        <w:t>(2), pp.224-247.</w:t>
      </w:r>
    </w:p>
    <w:p w14:paraId="6547003E"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lastRenderedPageBreak/>
        <w:t xml:space="preserve">Shleifer, A., &amp; </w:t>
      </w:r>
      <w:proofErr w:type="spellStart"/>
      <w:r w:rsidRPr="00AE6292">
        <w:rPr>
          <w:rFonts w:ascii="Arial" w:eastAsia="Times New Roman" w:hAnsi="Arial" w:cs="Arial"/>
          <w:kern w:val="0"/>
          <w:sz w:val="22"/>
          <w:szCs w:val="22"/>
          <w14:ligatures w14:val="none"/>
        </w:rPr>
        <w:t>Vishny</w:t>
      </w:r>
      <w:proofErr w:type="spellEnd"/>
      <w:r w:rsidRPr="00AE6292">
        <w:rPr>
          <w:rFonts w:ascii="Arial" w:eastAsia="Times New Roman" w:hAnsi="Arial" w:cs="Arial"/>
          <w:kern w:val="0"/>
          <w:sz w:val="22"/>
          <w:szCs w:val="22"/>
          <w14:ligatures w14:val="none"/>
        </w:rPr>
        <w:t xml:space="preserve">, R. (1997). </w:t>
      </w:r>
      <w:r w:rsidRPr="00AE6292">
        <w:rPr>
          <w:rFonts w:ascii="Arial" w:eastAsia="Times New Roman" w:hAnsi="Arial" w:cs="Arial"/>
          <w:i/>
          <w:iCs/>
          <w:kern w:val="0"/>
          <w:sz w:val="22"/>
          <w:szCs w:val="22"/>
          <w14:ligatures w14:val="none"/>
        </w:rPr>
        <w:t>A Survey of Corporate Governance</w:t>
      </w:r>
      <w:r w:rsidRPr="00AE6292">
        <w:rPr>
          <w:rFonts w:ascii="Arial" w:eastAsia="Times New Roman" w:hAnsi="Arial" w:cs="Arial"/>
          <w:kern w:val="0"/>
          <w:sz w:val="22"/>
          <w:szCs w:val="22"/>
          <w14:ligatures w14:val="none"/>
        </w:rPr>
        <w:t>. Journal of Finance, 52(2), 737-783.</w:t>
      </w:r>
    </w:p>
    <w:p w14:paraId="6FE140FC"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proofErr w:type="spellStart"/>
      <w:r w:rsidRPr="00AE6292">
        <w:rPr>
          <w:rFonts w:ascii="Arial" w:hAnsi="Arial" w:cs="Arial"/>
          <w:color w:val="222222"/>
          <w:sz w:val="22"/>
          <w:szCs w:val="22"/>
          <w:shd w:val="clear" w:color="auto" w:fill="FFFFFF"/>
        </w:rPr>
        <w:t>Syahrir</w:t>
      </w:r>
      <w:proofErr w:type="spellEnd"/>
      <w:r w:rsidRPr="00AE6292">
        <w:rPr>
          <w:rFonts w:ascii="Arial" w:hAnsi="Arial" w:cs="Arial"/>
          <w:color w:val="222222"/>
          <w:sz w:val="22"/>
          <w:szCs w:val="22"/>
          <w:shd w:val="clear" w:color="auto" w:fill="FFFFFF"/>
        </w:rPr>
        <w:t xml:space="preserve">, N., Azis, M., </w:t>
      </w:r>
      <w:proofErr w:type="spellStart"/>
      <w:r w:rsidRPr="00AE6292">
        <w:rPr>
          <w:rFonts w:ascii="Arial" w:hAnsi="Arial" w:cs="Arial"/>
          <w:color w:val="222222"/>
          <w:sz w:val="22"/>
          <w:szCs w:val="22"/>
          <w:shd w:val="clear" w:color="auto" w:fill="FFFFFF"/>
        </w:rPr>
        <w:t>Waruwu</w:t>
      </w:r>
      <w:proofErr w:type="spellEnd"/>
      <w:r w:rsidRPr="00AE6292">
        <w:rPr>
          <w:rFonts w:ascii="Arial" w:hAnsi="Arial" w:cs="Arial"/>
          <w:color w:val="222222"/>
          <w:sz w:val="22"/>
          <w:szCs w:val="22"/>
          <w:shd w:val="clear" w:color="auto" w:fill="FFFFFF"/>
        </w:rPr>
        <w:t xml:space="preserve">, K., </w:t>
      </w:r>
      <w:proofErr w:type="spellStart"/>
      <w:r w:rsidRPr="00AE6292">
        <w:rPr>
          <w:rFonts w:ascii="Arial" w:hAnsi="Arial" w:cs="Arial"/>
          <w:color w:val="222222"/>
          <w:sz w:val="22"/>
          <w:szCs w:val="22"/>
          <w:shd w:val="clear" w:color="auto" w:fill="FFFFFF"/>
        </w:rPr>
        <w:t>Umanailo</w:t>
      </w:r>
      <w:proofErr w:type="spellEnd"/>
      <w:r w:rsidRPr="00AE6292">
        <w:rPr>
          <w:rFonts w:ascii="Arial" w:hAnsi="Arial" w:cs="Arial"/>
          <w:color w:val="222222"/>
          <w:sz w:val="22"/>
          <w:szCs w:val="22"/>
          <w:shd w:val="clear" w:color="auto" w:fill="FFFFFF"/>
        </w:rPr>
        <w:t xml:space="preserve">, M.C.B., </w:t>
      </w:r>
      <w:proofErr w:type="spellStart"/>
      <w:r w:rsidRPr="00AE6292">
        <w:rPr>
          <w:rFonts w:ascii="Arial" w:hAnsi="Arial" w:cs="Arial"/>
          <w:color w:val="222222"/>
          <w:sz w:val="22"/>
          <w:szCs w:val="22"/>
          <w:shd w:val="clear" w:color="auto" w:fill="FFFFFF"/>
        </w:rPr>
        <w:t>Safitri</w:t>
      </w:r>
      <w:proofErr w:type="spellEnd"/>
      <w:r w:rsidRPr="00AE6292">
        <w:rPr>
          <w:rFonts w:ascii="Arial" w:hAnsi="Arial" w:cs="Arial"/>
          <w:color w:val="222222"/>
          <w:sz w:val="22"/>
          <w:szCs w:val="22"/>
          <w:shd w:val="clear" w:color="auto" w:fill="FFFFFF"/>
        </w:rPr>
        <w:t xml:space="preserve">, I.L.K. and </w:t>
      </w:r>
      <w:proofErr w:type="spellStart"/>
      <w:r w:rsidRPr="00AE6292">
        <w:rPr>
          <w:rFonts w:ascii="Arial" w:hAnsi="Arial" w:cs="Arial"/>
          <w:color w:val="222222"/>
          <w:sz w:val="22"/>
          <w:szCs w:val="22"/>
          <w:shd w:val="clear" w:color="auto" w:fill="FFFFFF"/>
        </w:rPr>
        <w:t>Yusriadi</w:t>
      </w:r>
      <w:proofErr w:type="spellEnd"/>
      <w:r w:rsidRPr="00AE6292">
        <w:rPr>
          <w:rFonts w:ascii="Arial" w:hAnsi="Arial" w:cs="Arial"/>
          <w:color w:val="222222"/>
          <w:sz w:val="22"/>
          <w:szCs w:val="22"/>
          <w:shd w:val="clear" w:color="auto" w:fill="FFFFFF"/>
        </w:rPr>
        <w:t>, Y., 2021, April. Effect of compensation and competence on employee performance through employee development. In </w:t>
      </w:r>
      <w:r w:rsidRPr="00AE6292">
        <w:rPr>
          <w:rFonts w:ascii="Arial" w:hAnsi="Arial" w:cs="Arial"/>
          <w:i/>
          <w:iCs/>
          <w:color w:val="222222"/>
          <w:sz w:val="22"/>
          <w:szCs w:val="22"/>
          <w:shd w:val="clear" w:color="auto" w:fill="FFFFFF"/>
        </w:rPr>
        <w:t>Proceedings of the International Conference on Industrial Engineering and Operations Management</w:t>
      </w:r>
      <w:r w:rsidRPr="00AE6292">
        <w:rPr>
          <w:rFonts w:ascii="Arial" w:hAnsi="Arial" w:cs="Arial"/>
          <w:color w:val="222222"/>
          <w:sz w:val="22"/>
          <w:szCs w:val="22"/>
          <w:shd w:val="clear" w:color="auto" w:fill="FFFFFF"/>
        </w:rPr>
        <w:t> (pp. 3178-3179).</w:t>
      </w:r>
    </w:p>
    <w:p w14:paraId="2F86E40E"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eastAsia="Times New Roman" w:hAnsi="Arial" w:cs="Arial"/>
          <w:kern w:val="0"/>
          <w:sz w:val="22"/>
          <w:szCs w:val="22"/>
          <w14:ligatures w14:val="none"/>
        </w:rPr>
        <w:t xml:space="preserve">UK Corporate Governance Code. (2018). </w:t>
      </w:r>
      <w:r w:rsidRPr="00AE6292">
        <w:rPr>
          <w:rFonts w:ascii="Arial" w:eastAsia="Times New Roman" w:hAnsi="Arial" w:cs="Arial"/>
          <w:i/>
          <w:iCs/>
          <w:kern w:val="0"/>
          <w:sz w:val="22"/>
          <w:szCs w:val="22"/>
          <w14:ligatures w14:val="none"/>
        </w:rPr>
        <w:t>Financial Reporting Council</w:t>
      </w:r>
      <w:r w:rsidRPr="00AE6292">
        <w:rPr>
          <w:rFonts w:ascii="Arial" w:eastAsia="Times New Roman" w:hAnsi="Arial" w:cs="Arial"/>
          <w:kern w:val="0"/>
          <w:sz w:val="22"/>
          <w:szCs w:val="22"/>
          <w14:ligatures w14:val="none"/>
        </w:rPr>
        <w:t xml:space="preserve">. </w:t>
      </w:r>
    </w:p>
    <w:p w14:paraId="64E7C520"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r w:rsidRPr="00AE6292">
        <w:rPr>
          <w:rFonts w:ascii="Arial" w:hAnsi="Arial" w:cs="Arial"/>
          <w:color w:val="222222"/>
          <w:sz w:val="22"/>
          <w:szCs w:val="22"/>
          <w:shd w:val="clear" w:color="auto" w:fill="FFFFFF"/>
        </w:rPr>
        <w:t>Wang, T. and Cheng, D., 2023. Executive shareholding, institutional investor shareholding and enterprise innovation. </w:t>
      </w:r>
      <w:r w:rsidRPr="00AE6292">
        <w:rPr>
          <w:rFonts w:ascii="Arial" w:hAnsi="Arial" w:cs="Arial"/>
          <w:i/>
          <w:iCs/>
          <w:color w:val="222222"/>
          <w:sz w:val="22"/>
          <w:szCs w:val="22"/>
          <w:shd w:val="clear" w:color="auto" w:fill="FFFFFF"/>
        </w:rPr>
        <w:t>European Journal of Innovation Management</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26</w:t>
      </w:r>
      <w:r w:rsidRPr="00AE6292">
        <w:rPr>
          <w:rFonts w:ascii="Arial" w:hAnsi="Arial" w:cs="Arial"/>
          <w:color w:val="222222"/>
          <w:sz w:val="22"/>
          <w:szCs w:val="22"/>
          <w:shd w:val="clear" w:color="auto" w:fill="FFFFFF"/>
        </w:rPr>
        <w:t>(6), pp.1744-1762.</w:t>
      </w:r>
    </w:p>
    <w:p w14:paraId="2A8246E0" w14:textId="77777777" w:rsidR="0013681B" w:rsidRPr="00AE6292" w:rsidRDefault="0013681B" w:rsidP="0013681B">
      <w:pPr>
        <w:spacing w:before="100" w:beforeAutospacing="1" w:after="100" w:afterAutospacing="1" w:line="360" w:lineRule="auto"/>
        <w:ind w:left="360" w:hanging="720"/>
        <w:jc w:val="both"/>
        <w:rPr>
          <w:rFonts w:ascii="Arial" w:eastAsia="Times New Roman" w:hAnsi="Arial" w:cs="Arial"/>
          <w:kern w:val="0"/>
          <w:sz w:val="22"/>
          <w:szCs w:val="22"/>
          <w14:ligatures w14:val="none"/>
        </w:rPr>
      </w:pPr>
      <w:proofErr w:type="spellStart"/>
      <w:r w:rsidRPr="00AE6292">
        <w:rPr>
          <w:rFonts w:ascii="Arial" w:hAnsi="Arial" w:cs="Arial"/>
          <w:color w:val="222222"/>
          <w:sz w:val="22"/>
          <w:szCs w:val="22"/>
          <w:shd w:val="clear" w:color="auto" w:fill="FFFFFF"/>
        </w:rPr>
        <w:t>Wendry</w:t>
      </w:r>
      <w:proofErr w:type="spellEnd"/>
      <w:r w:rsidRPr="00AE6292">
        <w:rPr>
          <w:rFonts w:ascii="Arial" w:hAnsi="Arial" w:cs="Arial"/>
          <w:color w:val="222222"/>
          <w:sz w:val="22"/>
          <w:szCs w:val="22"/>
          <w:shd w:val="clear" w:color="auto" w:fill="FFFFFF"/>
        </w:rPr>
        <w:t xml:space="preserve">, B., Nimran, U., Utami, H.N. and </w:t>
      </w:r>
      <w:proofErr w:type="spellStart"/>
      <w:r w:rsidRPr="00AE6292">
        <w:rPr>
          <w:rFonts w:ascii="Arial" w:hAnsi="Arial" w:cs="Arial"/>
          <w:color w:val="222222"/>
          <w:sz w:val="22"/>
          <w:szCs w:val="22"/>
          <w:shd w:val="clear" w:color="auto" w:fill="FFFFFF"/>
        </w:rPr>
        <w:t>Afrianty</w:t>
      </w:r>
      <w:proofErr w:type="spellEnd"/>
      <w:r w:rsidRPr="00AE6292">
        <w:rPr>
          <w:rFonts w:ascii="Arial" w:hAnsi="Arial" w:cs="Arial"/>
          <w:color w:val="222222"/>
          <w:sz w:val="22"/>
          <w:szCs w:val="22"/>
          <w:shd w:val="clear" w:color="auto" w:fill="FFFFFF"/>
        </w:rPr>
        <w:t>, T.W., 2023. The role of good corporate governance in mediating the effect of planning, coordination, supervision, and organizational culture on firm performance and firm sustainability. </w:t>
      </w:r>
      <w:r w:rsidRPr="00AE6292">
        <w:rPr>
          <w:rFonts w:ascii="Arial" w:hAnsi="Arial" w:cs="Arial"/>
          <w:i/>
          <w:iCs/>
          <w:color w:val="222222"/>
          <w:sz w:val="22"/>
          <w:szCs w:val="22"/>
          <w:shd w:val="clear" w:color="auto" w:fill="FFFFFF"/>
        </w:rPr>
        <w:t>Environment, Development and Sustainability</w:t>
      </w:r>
      <w:r w:rsidRPr="00AE6292">
        <w:rPr>
          <w:rFonts w:ascii="Arial" w:hAnsi="Arial" w:cs="Arial"/>
          <w:color w:val="222222"/>
          <w:sz w:val="22"/>
          <w:szCs w:val="22"/>
          <w:shd w:val="clear" w:color="auto" w:fill="FFFFFF"/>
        </w:rPr>
        <w:t>, </w:t>
      </w:r>
      <w:r w:rsidRPr="00AE6292">
        <w:rPr>
          <w:rFonts w:ascii="Arial" w:hAnsi="Arial" w:cs="Arial"/>
          <w:i/>
          <w:iCs/>
          <w:color w:val="222222"/>
          <w:sz w:val="22"/>
          <w:szCs w:val="22"/>
          <w:shd w:val="clear" w:color="auto" w:fill="FFFFFF"/>
        </w:rPr>
        <w:t>25</w:t>
      </w:r>
      <w:r w:rsidRPr="00AE6292">
        <w:rPr>
          <w:rFonts w:ascii="Arial" w:hAnsi="Arial" w:cs="Arial"/>
          <w:color w:val="222222"/>
          <w:sz w:val="22"/>
          <w:szCs w:val="22"/>
          <w:shd w:val="clear" w:color="auto" w:fill="FFFFFF"/>
        </w:rPr>
        <w:t>(3), pp.2509-2521.</w:t>
      </w:r>
    </w:p>
    <w:p w14:paraId="4BA6A98F" w14:textId="77777777" w:rsidR="00BD41D1" w:rsidRDefault="00BD41D1"/>
    <w:sectPr w:rsidR="00BD41D1" w:rsidSect="00BD41D1">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377CF" w14:textId="77777777" w:rsidR="00DC1176" w:rsidRDefault="00DC1176" w:rsidP="00BD41D1">
      <w:pPr>
        <w:spacing w:after="0" w:line="240" w:lineRule="auto"/>
      </w:pPr>
      <w:r>
        <w:separator/>
      </w:r>
    </w:p>
  </w:endnote>
  <w:endnote w:type="continuationSeparator" w:id="0">
    <w:p w14:paraId="6B2B04B5" w14:textId="77777777" w:rsidR="00DC1176" w:rsidRDefault="00DC1176" w:rsidP="00BD4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516037"/>
      <w:docPartObj>
        <w:docPartGallery w:val="Page Numbers (Bottom of Page)"/>
        <w:docPartUnique/>
      </w:docPartObj>
    </w:sdtPr>
    <w:sdtEndPr>
      <w:rPr>
        <w:noProof/>
      </w:rPr>
    </w:sdtEndPr>
    <w:sdtContent>
      <w:p w14:paraId="1FFB23ED" w14:textId="47EFEDE5" w:rsidR="00BD41D1" w:rsidRDefault="00BD41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9DB6A" w14:textId="77777777" w:rsidR="00BD41D1" w:rsidRDefault="00BD4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E8CA2" w14:textId="77777777" w:rsidR="00DC1176" w:rsidRDefault="00DC1176" w:rsidP="00BD41D1">
      <w:pPr>
        <w:spacing w:after="0" w:line="240" w:lineRule="auto"/>
      </w:pPr>
      <w:r>
        <w:separator/>
      </w:r>
    </w:p>
  </w:footnote>
  <w:footnote w:type="continuationSeparator" w:id="0">
    <w:p w14:paraId="46CE5E2B" w14:textId="77777777" w:rsidR="00DC1176" w:rsidRDefault="00DC1176" w:rsidP="00BD4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3D28"/>
    <w:multiLevelType w:val="multilevel"/>
    <w:tmpl w:val="D4BA6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2492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1D1"/>
    <w:rsid w:val="0013681B"/>
    <w:rsid w:val="004C31B2"/>
    <w:rsid w:val="006F7CC6"/>
    <w:rsid w:val="00751A8F"/>
    <w:rsid w:val="00860921"/>
    <w:rsid w:val="00BD41D1"/>
    <w:rsid w:val="00DC1176"/>
    <w:rsid w:val="00E5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A082"/>
  <w15:chartTrackingRefBased/>
  <w15:docId w15:val="{29000E80-7F68-49DF-9599-EBF102D5C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1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41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41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1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1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1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1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1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1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1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41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41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1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1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1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1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1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1D1"/>
    <w:rPr>
      <w:rFonts w:eastAsiaTheme="majorEastAsia" w:cstheme="majorBidi"/>
      <w:color w:val="272727" w:themeColor="text1" w:themeTint="D8"/>
    </w:rPr>
  </w:style>
  <w:style w:type="paragraph" w:styleId="Title">
    <w:name w:val="Title"/>
    <w:basedOn w:val="Normal"/>
    <w:next w:val="Normal"/>
    <w:link w:val="TitleChar"/>
    <w:uiPriority w:val="10"/>
    <w:qFormat/>
    <w:rsid w:val="00BD41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1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1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1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1D1"/>
    <w:pPr>
      <w:spacing w:before="160"/>
      <w:jc w:val="center"/>
    </w:pPr>
    <w:rPr>
      <w:i/>
      <w:iCs/>
      <w:color w:val="404040" w:themeColor="text1" w:themeTint="BF"/>
    </w:rPr>
  </w:style>
  <w:style w:type="character" w:customStyle="1" w:styleId="QuoteChar">
    <w:name w:val="Quote Char"/>
    <w:basedOn w:val="DefaultParagraphFont"/>
    <w:link w:val="Quote"/>
    <w:uiPriority w:val="29"/>
    <w:rsid w:val="00BD41D1"/>
    <w:rPr>
      <w:i/>
      <w:iCs/>
      <w:color w:val="404040" w:themeColor="text1" w:themeTint="BF"/>
    </w:rPr>
  </w:style>
  <w:style w:type="paragraph" w:styleId="ListParagraph">
    <w:name w:val="List Paragraph"/>
    <w:basedOn w:val="Normal"/>
    <w:uiPriority w:val="34"/>
    <w:qFormat/>
    <w:rsid w:val="00BD41D1"/>
    <w:pPr>
      <w:ind w:left="720"/>
      <w:contextualSpacing/>
    </w:pPr>
  </w:style>
  <w:style w:type="character" w:styleId="IntenseEmphasis">
    <w:name w:val="Intense Emphasis"/>
    <w:basedOn w:val="DefaultParagraphFont"/>
    <w:uiPriority w:val="21"/>
    <w:qFormat/>
    <w:rsid w:val="00BD41D1"/>
    <w:rPr>
      <w:i/>
      <w:iCs/>
      <w:color w:val="0F4761" w:themeColor="accent1" w:themeShade="BF"/>
    </w:rPr>
  </w:style>
  <w:style w:type="paragraph" w:styleId="IntenseQuote">
    <w:name w:val="Intense Quote"/>
    <w:basedOn w:val="Normal"/>
    <w:next w:val="Normal"/>
    <w:link w:val="IntenseQuoteChar"/>
    <w:uiPriority w:val="30"/>
    <w:qFormat/>
    <w:rsid w:val="00BD41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1D1"/>
    <w:rPr>
      <w:i/>
      <w:iCs/>
      <w:color w:val="0F4761" w:themeColor="accent1" w:themeShade="BF"/>
    </w:rPr>
  </w:style>
  <w:style w:type="character" w:styleId="IntenseReference">
    <w:name w:val="Intense Reference"/>
    <w:basedOn w:val="DefaultParagraphFont"/>
    <w:uiPriority w:val="32"/>
    <w:qFormat/>
    <w:rsid w:val="00BD41D1"/>
    <w:rPr>
      <w:b/>
      <w:bCs/>
      <w:smallCaps/>
      <w:color w:val="0F4761" w:themeColor="accent1" w:themeShade="BF"/>
      <w:spacing w:val="5"/>
    </w:rPr>
  </w:style>
  <w:style w:type="paragraph" w:styleId="NoSpacing">
    <w:name w:val="No Spacing"/>
    <w:link w:val="NoSpacingChar"/>
    <w:uiPriority w:val="1"/>
    <w:qFormat/>
    <w:rsid w:val="00BD41D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D41D1"/>
    <w:rPr>
      <w:rFonts w:eastAsiaTheme="minorEastAsia"/>
      <w:kern w:val="0"/>
      <w:sz w:val="22"/>
      <w:szCs w:val="22"/>
      <w:lang w:val="en-US"/>
      <w14:ligatures w14:val="none"/>
    </w:rPr>
  </w:style>
  <w:style w:type="paragraph" w:styleId="Header">
    <w:name w:val="header"/>
    <w:basedOn w:val="Normal"/>
    <w:link w:val="HeaderChar"/>
    <w:uiPriority w:val="99"/>
    <w:unhideWhenUsed/>
    <w:rsid w:val="00BD4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1D1"/>
  </w:style>
  <w:style w:type="paragraph" w:styleId="Footer">
    <w:name w:val="footer"/>
    <w:basedOn w:val="Normal"/>
    <w:link w:val="FooterChar"/>
    <w:uiPriority w:val="99"/>
    <w:unhideWhenUsed/>
    <w:rsid w:val="00BD4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1D1"/>
  </w:style>
  <w:style w:type="paragraph" w:styleId="TOCHeading">
    <w:name w:val="TOC Heading"/>
    <w:basedOn w:val="Heading1"/>
    <w:next w:val="Normal"/>
    <w:uiPriority w:val="39"/>
    <w:unhideWhenUsed/>
    <w:qFormat/>
    <w:rsid w:val="004C31B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C31B2"/>
    <w:pPr>
      <w:spacing w:after="100"/>
    </w:pPr>
  </w:style>
  <w:style w:type="paragraph" w:styleId="TOC2">
    <w:name w:val="toc 2"/>
    <w:basedOn w:val="Normal"/>
    <w:next w:val="Normal"/>
    <w:autoRedefine/>
    <w:uiPriority w:val="39"/>
    <w:unhideWhenUsed/>
    <w:rsid w:val="004C31B2"/>
    <w:pPr>
      <w:spacing w:after="100"/>
      <w:ind w:left="240"/>
    </w:pPr>
  </w:style>
  <w:style w:type="paragraph" w:styleId="TOC3">
    <w:name w:val="toc 3"/>
    <w:basedOn w:val="Normal"/>
    <w:next w:val="Normal"/>
    <w:autoRedefine/>
    <w:uiPriority w:val="39"/>
    <w:unhideWhenUsed/>
    <w:rsid w:val="004C31B2"/>
    <w:pPr>
      <w:spacing w:after="100"/>
      <w:ind w:left="480"/>
    </w:pPr>
  </w:style>
  <w:style w:type="character" w:styleId="Hyperlink">
    <w:name w:val="Hyperlink"/>
    <w:basedOn w:val="DefaultParagraphFont"/>
    <w:uiPriority w:val="99"/>
    <w:unhideWhenUsed/>
    <w:rsid w:val="004C31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7ECD8E5834451888B6D4238F166C26"/>
        <w:category>
          <w:name w:val="General"/>
          <w:gallery w:val="placeholder"/>
        </w:category>
        <w:types>
          <w:type w:val="bbPlcHdr"/>
        </w:types>
        <w:behaviors>
          <w:behavior w:val="content"/>
        </w:behaviors>
        <w:guid w:val="{28979841-E5F9-48B1-8DEC-0C722B75E638}"/>
      </w:docPartPr>
      <w:docPartBody>
        <w:p w:rsidR="00000000" w:rsidRDefault="0091508F" w:rsidP="0091508F">
          <w:pPr>
            <w:pStyle w:val="F07ECD8E5834451888B6D4238F166C26"/>
          </w:pPr>
          <w:r>
            <w:rPr>
              <w:rFonts w:asciiTheme="majorHAnsi" w:eastAsiaTheme="majorEastAsia" w:hAnsiTheme="majorHAnsi" w:cstheme="majorBidi"/>
              <w:caps/>
              <w:color w:val="156082" w:themeColor="accent1"/>
              <w:sz w:val="80"/>
              <w:szCs w:val="80"/>
            </w:rPr>
            <w:t>[Document title]</w:t>
          </w:r>
        </w:p>
      </w:docPartBody>
    </w:docPart>
    <w:docPart>
      <w:docPartPr>
        <w:name w:val="B40907A8E7BC4E44BE5EB212E4C45BEE"/>
        <w:category>
          <w:name w:val="General"/>
          <w:gallery w:val="placeholder"/>
        </w:category>
        <w:types>
          <w:type w:val="bbPlcHdr"/>
        </w:types>
        <w:behaviors>
          <w:behavior w:val="content"/>
        </w:behaviors>
        <w:guid w:val="{21AE9295-491E-4862-A5A5-D59B831A9479}"/>
      </w:docPartPr>
      <w:docPartBody>
        <w:p w:rsidR="00000000" w:rsidRDefault="0091508F" w:rsidP="0091508F">
          <w:pPr>
            <w:pStyle w:val="B40907A8E7BC4E44BE5EB212E4C45BE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8F"/>
    <w:rsid w:val="00253E46"/>
    <w:rsid w:val="006F7CC6"/>
    <w:rsid w:val="00915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7ECD8E5834451888B6D4238F166C26">
    <w:name w:val="F07ECD8E5834451888B6D4238F166C26"/>
    <w:rsid w:val="0091508F"/>
  </w:style>
  <w:style w:type="paragraph" w:customStyle="1" w:styleId="B40907A8E7BC4E44BE5EB212E4C45BEE">
    <w:name w:val="B40907A8E7BC4E44BE5EB212E4C45BEE"/>
    <w:rsid w:val="009150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A06F09-6912-43BF-8BC2-122F0289EADF}">
  <ds:schemaRefs>
    <ds:schemaRef ds:uri="http://schemas.openxmlformats.org/officeDocument/2006/bibliography"/>
  </ds:schemaRefs>
</ds:datastoreItem>
</file>

<file path=customXml/itemProps3.xml><?xml version="1.0" encoding="utf-8"?>
<ds:datastoreItem xmlns:ds="http://schemas.openxmlformats.org/officeDocument/2006/customXml" ds:itemID="{05BAC348-594B-474B-89C5-CD1F4CE70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CC95B7-D4A3-433C-B0DD-FBF54930F29B}">
  <ds:schemaRefs>
    <ds:schemaRef ds:uri="http://schemas.microsoft.com/sharepoint/v3/contenttype/forms"/>
  </ds:schemaRefs>
</ds:datastoreItem>
</file>

<file path=customXml/itemProps5.xml><?xml version="1.0" encoding="utf-8"?>
<ds:datastoreItem xmlns:ds="http://schemas.openxmlformats.org/officeDocument/2006/customXml" ds:itemID="{D86B56E0-C9FB-41B2-BE38-F55998B092E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Written Report</dc:subject>
  <dc:creator>Andzhela Toneva (2217837)</dc:creator>
  <cp:keywords/>
  <dc:description/>
  <cp:lastModifiedBy>Andzhela Toneva (2217837)</cp:lastModifiedBy>
  <cp:revision>2</cp:revision>
  <dcterms:created xsi:type="dcterms:W3CDTF">2025-02-21T18:53:00Z</dcterms:created>
  <dcterms:modified xsi:type="dcterms:W3CDTF">2025-02-21T19:39:00Z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