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4E9ECF"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sidR="00987794">
              <w:rPr>
                <w:b/>
                <w:color w:val="auto"/>
                <w:sz w:val="32"/>
              </w:rPr>
              <w:t>: ____Hywel Lloyd</w:t>
            </w:r>
            <w:r>
              <w:rPr>
                <w:b/>
                <w:color w:val="auto"/>
                <w:sz w:val="32"/>
              </w:rPr>
              <w:t>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EB5E915" w:rsidR="00575A8F" w:rsidRDefault="00575A8F" w:rsidP="00E6298B">
            <w:pPr>
              <w:overflowPunct/>
              <w:autoSpaceDE/>
              <w:autoSpaceDN/>
              <w:adjustRightInd/>
              <w:ind w:right="107"/>
              <w:textAlignment w:val="auto"/>
              <w:rPr>
                <w:b/>
                <w:color w:val="auto"/>
                <w:sz w:val="32"/>
              </w:rPr>
            </w:pPr>
            <w:r>
              <w:rPr>
                <w:b/>
                <w:color w:val="auto"/>
                <w:sz w:val="32"/>
              </w:rPr>
              <w:t>____</w:t>
            </w:r>
            <w:r w:rsidR="00987794">
              <w:rPr>
                <w:b/>
                <w:color w:val="auto"/>
                <w:sz w:val="32"/>
              </w:rPr>
              <w:t>1910687</w:t>
            </w:r>
            <w:r>
              <w:rPr>
                <w:b/>
                <w:color w:val="auto"/>
                <w:sz w:val="32"/>
              </w:rPr>
              <w:t>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50"/>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50"/>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50"/>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50"/>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50"/>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50"/>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50"/>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379905B" w:rsidP="7560A895">
      <w:pPr>
        <w:jc w:val="both"/>
        <w:rPr>
          <w:rFonts w:eastAsia="Arial"/>
          <w:color w:val="000000" w:themeColor="text1"/>
          <w:sz w:val="24"/>
          <w:szCs w:val="24"/>
        </w:rPr>
      </w:pPr>
      <w:r w:rsidRPr="7379905B">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7379905B">
        <w:rPr>
          <w:rFonts w:eastAsia="Arial"/>
          <w:color w:val="000000" w:themeColor="text1"/>
          <w:sz w:val="24"/>
          <w:szCs w:val="24"/>
        </w:rPr>
        <w:t>Turnitin</w:t>
      </w:r>
      <w:proofErr w:type="spellEnd"/>
      <w:r w:rsidRPr="7379905B">
        <w:rPr>
          <w:rFonts w:eastAsia="Arial"/>
          <w:color w:val="000000" w:themeColor="text1"/>
          <w:sz w:val="24"/>
          <w:szCs w:val="24"/>
        </w:rPr>
        <w:t xml:space="preserve"> on Moodle. </w:t>
      </w:r>
    </w:p>
    <w:p w14:paraId="0555DC57" w14:textId="65F0E7DB" w:rsidR="7379905B" w:rsidRDefault="7379905B" w:rsidP="7379905B">
      <w:pPr>
        <w:jc w:val="both"/>
        <w:rPr>
          <w:rFonts w:eastAsia="Arial"/>
          <w:color w:val="000000" w:themeColor="text1"/>
          <w:sz w:val="24"/>
          <w:szCs w:val="24"/>
        </w:rPr>
      </w:pPr>
    </w:p>
    <w:p w14:paraId="385EE8C7" w14:textId="2572FD70" w:rsidR="7379905B" w:rsidRDefault="7379905B" w:rsidP="7379905B">
      <w:pPr>
        <w:jc w:val="both"/>
      </w:pPr>
      <w:r w:rsidRPr="7379905B">
        <w:rPr>
          <w:rFonts w:eastAsia="Arial"/>
          <w:b/>
          <w:bCs/>
          <w:color w:val="000000" w:themeColor="text1"/>
          <w:sz w:val="24"/>
          <w:szCs w:val="24"/>
        </w:rPr>
        <w:t>Word count policy</w:t>
      </w:r>
      <w:r w:rsidRPr="7379905B">
        <w:rPr>
          <w:rFonts w:eastAsia="Arial"/>
          <w:color w:val="000000" w:themeColor="text1"/>
          <w:sz w:val="24"/>
          <w:szCs w:val="24"/>
        </w:rPr>
        <w:t xml:space="preserve"> can be found in chapter 7 of the Academic Quality under section 7.7 (this applies to presenting work above and under the specified word count).</w:t>
      </w:r>
    </w:p>
    <w:p w14:paraId="21D29715" w14:textId="39EA888B" w:rsidR="7379905B" w:rsidRDefault="7379905B" w:rsidP="7379905B">
      <w:pPr>
        <w:jc w:val="both"/>
      </w:pPr>
      <w:r w:rsidRPr="7379905B">
        <w:rPr>
          <w:rFonts w:eastAsia="Arial"/>
          <w:color w:val="000000" w:themeColor="text1"/>
          <w:sz w:val="24"/>
          <w:szCs w:val="24"/>
        </w:rPr>
        <w:t xml:space="preserve">  </w:t>
      </w:r>
    </w:p>
    <w:p w14:paraId="263961D8" w14:textId="53D581B4" w:rsidR="7379905B" w:rsidRDefault="7379905B" w:rsidP="7379905B">
      <w:pPr>
        <w:jc w:val="both"/>
      </w:pPr>
      <w:r w:rsidRPr="7379905B">
        <w:rPr>
          <w:rFonts w:eastAsia="Arial"/>
          <w:color w:val="000000" w:themeColor="text1"/>
          <w:sz w:val="24"/>
          <w:szCs w:val="24"/>
        </w:rPr>
        <w:t>(</w:t>
      </w:r>
      <w:hyperlink r:id="rId12">
        <w:r w:rsidRPr="7379905B">
          <w:rPr>
            <w:rStyle w:val="Hyperlink"/>
            <w:rFonts w:eastAsia="Arial"/>
            <w:color w:val="000000" w:themeColor="text1"/>
            <w:sz w:val="24"/>
            <w:szCs w:val="24"/>
          </w:rPr>
          <w:t>https://www.uwtsd.ac.uk/media/uwtsd-website/content-assets/documents/academic-office/aqh-chapters/chapters---en/Chapter_07_Assessment_Taught_Programmes_Pages_72-79-UPDATED-05-11-2019.pdf</w:t>
        </w:r>
      </w:hyperlink>
      <w:r w:rsidRPr="7379905B">
        <w:rPr>
          <w:rFonts w:eastAsia="Arial"/>
          <w:color w:val="000000" w:themeColor="text1"/>
          <w:sz w:val="24"/>
          <w:szCs w:val="24"/>
        </w:rPr>
        <w:t xml:space="preserve">) </w:t>
      </w:r>
    </w:p>
    <w:p w14:paraId="24BFDC5A" w14:textId="26F1188A" w:rsidR="7379905B" w:rsidRDefault="7379905B" w:rsidP="7379905B">
      <w:pPr>
        <w:jc w:val="both"/>
      </w:pPr>
      <w:r w:rsidRPr="7379905B">
        <w:rPr>
          <w:rFonts w:eastAsia="Arial"/>
          <w:color w:val="000000" w:themeColor="text1"/>
          <w:sz w:val="24"/>
          <w:szCs w:val="24"/>
        </w:rPr>
        <w:t xml:space="preserve"> </w:t>
      </w:r>
    </w:p>
    <w:p w14:paraId="6376F226" w14:textId="7D0842DD" w:rsidR="7379905B" w:rsidRDefault="7379905B" w:rsidP="7379905B">
      <w:pPr>
        <w:jc w:val="both"/>
      </w:pPr>
      <w:r w:rsidRPr="7379905B">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7379905B">
        <w:rPr>
          <w:rFonts w:eastAsia="Arial"/>
          <w:color w:val="000000" w:themeColor="text1"/>
          <w:sz w:val="24"/>
          <w:szCs w:val="24"/>
        </w:rPr>
        <w:t>book, that</w:t>
      </w:r>
      <w:proofErr w:type="gramEnd"/>
      <w:r w:rsidRPr="7379905B">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544F7187" w14:textId="7DDB0B0B" w:rsidR="7379905B" w:rsidRDefault="00995892" w:rsidP="7379905B">
      <w:pPr>
        <w:jc w:val="both"/>
      </w:pPr>
      <w:hyperlink r:id="rId13">
        <w:r w:rsidR="7379905B" w:rsidRPr="7379905B">
          <w:rPr>
            <w:rStyle w:val="Hyperlink"/>
            <w:rFonts w:eastAsia="Arial"/>
            <w:sz w:val="24"/>
            <w:szCs w:val="24"/>
          </w:rPr>
          <w:t>https://moodle.uwtsd.ac.uk/pluginfile.php/298870/mod_resource/content/1/Reflective%20Practice%20for%20Policing%20Students%20-%20Selina%20Copley%20Chapter5.pdf</w:t>
        </w:r>
      </w:hyperlink>
    </w:p>
    <w:p w14:paraId="2FBF5ECB" w14:textId="511632F4" w:rsidR="7379905B" w:rsidRDefault="7379905B" w:rsidP="7379905B">
      <w:pPr>
        <w:jc w:val="both"/>
        <w:rPr>
          <w:rFonts w:eastAsia="Arial"/>
          <w:color w:val="000000" w:themeColor="text1"/>
          <w:sz w:val="24"/>
          <w:szCs w:val="24"/>
        </w:rPr>
      </w:pPr>
      <w:r w:rsidRPr="7379905B">
        <w:rPr>
          <w:rFonts w:eastAsia="Arial"/>
          <w:color w:val="000000" w:themeColor="text1"/>
          <w:sz w:val="24"/>
          <w:szCs w:val="24"/>
        </w:rPr>
        <w:t xml:space="preserv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4"/>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4"/>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2"/>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379905B" w:rsidP="7379905B">
      <w:pPr>
        <w:pStyle w:val="ListParagraph"/>
        <w:numPr>
          <w:ilvl w:val="0"/>
          <w:numId w:val="2"/>
        </w:numPr>
        <w:jc w:val="both"/>
        <w:rPr>
          <w:i/>
          <w:iCs/>
          <w:color w:val="000000" w:themeColor="text1"/>
          <w:sz w:val="24"/>
          <w:szCs w:val="24"/>
        </w:rPr>
      </w:pPr>
      <w:r w:rsidRPr="7379905B">
        <w:rPr>
          <w:rFonts w:eastAsia="Arial"/>
          <w:i/>
          <w:iCs/>
          <w:color w:val="000000" w:themeColor="text1"/>
          <w:sz w:val="24"/>
          <w:szCs w:val="24"/>
        </w:rPr>
        <w:t>You should use this particular document to insert your text / answer within each section of this workbook;</w:t>
      </w:r>
    </w:p>
    <w:p w14:paraId="65E28A25" w14:textId="69613AC2" w:rsidR="7379905B" w:rsidRDefault="7379905B" w:rsidP="7379905B">
      <w:pPr>
        <w:pStyle w:val="ListParagraph"/>
        <w:numPr>
          <w:ilvl w:val="0"/>
          <w:numId w:val="2"/>
        </w:numPr>
        <w:jc w:val="both"/>
        <w:rPr>
          <w:i/>
          <w:iCs/>
          <w:color w:val="000000" w:themeColor="text1"/>
          <w:sz w:val="24"/>
          <w:szCs w:val="24"/>
        </w:rPr>
      </w:pPr>
      <w:r w:rsidRPr="7379905B">
        <w:rPr>
          <w:i/>
          <w:iCs/>
          <w:color w:val="000000" w:themeColor="text1"/>
          <w:sz w:val="24"/>
          <w:szCs w:val="24"/>
        </w:rPr>
        <w:t xml:space="preserve">You should upload your completed document as a saved pdf file of this workbook; if this is not possible then a </w:t>
      </w:r>
      <w:proofErr w:type="spellStart"/>
      <w:r w:rsidRPr="7379905B">
        <w:rPr>
          <w:i/>
          <w:iCs/>
          <w:color w:val="000000" w:themeColor="text1"/>
          <w:sz w:val="24"/>
          <w:szCs w:val="24"/>
        </w:rPr>
        <w:t>Worddoc</w:t>
      </w:r>
      <w:proofErr w:type="spellEnd"/>
      <w:r w:rsidRPr="7379905B">
        <w:rPr>
          <w:i/>
          <w:iCs/>
          <w:color w:val="000000" w:themeColor="text1"/>
          <w:sz w:val="24"/>
          <w:szCs w:val="24"/>
        </w:rPr>
        <w:t xml:space="preserve"> file is acceptable. Do not send a scanned file from a photocopier, an apple.dot file or a Microsoft publisher file as </w:t>
      </w:r>
      <w:proofErr w:type="spellStart"/>
      <w:r w:rsidRPr="7379905B">
        <w:rPr>
          <w:i/>
          <w:iCs/>
          <w:color w:val="000000" w:themeColor="text1"/>
          <w:sz w:val="24"/>
          <w:szCs w:val="24"/>
        </w:rPr>
        <w:t>Turnitin</w:t>
      </w:r>
      <w:proofErr w:type="spellEnd"/>
      <w:r w:rsidRPr="7379905B">
        <w:rPr>
          <w:i/>
          <w:iCs/>
          <w:color w:val="000000" w:themeColor="text1"/>
          <w:sz w:val="24"/>
          <w:szCs w:val="24"/>
        </w:rPr>
        <w:t xml:space="preserve"> will not be able to assess them, despite you being able to upload them.</w:t>
      </w:r>
    </w:p>
    <w:p w14:paraId="310A7DB9" w14:textId="094BF79E" w:rsidR="7379905B" w:rsidRDefault="7379905B" w:rsidP="7379905B">
      <w:pPr>
        <w:ind w:left="360"/>
        <w:jc w:val="both"/>
        <w:rPr>
          <w:rFonts w:eastAsia="Arial"/>
          <w:i/>
          <w:iCs/>
          <w:color w:val="000000" w:themeColor="text1"/>
          <w:sz w:val="24"/>
          <w:szCs w:val="24"/>
        </w:rPr>
      </w:pP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7379905B">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7379905B">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7379905B">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7379905B">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7379905B">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7379905B">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7379905B">
        <w:trPr>
          <w:trHeight w:val="81"/>
        </w:trPr>
        <w:tc>
          <w:tcPr>
            <w:tcW w:w="1497" w:type="dxa"/>
            <w:shd w:val="clear" w:color="auto" w:fill="auto"/>
          </w:tcPr>
          <w:p w14:paraId="321FBB7F" w14:textId="2A5BDAE4" w:rsidR="28A9B94D" w:rsidRDefault="7379905B" w:rsidP="28A9B94D">
            <w:pPr>
              <w:jc w:val="both"/>
              <w:rPr>
                <w:color w:val="auto"/>
                <w:sz w:val="24"/>
                <w:szCs w:val="24"/>
              </w:rPr>
            </w:pPr>
            <w:r w:rsidRPr="7379905B">
              <w:rPr>
                <w:color w:val="auto"/>
                <w:sz w:val="24"/>
                <w:szCs w:val="24"/>
              </w:rPr>
              <w:t>Task 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F362011" w:rsidR="28A9B94D" w:rsidRDefault="7379905B" w:rsidP="28A9B94D">
            <w:pPr>
              <w:spacing w:line="360" w:lineRule="auto"/>
              <w:rPr>
                <w:b/>
                <w:bCs/>
                <w:color w:val="auto"/>
                <w:sz w:val="24"/>
                <w:szCs w:val="24"/>
              </w:rPr>
            </w:pPr>
            <w:r w:rsidRPr="7379905B">
              <w:rPr>
                <w:b/>
                <w:bCs/>
                <w:color w:val="auto"/>
                <w:sz w:val="24"/>
                <w:szCs w:val="24"/>
              </w:rPr>
              <w:t>Equivalent to 500 words</w:t>
            </w:r>
          </w:p>
        </w:tc>
      </w:tr>
      <w:tr w:rsidR="28A9B94D" w14:paraId="6218F446" w14:textId="77777777" w:rsidTr="7379905B">
        <w:trPr>
          <w:trHeight w:val="81"/>
        </w:trPr>
        <w:tc>
          <w:tcPr>
            <w:tcW w:w="1497" w:type="dxa"/>
            <w:shd w:val="clear" w:color="auto" w:fill="auto"/>
          </w:tcPr>
          <w:p w14:paraId="4A2B378C" w14:textId="2EE998F9" w:rsidR="28A9B94D" w:rsidRDefault="7379905B" w:rsidP="28A9B94D">
            <w:pPr>
              <w:jc w:val="both"/>
              <w:rPr>
                <w:color w:val="auto"/>
                <w:sz w:val="24"/>
                <w:szCs w:val="24"/>
              </w:rPr>
            </w:pPr>
            <w:r w:rsidRPr="7379905B">
              <w:rPr>
                <w:color w:val="auto"/>
                <w:sz w:val="24"/>
                <w:szCs w:val="24"/>
              </w:rPr>
              <w:t>Task 6</w:t>
            </w: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F6C8255" w:rsidR="28A9B94D" w:rsidRDefault="7379905B" w:rsidP="7379905B">
            <w:pPr>
              <w:spacing w:line="360" w:lineRule="auto"/>
              <w:rPr>
                <w:b/>
                <w:bCs/>
                <w:color w:val="auto"/>
                <w:sz w:val="24"/>
                <w:szCs w:val="24"/>
              </w:rPr>
            </w:pPr>
            <w:r w:rsidRPr="7379905B">
              <w:rPr>
                <w:b/>
                <w:bCs/>
                <w:color w:val="auto"/>
                <w:sz w:val="24"/>
                <w:szCs w:val="24"/>
              </w:rPr>
              <w:t>Equivalent to 500 words</w:t>
            </w:r>
          </w:p>
        </w:tc>
      </w:tr>
      <w:tr w:rsidR="28A9B94D" w14:paraId="4119AF4A" w14:textId="77777777" w:rsidTr="7379905B">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37EBFDEC" w14:textId="29B154B3" w:rsidR="28A9B94D" w:rsidRDefault="7379905B" w:rsidP="7379905B">
            <w:pPr>
              <w:spacing w:line="360" w:lineRule="auto"/>
              <w:jc w:val="both"/>
              <w:rPr>
                <w:b/>
                <w:bCs/>
                <w:color w:val="auto"/>
                <w:sz w:val="24"/>
                <w:szCs w:val="24"/>
              </w:rPr>
            </w:pPr>
            <w:r w:rsidRPr="7379905B">
              <w:rPr>
                <w:b/>
                <w:bCs/>
                <w:color w:val="auto"/>
                <w:sz w:val="24"/>
                <w:szCs w:val="24"/>
              </w:rPr>
              <w:t>Confirmation of Confidentiality and Plagiarism</w:t>
            </w:r>
          </w:p>
          <w:p w14:paraId="4DD328B3" w14:textId="1617A849" w:rsidR="28A9B94D" w:rsidRDefault="7379905B" w:rsidP="7379905B">
            <w:pPr>
              <w:spacing w:line="360" w:lineRule="auto"/>
              <w:jc w:val="both"/>
              <w:rPr>
                <w:b/>
                <w:bCs/>
                <w:i/>
                <w:iCs/>
                <w:color w:val="auto"/>
                <w:sz w:val="24"/>
                <w:szCs w:val="24"/>
              </w:rPr>
            </w:pPr>
            <w:r w:rsidRPr="7379905B">
              <w:rPr>
                <w:b/>
                <w:bCs/>
                <w:i/>
                <w:iCs/>
                <w:color w:val="auto"/>
                <w:sz w:val="24"/>
                <w:szCs w:val="24"/>
              </w:rPr>
              <w:t xml:space="preserve">Confirmed by submission through </w:t>
            </w:r>
            <w:proofErr w:type="spellStart"/>
            <w:r w:rsidRPr="7379905B">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2EF15FD9" w14:textId="40EA1B42" w:rsidR="007C1D94" w:rsidRPr="00270EEB" w:rsidRDefault="00AD6ECE" w:rsidP="7379905B">
      <w:pPr>
        <w:ind w:right="107"/>
        <w:jc w:val="center"/>
        <w:rPr>
          <w:b/>
          <w:bCs/>
          <w:sz w:val="24"/>
          <w:szCs w:val="24"/>
        </w:rPr>
      </w:pPr>
      <w:r w:rsidRPr="7379905B">
        <w:rPr>
          <w:b/>
          <w:bCs/>
          <w:sz w:val="24"/>
          <w:szCs w:val="24"/>
        </w:rPr>
        <w:br w:type="page"/>
      </w:r>
    </w:p>
    <w:p w14:paraId="1DD51F52" w14:textId="15950130" w:rsidR="007C1D94" w:rsidRPr="00270EEB" w:rsidRDefault="7379905B" w:rsidP="28A9B94D">
      <w:pPr>
        <w:ind w:right="107"/>
        <w:jc w:val="center"/>
        <w:rPr>
          <w:b/>
          <w:bCs/>
          <w:sz w:val="24"/>
          <w:szCs w:val="24"/>
        </w:rPr>
      </w:pPr>
      <w:r w:rsidRPr="7379905B">
        <w:rPr>
          <w:b/>
          <w:bCs/>
          <w:color w:val="auto"/>
          <w:sz w:val="24"/>
          <w:szCs w:val="24"/>
        </w:rPr>
        <w:lastRenderedPageBreak/>
        <w:t xml:space="preserve">Task </w:t>
      </w:r>
      <w:r w:rsidRPr="7379905B">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02D8AA7A"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ability to develop resilience in order to better position yourself to minimise stress is important for physical and psychological well-being. As defined by </w:t>
      </w:r>
      <w:proofErr w:type="spellStart"/>
      <w:r w:rsidRPr="00987794">
        <w:rPr>
          <w:rFonts w:asciiTheme="minorHAnsi" w:hAnsiTheme="minorHAnsi" w:cs="Times New Roman"/>
          <w:color w:val="auto"/>
          <w:sz w:val="22"/>
          <w:szCs w:val="22"/>
          <w:lang w:eastAsia="en-US"/>
        </w:rPr>
        <w:t>Meulen</w:t>
      </w:r>
      <w:proofErr w:type="spellEnd"/>
      <w:r w:rsidRPr="00987794">
        <w:rPr>
          <w:rFonts w:asciiTheme="minorHAnsi" w:hAnsiTheme="minorHAnsi" w:cs="Times New Roman"/>
          <w:color w:val="auto"/>
          <w:sz w:val="22"/>
          <w:szCs w:val="22"/>
          <w:lang w:eastAsia="en-US"/>
        </w:rPr>
        <w:t xml:space="preserve"> et al (2018) resilience is “an individuals’ capacity to mitigate stress levels caused by circumstances that are likely to induce stress”. To assist in minimising stress it is important to be aware of any signs and symptoms of stress which an individual may display, and in cases where signs are apparent, to know what measures can be taken to reduce or mitigate it.  </w:t>
      </w:r>
    </w:p>
    <w:p w14:paraId="4D10C7E9"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There are numerous symptoms of stress and many people experience different and contrasting effects and symptoms. Stress has been identified to effect the physiological, psychological, behavioural and emotional states of the individual (Biddle et al 2003). It is important to be aware of how stress affects yourself so that you can identify and respond to it. Throughout the 6 month training phase I implemented a number of coping strategies which enabled me to develop resilience and minimise my stress levels during this period. </w:t>
      </w:r>
    </w:p>
    <w:p w14:paraId="17D21B54"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To minimise the effects of stress on my overall all health and wellbeing, I felt it was important to improve and maintain my general mental health. The main strategy I implemented over the six month training phase was to focus on issues or processes over which I had control rather than issues beyond my control. I think the key benefit of this strategy is that it stops a person from becoming anxious over decisions or scenarios that are being controlled by a third party. I found during training this approach prevented me from wasting energy and overthinking situations such as the scenario based practical exercises. I find this strategy effective as it enables me to identify and prioritise key tasks and deadlines and therefore allows me to focus my energy on and have a positive impact on the prioritised components of the workload. The strategy was helpful in eradicating any anxious feelings that I had in relation to where I was going to be posted within the South Wales Police service area – something which was very common among many on the course. </w:t>
      </w:r>
    </w:p>
    <w:p w14:paraId="726F1C49"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Another strategy I used to keep stress levels to a minimum is a component of the ‘Mindfulness-Based Stress Reduction’ techniques, which involved encouraging a positive mental attitude for myself throughout training. Mindfulness is defined as “paying attention in a particular way, on purpose in the present moment and non-judgementally” (</w:t>
      </w:r>
      <w:proofErr w:type="spellStart"/>
      <w:r w:rsidRPr="00987794">
        <w:rPr>
          <w:rFonts w:asciiTheme="minorHAnsi" w:hAnsiTheme="minorHAnsi" w:cs="Times New Roman"/>
          <w:color w:val="auto"/>
          <w:sz w:val="22"/>
          <w:szCs w:val="22"/>
          <w:lang w:eastAsia="en-US"/>
        </w:rPr>
        <w:t>Kabat</w:t>
      </w:r>
      <w:proofErr w:type="spellEnd"/>
      <w:r w:rsidRPr="00987794">
        <w:rPr>
          <w:rFonts w:asciiTheme="minorHAnsi" w:hAnsiTheme="minorHAnsi" w:cs="Times New Roman"/>
          <w:color w:val="auto"/>
          <w:sz w:val="22"/>
          <w:szCs w:val="22"/>
          <w:lang w:eastAsia="en-US"/>
        </w:rPr>
        <w:t>-Zinn 1994). An approach based around a mindfulness intervention has proven to reduce stress, improve resilience and increase work engagement (Aikens et al 2014). I applied mindfulness to the way I viewed the academic workload, I attempted to concentrate on learning the topics on a day by day basis, breaking down and taking in the information as much as I could, rather than looking ahead to what I thought the content of the exam could be. I found this approach helped in giving me a good all round understanding and grounding of the topic and as I had spent my time learning the information I felt was most important as opposed to worrying about the exam itself I feel this reduced any anxiety which I may have had at the time of the exam.</w:t>
      </w:r>
    </w:p>
    <w:p w14:paraId="2B9D1442"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 felt that being aware of my current energy and stress levels helped to minimise my overall stress levels throughout training as I knew when I needed to take a break to recover and also enabled me to identify the </w:t>
      </w:r>
      <w:r w:rsidRPr="00987794">
        <w:rPr>
          <w:rFonts w:asciiTheme="minorHAnsi" w:hAnsiTheme="minorHAnsi" w:cs="Times New Roman"/>
          <w:color w:val="auto"/>
          <w:sz w:val="22"/>
          <w:szCs w:val="22"/>
          <w:lang w:eastAsia="en-US"/>
        </w:rPr>
        <w:lastRenderedPageBreak/>
        <w:t>optimum times to revise. To assist in the strategy of Mindfulness I also found it helpful to try and avoid people who were stressed before the exams as a way of avoiding myself becoming stressed. To do this I would tend to arrive at the training centre as late as possible on the day of the exam and I would avoid the groups of people who were trying to study right up to the start of the exam as I personally do not favour this strategy.</w:t>
      </w:r>
    </w:p>
    <w:p w14:paraId="441EE5A5"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Time management is a key strategy to minimise </w:t>
      </w:r>
      <w:proofErr w:type="gramStart"/>
      <w:r w:rsidRPr="00987794">
        <w:rPr>
          <w:rFonts w:asciiTheme="minorHAnsi" w:hAnsiTheme="minorHAnsi" w:cs="Times New Roman"/>
          <w:color w:val="auto"/>
          <w:sz w:val="22"/>
          <w:szCs w:val="22"/>
          <w:lang w:eastAsia="en-US"/>
        </w:rPr>
        <w:t>stress  (</w:t>
      </w:r>
      <w:proofErr w:type="gramEnd"/>
      <w:r w:rsidRPr="00987794">
        <w:rPr>
          <w:rFonts w:asciiTheme="minorHAnsi" w:hAnsiTheme="minorHAnsi" w:cs="Times New Roman"/>
          <w:color w:val="auto"/>
          <w:sz w:val="22"/>
          <w:szCs w:val="22"/>
          <w:lang w:eastAsia="en-US"/>
        </w:rPr>
        <w:t>Shah, 2016) as it ensures that you are able to prepare well for examinations by giving you a direction to manage your workload but to also fit in non-work related activities. To implement this strategy planning out my time was essential so I therefore created a timetable to follow. I set out periods of time during which I would undertake work whether that be revision, extra reading or making notes from the lesson PowerPoints. I found by utilising a timetable I was more inclined to complete my work but also had more time for non-work related activities.</w:t>
      </w:r>
    </w:p>
    <w:p w14:paraId="705CB139"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A key strategy for minimising stress and developing resilience was allocating time to spend with family and friends. I found that this time assisted in providing a positive distraction allowing me to have time off from thinking about work and any work related tasks. This time enabled me to put the stresses associated with work into perspective as it gave me the opportunity to speak with people away from the training environment. I felt that by socialising with people who were not enrolled in the same training programme as myself assisted in preventing me from fixating on my workload. However it was also helpful to speak with my colleagues from training about shared issues or concerns. I felt by doing this it helped us develop ways to resolve problems or share knowledge and understanding around the academic topics in preparation for exams. </w:t>
      </w:r>
    </w:p>
    <w:p w14:paraId="2F07C015"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Exercise especially that which is aerobic in nature has been proven as an effective way to reduce the effects of stress and promoting a healthier psychological state (Biddle et al 2003). I found the main benefit of exercising was that it enabled myself to focus on a different task, therefore preventing me from over focusing on work. I also found that exercise was helpful in providing myself a break during periods of revision. During these periods I found that I had better retention of information as the exercise period enabled me to process it subconsciously but also enabled me to feel more energised. Whilst exercising it is important to maintain a healthy diet which enables recovery both physically and mentally. In order to do this I ate a healthy balanced diet to assist with this recovery. It has been found by Gonzalez et al (2014) that “unhealthy eating is a contributing factor to increased levels of stress and that if a healthier eating plan accompanied with scientific supplementation and a proper stress management programme is utilised a person can overcome stress”.</w:t>
      </w:r>
    </w:p>
    <w:p w14:paraId="5760C084"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Maintaining a healthy sleep pattern during the six month training phase was important to develop mental resilience. A loss of sleep can lead to a reduction in the effectiveness of a person’s immune system (</w:t>
      </w:r>
      <w:proofErr w:type="spellStart"/>
      <w:r w:rsidRPr="00987794">
        <w:rPr>
          <w:rFonts w:asciiTheme="minorHAnsi" w:hAnsiTheme="minorHAnsi" w:cs="Times New Roman"/>
          <w:color w:val="auto"/>
          <w:sz w:val="22"/>
          <w:szCs w:val="22"/>
          <w:lang w:eastAsia="en-US"/>
        </w:rPr>
        <w:t>Redwine</w:t>
      </w:r>
      <w:proofErr w:type="spellEnd"/>
      <w:r w:rsidRPr="00987794">
        <w:rPr>
          <w:rFonts w:asciiTheme="minorHAnsi" w:hAnsiTheme="minorHAnsi" w:cs="Times New Roman"/>
          <w:color w:val="auto"/>
          <w:sz w:val="22"/>
          <w:szCs w:val="22"/>
          <w:lang w:eastAsia="en-US"/>
        </w:rPr>
        <w:t xml:space="preserve"> et al 2000) in situations where this occurs a person’s ability to adapt to stress will be weakened and their resilience will decrease (Robson and Salcedo 2014). To assist in keeping a healthy sleep pattern I ensured that I stopped any academic work over an hour before I went to sleep, giving me time ensure I was no longer work focussed and allowing me to relax. Sleep has been found to be important in assisting learning and memory processing (Walker and </w:t>
      </w:r>
      <w:proofErr w:type="spellStart"/>
      <w:r w:rsidRPr="00987794">
        <w:rPr>
          <w:rFonts w:asciiTheme="minorHAnsi" w:hAnsiTheme="minorHAnsi" w:cs="Times New Roman"/>
          <w:color w:val="auto"/>
          <w:sz w:val="22"/>
          <w:szCs w:val="22"/>
          <w:lang w:eastAsia="en-US"/>
        </w:rPr>
        <w:t>Stickgold</w:t>
      </w:r>
      <w:proofErr w:type="spellEnd"/>
      <w:r w:rsidRPr="00987794">
        <w:rPr>
          <w:rFonts w:asciiTheme="minorHAnsi" w:hAnsiTheme="minorHAnsi" w:cs="Times New Roman"/>
          <w:color w:val="auto"/>
          <w:sz w:val="22"/>
          <w:szCs w:val="22"/>
          <w:lang w:eastAsia="en-US"/>
        </w:rPr>
        <w:t xml:space="preserve"> 2006) so ensuring I had sufficient sleep gave my mind time to process the information and to relax. A study undertaken by </w:t>
      </w:r>
      <w:proofErr w:type="spellStart"/>
      <w:r w:rsidRPr="00987794">
        <w:rPr>
          <w:rFonts w:asciiTheme="minorHAnsi" w:hAnsiTheme="minorHAnsi" w:cs="Times New Roman"/>
          <w:color w:val="auto"/>
          <w:sz w:val="22"/>
          <w:szCs w:val="22"/>
          <w:lang w:eastAsia="en-US"/>
        </w:rPr>
        <w:t>Herawati</w:t>
      </w:r>
      <w:proofErr w:type="spellEnd"/>
      <w:r w:rsidRPr="00987794">
        <w:rPr>
          <w:rFonts w:asciiTheme="minorHAnsi" w:hAnsiTheme="minorHAnsi" w:cs="Times New Roman"/>
          <w:color w:val="auto"/>
          <w:sz w:val="22"/>
          <w:szCs w:val="22"/>
          <w:lang w:eastAsia="en-US"/>
        </w:rPr>
        <w:t xml:space="preserve"> and </w:t>
      </w:r>
      <w:proofErr w:type="spellStart"/>
      <w:r w:rsidRPr="00987794">
        <w:rPr>
          <w:rFonts w:asciiTheme="minorHAnsi" w:hAnsiTheme="minorHAnsi" w:cs="Times New Roman"/>
          <w:color w:val="auto"/>
          <w:sz w:val="22"/>
          <w:szCs w:val="22"/>
          <w:lang w:eastAsia="en-US"/>
        </w:rPr>
        <w:t>Gayatri</w:t>
      </w:r>
      <w:proofErr w:type="spellEnd"/>
      <w:r w:rsidRPr="00987794">
        <w:rPr>
          <w:rFonts w:asciiTheme="minorHAnsi" w:hAnsiTheme="minorHAnsi" w:cs="Times New Roman"/>
          <w:color w:val="auto"/>
          <w:sz w:val="22"/>
          <w:szCs w:val="22"/>
          <w:lang w:eastAsia="en-US"/>
        </w:rPr>
        <w:t xml:space="preserve"> showed that “students with poor sleep quality are 4.7 times more likely to have higher stress than students who have a good sleep quality”.</w:t>
      </w:r>
    </w:p>
    <w:p w14:paraId="35C66E75" w14:textId="77777777" w:rsidR="00987794" w:rsidRPr="00987794" w:rsidRDefault="00987794" w:rsidP="00987794">
      <w:pPr>
        <w:overflowPunct/>
        <w:autoSpaceDE/>
        <w:autoSpaceDN/>
        <w:adjustRightInd/>
        <w:spacing w:after="160"/>
        <w:jc w:val="both"/>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In conclusion I feel that the combination of strategies I have outlined above have helped me to develop resilience and keep my stress levels to a minimum during the initial training period. In all honesty, I did not find the 6 months in training stressful. This is due to the environment being very controlled and I feel that there was an adequate amount of time provided to complete the academic work required to pass the exams. Similarly I did not find the practical activities we undertook stressful as again they occurred in a controlled environment where I was not facing any personal danger and any mistakes could be treated as a learning opportunity. I feel that as a degree holder I was confident in my ability to retain information which is a requirement for exam based assessment. I think through having this academic experience it meant that I found the exams less stressful in comparison to some of my colleagues as I knew that my revision strategies were effective from prior experience at university and therefore feel that this substantially helped me throughout these six months. </w:t>
      </w:r>
    </w:p>
    <w:p w14:paraId="3B855813" w14:textId="43847548" w:rsidR="00FF7784" w:rsidRPr="00987794" w:rsidRDefault="00987794" w:rsidP="00E6298B">
      <w:pPr>
        <w:ind w:right="107"/>
        <w:jc w:val="both"/>
        <w:rPr>
          <w:b/>
          <w:sz w:val="24"/>
          <w:szCs w:val="24"/>
        </w:rPr>
      </w:pPr>
      <w:r>
        <w:rPr>
          <w:b/>
          <w:sz w:val="24"/>
          <w:szCs w:val="24"/>
        </w:rPr>
        <w:lastRenderedPageBreak/>
        <w:t>Word Count: 1443</w:t>
      </w:r>
    </w:p>
    <w:p w14:paraId="33B9DDB1" w14:textId="77777777" w:rsidR="00987794" w:rsidRPr="00270EEB" w:rsidRDefault="0098779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3D4900DE" w14:textId="2305DCEC" w:rsidR="000F7ECD" w:rsidRPr="00270EEB" w:rsidRDefault="000F7ECD" w:rsidP="00E6298B">
      <w:pPr>
        <w:ind w:right="107"/>
        <w:jc w:val="both"/>
        <w:rPr>
          <w:sz w:val="24"/>
          <w:szCs w:val="24"/>
        </w:rPr>
        <w:sectPr w:rsidR="000F7ECD" w:rsidRPr="00270EEB" w:rsidSect="00746F7A">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06C718A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role of a Response officer involves interacting and dealing with individuals who can be aggressive and emotional, due to the circumstances they are in. The way in which you respond to a person in these situations is important to ensure the safety of yourself, your colleagues, the people involved and the general public. The National Decision Making model outlined in the Police Code of Ethics (College of Policing, 2014) provides a tool to assist in decision making in these situations. </w:t>
      </w:r>
    </w:p>
    <w:p w14:paraId="1F08F41E"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incident I will critically assess involves a verbal argument in the street between three males with the males trying to fight each other. When we arrived on scene with my tutor, there were two males stood in the road shouting and gesticulating at a male who had a thick, chain dog lead in his hand and was reciprocating the shouting. The male with the dog lead was with his girlfriend who was trying to pull him away from the situation. </w:t>
      </w:r>
    </w:p>
    <w:p w14:paraId="3589E0A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On approaching the males I could see that they were aggressive and were trying to walk toward the other male. My tutor and I put ourselves in between both parties to separate them in an attempt to diffuse the situation. I approached the two males who continued to shout and swear despite our arrival, it was clear that they were trying to goad the other male into fighting them. Initially when I communicated with the males I spoke in a calm and reasoned manner. The aim of this approach was based on the theory of </w:t>
      </w:r>
      <w:proofErr w:type="spellStart"/>
      <w:r w:rsidRPr="00987794">
        <w:rPr>
          <w:rFonts w:asciiTheme="minorHAnsi" w:hAnsiTheme="minorHAnsi" w:cs="Times New Roman"/>
          <w:color w:val="auto"/>
          <w:sz w:val="22"/>
          <w:szCs w:val="22"/>
          <w:lang w:eastAsia="en-US"/>
        </w:rPr>
        <w:t>Betari’s</w:t>
      </w:r>
      <w:proofErr w:type="spellEnd"/>
      <w:r w:rsidRPr="00987794">
        <w:rPr>
          <w:rFonts w:asciiTheme="minorHAnsi" w:hAnsiTheme="minorHAnsi" w:cs="Times New Roman"/>
          <w:color w:val="auto"/>
          <w:sz w:val="22"/>
          <w:szCs w:val="22"/>
          <w:lang w:eastAsia="en-US"/>
        </w:rPr>
        <w:t xml:space="preserve"> Box (</w:t>
      </w:r>
      <w:proofErr w:type="spellStart"/>
      <w:r w:rsidRPr="00987794">
        <w:rPr>
          <w:rFonts w:asciiTheme="minorHAnsi" w:hAnsiTheme="minorHAnsi" w:cs="Times New Roman"/>
          <w:color w:val="auto"/>
          <w:sz w:val="22"/>
          <w:szCs w:val="22"/>
          <w:lang w:eastAsia="en-US"/>
        </w:rPr>
        <w:t>MindTools</w:t>
      </w:r>
      <w:proofErr w:type="spellEnd"/>
      <w:r w:rsidRPr="00987794">
        <w:rPr>
          <w:rFonts w:asciiTheme="minorHAnsi" w:hAnsiTheme="minorHAnsi" w:cs="Times New Roman"/>
          <w:color w:val="auto"/>
          <w:sz w:val="22"/>
          <w:szCs w:val="22"/>
          <w:lang w:eastAsia="en-US"/>
        </w:rPr>
        <w:t xml:space="preserve">). In this theory it is believed that the way you communicate with a person affects the way they respond to you and the way you behave towards them affects the way they behave towards you. </w:t>
      </w:r>
      <w:r w:rsidRPr="00987794">
        <w:rPr>
          <w:rFonts w:asciiTheme="minorHAnsi" w:hAnsiTheme="minorHAnsi" w:cs="Times New Roman"/>
          <w:color w:val="auto"/>
          <w:sz w:val="22"/>
          <w:szCs w:val="22"/>
          <w:lang w:eastAsia="en-US"/>
        </w:rPr>
        <w:lastRenderedPageBreak/>
        <w:t>Initially the males ignored me and continued to shout at the other man and as a result of this I raised my voice and asked them to calm down. I found this helped as they directed their attention towards myself rather than continuing to shout at the other male. Once I had their attention I began to speak to them in a calm rationalised voice. I asked them to stop shouting and swearing in the street and to move back. The other male, with who my colleague was speaking with, shouted over to the two males I was with and they again began to shout back at him.</w:t>
      </w:r>
    </w:p>
    <w:p w14:paraId="057BC0D5"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There was still a small distance between the two parties so I felt it would be prudent to create some more space between the groups in the effort to calm them down. I raised my arms in front of me with hands up with an open palm in a stop motion. I walked towards the two males and told them in a raised but calm voice that they needed to move back. I was forced to make contact with the two males as they continued to move towards the other person. I placed my hands on the centre of their chests and walked away from the other male and my colleague. I kept contact with the males as they began to move back. Whilst in physical contact with them I spoke to the males asking them to calm down and used an open question to ask what had happened. I began to empathise with the males by telling them that I could not help them if they did not calm down and tell me what had happened. I felt that it was necessary to place hands on the males as there was no other way of preventing them going towards the other man. In this situation I did not feel that I needed to use any of my personal protective equipment to create space between the parties, this was because the males, although being verbally aggressive, did not seem like they would become physically aggressive. I could have potentially drawn my baton or PAVA spray but I feel this would have been disproportionate in this situation as no physical violence had occurred. </w:t>
      </w:r>
    </w:p>
    <w:p w14:paraId="77A1694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Both the males were still very irate and it was clear that one of the males was being influenced by the other in continuing their conduct. I directed my attention towards the male who I perceived to be the influencer. In situations such as this, it is important to interact with the dominant person as by changing their behaviour their associates tend to copy them. As both the males were continuing to shout and swear I once again asked them in a raised voice to stop their behaviour. There was a bigger distance between the arguing parties but they were continuing to shout across to the other as they were still in each other’s view. On our arrival we had parked the Police van in the middle of the street so I guided the two males around the police van so there was a physical barrier between them and the other male. Whilst I was doing this my colleague was moving the male he was dealing with back around a corner so that the two parties could no longer see each other.</w:t>
      </w:r>
    </w:p>
    <w:p w14:paraId="06505742"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 noticed that both the males I was with had calmed down as they no longer felt that they had to provoke the other male. As they were calmer I began to communicate with them as I felt that now they would be more receptive to what I had to say to them. I asked the males what had happened. The males began to tell me the circumstances that had led them to end up shouting at the other man in the street. It has been found by Mazerolle et al (2013) that giving a person the opportunity to give their side of the story can mean they are more cooperative. Whilst the males were speaking to me I actively listened to what they said to me. I showed that I was listening by making eye contact and nodding my head to show acknowledgement of points they were making. This application of non-verbal communication indicators highlighted that I was showing respect for the person speaking which can increase a person’s willingness to cooperate (Mazerolle et al, 2013). The males informed me that this had started because the other male had threatened one of them with violence. I empathised with the males to placate them and to help build a level of rapport between us. However, I said that despite understanding that this would cause someone to become angry, their behaviour in the street was not acceptable. I pointed out to the males that they had committed Public Order offences by swearing in the street and threatening someone with violence so it was in their interest to listen to myself and calm down. In situations such as these I feel that is important that you wait until everyone has calmed down before trying to reason with people as they are likely to be more receptive to what you have to say. </w:t>
      </w:r>
    </w:p>
    <w:p w14:paraId="533034B3"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lastRenderedPageBreak/>
        <w:t xml:space="preserve">In circumstances, such as the one outlined above, the arrival of the Police can de-escalate the situation as the Police are seen to have the ability to resolve the problem. In this scenario our arrival did not completely stop the ongoing problem although I do feel that it prevented it from escalating into a physical fight between the involved parties. A Police Officer’s presence at a situation is the first option they have in responding to an incident and the manner of their presence can also hugely impact the people involved in the situation. This is reflected in the way that officers communicate with those who are already at the scene when they arrive. In this case I feel that if my colleague and I had both communicated by shouting and being aggressive we would have escalated the situation as there would be no neutral party having a calming effect on the situation. The delivery of communication in highly charged emotional situations is critical on the outcome of the incident (College of Policing, 2019). In this situation we both began communicating in a quieter voice than the aggressors. This approach is hoped to cause the aggressor to lower their emotional levels to match your own in line with the theory of </w:t>
      </w:r>
      <w:proofErr w:type="spellStart"/>
      <w:r w:rsidRPr="00987794">
        <w:rPr>
          <w:rFonts w:asciiTheme="minorHAnsi" w:hAnsiTheme="minorHAnsi" w:cs="Times New Roman"/>
          <w:color w:val="auto"/>
          <w:sz w:val="22"/>
          <w:szCs w:val="22"/>
          <w:lang w:eastAsia="en-US"/>
        </w:rPr>
        <w:t>Betari’s</w:t>
      </w:r>
      <w:proofErr w:type="spellEnd"/>
      <w:r w:rsidRPr="00987794">
        <w:rPr>
          <w:rFonts w:asciiTheme="minorHAnsi" w:hAnsiTheme="minorHAnsi" w:cs="Times New Roman"/>
          <w:color w:val="auto"/>
          <w:sz w:val="22"/>
          <w:szCs w:val="22"/>
          <w:lang w:eastAsia="en-US"/>
        </w:rPr>
        <w:t xml:space="preserve"> Box. This approach enables you to increase your response levels if the calmer approach does not work and therefore gives you another option as opposed to initially entering the situation at the highest level you could achieve. Initially I asked the males to stop shouting and move back using words to the effect “Can you please stop shouting and would you please move back”. I felt communicating in this way initially would be a reasoned approach rather than demanding them to move away which could be perceived as a challenge by the males and cause them to become aggressive towards myself. When this approach did not work I was then able to raise my voice and demand that the males moved back. Having the option of raising the volume of my communication in this situation was effective as it meant I was able to get the attention of the males, which would enable me to communicate with them further. In this situation there was not really sufficient time to begin negotiating with the parties involved as they were not receptive to any communication whilst they were visible to each other. Furthermore, negotiating in this situation whilst emotions were running high was not appropriate as both parties had to be separated to allow them to calm down. In this situation the involved parties had to be separated with a physical barrier before a dialogue could be initiated. Once the males were out of sight of the other individual, they were stating they had calmed down and this was when I could begin to communicate more effectively to discover what had happened. During this period of communication I remained calm and sought to ask open questions in order to ascertain would had happened. Due to the males being energetic and their adrenaline levels being high it was initially difficult to manage the conversation as they both talked over each other and spoke in a fast manner to relay as much information as they could. To control this I asked them to speak one at a time and to take a few deep breaths in order to calm down. I then repeated the open question so that I could listen to one of them respond. Once I had an overview of the details I was able to use closed questions to probe additional information to add clarity to their explanation. I feel that building a certain level of rapport with the people that Police interact with is important in order to make dealing with them easier for the officers involved. In this situation rather saying to the two males “You should not have behaved in this way” I instead asked them “Do you think this behaviour was acceptable?</w:t>
      </w:r>
      <w:proofErr w:type="gramStart"/>
      <w:r w:rsidRPr="00987794">
        <w:rPr>
          <w:rFonts w:asciiTheme="minorHAnsi" w:hAnsiTheme="minorHAnsi" w:cs="Times New Roman"/>
          <w:color w:val="auto"/>
          <w:sz w:val="22"/>
          <w:szCs w:val="22"/>
          <w:lang w:eastAsia="en-US"/>
        </w:rPr>
        <w:t>”.</w:t>
      </w:r>
      <w:proofErr w:type="gramEnd"/>
      <w:r w:rsidRPr="00987794">
        <w:rPr>
          <w:rFonts w:asciiTheme="minorHAnsi" w:hAnsiTheme="minorHAnsi" w:cs="Times New Roman"/>
          <w:color w:val="auto"/>
          <w:sz w:val="22"/>
          <w:szCs w:val="22"/>
          <w:lang w:eastAsia="en-US"/>
        </w:rPr>
        <w:t xml:space="preserve"> This approach is supported by Teal (2011) who believes a question based approach to enable a person to discover an answer for themselves, compared to giving the person the answer, encourages the person to engage in the conversation and learn from the situation. This approach seeks to get the individuals to think about their actions and whether they are appropriate, compared to immediately chastising them for an action which can cause them to become defensive and disengage with the conversation. This style of communicating is beneficial to building rapport as they are less likely to see the officer as someone who is challenging them and dictating how they should behave. </w:t>
      </w:r>
    </w:p>
    <w:p w14:paraId="7B6299EE"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In response to this situation I was forced to make physical contact with two individuals, I feel that I had no other option as the males were trying to get past me to get closer to the other male which would have escalated the situation. I understand that by touching another person I have effectively committed common assault. However I feel that my actions were justified as it was important to prevent the two parties from coming in contact and to prevent any persons involved becoming injured as a result of physical violence. In stopping the males walking towards the other male by placing an open palm on their chest I felt that this response was proportionate in this situation. I believe it was necessary as the males continued to advance </w:t>
      </w:r>
      <w:r w:rsidRPr="00987794">
        <w:rPr>
          <w:rFonts w:asciiTheme="minorHAnsi" w:hAnsiTheme="minorHAnsi" w:cs="Times New Roman"/>
          <w:color w:val="auto"/>
          <w:sz w:val="22"/>
          <w:szCs w:val="22"/>
          <w:lang w:eastAsia="en-US"/>
        </w:rPr>
        <w:lastRenderedPageBreak/>
        <w:t xml:space="preserve">after I told them to stop and move away, but they were not trying to run at the male so I felt that using a higher level of force was not appropriate. The use of force in this context is lawful under Section 3 of the Criminal Law Act 1967 as I felt that if the two parties met it would result in an Affray under Section 3 of the Public Order Act 1986 so therefore I could use force to prevent a crime being committed. </w:t>
      </w:r>
    </w:p>
    <w:p w14:paraId="10B836AD"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On reflecting on this situation I feel that the principles of </w:t>
      </w:r>
      <w:proofErr w:type="spellStart"/>
      <w:r w:rsidRPr="00987794">
        <w:rPr>
          <w:rFonts w:asciiTheme="minorHAnsi" w:hAnsiTheme="minorHAnsi" w:cs="Times New Roman"/>
          <w:color w:val="auto"/>
          <w:sz w:val="22"/>
          <w:szCs w:val="22"/>
          <w:lang w:eastAsia="en-US"/>
        </w:rPr>
        <w:t>Betari’s</w:t>
      </w:r>
      <w:proofErr w:type="spellEnd"/>
      <w:r w:rsidRPr="00987794">
        <w:rPr>
          <w:rFonts w:asciiTheme="minorHAnsi" w:hAnsiTheme="minorHAnsi" w:cs="Times New Roman"/>
          <w:color w:val="auto"/>
          <w:sz w:val="22"/>
          <w:szCs w:val="22"/>
          <w:lang w:eastAsia="en-US"/>
        </w:rPr>
        <w:t xml:space="preserve"> Box played a key role in de-escalating the situation. I believe this because if my colleague and I had entered the verbal argument by shouting at those involved we would not have calmed the situation down. If anything I believe this response would have provoked those involved to escalate their aggression. Likewise when getting an account from the two males I spoke with by showing some empathy and understanding, they were then more willing to calm down and engage with me. I feel that the principles of </w:t>
      </w:r>
      <w:proofErr w:type="spellStart"/>
      <w:r w:rsidRPr="00987794">
        <w:rPr>
          <w:rFonts w:asciiTheme="minorHAnsi" w:hAnsiTheme="minorHAnsi" w:cs="Times New Roman"/>
          <w:color w:val="auto"/>
          <w:sz w:val="22"/>
          <w:szCs w:val="22"/>
          <w:lang w:eastAsia="en-US"/>
        </w:rPr>
        <w:t>Betari’s</w:t>
      </w:r>
      <w:proofErr w:type="spellEnd"/>
      <w:r w:rsidRPr="00987794">
        <w:rPr>
          <w:rFonts w:asciiTheme="minorHAnsi" w:hAnsiTheme="minorHAnsi" w:cs="Times New Roman"/>
          <w:color w:val="auto"/>
          <w:sz w:val="22"/>
          <w:szCs w:val="22"/>
          <w:lang w:eastAsia="en-US"/>
        </w:rPr>
        <w:t xml:space="preserve"> Box have an important role to play in Police interactions. I believe this because people see Police Officers as </w:t>
      </w:r>
      <w:proofErr w:type="spellStart"/>
      <w:r w:rsidRPr="00987794">
        <w:rPr>
          <w:rFonts w:asciiTheme="minorHAnsi" w:hAnsiTheme="minorHAnsi" w:cs="Times New Roman"/>
          <w:color w:val="auto"/>
          <w:sz w:val="22"/>
          <w:szCs w:val="22"/>
          <w:lang w:eastAsia="en-US"/>
        </w:rPr>
        <w:t>authorative</w:t>
      </w:r>
      <w:proofErr w:type="spellEnd"/>
      <w:r w:rsidRPr="00987794">
        <w:rPr>
          <w:rFonts w:asciiTheme="minorHAnsi" w:hAnsiTheme="minorHAnsi" w:cs="Times New Roman"/>
          <w:color w:val="auto"/>
          <w:sz w:val="22"/>
          <w:szCs w:val="22"/>
          <w:lang w:eastAsia="en-US"/>
        </w:rPr>
        <w:t xml:space="preserve"> figures and therefore it can take the slightest incident to cause people to become defensive and seek to challenge the Police. By approaching people in a polite and calm manner they are more likely to mirror this approach when they respond to officers. In this situation the parties involved were very emotional which affects their ability to react in a rational way. </w:t>
      </w:r>
    </w:p>
    <w:p w14:paraId="79C6F38B" w14:textId="74553A5B" w:rsidR="00AA666E" w:rsidRDefault="00987794" w:rsidP="00987794">
      <w:pPr>
        <w:ind w:right="107"/>
        <w:jc w:val="both"/>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The outcome of this situation was that the details of the males were taken. The male at the location with his girlfriend said that he was going to stay somewhere else for the next few days so he would not come in contact with the other two males. As a result of speaking with all those involved no party wished to make a complaint and no one was willing to assist the Police in investigating this incident. We have informed everyone involved to return to their home addresses and to stay away from each other, I feel that this was the best response as everyone had calmed down. There would have been an option to arrest the people involved for a Public Order offence but due to the Coronavirus lockdown halving the capacity in Swansea Custody it would mean travelling to Bridgend Custody and tying up more officers over a minor disturbance in the street and both myself and my tutor felt this was unnecessary.</w:t>
      </w:r>
    </w:p>
    <w:p w14:paraId="04ACB4E4" w14:textId="6E81EE32" w:rsidR="00987794" w:rsidRDefault="00987794" w:rsidP="00987794">
      <w:pPr>
        <w:ind w:right="107"/>
        <w:jc w:val="both"/>
        <w:rPr>
          <w:rFonts w:asciiTheme="minorHAnsi" w:hAnsiTheme="minorHAnsi" w:cs="Times New Roman"/>
          <w:color w:val="auto"/>
          <w:sz w:val="22"/>
          <w:szCs w:val="22"/>
          <w:lang w:eastAsia="en-US"/>
        </w:rPr>
      </w:pPr>
    </w:p>
    <w:p w14:paraId="099BF4AB" w14:textId="0BF964C4" w:rsidR="00987794" w:rsidRPr="00987794" w:rsidRDefault="00987794" w:rsidP="00987794">
      <w:pPr>
        <w:ind w:right="107"/>
        <w:jc w:val="both"/>
        <w:rPr>
          <w:b/>
          <w:sz w:val="24"/>
          <w:szCs w:val="24"/>
        </w:rPr>
      </w:pPr>
      <w:r>
        <w:rPr>
          <w:rFonts w:asciiTheme="minorHAnsi" w:hAnsiTheme="minorHAnsi" w:cs="Times New Roman"/>
          <w:b/>
          <w:color w:val="auto"/>
          <w:sz w:val="22"/>
          <w:szCs w:val="22"/>
          <w:lang w:eastAsia="en-US"/>
        </w:rPr>
        <w:t>Word Count: 2508</w:t>
      </w: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0FF80B4" w:rsidR="00112751" w:rsidRDefault="00112751" w:rsidP="00E6298B">
      <w:pPr>
        <w:ind w:right="107"/>
        <w:jc w:val="both"/>
        <w:rPr>
          <w:sz w:val="24"/>
          <w:szCs w:val="24"/>
        </w:rPr>
      </w:pPr>
    </w:p>
    <w:p w14:paraId="3B3E9770"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In this task I will be critically reviewing the support I provided to a victim of a Domestic Assault. In this incident two adult sisters had a verbal argument which led to a physical altercation between them. The victim of the incident stated that she had been attacked by her sister who was the aggressor in the physical assault and that she had not retaliated. The role I played in this incident was to take a witness statement from the sister who reported the incident, photograph injuries to her forearms and to keep her updated with the progress of the investigation.</w:t>
      </w:r>
    </w:p>
    <w:p w14:paraId="6B447176"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initial call was categorised as a grade two, which means that a Police Officer will be in contact with the reporting person or victim as soon as they are able, however as it was not a grade one call this didn’t necessarily mean it would be immediate. This particular call was categorised this way as the perpetrator had left the location, there was no risk of them returning and there were very minor injuries to the victim. Based on this information an immediate response was not required so I used my work mobile phone to contact the victim. </w:t>
      </w:r>
    </w:p>
    <w:p w14:paraId="3BC1AA89"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 asked the victim over the telephone if she was okay and ensured that her injuries were minor. I proceeded to use open questions such as “Tell me what has happened that resulted in you calling the police”. The victim provided myself with a detailed account of the incident with her sister and sounded very emotional on the phone. I asked the victim where she currently was and explained that I would need to take a statement from her to officially record her account of what had happened. The victim informed me that she was in the home address of her elderly mother. I noticed that it was approaching half past eight in the evening so I suggested to the victim that it would be better for her mother if we took the statement at the victims’ address instead. At first the victim was reluctant as she felt like I was trying to make an excuse to not attend to speak to her that evening. In response to this I explained to the victim that the process of taking a </w:t>
      </w:r>
      <w:r w:rsidRPr="00987794">
        <w:rPr>
          <w:rFonts w:asciiTheme="minorHAnsi" w:hAnsiTheme="minorHAnsi" w:cs="Times New Roman"/>
          <w:color w:val="auto"/>
          <w:sz w:val="22"/>
          <w:szCs w:val="22"/>
          <w:lang w:eastAsia="en-US"/>
        </w:rPr>
        <w:lastRenderedPageBreak/>
        <w:t xml:space="preserve">statement can take a prolonged period of time to ensure that all the required details are obtained from the victim. I further explained to the victim how important her statement was to the process and in order to progress the investigation of the assault. This put the victim at ease and allowed me to arrange to meet with the victim at her home in half an hour. It was obvious from speaking with the victim on the phone that she was still upset after the incident. I felt that it was prudent to ensure that she was in a safe condition to drive to her own address. I also ensured the safeguarding of the victim and her elderly mother. I asked the victim about her sister and where she lived; the perpetrator in the situation lived the opposite side of Swansea and had no reason to return to the address. I asked the victim about the background between her and her sister she informed me that they had ongoing feud and tried their best to avoid each other. I asked the victim if her sister had threatened or used violence against her mother on this occasion or in the past and the victim informed me that her sister had not and there never had been. As a result of this I felt that the mother was safe in her own home as there was a very minimal risk of the perpetrator attending the mothers’ address and causing harm to her. The Police play an important part in safeguarding people, this role is heightened in incidents that are Domestic related as there is a massive emphasis on ensuring that any risk of injury to anyone involved is minimised. In this situation I needed to assess the risk of the sister returning to the mother’s property or attending the victim’s home address. As the victim mentioned her sister’s husband had intervened by dragging the accused away from the victim and out of the property I felt that asking questions about his demeanour and how he normally interacted with the victim and his mother in law was relevant. The victim informed me that he was a very calm person and had never gotten involved with the sister’s arguments unless he was trying to stop them. The victim also informed me that her sister was unable to drive and relied on her husband for transport. The victim was confident that the husband would not transport her sister away from their address until she had calmed down and that he would never take her to the victim’s home address. Through asking about the other people involved I felt that all parties were safe and there was a minimal risk of any further incidents occurring between the sisters. </w:t>
      </w:r>
    </w:p>
    <w:p w14:paraId="0FB82E8D"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This incident was emotive as it involved two sisters and it had resurfaced old tensions that existed between the sisters. As I knew this prior to attending the home address of the victim I knew that I would have to be patient with her and allow her time to calm down if she became emotional during the recall of the events which had taken place. Due to the fact that I knew there was a history of poor relations between the sisters I knew that I would have to manage the victim to ensure that she focused on this incident to enable me to get all the detail I needed. It is important when taking a statement that the victim is not allowed to control the conversation and go off on unrelated tangents as it can impact the quality of the detail required. </w:t>
      </w:r>
    </w:p>
    <w:p w14:paraId="27DE9677"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 attended the victim’s address and began communicating with her in a soft tone to help put her at ease. I asked the victim some general questions such as where she worked and about her pet as it was clear that she was still emotional over the incident. I was aware that the victim had never interacted with the Police in an official way before and by knowing this I felt it was prudent to give the victim a detailed overview of the process and the steps in the investigation before it reached the Courts. I proceeded to explain to the victim about the process of giving a statement to ensure she understood what was going to happen and to help her prepare herself mentally to remember what had happened. I informed the victim that I may be writing as she was speaking but I would still be listening to what she was saying. I mentioned to the victim that I would try to leave her speak freely without me interrupting her but that I would be asking some questions as she was talking to enable me to get clarity or more detail. From the telephone conversation and the initial informal conversation when I arrived at the address I knew that the victim wished to disclose a lot of information. This meant that I would have to control the conversation to ensure that she gave detail around every point rather than trying to cover a lot of topics in one go without providing in-depth information. I explained to the victim about the Victim Personal Statement document and what would happen once I had taken her statement from her. I found that the victim had calmed down a lot since my arrival so I felt it was appropriate to begin to take her statement. </w:t>
      </w:r>
    </w:p>
    <w:p w14:paraId="213F1266"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lastRenderedPageBreak/>
        <w:t xml:space="preserve">I began by asking the victim to describe what had happened. I allowed the victim to speak freely and recall the incident that had happened between her sister and herself. As expected the victim veered off onto a tangent about old incidents where she had argued with her sister. When this happened I reminded the victim that we were concentrating on the incident that had occurred earlier today and that we needed to focus on that to get the best quality evidence. I did say to the victim that I would put in her statement a paragraph stating that there was a poor relationship between the sisters. I found by explaining to the victim why the incident that had just happened was the most important she brought up the past incidents less and focused on the present. </w:t>
      </w:r>
    </w:p>
    <w:p w14:paraId="0BB18B41"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On completion of the statement I allowed the victim to read through it and offered her the opportunity to add or change anything before signing it. I informed the victim of the Victim Support team and that I would put a referral for her into the team. I outlined the services that were offered by Victim Support. I also arranged with the victim the best way to provide her with updates of the investigation and set out an agreement of how often she would be contacted by myself to provide the updates. The victim informed me that she would rather be given updates when the investigation had progressed instead of having a set timeframe to be contacted. I also provided the victim with the reference number for the incident and my contact details in case she had any queries.</w:t>
      </w:r>
    </w:p>
    <w:p w14:paraId="3537F8EE"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As I progressed the investigation, I contacted the victim after each task that was completed such as taking a statement from the witnesses who were present during the incident and the interview of her sister. As the accused denied the offence I explained to the victim that the next stage would be to request a charging decision from the Criminal Prosecution Service. I ensured that I had enough time to speak with the victim each time I contacted her as she was unfamiliar with the processes of investigations and the presentation of a casefile to the Crown Prosecution Service. Whilst providing the victim with updates I also ensured all the relevant Police procedural updates were completed on the incident log. To do this successfully I utilised </w:t>
      </w:r>
      <w:proofErr w:type="spellStart"/>
      <w:r w:rsidRPr="00987794">
        <w:rPr>
          <w:rFonts w:asciiTheme="minorHAnsi" w:hAnsiTheme="minorHAnsi" w:cs="Times New Roman"/>
          <w:color w:val="auto"/>
          <w:sz w:val="22"/>
          <w:szCs w:val="22"/>
          <w:lang w:eastAsia="en-US"/>
        </w:rPr>
        <w:t>Borton’s</w:t>
      </w:r>
      <w:proofErr w:type="spellEnd"/>
      <w:r w:rsidRPr="00987794">
        <w:rPr>
          <w:rFonts w:asciiTheme="minorHAnsi" w:hAnsiTheme="minorHAnsi" w:cs="Times New Roman"/>
          <w:color w:val="auto"/>
          <w:sz w:val="22"/>
          <w:szCs w:val="22"/>
          <w:lang w:eastAsia="en-US"/>
        </w:rPr>
        <w:t xml:space="preserve"> (1970) reflective thinking model “What, So What, Now What”. I found by using this model I was able to ensure that I was able to keep my supervisors informed of the circumstances, the steps I had taken to resolve the situation and the actions I planned on taking in the future. </w:t>
      </w:r>
    </w:p>
    <w:p w14:paraId="3F55A4C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Codes of Practice for Victims of Crime (2015) outlines entitlements a victim of crime should receive. I feel that I provided the victim with these entitlements on my initial recording of the incident. It is important that the victim is updated throughout the investigation to ensure that they do not feel forgotten about. The victim is central to the investigation so it is important that they are kept engaged with the process to ensure that they are confident that the Police are carrying out a full investigation. As a result of this it can improve the community’s perception of the Police as the victim would share the positive experience with their social connections. </w:t>
      </w:r>
    </w:p>
    <w:p w14:paraId="539ED908"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It is important when interacting with people, especially victims who may be vulnerable or intimidated, that they are treated as individuals. Sometimes the presence of a Police Officer can be daunting so knowing this it is important to build a rapport with the person and use conversation as a means of breaking the ice. When responding to an incident it is relatively easy to become task oriented, in this situation it would have been focusing on getting the statement completed as quickly as possible. In this situation I feel this would have had a detrimental impact on the quality of the statement, because if the statement had been taken at the mother’s address it may have upset the mother which in turn would upset the victim affecting her ability to recall information. Also due to the time of day the victim may have rushed her statement in order to allow her mother to go to bed if it had been taken there. When I spoke with the victim on the phone before meeting her I asked if there was anyone else at her home when I was considering safeguarding options. The victim informed me that she lived alone and I therefore felt that her home would provide a quiet location and one that she would feel comfortable. This is important when taking the statement to achieve best evidence. </w:t>
      </w:r>
    </w:p>
    <w:p w14:paraId="0FF8DBFB"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patrol area that is covered by the station, from which I operate, is not particularly ethnically diverse and is predominately made up of a white, welsh population. Statistics from the Welsh Government for March </w:t>
      </w:r>
      <w:r w:rsidRPr="00987794">
        <w:rPr>
          <w:rFonts w:asciiTheme="minorHAnsi" w:hAnsiTheme="minorHAnsi" w:cs="Times New Roman"/>
          <w:color w:val="auto"/>
          <w:sz w:val="22"/>
          <w:szCs w:val="22"/>
          <w:lang w:eastAsia="en-US"/>
        </w:rPr>
        <w:lastRenderedPageBreak/>
        <w:t xml:space="preserve">2020 shows that 10.4% of the Swansea population is from a Black, Asian or minority ethnic background (Stats Wales, 2020). This is supported by the ward profiles of the exact areas I patrol in Swansea, which show that an average of 77% of the population (Census 2011) in these wards are white and were born within Wales. Despite this I am aware of resources and support available to help overcome a language barrier with an individual or to enable me to be culturally aware when responding to an incident. In line with South Wales Police procedure “Accessing Interpreters” (2019) access to an interpreter can be obtained through the Wales Interpretation and Translation Services. This service provides an interpreter who is able to assist in the taking and translation of a statement and aid in the communication with the individual. To assist with initial communication the Language Line service can be utilised to allow Police Officers to interact with a person. This procedure is implemented to ensure that the Police Codes of Practice and guidance from the Association of Chief Police Officers is adhered to. This approach ensures that any person can have a high standard of service from South Wales Police and have the opportunity to have their voice heard and taken into consideration. </w:t>
      </w:r>
    </w:p>
    <w:p w14:paraId="591BD80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In conclusion and upon reflecting on this incident I feel that I supported the victim through the required processes to ensure she had an understanding of what was going to happen and the assistance that was available to her. This is in accordance with the Police Code of Ethics (College of Policing 2014) as I treated the victim fairly and with respect. I sought to identify the needs of the victim and recognised the distress this incident had caused her when others may have considered the incident trivial. I would consider that my interaction with the victim enabled me to build a rapport with her which in turn meant that she had confidence in the Police and the investigation. The importance of this was shown when I took her statement as she was willing to provide detail on the incident which enabled me to obtain good quality evidence which clearly covered the points to prove for the suspected offence. </w:t>
      </w:r>
    </w:p>
    <w:p w14:paraId="24F95ED8" w14:textId="01EA50E2" w:rsidR="00987794" w:rsidRPr="00987794" w:rsidRDefault="00987794" w:rsidP="00E6298B">
      <w:pPr>
        <w:ind w:right="107"/>
        <w:jc w:val="both"/>
        <w:rPr>
          <w:b/>
          <w:sz w:val="24"/>
          <w:szCs w:val="24"/>
        </w:rPr>
      </w:pPr>
      <w:r>
        <w:rPr>
          <w:b/>
          <w:sz w:val="24"/>
          <w:szCs w:val="24"/>
        </w:rPr>
        <w:t>Word Count: 2492</w:t>
      </w: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7379905B" w:rsidP="7379905B">
      <w:pPr>
        <w:spacing w:line="259" w:lineRule="auto"/>
        <w:ind w:left="3600" w:right="107" w:firstLine="720"/>
        <w:jc w:val="both"/>
        <w:rPr>
          <w:b/>
          <w:bCs/>
          <w:sz w:val="24"/>
          <w:szCs w:val="24"/>
        </w:rPr>
      </w:pPr>
      <w:r w:rsidRPr="7379905B">
        <w:rPr>
          <w:sz w:val="24"/>
          <w:szCs w:val="24"/>
        </w:rPr>
        <w:lastRenderedPageBreak/>
        <w:t>Task</w:t>
      </w:r>
      <w:r w:rsidRPr="7379905B">
        <w:rPr>
          <w:b/>
          <w:bCs/>
          <w:color w:val="auto"/>
          <w:sz w:val="24"/>
          <w:szCs w:val="24"/>
        </w:rPr>
        <w:t xml:space="preserve"> </w:t>
      </w:r>
      <w:r w:rsidRPr="7379905B">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72C7D4C"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incident that I will be reflecting on for the purpose of this task involves the investigation of a domestic related criminal damage. In this incident the victim had the door of her property damaged by her adult son. A criminal investigation is defined by the Criminal Procedures and Investigation Act (1996) as “an investigation conducted by police officers with a view to it being ascertained whether a person should be charged with an offence or whether a person charged with the offence is guilty of it”. </w:t>
      </w:r>
    </w:p>
    <w:p w14:paraId="20CF8A21"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The National Decision Model (NDM) is a key tool used by officers when a decision has to be made. The model was illustrated in the Police Code of Ethics (College of Policing, 2014). The model is split into five components which assist in making a well thought appropriate decision that encompasses the core values of policing.</w:t>
      </w:r>
    </w:p>
    <w:p w14:paraId="54F2CC55"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The initial stage of the NDM is to gather information and intelligence relating to the incident. This can be checking the history of occurrences at an address or the people involved or checking for warning markers on people or addresses. During this situation whilst making our way to the address I used my mobile device to undertake Niche checks on the involved people and the address. This is important as it provides colleagues and myself with information about the people involved. This information helps us to identify any risks, as we know if there are in warning markers on the people involved. On this occasion as a result of undertaking these checks I became aware that I had interacted with the family before. I knew that there was regular conflict between the relatives of the family so this meant that there could be an ongoing confrontation at the property if the suspect was still on scene.</w:t>
      </w:r>
    </w:p>
    <w:p w14:paraId="0195C980"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By using the information I gained on the situation I was able to begin to assess any threats or risks that may be present on our arrival. As with any situation we respond to it is crucial that the risk assessment is </w:t>
      </w:r>
      <w:r w:rsidRPr="00987794">
        <w:rPr>
          <w:rFonts w:asciiTheme="minorHAnsi" w:hAnsiTheme="minorHAnsi" w:cs="Times New Roman"/>
          <w:color w:val="auto"/>
          <w:sz w:val="22"/>
          <w:szCs w:val="22"/>
          <w:lang w:eastAsia="en-US"/>
        </w:rPr>
        <w:lastRenderedPageBreak/>
        <w:t xml:space="preserve">dynamic, as the impact factors can alter at any moment increasing or decreasing the risk of danger. For this incident we were informed that the suspect had left the scene. This meant there was less concern that we would be arriving at the location while there was ongoing confrontation. Whilst making our way to the address my colleague and I decided that it would be prudent to do an area search in the vicinity of the property as we both knew the suspect. The area search was important as it would have meant we could have the suspect in custody, enabling us to progress the investigation promptly. The area search, if successful, would have placed the suspect in the vicinity of the crime, which would have provided evidence that he was in the locality around the time the offence was committed. As the area search was unsuccessful we proceeded to drive to the property which had been damaged. Due to the current threat of the Coronavirus a key consideration of our risk assessment is minimising the spread of the virus and limit our exposure to it. This led me to ask the control room over the air if anyone at the property were showing any symptoms of Coronavirus. It was confirmed that no one in the property was showing any symptoms. If it had been a case where the occupiers had shown symptoms then our actions in responding to the incident would have changed to taking statements via telephone rather than in person. </w:t>
      </w:r>
    </w:p>
    <w:p w14:paraId="6A5FE733"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In line with South Wales Police policy I activated my body worn video as we approached the property as this incident was categorised as one of a domestic nature. This footage can be a source of good quality evidence as it is able to portray the emotion at the scene when officers attend, which is sometimes hard to put across in a written statement. Upon arriving at the scene it was clear that the front door was visibly damaged. The fact that it was an external door damaged meant I felt in the current climate of Coronavirus it would be prudent to speak to the victim outside the property as I did not need to go into the home to see the damage. I spoke to the victim and took a brief outline of what had happened at the property which I recorded in my electronic pocket notebook. I used open questions to enable the victim to talk freely about what had happened and then proceeded to closed questions to extract detail around topics that I needed more information on. I recorded this information obtained from the victim in my electronic pocket note book to retain the details and enable me to refer to it at another time if required. Typically it is good practice to get a statement at the scene of a domestic incident so that there is a report of the crime by the victim, just in case the victim changes their mind about reporting it later on. In this situation, my previous knowledge of the family and from speaking to the victim I felt that they would follow this complaint through until conviction. The victim had informed my colleague and myself that the perpetrator had gone to a nearby flat that was owned by the family. For the purpose of progressing the investigation promptly I felt that it would be more effective to attend the property and arrest the suspect as soon as possible. I asked the victim to describe the clothing of the suspect when the damage was made as I felt that this information would be useful in placing the suspect at the scene. Whilst at the victim’s property I asked if they had CCTV installed which unfortunately they did not. I checked to see if any CCTV cameras were visible on neighbouring properties but there were no cameras in sight. Before leaving the property to arrest the suspect I used my mobile telephone to take a picture of the damage to the front door. This meant that I could have evidence of the damage to present to the suspect if I wished during the interview. Having evidence that can be taken into an interview is useful in the challenge phase of the interview, however in this situation the photograph of the damaged door was mainly beneficial to record the crime of criminal damage. </w:t>
      </w:r>
    </w:p>
    <w:p w14:paraId="7C35761A"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NDM is a tool that can be constantly used to make a decision as it is dynamic model that can be applied to any situation where the circumstances are changing. As we were attending a separate address I sought to gather information and intelligence on the second address and the other family member we were told might be in the property.  This information enabled me to undertake a new risk assessment to make the arrest at the nearby property to ensure the safety of myself, colleague, suspect and any other person who was in the vicinity. Upon entering the block of flats I glanced around the communal entry of the property to identify whether CCTV cameras were installed, again on this occasion there were no cameras installed. On the approach to the flat door I began to consider the powers available to me as a Police Constable. I began to think if I had a power of entry associated to this incident if the suspect refused to answer the door and I started to consider how I could retrieve any evidence related to the crime that was in the property. The </w:t>
      </w:r>
      <w:r w:rsidRPr="00987794">
        <w:rPr>
          <w:rFonts w:asciiTheme="minorHAnsi" w:hAnsiTheme="minorHAnsi" w:cs="Times New Roman"/>
          <w:color w:val="auto"/>
          <w:sz w:val="22"/>
          <w:szCs w:val="22"/>
          <w:lang w:eastAsia="en-US"/>
        </w:rPr>
        <w:lastRenderedPageBreak/>
        <w:t>suspect opened the door himself when it was knocked, this made it easier as there were no powers required to force entry in this situation. Upon entry to the flat I explained to the suspect why we were there and informed him that he was under arrest for criminal damage. I utilised the power provided by Section 32(b) of the Police and Criminal Evidence Act (1984) to perform a cursory search of the room the suspect was arrested in to see if there was any clothing that matched the description given by the victim. There was another family member in the flat with the suspect but he did not present himself to us whilst we were in the flat. On reflection it may have been beneficial to attempt to obtain a brief statement from the relative to identify if the suspect had been in the property for the entire morning or not. However when an attempt to get a statement was made at a later date they refused to assist the Police with this matter.</w:t>
      </w:r>
    </w:p>
    <w:p w14:paraId="2A00C24D"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To enable a prompt and effective investigation I planned on conducting an interview under PACE guidelines with the suspect the same day. Whilst booking the suspect into custody he informed me that he did not want to have a solicitor present for the interview. The suspect informed me that he was planning to go ‘no comment’ as he had not caused the damage. Before entering the interview room I prepared myself by writing out a number of questions to put to the suspect that covered the points to prove of the offence and to enable me to explore any possible defences. I identified topics that I wished to talk about during the interview and based questions around these topics. The topics being: the damage to the door, where the suspect had been and what he was doing on the morning of the incident and his relationship with the person whose door had been damaged. For the interview I felt that I had a good structure to my questions as I started off with open questions where I asked the suspect to explain, describe or tell me about each topic. I had then based questions around who, what, where, when and how for each topic on the assumption that the suspect would go no comment to the more open questions, so I would need to be more direct to get detail about each topic. On reflection of this interview I feel that I needed to have more questions which would have been possible by changing the wording of the question slightly and putting it to the suspect again. For example rather than only using my original question “Were you at this property today?” I could have added two further questions by asking “Witness 1 states that you were at the property today. How do </w:t>
      </w:r>
      <w:proofErr w:type="spellStart"/>
      <w:r w:rsidRPr="00987794">
        <w:rPr>
          <w:rFonts w:asciiTheme="minorHAnsi" w:hAnsiTheme="minorHAnsi" w:cs="Times New Roman"/>
          <w:color w:val="auto"/>
          <w:sz w:val="22"/>
          <w:szCs w:val="22"/>
          <w:lang w:eastAsia="en-US"/>
        </w:rPr>
        <w:t>you</w:t>
      </w:r>
      <w:proofErr w:type="spellEnd"/>
      <w:r w:rsidRPr="00987794">
        <w:rPr>
          <w:rFonts w:asciiTheme="minorHAnsi" w:hAnsiTheme="minorHAnsi" w:cs="Times New Roman"/>
          <w:color w:val="auto"/>
          <w:sz w:val="22"/>
          <w:szCs w:val="22"/>
          <w:lang w:eastAsia="en-US"/>
        </w:rPr>
        <w:t xml:space="preserve"> account for this?” and “Witness 2 has said that you were at the property this morning. How do you explain this?</w:t>
      </w:r>
      <w:proofErr w:type="gramStart"/>
      <w:r w:rsidRPr="00987794">
        <w:rPr>
          <w:rFonts w:asciiTheme="minorHAnsi" w:hAnsiTheme="minorHAnsi" w:cs="Times New Roman"/>
          <w:color w:val="auto"/>
          <w:sz w:val="22"/>
          <w:szCs w:val="22"/>
          <w:lang w:eastAsia="en-US"/>
        </w:rPr>
        <w:t>”.</w:t>
      </w:r>
      <w:proofErr w:type="gramEnd"/>
      <w:r w:rsidRPr="00987794">
        <w:rPr>
          <w:rFonts w:asciiTheme="minorHAnsi" w:hAnsiTheme="minorHAnsi" w:cs="Times New Roman"/>
          <w:color w:val="auto"/>
          <w:sz w:val="22"/>
          <w:szCs w:val="22"/>
          <w:lang w:eastAsia="en-US"/>
        </w:rPr>
        <w:t xml:space="preserve"> I feel that this would have been beneficial as during the interview the suspect began to answer questions rather than saying no comment. If I had more questions it may have caused the suspect to reveal more details about his activities prior to his arrest. A second adjustment I would have made for the interview would be to use a longer natural pause after asking the question. This pause would not be of the length which could be considered oppressive but long enough to create an awkward feeling for the suspect who would want to naturally fill the silence. </w:t>
      </w:r>
    </w:p>
    <w:p w14:paraId="7A2ACB60"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Once the interview was completed and in order to continue the investigation I was required to get signed witness statements from the victim and another person who was at the property when the crime was committed. This was important to enable me to build a case that could be sent to the Crown Prosecution Service to achieve a charging decision from themselves. After getting the required statements I performed house to house enquiries of the surrounding properties in an effort to get more evidence from potential witnesses. As a result of this I discovered another witness who was able to place the suspect at the scene when the damage was caused. I felt this statement was important for the investigation as it was a person who had known the family for a prolonged period but was not directly linked to them so could be considered independent. However the detail in the statement relied on voices being heard to put the suspect at the scene rather than the witness having a clear view of the suspect. </w:t>
      </w:r>
    </w:p>
    <w:p w14:paraId="56C9260C"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Once all the evidence relating to the crime had been gathered it was formed into a Not Guilty Anticipated Plea case file. This file was sent to the Crime Prosecution Service where they would apply the Full Code test to determine whether to charge the suspect for the offence or not.</w:t>
      </w:r>
    </w:p>
    <w:p w14:paraId="7DC58414"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The National Decision Making model plays a key role in all aspects of policing. It is important to follow the model as it incorporates risk management, identifying appropriate future actions and reviewing all the actions that have been undertaken. The role of discretion is important throughout the model as it is used to </w:t>
      </w:r>
      <w:r w:rsidRPr="00987794">
        <w:rPr>
          <w:rFonts w:asciiTheme="minorHAnsi" w:hAnsiTheme="minorHAnsi" w:cs="Times New Roman"/>
          <w:color w:val="auto"/>
          <w:sz w:val="22"/>
          <w:szCs w:val="22"/>
          <w:lang w:eastAsia="en-US"/>
        </w:rPr>
        <w:lastRenderedPageBreak/>
        <w:t>respond to differing situations which involves members of the public. The individual policy of a Police Service can have a limiting impact on an officer’s ability to apply discretion as the service’s policy may state that certain procedures and actions must be completed to deal with the incident. However the extent to which available powers are used by the officer can be influenced by the discretion implemented by the individual officer. An example of this would be a traffic stop of a vehicle which flags up a number of defects on the vehicle. The Police Officer can use his discretion and report the driver for all the offences or as many as they feel appropriate. The use of discretion in this scenario would often be impacted on by the interaction between the driver and the Police Officer. However when exercising discretion it is vitally important that the Police Officer does so in way that is not based on their own bias of a person. This decision would have to be justifiable and considered reasonable if it were to be made by a competent member of the community based on the same information. There is a strong link between “the police are the public and that the public are the police” as outlined by the first Commissioners of Police of the Metropolis in their General Instructions (1829) and discretion, this is because in the United Kingdom the law is enforced through Policing by consent. By allowing Police Officers to use their discretion it can help to reduce the image of the Police being heavy handed or overzealous in their response to situations which in turn can help maintain the support from the majority of the public. However the application of discretion may be considered unfair by some members of the community as people are treated differently despite circumstances being similar. Therein lies the importance of being able to justify every decision that is made by utilising the NDM.</w:t>
      </w:r>
    </w:p>
    <w:p w14:paraId="1D68FEC9" w14:textId="77777777" w:rsidR="00987794" w:rsidRPr="00987794" w:rsidRDefault="00987794" w:rsidP="00987794">
      <w:pPr>
        <w:overflowPunct/>
        <w:autoSpaceDE/>
        <w:autoSpaceDN/>
        <w:adjustRightInd/>
        <w:spacing w:after="160"/>
        <w:textAlignment w:val="auto"/>
        <w:rPr>
          <w:rFonts w:asciiTheme="minorHAnsi" w:hAnsiTheme="minorHAnsi" w:cs="Times New Roman"/>
          <w:color w:val="auto"/>
          <w:sz w:val="22"/>
          <w:szCs w:val="22"/>
          <w:lang w:eastAsia="en-US"/>
        </w:rPr>
      </w:pPr>
      <w:r w:rsidRPr="00987794">
        <w:rPr>
          <w:rFonts w:asciiTheme="minorHAnsi" w:hAnsiTheme="minorHAnsi" w:cs="Times New Roman"/>
          <w:color w:val="auto"/>
          <w:sz w:val="22"/>
          <w:szCs w:val="22"/>
          <w:lang w:eastAsia="en-US"/>
        </w:rPr>
        <w:t xml:space="preserve">In this scenario there was a risk of my colleague and </w:t>
      </w:r>
      <w:proofErr w:type="gramStart"/>
      <w:r w:rsidRPr="00987794">
        <w:rPr>
          <w:rFonts w:asciiTheme="minorHAnsi" w:hAnsiTheme="minorHAnsi" w:cs="Times New Roman"/>
          <w:color w:val="auto"/>
          <w:sz w:val="22"/>
          <w:szCs w:val="22"/>
          <w:lang w:eastAsia="en-US"/>
        </w:rPr>
        <w:t>I</w:t>
      </w:r>
      <w:proofErr w:type="gramEnd"/>
      <w:r w:rsidRPr="00987794">
        <w:rPr>
          <w:rFonts w:asciiTheme="minorHAnsi" w:hAnsiTheme="minorHAnsi" w:cs="Times New Roman"/>
          <w:color w:val="auto"/>
          <w:sz w:val="22"/>
          <w:szCs w:val="22"/>
          <w:lang w:eastAsia="en-US"/>
        </w:rPr>
        <w:t xml:space="preserve"> allowing bias opinions to impact the investigation of this incident due to our previous interactions with the suspect at other incidents. However by following the core policing value we were able to conduct the investigation and deal with the incident without allowing our bias to affect it ensuring the suspect was treated fairly and correctly. </w:t>
      </w:r>
    </w:p>
    <w:p w14:paraId="363979F9" w14:textId="3258168F" w:rsidR="006C7CA5" w:rsidRDefault="006C7CA5" w:rsidP="00E6298B">
      <w:pPr>
        <w:ind w:right="107"/>
        <w:jc w:val="both"/>
        <w:rPr>
          <w:sz w:val="24"/>
          <w:szCs w:val="24"/>
        </w:rPr>
      </w:pPr>
    </w:p>
    <w:p w14:paraId="78664AE1" w14:textId="3ED54599" w:rsidR="00987794" w:rsidRPr="00987794" w:rsidRDefault="00987794" w:rsidP="00E6298B">
      <w:pPr>
        <w:ind w:right="107"/>
        <w:jc w:val="both"/>
        <w:rPr>
          <w:b/>
          <w:sz w:val="24"/>
          <w:szCs w:val="24"/>
        </w:rPr>
      </w:pPr>
      <w:r>
        <w:rPr>
          <w:b/>
          <w:sz w:val="24"/>
          <w:szCs w:val="24"/>
        </w:rPr>
        <w:t>Word Count: 2538</w:t>
      </w: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746F7A">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3A19C419" w:rsidR="008B28E7" w:rsidRPr="00270EEB" w:rsidRDefault="7379905B" w:rsidP="7379905B">
      <w:pPr>
        <w:ind w:left="3600" w:right="107" w:firstLine="720"/>
        <w:jc w:val="both"/>
        <w:rPr>
          <w:b/>
          <w:bCs/>
          <w:sz w:val="24"/>
          <w:szCs w:val="24"/>
        </w:rPr>
      </w:pPr>
      <w:r w:rsidRPr="7379905B">
        <w:rPr>
          <w:b/>
          <w:bCs/>
          <w:sz w:val="24"/>
          <w:szCs w:val="24"/>
        </w:rPr>
        <w:lastRenderedPageBreak/>
        <w:t>Task 5</w:t>
      </w:r>
    </w:p>
    <w:p w14:paraId="3B821E8E" w14:textId="411438E4" w:rsidR="7379905B" w:rsidRDefault="7379905B" w:rsidP="7379905B">
      <w:pPr>
        <w:jc w:val="both"/>
        <w:rPr>
          <w:rFonts w:eastAsia="Arial"/>
          <w:b/>
          <w:bCs/>
          <w:sz w:val="24"/>
          <w:szCs w:val="24"/>
        </w:rPr>
      </w:pPr>
    </w:p>
    <w:p w14:paraId="12CB09B9" w14:textId="464B5700" w:rsidR="7379905B" w:rsidRDefault="7379905B" w:rsidP="7379905B">
      <w:pPr>
        <w:jc w:val="both"/>
      </w:pPr>
      <w:r w:rsidRPr="7379905B">
        <w:rPr>
          <w:rFonts w:eastAsia="Arial"/>
          <w:b/>
          <w:bCs/>
          <w:sz w:val="24"/>
          <w:szCs w:val="24"/>
        </w:rPr>
        <w:t>Personal Development Plan / Individual Learning Plan</w:t>
      </w:r>
    </w:p>
    <w:p w14:paraId="6119A329" w14:textId="573600DC"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455FE20A" w14:textId="77777777" w:rsidTr="1DD38249">
        <w:tc>
          <w:tcPr>
            <w:tcW w:w="9746" w:type="dxa"/>
          </w:tcPr>
          <w:p w14:paraId="362B337F" w14:textId="11546E12" w:rsidR="7379905B" w:rsidRDefault="7379905B">
            <w:r w:rsidRPr="7379905B">
              <w:rPr>
                <w:color w:val="000000" w:themeColor="text1"/>
                <w:sz w:val="24"/>
                <w:szCs w:val="24"/>
              </w:rPr>
              <w:t xml:space="preserve"> </w:t>
            </w:r>
          </w:p>
          <w:p w14:paraId="7DA2DF49" w14:textId="535CB717" w:rsidR="7379905B" w:rsidRDefault="7379905B" w:rsidP="7379905B">
            <w:pPr>
              <w:jc w:val="both"/>
            </w:pPr>
            <w:r w:rsidRPr="7379905B">
              <w:rPr>
                <w:sz w:val="24"/>
                <w:szCs w:val="24"/>
              </w:rPr>
              <w:t xml:space="preserve">The second learning outcome identified in the accompanying module descriptor (BMPP 6000D) asks that you formulate and implement a personal study programme to further enhance the development of your professional police practice. A template has been added for a personal development plan that you can use for this task. </w:t>
            </w:r>
          </w:p>
          <w:p w14:paraId="695D4191" w14:textId="0F960304" w:rsidR="7379905B" w:rsidRDefault="7379905B" w:rsidP="7379905B">
            <w:pPr>
              <w:jc w:val="both"/>
            </w:pPr>
            <w:r w:rsidRPr="7379905B">
              <w:rPr>
                <w:sz w:val="24"/>
                <w:szCs w:val="24"/>
              </w:rPr>
              <w:t xml:space="preserve"> </w:t>
            </w:r>
            <w:r w:rsidRPr="7379905B">
              <w:rPr>
                <w:i/>
                <w:iCs/>
                <w:sz w:val="24"/>
                <w:szCs w:val="24"/>
              </w:rPr>
              <w:t xml:space="preserve"> </w:t>
            </w:r>
          </w:p>
          <w:p w14:paraId="452337BC" w14:textId="158C611F" w:rsidR="7379905B" w:rsidRDefault="7379905B" w:rsidP="7379905B">
            <w:pPr>
              <w:jc w:val="both"/>
            </w:pPr>
            <w:r w:rsidRPr="7379905B">
              <w:rPr>
                <w:sz w:val="24"/>
                <w:szCs w:val="24"/>
              </w:rPr>
              <w:t xml:space="preserve">500 words </w:t>
            </w:r>
            <w:r w:rsidRPr="7379905B">
              <w:rPr>
                <w:i/>
                <w:iCs/>
                <w:sz w:val="24"/>
                <w:szCs w:val="24"/>
              </w:rPr>
              <w:t>equivalent. Please note that this is not the actual number of words used in completing the table, the count reflects the thought and research behind it.</w:t>
            </w:r>
          </w:p>
          <w:p w14:paraId="384D42D3" w14:textId="29B59D2C" w:rsidR="7379905B" w:rsidRDefault="7379905B" w:rsidP="7379905B">
            <w:pPr>
              <w:jc w:val="both"/>
            </w:pPr>
            <w:r w:rsidRPr="7379905B">
              <w:rPr>
                <w:i/>
                <w:iCs/>
                <w:sz w:val="24"/>
                <w:szCs w:val="24"/>
              </w:rPr>
              <w:t xml:space="preserve"> </w:t>
            </w:r>
          </w:p>
          <w:p w14:paraId="7BA761F9" w14:textId="708791D6" w:rsidR="7379905B" w:rsidRDefault="1DD38249" w:rsidP="7379905B">
            <w:pPr>
              <w:jc w:val="both"/>
            </w:pPr>
            <w:r w:rsidRPr="1DD38249">
              <w:rPr>
                <w:i/>
                <w:iCs/>
                <w:sz w:val="24"/>
                <w:szCs w:val="24"/>
              </w:rPr>
              <w:t>It will count towards the overall equivalent word count of 10,000 words equivalent total for this module.</w:t>
            </w:r>
          </w:p>
          <w:p w14:paraId="1F71FBE9" w14:textId="3482412F" w:rsidR="7379905B" w:rsidRDefault="7379905B" w:rsidP="7379905B">
            <w:pPr>
              <w:jc w:val="both"/>
            </w:pPr>
            <w:r w:rsidRPr="7379905B">
              <w:rPr>
                <w:sz w:val="24"/>
                <w:szCs w:val="24"/>
              </w:rPr>
              <w:t xml:space="preserve"> </w:t>
            </w:r>
          </w:p>
        </w:tc>
      </w:tr>
    </w:tbl>
    <w:p w14:paraId="53DC1CAE" w14:textId="1023F866" w:rsidR="7379905B" w:rsidRDefault="7379905B" w:rsidP="7379905B">
      <w:pPr>
        <w:jc w:val="both"/>
      </w:pPr>
      <w:r w:rsidRPr="7379905B">
        <w:rPr>
          <w:rFonts w:eastAsia="Arial"/>
          <w:sz w:val="24"/>
          <w:szCs w:val="24"/>
        </w:rPr>
        <w:t xml:space="preserve"> </w:t>
      </w:r>
    </w:p>
    <w:p w14:paraId="7E03C2B8" w14:textId="1D6C43F2" w:rsidR="7379905B" w:rsidRDefault="7379905B" w:rsidP="7379905B">
      <w:pPr>
        <w:jc w:val="both"/>
      </w:pPr>
      <w:r w:rsidRPr="7379905B">
        <w:rPr>
          <w:rFonts w:eastAsia="Arial"/>
          <w:b/>
          <w:bCs/>
          <w:sz w:val="24"/>
          <w:szCs w:val="24"/>
        </w:rPr>
        <w:t>ANSWER:</w:t>
      </w:r>
    </w:p>
    <w:p w14:paraId="1BEDEEDC" w14:textId="5F5448AF" w:rsidR="7379905B" w:rsidRDefault="7379905B" w:rsidP="7379905B">
      <w:pPr>
        <w:jc w:val="both"/>
        <w:rPr>
          <w:rFonts w:eastAsia="Arial"/>
          <w:sz w:val="24"/>
          <w:szCs w:val="24"/>
        </w:rPr>
      </w:pPr>
    </w:p>
    <w:p w14:paraId="55623116" w14:textId="55120381" w:rsidR="7379905B" w:rsidRDefault="7379905B" w:rsidP="7379905B">
      <w:pPr>
        <w:ind w:right="107"/>
        <w:jc w:val="both"/>
        <w:rPr>
          <w:b/>
          <w:bCs/>
          <w:sz w:val="24"/>
          <w:szCs w:val="24"/>
        </w:rPr>
      </w:pP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673FEEAC" w:rsidR="00575A8F" w:rsidRPr="00270EEB" w:rsidRDefault="00526F4D" w:rsidP="00E6298B">
            <w:pPr>
              <w:ind w:right="107"/>
              <w:jc w:val="both"/>
              <w:rPr>
                <w:sz w:val="24"/>
                <w:szCs w:val="24"/>
              </w:rPr>
            </w:pPr>
            <w:r>
              <w:rPr>
                <w:sz w:val="24"/>
                <w:szCs w:val="24"/>
              </w:rPr>
              <w:t xml:space="preserve">Case File Building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4B72B1F" w14:textId="5EE266AF" w:rsidR="00575A8F" w:rsidRDefault="00526F4D" w:rsidP="00E6298B">
            <w:pPr>
              <w:ind w:right="107"/>
              <w:jc w:val="both"/>
              <w:rPr>
                <w:sz w:val="24"/>
                <w:szCs w:val="24"/>
              </w:rPr>
            </w:pPr>
            <w:r>
              <w:rPr>
                <w:sz w:val="24"/>
                <w:szCs w:val="24"/>
              </w:rPr>
              <w:t>I will take all opportunities to create a case file or assisting with a file being created.</w:t>
            </w:r>
          </w:p>
          <w:p w14:paraId="6E512D0B" w14:textId="77777777" w:rsidR="00526F4D" w:rsidRDefault="00526F4D" w:rsidP="00E6298B">
            <w:pPr>
              <w:ind w:right="107"/>
              <w:jc w:val="both"/>
              <w:rPr>
                <w:sz w:val="24"/>
                <w:szCs w:val="24"/>
              </w:rPr>
            </w:pPr>
          </w:p>
          <w:p w14:paraId="2C5FB852" w14:textId="46D06BA1" w:rsidR="00526F4D" w:rsidRPr="00270EEB" w:rsidRDefault="00526F4D" w:rsidP="00526F4D">
            <w:pPr>
              <w:ind w:right="107"/>
              <w:jc w:val="both"/>
              <w:rPr>
                <w:sz w:val="24"/>
                <w:szCs w:val="24"/>
              </w:rPr>
            </w:pPr>
            <w:r>
              <w:rPr>
                <w:sz w:val="24"/>
                <w:szCs w:val="24"/>
              </w:rPr>
              <w:t>I will read through all the paperwork involved in building a case file to familiarise myself with the style of writing.</w:t>
            </w:r>
          </w:p>
        </w:tc>
        <w:tc>
          <w:tcPr>
            <w:tcW w:w="2426" w:type="dxa"/>
            <w:shd w:val="clear" w:color="auto" w:fill="auto"/>
          </w:tcPr>
          <w:p w14:paraId="6F2EF39C" w14:textId="0F760B27" w:rsidR="00575A8F" w:rsidRPr="00270EEB" w:rsidRDefault="00526F4D" w:rsidP="00E6298B">
            <w:pPr>
              <w:ind w:right="107"/>
              <w:jc w:val="both"/>
              <w:rPr>
                <w:sz w:val="24"/>
                <w:szCs w:val="24"/>
              </w:rPr>
            </w:pPr>
            <w:r>
              <w:rPr>
                <w:sz w:val="24"/>
                <w:szCs w:val="24"/>
              </w:rPr>
              <w:t>My colleagues on can provide me support and advice on how to ensure the required forms are completed correctly.</w:t>
            </w:r>
          </w:p>
        </w:tc>
        <w:tc>
          <w:tcPr>
            <w:tcW w:w="2426" w:type="dxa"/>
            <w:shd w:val="clear" w:color="auto" w:fill="auto"/>
          </w:tcPr>
          <w:p w14:paraId="3851D535" w14:textId="66A30593" w:rsidR="28A9B94D" w:rsidRDefault="00526F4D" w:rsidP="28A9B94D">
            <w:pPr>
              <w:jc w:val="both"/>
              <w:rPr>
                <w:sz w:val="24"/>
                <w:szCs w:val="24"/>
              </w:rPr>
            </w:pPr>
            <w:r>
              <w:rPr>
                <w:sz w:val="24"/>
                <w:szCs w:val="24"/>
              </w:rPr>
              <w:t>8 weeks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2522027F" w:rsidR="00575A8F" w:rsidRPr="00270EEB" w:rsidRDefault="00526F4D" w:rsidP="00E6298B">
            <w:pPr>
              <w:ind w:right="107"/>
              <w:jc w:val="both"/>
              <w:rPr>
                <w:sz w:val="24"/>
                <w:szCs w:val="24"/>
              </w:rPr>
            </w:pPr>
            <w:r>
              <w:rPr>
                <w:sz w:val="24"/>
                <w:szCs w:val="24"/>
              </w:rPr>
              <w:t>Interviewing</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F8D759E" w14:textId="0CDAD371" w:rsidR="00526F4D" w:rsidRDefault="00526F4D" w:rsidP="00E6298B">
            <w:pPr>
              <w:ind w:right="107"/>
              <w:jc w:val="both"/>
              <w:rPr>
                <w:sz w:val="24"/>
                <w:szCs w:val="24"/>
              </w:rPr>
            </w:pPr>
            <w:r>
              <w:rPr>
                <w:sz w:val="24"/>
                <w:szCs w:val="24"/>
              </w:rPr>
              <w:lastRenderedPageBreak/>
              <w:t>I will look to be involved with as many interviews as possible.</w:t>
            </w:r>
          </w:p>
          <w:p w14:paraId="068C4AD7" w14:textId="77777777" w:rsidR="00526F4D" w:rsidRDefault="00526F4D" w:rsidP="00E6298B">
            <w:pPr>
              <w:ind w:right="107"/>
              <w:jc w:val="both"/>
              <w:rPr>
                <w:sz w:val="24"/>
                <w:szCs w:val="24"/>
              </w:rPr>
            </w:pPr>
          </w:p>
          <w:p w14:paraId="3BD876A6" w14:textId="677CFEA8" w:rsidR="00526F4D" w:rsidRPr="00270EEB" w:rsidRDefault="00526F4D" w:rsidP="00E6298B">
            <w:pPr>
              <w:ind w:right="107"/>
              <w:jc w:val="both"/>
              <w:rPr>
                <w:sz w:val="24"/>
                <w:szCs w:val="24"/>
              </w:rPr>
            </w:pPr>
            <w:r>
              <w:rPr>
                <w:sz w:val="24"/>
                <w:szCs w:val="24"/>
              </w:rPr>
              <w:t xml:space="preserve">I will look to take more leadership during the interview </w:t>
            </w:r>
            <w:r>
              <w:rPr>
                <w:sz w:val="24"/>
                <w:szCs w:val="24"/>
              </w:rPr>
              <w:lastRenderedPageBreak/>
              <w:t>and take the lead interviewer role.</w:t>
            </w:r>
          </w:p>
        </w:tc>
        <w:tc>
          <w:tcPr>
            <w:tcW w:w="2426" w:type="dxa"/>
            <w:shd w:val="clear" w:color="auto" w:fill="auto"/>
          </w:tcPr>
          <w:p w14:paraId="7A4C9A77" w14:textId="0BBF9341" w:rsidR="00526F4D" w:rsidRPr="00270EEB" w:rsidRDefault="00526F4D" w:rsidP="00E6298B">
            <w:pPr>
              <w:ind w:right="107"/>
              <w:jc w:val="both"/>
              <w:rPr>
                <w:sz w:val="24"/>
                <w:szCs w:val="24"/>
              </w:rPr>
            </w:pPr>
            <w:r>
              <w:rPr>
                <w:sz w:val="24"/>
                <w:szCs w:val="24"/>
              </w:rPr>
              <w:lastRenderedPageBreak/>
              <w:t>I can ask my colleagues for feedback after the interview</w:t>
            </w:r>
            <w:r w:rsidR="00995892">
              <w:rPr>
                <w:sz w:val="24"/>
                <w:szCs w:val="24"/>
              </w:rPr>
              <w:t>.</w:t>
            </w:r>
          </w:p>
        </w:tc>
        <w:tc>
          <w:tcPr>
            <w:tcW w:w="2426" w:type="dxa"/>
            <w:shd w:val="clear" w:color="auto" w:fill="auto"/>
          </w:tcPr>
          <w:p w14:paraId="003BC03B" w14:textId="12B73840" w:rsidR="28A9B94D" w:rsidRDefault="00995892" w:rsidP="28A9B94D">
            <w:pPr>
              <w:jc w:val="both"/>
              <w:rPr>
                <w:sz w:val="24"/>
                <w:szCs w:val="24"/>
              </w:rPr>
            </w:pPr>
            <w:r>
              <w:rPr>
                <w:sz w:val="24"/>
                <w:szCs w:val="24"/>
              </w:rPr>
              <w:t>8 weeks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2538E171" w:rsidR="00575A8F" w:rsidRPr="00270EEB" w:rsidRDefault="006B0B49" w:rsidP="00E6298B">
            <w:pPr>
              <w:ind w:right="107"/>
              <w:jc w:val="both"/>
              <w:rPr>
                <w:sz w:val="24"/>
                <w:szCs w:val="24"/>
              </w:rPr>
            </w:pPr>
            <w:r>
              <w:rPr>
                <w:sz w:val="24"/>
                <w:szCs w:val="24"/>
              </w:rPr>
              <w:t>Statement Writing</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5680193E" w14:textId="77777777" w:rsidR="00575A8F" w:rsidRDefault="006B0B49" w:rsidP="00E6298B">
            <w:pPr>
              <w:ind w:right="107"/>
              <w:jc w:val="both"/>
              <w:rPr>
                <w:sz w:val="24"/>
                <w:szCs w:val="24"/>
              </w:rPr>
            </w:pPr>
            <w:r>
              <w:rPr>
                <w:sz w:val="24"/>
                <w:szCs w:val="24"/>
              </w:rPr>
              <w:t>I will take all opportunities that arise to take a statement.</w:t>
            </w:r>
          </w:p>
          <w:p w14:paraId="7DBCA749" w14:textId="77777777" w:rsidR="006B0B49" w:rsidRDefault="006B0B49" w:rsidP="00E6298B">
            <w:pPr>
              <w:ind w:right="107"/>
              <w:jc w:val="both"/>
              <w:rPr>
                <w:sz w:val="24"/>
                <w:szCs w:val="24"/>
              </w:rPr>
            </w:pPr>
          </w:p>
          <w:p w14:paraId="022C407D" w14:textId="3EA5C8BA" w:rsidR="006B0B49" w:rsidRPr="00270EEB" w:rsidRDefault="006B0B49" w:rsidP="00E6298B">
            <w:pPr>
              <w:ind w:right="107"/>
              <w:jc w:val="both"/>
              <w:rPr>
                <w:sz w:val="24"/>
                <w:szCs w:val="24"/>
              </w:rPr>
            </w:pPr>
            <w:r>
              <w:rPr>
                <w:sz w:val="24"/>
                <w:szCs w:val="24"/>
              </w:rPr>
              <w:t>I will try to take statements for a wide range of incidents.</w:t>
            </w:r>
          </w:p>
        </w:tc>
        <w:tc>
          <w:tcPr>
            <w:tcW w:w="2426" w:type="dxa"/>
            <w:shd w:val="clear" w:color="auto" w:fill="auto"/>
          </w:tcPr>
          <w:p w14:paraId="15909A28" w14:textId="77777777" w:rsidR="00575A8F" w:rsidRDefault="006B0B49" w:rsidP="00E6298B">
            <w:pPr>
              <w:ind w:right="107"/>
              <w:jc w:val="both"/>
              <w:rPr>
                <w:sz w:val="24"/>
                <w:szCs w:val="24"/>
              </w:rPr>
            </w:pPr>
            <w:r>
              <w:rPr>
                <w:sz w:val="24"/>
                <w:szCs w:val="24"/>
              </w:rPr>
              <w:t>I will ask my colleagues to read my statements and provide feedback.</w:t>
            </w:r>
          </w:p>
          <w:p w14:paraId="45A20997" w14:textId="77777777" w:rsidR="006B0B49" w:rsidRDefault="006B0B49" w:rsidP="00E6298B">
            <w:pPr>
              <w:ind w:right="107"/>
              <w:jc w:val="both"/>
              <w:rPr>
                <w:sz w:val="24"/>
                <w:szCs w:val="24"/>
              </w:rPr>
            </w:pPr>
          </w:p>
          <w:p w14:paraId="76B2A824" w14:textId="7EF610E2" w:rsidR="006B0B49" w:rsidRPr="00270EEB" w:rsidRDefault="006B0B49" w:rsidP="00E6298B">
            <w:pPr>
              <w:ind w:right="107"/>
              <w:jc w:val="both"/>
              <w:rPr>
                <w:sz w:val="24"/>
                <w:szCs w:val="24"/>
              </w:rPr>
            </w:pPr>
            <w:r>
              <w:rPr>
                <w:sz w:val="24"/>
                <w:szCs w:val="24"/>
              </w:rPr>
              <w:t>I will read statements taken by my colleagues to familiarise myself with the writing style.</w:t>
            </w:r>
          </w:p>
        </w:tc>
        <w:tc>
          <w:tcPr>
            <w:tcW w:w="2426" w:type="dxa"/>
            <w:shd w:val="clear" w:color="auto" w:fill="auto"/>
          </w:tcPr>
          <w:p w14:paraId="185B2EE5" w14:textId="61925F6F" w:rsidR="28A9B94D" w:rsidRDefault="006B0B49" w:rsidP="28A9B94D">
            <w:pPr>
              <w:jc w:val="both"/>
              <w:rPr>
                <w:sz w:val="24"/>
                <w:szCs w:val="24"/>
              </w:rPr>
            </w:pPr>
            <w:r>
              <w:rPr>
                <w:sz w:val="24"/>
                <w:szCs w:val="24"/>
              </w:rPr>
              <w:t>4 weeks</w:t>
            </w:r>
            <w:bookmarkStart w:id="12" w:name="_GoBack"/>
            <w:bookmarkEnd w:id="12"/>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08EDDFA" w14:textId="7D0C13CE" w:rsidR="00AC4637" w:rsidRDefault="00AC4637" w:rsidP="7379905B">
      <w:pPr>
        <w:pBdr>
          <w:top w:val="single" w:sz="6" w:space="1" w:color="auto"/>
          <w:left w:val="single" w:sz="6" w:space="1" w:color="auto"/>
          <w:bottom w:val="single" w:sz="6" w:space="1" w:color="auto"/>
          <w:right w:val="single" w:sz="6" w:space="1" w:color="auto"/>
        </w:pBdr>
        <w:ind w:right="107"/>
        <w:rPr>
          <w:b/>
          <w:sz w:val="24"/>
          <w:szCs w:val="24"/>
        </w:rPr>
      </w:pPr>
    </w:p>
    <w:p w14:paraId="09A0BDEF" w14:textId="3D209CC4" w:rsidR="00746F7A" w:rsidRDefault="00746F7A" w:rsidP="00746F7A">
      <w:pPr>
        <w:rPr>
          <w:rFonts w:cs="Calibri"/>
          <w:color w:val="333333"/>
          <w:shd w:val="clear" w:color="auto" w:fill="FCFCFC"/>
        </w:rPr>
      </w:pPr>
      <w:r w:rsidRPr="00DA1166">
        <w:rPr>
          <w:rFonts w:cs="Calibri"/>
          <w:color w:val="333333"/>
          <w:shd w:val="clear" w:color="auto" w:fill="FCFCFC"/>
        </w:rPr>
        <w:t xml:space="preserve">Aikens, K. A., </w:t>
      </w:r>
      <w:proofErr w:type="spellStart"/>
      <w:r w:rsidRPr="00DA1166">
        <w:rPr>
          <w:rFonts w:cs="Calibri"/>
          <w:color w:val="333333"/>
          <w:shd w:val="clear" w:color="auto" w:fill="FCFCFC"/>
        </w:rPr>
        <w:t>Astin</w:t>
      </w:r>
      <w:proofErr w:type="spellEnd"/>
      <w:r w:rsidRPr="00DA1166">
        <w:rPr>
          <w:rFonts w:cs="Calibri"/>
          <w:color w:val="333333"/>
          <w:shd w:val="clear" w:color="auto" w:fill="FCFCFC"/>
        </w:rPr>
        <w:t xml:space="preserve">, J., Pelletier, K. R., </w:t>
      </w:r>
      <w:proofErr w:type="spellStart"/>
      <w:r w:rsidRPr="00DA1166">
        <w:rPr>
          <w:rFonts w:cs="Calibri"/>
          <w:color w:val="333333"/>
          <w:shd w:val="clear" w:color="auto" w:fill="FCFCFC"/>
        </w:rPr>
        <w:t>Levanovich</w:t>
      </w:r>
      <w:proofErr w:type="spellEnd"/>
      <w:r w:rsidRPr="00DA1166">
        <w:rPr>
          <w:rFonts w:cs="Calibri"/>
          <w:color w:val="333333"/>
          <w:shd w:val="clear" w:color="auto" w:fill="FCFCFC"/>
        </w:rPr>
        <w:t xml:space="preserve">, K., </w:t>
      </w:r>
      <w:proofErr w:type="spellStart"/>
      <w:r w:rsidRPr="00DA1166">
        <w:rPr>
          <w:rFonts w:cs="Calibri"/>
          <w:color w:val="333333"/>
          <w:shd w:val="clear" w:color="auto" w:fill="FCFCFC"/>
        </w:rPr>
        <w:t>Baase</w:t>
      </w:r>
      <w:proofErr w:type="spellEnd"/>
      <w:r w:rsidRPr="00DA1166">
        <w:rPr>
          <w:rFonts w:cs="Calibri"/>
          <w:color w:val="333333"/>
          <w:shd w:val="clear" w:color="auto" w:fill="FCFCFC"/>
        </w:rPr>
        <w:t xml:space="preserve">, C. M., Park, Y. Y., &amp; </w:t>
      </w:r>
      <w:proofErr w:type="spellStart"/>
      <w:r w:rsidRPr="00DA1166">
        <w:rPr>
          <w:rFonts w:cs="Calibri"/>
          <w:color w:val="333333"/>
          <w:shd w:val="clear" w:color="auto" w:fill="FCFCFC"/>
        </w:rPr>
        <w:t>Bodnar</w:t>
      </w:r>
      <w:proofErr w:type="spellEnd"/>
      <w:r w:rsidRPr="00DA1166">
        <w:rPr>
          <w:rFonts w:cs="Calibri"/>
          <w:color w:val="333333"/>
          <w:shd w:val="clear" w:color="auto" w:fill="FCFCFC"/>
        </w:rPr>
        <w:t xml:space="preserve">, C. M. (2014). Mindfulness goes to work: Impact of an online workplace intervention. </w:t>
      </w:r>
      <w:r w:rsidRPr="00DA1166">
        <w:rPr>
          <w:rFonts w:cs="Calibri"/>
          <w:iCs/>
          <w:color w:val="333333"/>
        </w:rPr>
        <w:t>Journal of Occupational and Environmental Medicine, 56</w:t>
      </w:r>
      <w:r w:rsidRPr="00DA1166">
        <w:rPr>
          <w:rFonts w:cs="Calibri"/>
          <w:color w:val="333333"/>
          <w:shd w:val="clear" w:color="auto" w:fill="FCFCFC"/>
        </w:rPr>
        <w:t>(7), 721–731.</w:t>
      </w:r>
    </w:p>
    <w:p w14:paraId="272AE412" w14:textId="77777777" w:rsidR="00746F7A" w:rsidRDefault="00746F7A" w:rsidP="00746F7A">
      <w:pPr>
        <w:rPr>
          <w:rFonts w:cs="Calibri"/>
          <w:color w:val="333333"/>
          <w:shd w:val="clear" w:color="auto" w:fill="FCFCFC"/>
        </w:rPr>
      </w:pPr>
    </w:p>
    <w:p w14:paraId="76A33C6F" w14:textId="77777777" w:rsidR="00746F7A" w:rsidRDefault="00746F7A" w:rsidP="00746F7A">
      <w:pPr>
        <w:rPr>
          <w:rFonts w:cs="Calibri"/>
        </w:rPr>
      </w:pPr>
      <w:proofErr w:type="spellStart"/>
      <w:r w:rsidRPr="00DA1166">
        <w:rPr>
          <w:rFonts w:cs="Calibri"/>
        </w:rPr>
        <w:t>Amirkan</w:t>
      </w:r>
      <w:proofErr w:type="spellEnd"/>
      <w:r w:rsidRPr="00DA1166">
        <w:rPr>
          <w:rFonts w:cs="Calibri"/>
        </w:rPr>
        <w:t xml:space="preserve">, </w:t>
      </w:r>
      <w:proofErr w:type="spellStart"/>
      <w:r w:rsidRPr="00DA1166">
        <w:rPr>
          <w:rFonts w:cs="Calibri"/>
        </w:rPr>
        <w:t>Landa</w:t>
      </w:r>
      <w:proofErr w:type="spellEnd"/>
      <w:r w:rsidRPr="00DA1166">
        <w:rPr>
          <w:rFonts w:cs="Calibri"/>
        </w:rPr>
        <w:t xml:space="preserve"> and Huff “Seeking Signs of Stress Overload: Symptoms and </w:t>
      </w:r>
      <w:proofErr w:type="spellStart"/>
      <w:r w:rsidRPr="00DA1166">
        <w:rPr>
          <w:rFonts w:cs="Calibri"/>
        </w:rPr>
        <w:t>Behaviors</w:t>
      </w:r>
      <w:proofErr w:type="spellEnd"/>
      <w:r w:rsidRPr="00DA1166">
        <w:rPr>
          <w:rFonts w:cs="Calibri"/>
        </w:rPr>
        <w:t>” I</w:t>
      </w:r>
      <w:r>
        <w:rPr>
          <w:rFonts w:cs="Calibri"/>
        </w:rPr>
        <w:t xml:space="preserve">nternational </w:t>
      </w:r>
      <w:r w:rsidRPr="00DA1166">
        <w:rPr>
          <w:rFonts w:cs="Calibri"/>
        </w:rPr>
        <w:t>Journal of Stress Management 2018, Vol. 25, No. 3, 301–311</w:t>
      </w:r>
    </w:p>
    <w:p w14:paraId="6F525A85" w14:textId="77777777" w:rsidR="00746F7A" w:rsidRPr="00EF1521" w:rsidRDefault="00746F7A" w:rsidP="00746F7A">
      <w:pPr>
        <w:rPr>
          <w:rFonts w:cs="Calibri"/>
        </w:rPr>
      </w:pPr>
    </w:p>
    <w:p w14:paraId="4567853F" w14:textId="77777777" w:rsidR="00746F7A" w:rsidRDefault="00746F7A" w:rsidP="00746F7A">
      <w:pPr>
        <w:rPr>
          <w:rFonts w:cs="Calibri"/>
        </w:rPr>
      </w:pPr>
      <w:proofErr w:type="spellStart"/>
      <w:r w:rsidRPr="00DA1166">
        <w:rPr>
          <w:rFonts w:cs="Calibri"/>
        </w:rPr>
        <w:t>Betari’s</w:t>
      </w:r>
      <w:proofErr w:type="spellEnd"/>
      <w:r w:rsidRPr="00DA1166">
        <w:rPr>
          <w:rFonts w:cs="Calibri"/>
        </w:rPr>
        <w:t xml:space="preserve"> Box </w:t>
      </w:r>
      <w:hyperlink r:id="rId26" w:history="1">
        <w:r w:rsidRPr="00DA1166">
          <w:rPr>
            <w:rStyle w:val="Hyperlink"/>
            <w:rFonts w:cs="Calibri"/>
          </w:rPr>
          <w:t>https://www.mindtools.com/pages/article/newCS_82.htm</w:t>
        </w:r>
      </w:hyperlink>
    </w:p>
    <w:p w14:paraId="2F6F8F24" w14:textId="77777777" w:rsidR="00746F7A" w:rsidRDefault="00746F7A" w:rsidP="00746F7A">
      <w:pPr>
        <w:rPr>
          <w:rFonts w:cs="Calibri"/>
        </w:rPr>
      </w:pPr>
    </w:p>
    <w:p w14:paraId="65D315F8" w14:textId="77777777" w:rsidR="00746F7A" w:rsidRDefault="00746F7A" w:rsidP="00746F7A">
      <w:pPr>
        <w:rPr>
          <w:rFonts w:cs="Calibri"/>
        </w:rPr>
      </w:pPr>
      <w:r w:rsidRPr="00DA1166">
        <w:rPr>
          <w:rFonts w:cs="Calibri"/>
        </w:rPr>
        <w:t xml:space="preserve">Biddle, Stuart, Fox, Kenneth R., </w:t>
      </w:r>
      <w:proofErr w:type="spellStart"/>
      <w:r w:rsidRPr="00DA1166">
        <w:rPr>
          <w:rFonts w:cs="Calibri"/>
        </w:rPr>
        <w:t>Boutcher</w:t>
      </w:r>
      <w:proofErr w:type="spellEnd"/>
      <w:r w:rsidRPr="00DA1166">
        <w:rPr>
          <w:rFonts w:cs="Calibri"/>
        </w:rPr>
        <w:t>, Stephen H. Physical Activity and Psychological Well-Being. (2003)</w:t>
      </w:r>
    </w:p>
    <w:p w14:paraId="6DFEA647" w14:textId="77777777" w:rsidR="00746F7A" w:rsidRDefault="00746F7A" w:rsidP="00746F7A">
      <w:pPr>
        <w:rPr>
          <w:rFonts w:cs="Calibri"/>
        </w:rPr>
      </w:pPr>
    </w:p>
    <w:p w14:paraId="5D3DF42B" w14:textId="1CAB7403" w:rsidR="00746F7A" w:rsidRDefault="00746F7A" w:rsidP="00746F7A">
      <w:pPr>
        <w:rPr>
          <w:rFonts w:cs="Calibri"/>
          <w:color w:val="221E1F"/>
        </w:rPr>
      </w:pPr>
      <w:proofErr w:type="spellStart"/>
      <w:r w:rsidRPr="00DA1166">
        <w:rPr>
          <w:rFonts w:cs="Calibri"/>
          <w:color w:val="221E1F"/>
        </w:rPr>
        <w:t>Borton</w:t>
      </w:r>
      <w:proofErr w:type="spellEnd"/>
      <w:r w:rsidRPr="00DA1166">
        <w:rPr>
          <w:rFonts w:cs="Calibri"/>
          <w:color w:val="221E1F"/>
        </w:rPr>
        <w:t xml:space="preserve">, T. (1970) </w:t>
      </w:r>
      <w:r w:rsidRPr="00DA1166">
        <w:rPr>
          <w:rFonts w:cs="Calibri"/>
          <w:iCs/>
          <w:color w:val="221E1F"/>
        </w:rPr>
        <w:t>Reach, Touch and Teach</w:t>
      </w:r>
      <w:r w:rsidRPr="00DA1166">
        <w:rPr>
          <w:rFonts w:cs="Calibri"/>
          <w:color w:val="221E1F"/>
        </w:rPr>
        <w:t>. London: Hutchinson</w:t>
      </w:r>
    </w:p>
    <w:p w14:paraId="788E653D" w14:textId="77777777" w:rsidR="00746F7A" w:rsidRDefault="00746F7A" w:rsidP="00746F7A">
      <w:pPr>
        <w:rPr>
          <w:rFonts w:cs="Calibri"/>
        </w:rPr>
      </w:pPr>
    </w:p>
    <w:p w14:paraId="2CCCF18F" w14:textId="19467131" w:rsidR="00746F7A" w:rsidRDefault="00746F7A" w:rsidP="00746F7A">
      <w:pPr>
        <w:rPr>
          <w:rFonts w:cs="Calibri"/>
        </w:rPr>
      </w:pPr>
      <w:r w:rsidRPr="00DA1166">
        <w:rPr>
          <w:rFonts w:cs="Calibri"/>
        </w:rPr>
        <w:t>College of Policing, “Personal Safety Managing Conflict” (2019)</w:t>
      </w:r>
    </w:p>
    <w:p w14:paraId="3E712444" w14:textId="77777777" w:rsidR="00746F7A" w:rsidRDefault="00746F7A" w:rsidP="00746F7A">
      <w:pPr>
        <w:rPr>
          <w:rFonts w:cs="Calibri"/>
        </w:rPr>
      </w:pPr>
    </w:p>
    <w:p w14:paraId="4D5BCFEB" w14:textId="77777777" w:rsidR="00746F7A" w:rsidRPr="00DA1166" w:rsidRDefault="00746F7A" w:rsidP="00746F7A">
      <w:pPr>
        <w:rPr>
          <w:rFonts w:cs="Calibri"/>
        </w:rPr>
      </w:pPr>
      <w:r w:rsidRPr="00DA1166">
        <w:rPr>
          <w:rFonts w:cs="Calibri"/>
        </w:rPr>
        <w:t>College of Policing, “Code of Ethics” (2014)</w:t>
      </w:r>
    </w:p>
    <w:p w14:paraId="56444376" w14:textId="77777777" w:rsidR="00746F7A" w:rsidRPr="00DA1166" w:rsidRDefault="00746F7A" w:rsidP="00746F7A">
      <w:pPr>
        <w:pStyle w:val="H2"/>
        <w:rPr>
          <w:rFonts w:asciiTheme="minorHAnsi" w:hAnsiTheme="minorHAnsi" w:cs="Calibri"/>
          <w:b w:val="0"/>
          <w:sz w:val="22"/>
          <w:szCs w:val="22"/>
        </w:rPr>
      </w:pPr>
      <w:bookmarkStart w:id="13" w:name="bau0005"/>
      <w:r w:rsidRPr="00DA1166">
        <w:rPr>
          <w:rFonts w:asciiTheme="minorHAnsi" w:hAnsiTheme="minorHAnsi" w:cs="Calibri"/>
          <w:b w:val="0"/>
          <w:sz w:val="22"/>
          <w:szCs w:val="22"/>
        </w:rPr>
        <w:t xml:space="preserve">Erik van der </w:t>
      </w:r>
      <w:proofErr w:type="spellStart"/>
      <w:r w:rsidRPr="00DA1166">
        <w:rPr>
          <w:rFonts w:asciiTheme="minorHAnsi" w:hAnsiTheme="minorHAnsi" w:cs="Calibri"/>
          <w:b w:val="0"/>
          <w:sz w:val="22"/>
          <w:szCs w:val="22"/>
        </w:rPr>
        <w:t>Meulen</w:t>
      </w:r>
      <w:bookmarkStart w:id="14" w:name="bau0010"/>
      <w:bookmarkEnd w:id="13"/>
      <w:proofErr w:type="spellEnd"/>
      <w:r w:rsidRPr="00DA1166">
        <w:rPr>
          <w:rFonts w:asciiTheme="minorHAnsi" w:hAnsiTheme="minorHAnsi" w:cs="Calibri"/>
          <w:b w:val="0"/>
          <w:sz w:val="22"/>
          <w:szCs w:val="22"/>
        </w:rPr>
        <w:t xml:space="preserve">, </w:t>
      </w:r>
      <w:hyperlink w:anchor="!" w:history="1">
        <w:r w:rsidRPr="00DA1166">
          <w:rPr>
            <w:rFonts w:asciiTheme="minorHAnsi" w:hAnsiTheme="minorHAnsi" w:cs="Calibri"/>
            <w:b w:val="0"/>
            <w:sz w:val="22"/>
            <w:szCs w:val="22"/>
          </w:rPr>
          <w:t xml:space="preserve">Peter G. van der </w:t>
        </w:r>
        <w:proofErr w:type="spellStart"/>
        <w:r w:rsidRPr="00DA1166">
          <w:rPr>
            <w:rFonts w:asciiTheme="minorHAnsi" w:hAnsiTheme="minorHAnsi" w:cs="Calibri"/>
            <w:b w:val="0"/>
            <w:sz w:val="22"/>
            <w:szCs w:val="22"/>
          </w:rPr>
          <w:t>Velden</w:t>
        </w:r>
        <w:proofErr w:type="spellEnd"/>
      </w:hyperlink>
      <w:bookmarkStart w:id="15" w:name="bau0015"/>
      <w:bookmarkEnd w:id="14"/>
      <w:r w:rsidRPr="00DA1166">
        <w:rPr>
          <w:rFonts w:asciiTheme="minorHAnsi" w:hAnsiTheme="minorHAnsi" w:cs="Calibri"/>
          <w:b w:val="0"/>
          <w:sz w:val="22"/>
          <w:szCs w:val="22"/>
        </w:rPr>
        <w:t xml:space="preserve">, </w:t>
      </w:r>
      <w:hyperlink w:anchor="!" w:history="1">
        <w:proofErr w:type="spellStart"/>
        <w:r w:rsidRPr="00DA1166">
          <w:rPr>
            <w:rFonts w:asciiTheme="minorHAnsi" w:hAnsiTheme="minorHAnsi" w:cs="Calibri"/>
            <w:b w:val="0"/>
            <w:sz w:val="22"/>
            <w:szCs w:val="22"/>
          </w:rPr>
          <w:t>IlariaSetti</w:t>
        </w:r>
        <w:proofErr w:type="spellEnd"/>
      </w:hyperlink>
      <w:bookmarkStart w:id="16" w:name="bau0020"/>
      <w:bookmarkEnd w:id="15"/>
      <w:r w:rsidRPr="00DA1166">
        <w:rPr>
          <w:rFonts w:asciiTheme="minorHAnsi" w:hAnsiTheme="minorHAnsi" w:cs="Calibri"/>
          <w:b w:val="0"/>
          <w:sz w:val="22"/>
          <w:szCs w:val="22"/>
        </w:rPr>
        <w:t xml:space="preserve">, </w:t>
      </w:r>
      <w:hyperlink w:anchor="!" w:history="1">
        <w:r w:rsidRPr="00DA1166">
          <w:rPr>
            <w:rFonts w:asciiTheme="minorHAnsi" w:hAnsiTheme="minorHAnsi" w:cs="Calibri"/>
            <w:b w:val="0"/>
            <w:sz w:val="22"/>
            <w:szCs w:val="22"/>
          </w:rPr>
          <w:t xml:space="preserve">Marc J.P.M. van </w:t>
        </w:r>
        <w:proofErr w:type="spellStart"/>
        <w:r w:rsidRPr="00DA1166">
          <w:rPr>
            <w:rFonts w:asciiTheme="minorHAnsi" w:hAnsiTheme="minorHAnsi" w:cs="Calibri"/>
            <w:b w:val="0"/>
            <w:sz w:val="22"/>
            <w:szCs w:val="22"/>
          </w:rPr>
          <w:t>Veldhoven</w:t>
        </w:r>
        <w:proofErr w:type="spellEnd"/>
      </w:hyperlink>
      <w:bookmarkEnd w:id="16"/>
      <w:r w:rsidRPr="00DA1166">
        <w:rPr>
          <w:rFonts w:asciiTheme="minorHAnsi" w:hAnsiTheme="minorHAnsi" w:cs="Calibri"/>
          <w:b w:val="0"/>
          <w:sz w:val="22"/>
          <w:szCs w:val="22"/>
        </w:rPr>
        <w:t xml:space="preserve">. Psychiatry Research </w:t>
      </w:r>
      <w:hyperlink r:id="rId27" w:history="1">
        <w:r w:rsidRPr="00DA1166">
          <w:rPr>
            <w:rFonts w:asciiTheme="minorHAnsi" w:hAnsiTheme="minorHAnsi" w:cs="Calibri"/>
            <w:b w:val="0"/>
            <w:sz w:val="22"/>
            <w:szCs w:val="22"/>
          </w:rPr>
          <w:t>Volume 260</w:t>
        </w:r>
      </w:hyperlink>
      <w:r w:rsidRPr="00DA1166">
        <w:rPr>
          <w:rFonts w:asciiTheme="minorHAnsi" w:hAnsiTheme="minorHAnsi" w:cs="Calibri"/>
          <w:b w:val="0"/>
          <w:sz w:val="22"/>
          <w:szCs w:val="22"/>
        </w:rPr>
        <w:t>, February 2018, Pages 486-494</w:t>
      </w:r>
    </w:p>
    <w:p w14:paraId="13DCDE96" w14:textId="535DA6AB" w:rsidR="00746F7A" w:rsidRDefault="00746F7A" w:rsidP="00746F7A">
      <w:pPr>
        <w:rPr>
          <w:rFonts w:cs="Calibri"/>
          <w:color w:val="333333"/>
        </w:rPr>
      </w:pPr>
      <w:r w:rsidRPr="00DA1166">
        <w:rPr>
          <w:rFonts w:cs="Calibri"/>
          <w:color w:val="333333"/>
        </w:rPr>
        <w:t xml:space="preserve">Gonzalez, Michael J, </w:t>
      </w:r>
      <w:proofErr w:type="spellStart"/>
      <w:r w:rsidRPr="00DA1166">
        <w:rPr>
          <w:rFonts w:cs="Calibri"/>
          <w:color w:val="333333"/>
        </w:rPr>
        <w:t>Mirnda-Massari</w:t>
      </w:r>
      <w:proofErr w:type="spellEnd"/>
      <w:r w:rsidRPr="00DA1166">
        <w:rPr>
          <w:rFonts w:cs="Calibri"/>
          <w:color w:val="333333"/>
        </w:rPr>
        <w:t xml:space="preserve">, Jorge, R. Diet and Stress Psychiatric Clinics 2014, Volume 37, Issue 4, 579 </w:t>
      </w:r>
      <w:r>
        <w:rPr>
          <w:rFonts w:cs="Calibri"/>
          <w:color w:val="333333"/>
        </w:rPr>
        <w:t>–</w:t>
      </w:r>
      <w:r w:rsidRPr="00DA1166">
        <w:rPr>
          <w:rFonts w:cs="Calibri"/>
          <w:color w:val="333333"/>
        </w:rPr>
        <w:t xml:space="preserve"> 589</w:t>
      </w:r>
    </w:p>
    <w:p w14:paraId="5CE63BAF" w14:textId="77777777" w:rsidR="00746F7A" w:rsidRPr="00DA1166" w:rsidRDefault="00746F7A" w:rsidP="00746F7A">
      <w:pPr>
        <w:rPr>
          <w:rFonts w:cs="Calibri"/>
        </w:rPr>
      </w:pPr>
    </w:p>
    <w:p w14:paraId="1B53D65E" w14:textId="26EC7035" w:rsidR="00746F7A" w:rsidRDefault="00746F7A" w:rsidP="00746F7A">
      <w:pPr>
        <w:rPr>
          <w:rFonts w:cs="Calibri"/>
        </w:rPr>
      </w:pPr>
      <w:bookmarkStart w:id="17" w:name="baut0005"/>
      <w:proofErr w:type="spellStart"/>
      <w:r w:rsidRPr="00DA1166">
        <w:rPr>
          <w:rFonts w:cs="Calibri"/>
        </w:rPr>
        <w:t>Herawati</w:t>
      </w:r>
      <w:bookmarkStart w:id="18" w:name="baut0010"/>
      <w:bookmarkEnd w:id="17"/>
      <w:proofErr w:type="spellEnd"/>
      <w:r w:rsidRPr="00DA1166">
        <w:rPr>
          <w:rFonts w:cs="Calibri"/>
        </w:rPr>
        <w:t xml:space="preserve">, K and D. </w:t>
      </w:r>
      <w:proofErr w:type="spellStart"/>
      <w:r w:rsidRPr="00DA1166">
        <w:rPr>
          <w:rFonts w:cs="Calibri"/>
        </w:rPr>
        <w:t>Gayatri</w:t>
      </w:r>
      <w:bookmarkEnd w:id="18"/>
      <w:proofErr w:type="spellEnd"/>
      <w:r w:rsidRPr="00DA1166">
        <w:rPr>
          <w:rFonts w:cs="Calibri"/>
        </w:rPr>
        <w:t xml:space="preserve"> “The correlation between sleep quality and levels of stress among students in </w:t>
      </w:r>
      <w:proofErr w:type="spellStart"/>
      <w:r w:rsidRPr="00DA1166">
        <w:rPr>
          <w:rFonts w:cs="Calibri"/>
        </w:rPr>
        <w:t>Universitas</w:t>
      </w:r>
      <w:proofErr w:type="spellEnd"/>
      <w:r w:rsidRPr="00DA1166">
        <w:rPr>
          <w:rFonts w:cs="Calibri"/>
        </w:rPr>
        <w:t xml:space="preserve"> Indonesia</w:t>
      </w:r>
      <w:bookmarkStart w:id="19" w:name="baep-article-footnote-id1"/>
      <w:bookmarkEnd w:id="19"/>
      <w:r w:rsidRPr="00DA1166">
        <w:rPr>
          <w:rFonts w:cs="Calibri"/>
        </w:rPr>
        <w:t xml:space="preserve">” </w:t>
      </w:r>
      <w:hyperlink r:id="rId28" w:history="1">
        <w:proofErr w:type="spellStart"/>
        <w:r w:rsidRPr="00DA1166">
          <w:rPr>
            <w:rStyle w:val="Hyperlink"/>
            <w:rFonts w:cs="Calibri"/>
            <w:bCs/>
            <w:color w:val="auto"/>
          </w:rPr>
          <w:t>Enfermería</w:t>
        </w:r>
        <w:proofErr w:type="spellEnd"/>
        <w:r w:rsidRPr="00DA1166">
          <w:rPr>
            <w:rStyle w:val="Hyperlink"/>
            <w:rFonts w:cs="Calibri"/>
            <w:bCs/>
            <w:color w:val="auto"/>
          </w:rPr>
          <w:t xml:space="preserve"> </w:t>
        </w:r>
        <w:proofErr w:type="spellStart"/>
        <w:r w:rsidRPr="00DA1166">
          <w:rPr>
            <w:rStyle w:val="Hyperlink"/>
            <w:rFonts w:cs="Calibri"/>
            <w:bCs/>
            <w:color w:val="auto"/>
          </w:rPr>
          <w:t>Clínica</w:t>
        </w:r>
        <w:proofErr w:type="spellEnd"/>
      </w:hyperlink>
      <w:r w:rsidRPr="00DA1166">
        <w:rPr>
          <w:rFonts w:cs="Calibri"/>
          <w:bCs/>
        </w:rPr>
        <w:t xml:space="preserve"> </w:t>
      </w:r>
      <w:hyperlink r:id="rId29" w:history="1">
        <w:r w:rsidRPr="00DA1166">
          <w:rPr>
            <w:rStyle w:val="Hyperlink"/>
            <w:rFonts w:cs="Calibri"/>
            <w:color w:val="auto"/>
          </w:rPr>
          <w:t>Vol 29, Supplement 2</w:t>
        </w:r>
      </w:hyperlink>
      <w:r w:rsidRPr="00DA1166">
        <w:rPr>
          <w:rFonts w:cs="Calibri"/>
        </w:rPr>
        <w:t>, September 2019, Pages 357-361</w:t>
      </w:r>
    </w:p>
    <w:p w14:paraId="57997938" w14:textId="77777777" w:rsidR="00746F7A" w:rsidRPr="00DA1166" w:rsidRDefault="00746F7A" w:rsidP="00746F7A">
      <w:pPr>
        <w:rPr>
          <w:rFonts w:cs="Calibri"/>
        </w:rPr>
      </w:pPr>
    </w:p>
    <w:p w14:paraId="7A539EA0" w14:textId="262BDA57" w:rsidR="00746F7A" w:rsidRDefault="00746F7A" w:rsidP="00746F7A">
      <w:pPr>
        <w:rPr>
          <w:rFonts w:cs="Calibri"/>
          <w:color w:val="333333"/>
          <w:shd w:val="clear" w:color="auto" w:fill="FCFCFC"/>
        </w:rPr>
      </w:pPr>
      <w:proofErr w:type="spellStart"/>
      <w:r w:rsidRPr="00DA1166">
        <w:rPr>
          <w:rFonts w:cs="Calibri"/>
          <w:color w:val="333333"/>
          <w:shd w:val="clear" w:color="auto" w:fill="FCFCFC"/>
        </w:rPr>
        <w:t>Kabat</w:t>
      </w:r>
      <w:proofErr w:type="spellEnd"/>
      <w:r w:rsidRPr="00DA1166">
        <w:rPr>
          <w:rFonts w:cs="Calibri"/>
          <w:color w:val="333333"/>
          <w:shd w:val="clear" w:color="auto" w:fill="FCFCFC"/>
        </w:rPr>
        <w:t>-Zinn, J. (1994) “Wherever you go, there you are: Mindfulness meditation in everyday life.” New York: Hyperion Books.</w:t>
      </w:r>
    </w:p>
    <w:p w14:paraId="7B640F99" w14:textId="77777777" w:rsidR="00746F7A" w:rsidRPr="00DA1166" w:rsidRDefault="00746F7A" w:rsidP="00746F7A">
      <w:pPr>
        <w:rPr>
          <w:rFonts w:cs="Calibri"/>
          <w:color w:val="333333"/>
          <w:shd w:val="clear" w:color="auto" w:fill="FCFCFC"/>
        </w:rPr>
      </w:pPr>
    </w:p>
    <w:p w14:paraId="74F94F17" w14:textId="5E3B50BD" w:rsidR="00746F7A" w:rsidRDefault="00746F7A" w:rsidP="00746F7A">
      <w:pPr>
        <w:rPr>
          <w:rFonts w:cs="Calibri"/>
        </w:rPr>
      </w:pPr>
      <w:r w:rsidRPr="00DA1166">
        <w:rPr>
          <w:rFonts w:cs="Calibri"/>
        </w:rPr>
        <w:t xml:space="preserve">Mazerolle, L., Bennett, S., Davis, J., </w:t>
      </w:r>
      <w:proofErr w:type="spellStart"/>
      <w:r w:rsidRPr="00DA1166">
        <w:rPr>
          <w:rFonts w:cs="Calibri"/>
        </w:rPr>
        <w:t>Sargeant</w:t>
      </w:r>
      <w:proofErr w:type="spellEnd"/>
      <w:r w:rsidRPr="00DA1166">
        <w:rPr>
          <w:rFonts w:cs="Calibri"/>
        </w:rPr>
        <w:t>, E., &amp; Manning, M. (2013) Legitimacy in Policing: A systematic review. Campbell Systematic Reviews, 9</w:t>
      </w:r>
    </w:p>
    <w:p w14:paraId="24954AAA" w14:textId="77777777" w:rsidR="00746F7A" w:rsidRPr="00DA1166" w:rsidRDefault="00746F7A" w:rsidP="00746F7A">
      <w:pPr>
        <w:rPr>
          <w:rFonts w:cs="Calibri"/>
        </w:rPr>
      </w:pPr>
    </w:p>
    <w:p w14:paraId="1B5C2603" w14:textId="03ED538E" w:rsidR="00746F7A" w:rsidRDefault="00746F7A" w:rsidP="00746F7A">
      <w:pPr>
        <w:rPr>
          <w:rFonts w:cs="Calibri"/>
        </w:rPr>
      </w:pPr>
      <w:r w:rsidRPr="00DA1166">
        <w:rPr>
          <w:rFonts w:cs="Calibri"/>
        </w:rPr>
        <w:t xml:space="preserve">Neal, Mary-Anne. “Engaging Students </w:t>
      </w:r>
      <w:proofErr w:type="gramStart"/>
      <w:r w:rsidRPr="00DA1166">
        <w:rPr>
          <w:rFonts w:cs="Calibri"/>
        </w:rPr>
        <w:t>Through</w:t>
      </w:r>
      <w:proofErr w:type="gramEnd"/>
      <w:r w:rsidRPr="00DA1166">
        <w:rPr>
          <w:rFonts w:cs="Calibri"/>
        </w:rPr>
        <w:t xml:space="preserve"> Effective Questions”, The Skilled Trades </w:t>
      </w:r>
      <w:proofErr w:type="spellStart"/>
      <w:r w:rsidRPr="00DA1166">
        <w:rPr>
          <w:rFonts w:cs="Calibri"/>
        </w:rPr>
        <w:t>vol</w:t>
      </w:r>
      <w:proofErr w:type="spellEnd"/>
      <w:r w:rsidRPr="00DA1166">
        <w:rPr>
          <w:rFonts w:cs="Calibri"/>
        </w:rPr>
        <w:t xml:space="preserve"> 60, issue 2 (2011)</w:t>
      </w:r>
    </w:p>
    <w:p w14:paraId="42AB0E22" w14:textId="77777777" w:rsidR="00746F7A" w:rsidRPr="00DA1166" w:rsidRDefault="00746F7A" w:rsidP="00746F7A">
      <w:pPr>
        <w:rPr>
          <w:rFonts w:cs="Calibri"/>
        </w:rPr>
      </w:pPr>
    </w:p>
    <w:p w14:paraId="392AEFEC" w14:textId="77777777" w:rsidR="00746F7A" w:rsidRPr="00DA1166" w:rsidRDefault="00746F7A" w:rsidP="00746F7A">
      <w:pPr>
        <w:rPr>
          <w:rFonts w:cs="Calibri"/>
        </w:rPr>
      </w:pPr>
      <w:r w:rsidRPr="00DA1166">
        <w:rPr>
          <w:rFonts w:cs="Calibri"/>
        </w:rPr>
        <w:t xml:space="preserve">Office of National Statistics, “Census 2011” (2011) </w:t>
      </w:r>
      <w:hyperlink r:id="rId30" w:history="1">
        <w:r w:rsidRPr="00DA1166">
          <w:rPr>
            <w:rStyle w:val="Hyperlink"/>
            <w:rFonts w:cs="Calibri"/>
          </w:rPr>
          <w:t>https://www.ons.gov.uk/census/2011census/2011censusdata</w:t>
        </w:r>
      </w:hyperlink>
    </w:p>
    <w:p w14:paraId="3F42F85E" w14:textId="77777777" w:rsidR="00746F7A" w:rsidRPr="00DA1166" w:rsidRDefault="00746F7A" w:rsidP="00746F7A">
      <w:pPr>
        <w:rPr>
          <w:rFonts w:cs="Calibri"/>
        </w:rPr>
      </w:pPr>
    </w:p>
    <w:p w14:paraId="073EFA81" w14:textId="77777777" w:rsidR="00746F7A" w:rsidRPr="00DA1166" w:rsidRDefault="00746F7A" w:rsidP="00746F7A">
      <w:pPr>
        <w:spacing w:before="100" w:after="100"/>
        <w:rPr>
          <w:rFonts w:cs="Calibri"/>
        </w:rPr>
      </w:pPr>
      <w:proofErr w:type="spellStart"/>
      <w:r w:rsidRPr="00DA1166">
        <w:rPr>
          <w:rFonts w:cs="Calibri"/>
        </w:rPr>
        <w:t>Redwine</w:t>
      </w:r>
      <w:proofErr w:type="spellEnd"/>
      <w:r w:rsidRPr="00DA1166">
        <w:rPr>
          <w:rFonts w:cs="Calibri"/>
        </w:rPr>
        <w:t xml:space="preserve">, I, R. I </w:t>
      </w:r>
      <w:proofErr w:type="spellStart"/>
      <w:r w:rsidRPr="00DA1166">
        <w:rPr>
          <w:rFonts w:cs="Calibri"/>
        </w:rPr>
        <w:t>Hauger</w:t>
      </w:r>
      <w:proofErr w:type="spellEnd"/>
      <w:r w:rsidRPr="00DA1166">
        <w:rPr>
          <w:rFonts w:cs="Calibri"/>
        </w:rPr>
        <w:t xml:space="preserve">, J. C. </w:t>
      </w:r>
      <w:proofErr w:type="spellStart"/>
      <w:r w:rsidRPr="00DA1166">
        <w:rPr>
          <w:rFonts w:cs="Calibri"/>
        </w:rPr>
        <w:t>Gillin</w:t>
      </w:r>
      <w:proofErr w:type="spellEnd"/>
      <w:r w:rsidRPr="00DA1166">
        <w:rPr>
          <w:rFonts w:cs="Calibri"/>
        </w:rPr>
        <w:t xml:space="preserve"> and M. Irwin “Effects of Sleep and Sleep Deprivation on Interleukin-6, Growth Hormone, Cortisol and Melatonin Levels in Humans” Journal of Endocrinology &amp; Metabolism, Vol 85, No. 10, 2000 p. 3597</w:t>
      </w:r>
    </w:p>
    <w:p w14:paraId="161CDDDD" w14:textId="5E9E988A" w:rsidR="00746F7A" w:rsidRDefault="00746F7A" w:rsidP="00746F7A">
      <w:pPr>
        <w:rPr>
          <w:rFonts w:cs="Calibri"/>
        </w:rPr>
      </w:pPr>
      <w:r w:rsidRPr="00DA1166">
        <w:rPr>
          <w:rFonts w:cs="Calibri"/>
        </w:rPr>
        <w:t xml:space="preserve">Robson, S., &amp; Salcedo, N. (2014). Sleep. In </w:t>
      </w:r>
      <w:proofErr w:type="spellStart"/>
      <w:r w:rsidRPr="00DA1166">
        <w:rPr>
          <w:rFonts w:cs="Calibri"/>
          <w:iCs/>
        </w:rPr>
        <w:t>Behavioral</w:t>
      </w:r>
      <w:proofErr w:type="spellEnd"/>
      <w:r w:rsidRPr="00DA1166">
        <w:rPr>
          <w:rFonts w:cs="Calibri"/>
          <w:iCs/>
        </w:rPr>
        <w:t xml:space="preserve"> Fitness and Resilience: A Review of Relevant Constructs, Measures, and Links to Well-Being</w:t>
      </w:r>
      <w:r w:rsidRPr="00DA1166">
        <w:rPr>
          <w:rFonts w:cs="Calibri"/>
        </w:rPr>
        <w:t xml:space="preserve"> (pp. 7-12). RAND Corporation.</w:t>
      </w:r>
    </w:p>
    <w:p w14:paraId="054EC1A0" w14:textId="77777777" w:rsidR="00746F7A" w:rsidRPr="00DA1166" w:rsidRDefault="00746F7A" w:rsidP="00746F7A">
      <w:pPr>
        <w:rPr>
          <w:rFonts w:cs="Calibri"/>
        </w:rPr>
      </w:pPr>
    </w:p>
    <w:p w14:paraId="6C782732" w14:textId="71E82513" w:rsidR="00746F7A" w:rsidRDefault="00746F7A" w:rsidP="00746F7A">
      <w:r w:rsidRPr="00DA1166">
        <w:rPr>
          <w:rFonts w:cs="Calibri"/>
        </w:rPr>
        <w:t xml:space="preserve">Rowan, Charles. </w:t>
      </w:r>
      <w:proofErr w:type="gramStart"/>
      <w:r w:rsidRPr="00DA1166">
        <w:rPr>
          <w:rFonts w:cs="Calibri"/>
        </w:rPr>
        <w:t>and</w:t>
      </w:r>
      <w:proofErr w:type="gramEnd"/>
      <w:r w:rsidRPr="00DA1166">
        <w:rPr>
          <w:rFonts w:cs="Calibri"/>
        </w:rPr>
        <w:t xml:space="preserve"> Mayne, Richard. (</w:t>
      </w:r>
      <w:proofErr w:type="gramStart"/>
      <w:r w:rsidRPr="00DA1166">
        <w:rPr>
          <w:rFonts w:cs="Calibri"/>
        </w:rPr>
        <w:t>first</w:t>
      </w:r>
      <w:proofErr w:type="gramEnd"/>
      <w:r w:rsidRPr="00DA1166">
        <w:rPr>
          <w:rFonts w:cs="Calibri"/>
        </w:rPr>
        <w:t xml:space="preserve"> Commissioners of Police of the Metropolis), General Instructions to new police officers (1829) – Freedom of Information Request (2012) </w:t>
      </w:r>
      <w:hyperlink r:id="rId31" w:history="1">
        <w:r w:rsidRPr="00DA1166">
          <w:rPr>
            <w:rStyle w:val="Hyperlink"/>
            <w:rFonts w:cs="Calibri"/>
          </w:rPr>
          <w:t>https://www.gov.uk/government/publications/policing-by-consent/definition-of-policing-by-consent</w:t>
        </w:r>
      </w:hyperlink>
    </w:p>
    <w:p w14:paraId="71E347A1" w14:textId="77777777" w:rsidR="00746F7A" w:rsidRPr="00DA1166" w:rsidRDefault="00746F7A" w:rsidP="00746F7A">
      <w:pPr>
        <w:rPr>
          <w:rFonts w:cs="Calibri"/>
        </w:rPr>
      </w:pPr>
    </w:p>
    <w:p w14:paraId="5884A70B" w14:textId="4DE35A5A" w:rsidR="00746F7A" w:rsidRDefault="00746F7A" w:rsidP="00746F7A">
      <w:pPr>
        <w:rPr>
          <w:rFonts w:cs="Calibri"/>
        </w:rPr>
      </w:pPr>
      <w:r w:rsidRPr="00DA1166">
        <w:rPr>
          <w:rFonts w:cs="Calibri"/>
        </w:rPr>
        <w:t xml:space="preserve">Shah, Neil. “Stress Management Society”, </w:t>
      </w:r>
      <w:hyperlink r:id="rId32" w:history="1">
        <w:r w:rsidRPr="00DA1166">
          <w:rPr>
            <w:rStyle w:val="Hyperlink"/>
            <w:rFonts w:cs="Calibri"/>
          </w:rPr>
          <w:t>www.stress.org</w:t>
        </w:r>
      </w:hyperlink>
      <w:r w:rsidRPr="00DA1166">
        <w:rPr>
          <w:rFonts w:cs="Calibri"/>
        </w:rPr>
        <w:t xml:space="preserve"> (2016)</w:t>
      </w:r>
    </w:p>
    <w:p w14:paraId="260DFE0C" w14:textId="77777777" w:rsidR="00746F7A" w:rsidRPr="00DA1166" w:rsidRDefault="00746F7A" w:rsidP="00746F7A">
      <w:pPr>
        <w:rPr>
          <w:rFonts w:cs="Calibri"/>
        </w:rPr>
      </w:pPr>
    </w:p>
    <w:p w14:paraId="740930D4" w14:textId="334CF36C" w:rsidR="00746F7A" w:rsidRDefault="00746F7A" w:rsidP="00746F7A">
      <w:r w:rsidRPr="00DA1166">
        <w:rPr>
          <w:rFonts w:cs="Calibri"/>
        </w:rPr>
        <w:t xml:space="preserve">Section 3 Affray Public Order Act 1986 </w:t>
      </w:r>
      <w:hyperlink r:id="rId33" w:history="1">
        <w:r w:rsidRPr="00DA1166">
          <w:rPr>
            <w:rStyle w:val="Hyperlink"/>
            <w:rFonts w:cs="Calibri"/>
          </w:rPr>
          <w:t>http://www.legislation.gov.uk/ukpga/1986/64/section/3</w:t>
        </w:r>
      </w:hyperlink>
    </w:p>
    <w:p w14:paraId="2A2335A0" w14:textId="77777777" w:rsidR="00746F7A" w:rsidRPr="00DA1166" w:rsidRDefault="00746F7A" w:rsidP="00746F7A">
      <w:pPr>
        <w:rPr>
          <w:rFonts w:cs="Calibri"/>
        </w:rPr>
      </w:pPr>
    </w:p>
    <w:p w14:paraId="1FA31B12" w14:textId="4E2EAF13" w:rsidR="00746F7A" w:rsidRDefault="00746F7A" w:rsidP="00746F7A">
      <w:r w:rsidRPr="00DA1166">
        <w:rPr>
          <w:rFonts w:cs="Calibri"/>
        </w:rPr>
        <w:lastRenderedPageBreak/>
        <w:t xml:space="preserve">Section 3 Criminal Law Act 1967 </w:t>
      </w:r>
      <w:hyperlink r:id="rId34" w:history="1">
        <w:r w:rsidRPr="00DA1166">
          <w:rPr>
            <w:rStyle w:val="Hyperlink"/>
            <w:rFonts w:cs="Calibri"/>
          </w:rPr>
          <w:t>http://www.legislation.gov.uk/ukpga/1967/58</w:t>
        </w:r>
      </w:hyperlink>
    </w:p>
    <w:p w14:paraId="6FFF4D88" w14:textId="77777777" w:rsidR="00746F7A" w:rsidRPr="00DA1166" w:rsidRDefault="00746F7A" w:rsidP="00746F7A">
      <w:pPr>
        <w:rPr>
          <w:rFonts w:cs="Calibri"/>
        </w:rPr>
      </w:pPr>
    </w:p>
    <w:p w14:paraId="4F52444D" w14:textId="08B83C16" w:rsidR="00746F7A" w:rsidRDefault="00746F7A" w:rsidP="00746F7A">
      <w:r w:rsidRPr="00DA1166">
        <w:rPr>
          <w:rFonts w:cs="Calibri"/>
        </w:rPr>
        <w:t xml:space="preserve">Section 32(b) Police and Criminal Evidence Act 1984 </w:t>
      </w:r>
      <w:hyperlink r:id="rId35" w:history="1">
        <w:r w:rsidRPr="00DA1166">
          <w:rPr>
            <w:rStyle w:val="Hyperlink"/>
            <w:rFonts w:cs="Calibri"/>
          </w:rPr>
          <w:t>http://www.legislation.gov.uk/ukpga/1984/60/section/32</w:t>
        </w:r>
      </w:hyperlink>
    </w:p>
    <w:p w14:paraId="1EE5D1C4" w14:textId="77777777" w:rsidR="00746F7A" w:rsidRDefault="00746F7A" w:rsidP="00746F7A">
      <w:pPr>
        <w:rPr>
          <w:rFonts w:cs="Calibri"/>
        </w:rPr>
      </w:pPr>
    </w:p>
    <w:p w14:paraId="221311BF" w14:textId="77777777" w:rsidR="00746F7A" w:rsidRDefault="00746F7A" w:rsidP="00746F7A">
      <w:pPr>
        <w:rPr>
          <w:rFonts w:cs="Calibri"/>
        </w:rPr>
      </w:pPr>
      <w:r w:rsidRPr="00DA1166">
        <w:rPr>
          <w:rFonts w:cs="Calibri"/>
        </w:rPr>
        <w:t>South Wales Police, “Accessing Interpreters” (2019)</w:t>
      </w:r>
    </w:p>
    <w:p w14:paraId="509C82B6" w14:textId="77777777" w:rsidR="00746F7A" w:rsidRPr="00DA1166" w:rsidRDefault="00746F7A" w:rsidP="00746F7A">
      <w:pPr>
        <w:rPr>
          <w:rFonts w:cs="Calibri"/>
        </w:rPr>
      </w:pPr>
    </w:p>
    <w:p w14:paraId="1F4F4E0C" w14:textId="77777777" w:rsidR="00746F7A" w:rsidRPr="00DA1166" w:rsidRDefault="00746F7A" w:rsidP="00746F7A">
      <w:pPr>
        <w:rPr>
          <w:rFonts w:cs="Calibri"/>
        </w:rPr>
      </w:pPr>
      <w:r w:rsidRPr="00DA1166">
        <w:rPr>
          <w:rFonts w:cs="Calibri"/>
        </w:rPr>
        <w:t>Stat Wales, Welsh Government “</w:t>
      </w:r>
      <w:r w:rsidRPr="00DA1166">
        <w:rPr>
          <w:rFonts w:cs="Calibri"/>
          <w:bCs/>
        </w:rPr>
        <w:t>Ethnicity by area and ethnic group” (March 2020)</w:t>
      </w:r>
      <w:r w:rsidRPr="00DA1166">
        <w:rPr>
          <w:rFonts w:cs="Calibri"/>
        </w:rPr>
        <w:t xml:space="preserve"> </w:t>
      </w:r>
      <w:hyperlink r:id="rId36" w:history="1">
        <w:r w:rsidRPr="00DA1166">
          <w:rPr>
            <w:rStyle w:val="Hyperlink"/>
            <w:rFonts w:cs="Calibri"/>
          </w:rPr>
          <w:t>https://statswales.gov.wales/Catalogue/Equality-and-Diversity/Ethnicity/ethnicity-by-area-ethnicgroup</w:t>
        </w:r>
      </w:hyperlink>
    </w:p>
    <w:p w14:paraId="4071D23D" w14:textId="77777777" w:rsidR="00746F7A" w:rsidRPr="00DA1166" w:rsidRDefault="00746F7A" w:rsidP="00746F7A">
      <w:pPr>
        <w:rPr>
          <w:rFonts w:cs="Calibri"/>
        </w:rPr>
      </w:pPr>
    </w:p>
    <w:p w14:paraId="699B4A9F" w14:textId="77777777" w:rsidR="00746F7A" w:rsidRPr="00DA1166" w:rsidRDefault="00746F7A" w:rsidP="00746F7A">
      <w:pPr>
        <w:rPr>
          <w:rFonts w:cs="Calibri"/>
        </w:rPr>
      </w:pPr>
      <w:r w:rsidRPr="00DA1166">
        <w:rPr>
          <w:rFonts w:cs="Calibri"/>
        </w:rPr>
        <w:t xml:space="preserve">Swansea Council, “Ward Profiles” </w:t>
      </w:r>
      <w:hyperlink r:id="rId37" w:history="1">
        <w:r w:rsidRPr="00DA1166">
          <w:rPr>
            <w:rStyle w:val="Hyperlink"/>
            <w:rFonts w:cs="Calibri"/>
          </w:rPr>
          <w:t>https://www.swansea.gov.uk/wardprofiles</w:t>
        </w:r>
      </w:hyperlink>
    </w:p>
    <w:p w14:paraId="058A9526" w14:textId="77777777" w:rsidR="00746F7A" w:rsidRPr="00DA1166" w:rsidRDefault="00746F7A" w:rsidP="00746F7A">
      <w:pPr>
        <w:rPr>
          <w:rFonts w:cs="Calibri"/>
        </w:rPr>
      </w:pPr>
    </w:p>
    <w:p w14:paraId="30888F0C" w14:textId="77777777" w:rsidR="00746F7A" w:rsidRPr="00DA1166" w:rsidRDefault="00746F7A" w:rsidP="00746F7A">
      <w:pPr>
        <w:rPr>
          <w:rFonts w:cs="Calibri"/>
        </w:rPr>
      </w:pPr>
      <w:r w:rsidRPr="00DA1166">
        <w:rPr>
          <w:rFonts w:cs="Calibri"/>
        </w:rPr>
        <w:t xml:space="preserve">The Code of Practice for Victims of Crime (2015) </w:t>
      </w:r>
      <w:hyperlink r:id="rId38" w:history="1">
        <w:r w:rsidRPr="00DA1166">
          <w:rPr>
            <w:rStyle w:val="Hyperlink"/>
            <w:rFonts w:cs="Calibri"/>
          </w:rPr>
          <w:t>https://www.gov.uk/government/publications/the-code-of-practice-for-victims-of-crime</w:t>
        </w:r>
      </w:hyperlink>
    </w:p>
    <w:p w14:paraId="01E49AB3" w14:textId="77777777" w:rsidR="00746F7A" w:rsidRPr="00DA1166" w:rsidRDefault="00746F7A" w:rsidP="00746F7A">
      <w:pPr>
        <w:rPr>
          <w:rFonts w:cs="Calibri"/>
        </w:rPr>
      </w:pPr>
    </w:p>
    <w:p w14:paraId="3A0F889D" w14:textId="77777777" w:rsidR="00746F7A" w:rsidRDefault="00746F7A" w:rsidP="00746F7A">
      <w:pPr>
        <w:rPr>
          <w:rFonts w:ascii="Times New Roman" w:hAnsi="Times New Roman"/>
          <w:sz w:val="24"/>
          <w:szCs w:val="24"/>
        </w:rPr>
      </w:pPr>
      <w:r w:rsidRPr="00DA1166">
        <w:rPr>
          <w:rFonts w:cs="Calibri"/>
        </w:rPr>
        <w:t xml:space="preserve">Walker, M.P and R, </w:t>
      </w:r>
      <w:proofErr w:type="spellStart"/>
      <w:r w:rsidRPr="00DA1166">
        <w:rPr>
          <w:rFonts w:cs="Calibri"/>
        </w:rPr>
        <w:t>Stickgold</w:t>
      </w:r>
      <w:proofErr w:type="spellEnd"/>
      <w:r w:rsidRPr="00DA1166">
        <w:rPr>
          <w:rFonts w:cs="Calibri"/>
        </w:rPr>
        <w:t xml:space="preserve"> “Sleep, Memory and Plasticity” Annual review of Psychology, Vol.57, 2006, pp. 139-166</w:t>
      </w:r>
    </w:p>
    <w:p w14:paraId="5285FBDB" w14:textId="7C51C29C" w:rsidR="00746F7A" w:rsidRPr="00294868" w:rsidRDefault="00746F7A" w:rsidP="7379905B">
      <w:pPr>
        <w:pBdr>
          <w:top w:val="single" w:sz="6" w:space="1" w:color="auto"/>
          <w:left w:val="single" w:sz="6" w:space="1" w:color="auto"/>
          <w:bottom w:val="single" w:sz="6" w:space="1" w:color="auto"/>
          <w:right w:val="single" w:sz="6" w:space="1" w:color="auto"/>
        </w:pBdr>
        <w:ind w:right="107"/>
        <w:rPr>
          <w:b/>
          <w:bCs/>
          <w:sz w:val="24"/>
          <w:szCs w:val="24"/>
        </w:rPr>
        <w:sectPr w:rsidR="00746F7A" w:rsidRPr="00294868" w:rsidSect="00746F7A">
          <w:headerReference w:type="even" r:id="rId39"/>
          <w:headerReference w:type="default" r:id="rId40"/>
          <w:footerReference w:type="even" r:id="rId41"/>
          <w:footerReference w:type="default" r:id="rId42"/>
          <w:headerReference w:type="first" r:id="rId43"/>
          <w:footerReference w:type="first" r:id="rId44"/>
          <w:pgSz w:w="11906" w:h="16838" w:code="9"/>
          <w:pgMar w:top="1021" w:right="1080" w:bottom="1021" w:left="1080" w:header="720" w:footer="720" w:gutter="0"/>
          <w:cols w:space="720"/>
          <w:titlePg/>
          <w:docGrid w:linePitch="272"/>
        </w:sectPr>
      </w:pPr>
    </w:p>
    <w:p w14:paraId="2F80DBB4" w14:textId="564E858E" w:rsidR="7379905B" w:rsidRDefault="7379905B" w:rsidP="7379905B">
      <w:pPr>
        <w:ind w:left="3600" w:firstLine="720"/>
      </w:pPr>
      <w:r w:rsidRPr="7379905B">
        <w:rPr>
          <w:rFonts w:eastAsia="Arial"/>
          <w:b/>
          <w:bCs/>
          <w:sz w:val="24"/>
          <w:szCs w:val="24"/>
        </w:rPr>
        <w:lastRenderedPageBreak/>
        <w:t>Task 6</w:t>
      </w:r>
    </w:p>
    <w:p w14:paraId="6E89ED8F" w14:textId="6CBB4211" w:rsidR="7379905B" w:rsidRDefault="7379905B">
      <w:r w:rsidRPr="7379905B">
        <w:rPr>
          <w:rFonts w:eastAsia="Arial"/>
          <w:b/>
          <w:bCs/>
          <w:sz w:val="24"/>
          <w:szCs w:val="24"/>
        </w:rPr>
        <w:t>Recognition and confirmation of progress on the Occupational Competency Portfolio (OCP).</w:t>
      </w:r>
    </w:p>
    <w:p w14:paraId="7C3B57A7" w14:textId="01724BBC" w:rsidR="7379905B" w:rsidRDefault="7379905B" w:rsidP="7379905B">
      <w:pPr>
        <w:jc w:val="both"/>
      </w:pPr>
      <w:r w:rsidRPr="7379905B">
        <w:rPr>
          <w:rFonts w:eastAsia="Arial"/>
          <w:b/>
          <w:bCs/>
          <w:sz w:val="24"/>
          <w:szCs w:val="24"/>
        </w:rPr>
        <w:t xml:space="preserve"> </w:t>
      </w:r>
    </w:p>
    <w:p w14:paraId="0463A33E" w14:textId="00ADA588" w:rsidR="7379905B" w:rsidRDefault="7379905B" w:rsidP="7379905B">
      <w:pPr>
        <w:jc w:val="both"/>
      </w:pPr>
      <w:r w:rsidRPr="7379905B">
        <w:rPr>
          <w:rFonts w:eastAsia="Arial"/>
          <w:b/>
          <w:bCs/>
          <w:sz w:val="24"/>
          <w:szCs w:val="24"/>
        </w:rPr>
        <w:t xml:space="preserve"> </w:t>
      </w:r>
    </w:p>
    <w:tbl>
      <w:tblPr>
        <w:tblStyle w:val="TableGrid"/>
        <w:tblW w:w="0" w:type="auto"/>
        <w:tblLayout w:type="fixed"/>
        <w:tblLook w:val="01E0" w:firstRow="1" w:lastRow="1" w:firstColumn="1" w:lastColumn="1" w:noHBand="0" w:noVBand="0"/>
      </w:tblPr>
      <w:tblGrid>
        <w:gridCol w:w="9746"/>
      </w:tblGrid>
      <w:tr w:rsidR="7379905B" w14:paraId="2274B156" w14:textId="77777777" w:rsidTr="7379905B">
        <w:tc>
          <w:tcPr>
            <w:tcW w:w="9746" w:type="dxa"/>
          </w:tcPr>
          <w:p w14:paraId="5EECFD54" w14:textId="64FF29F1" w:rsidR="7379905B" w:rsidRDefault="7379905B" w:rsidP="7379905B">
            <w:pPr>
              <w:jc w:val="both"/>
            </w:pPr>
            <w:r w:rsidRPr="7379905B">
              <w:rPr>
                <w:sz w:val="24"/>
                <w:szCs w:val="24"/>
              </w:rPr>
              <w:t xml:space="preserve"> </w:t>
            </w:r>
          </w:p>
          <w:p w14:paraId="44D7299B" w14:textId="7F52A2EE" w:rsidR="7379905B" w:rsidRDefault="7379905B" w:rsidP="7379905B">
            <w:pPr>
              <w:jc w:val="both"/>
            </w:pPr>
            <w:r w:rsidRPr="7379905B">
              <w:rPr>
                <w:i/>
                <w:iCs/>
                <w:sz w:val="24"/>
                <w:szCs w:val="24"/>
              </w:rPr>
              <w:t xml:space="preserve">By signing the section below you are acknowledging your continuing progress on O.C.P. </w:t>
            </w:r>
          </w:p>
          <w:p w14:paraId="34A3EF58" w14:textId="51FBE3B1" w:rsidR="7379905B" w:rsidRDefault="7379905B" w:rsidP="7379905B">
            <w:pPr>
              <w:jc w:val="both"/>
            </w:pPr>
            <w:r w:rsidRPr="7379905B">
              <w:rPr>
                <w:i/>
                <w:iCs/>
                <w:sz w:val="24"/>
                <w:szCs w:val="24"/>
              </w:rPr>
              <w:t xml:space="preserve">This is recognised by the university as work that is fully supporting this module BMPP 6000D; </w:t>
            </w:r>
            <w:r w:rsidRPr="7379905B">
              <w:rPr>
                <w:rFonts w:eastAsia="Arial"/>
                <w:sz w:val="22"/>
                <w:szCs w:val="22"/>
              </w:rPr>
              <w:t>Professional Police Practice 3</w:t>
            </w:r>
            <w:r w:rsidRPr="7379905B">
              <w:rPr>
                <w:i/>
                <w:iCs/>
                <w:sz w:val="24"/>
                <w:szCs w:val="24"/>
              </w:rPr>
              <w:t xml:space="preserve"> and in signing it will be equivalent to 500 words towards the 10,000 words equivalent total for this module.</w:t>
            </w:r>
          </w:p>
          <w:p w14:paraId="0E15C499" w14:textId="755629B3" w:rsidR="7379905B" w:rsidRDefault="7379905B" w:rsidP="7379905B">
            <w:pPr>
              <w:jc w:val="both"/>
            </w:pPr>
            <w:r w:rsidRPr="7379905B">
              <w:rPr>
                <w:sz w:val="24"/>
                <w:szCs w:val="24"/>
              </w:rPr>
              <w:t xml:space="preserve"> </w:t>
            </w:r>
          </w:p>
        </w:tc>
      </w:tr>
    </w:tbl>
    <w:p w14:paraId="20C4A591" w14:textId="191DDE4C" w:rsidR="7379905B" w:rsidRDefault="7379905B">
      <w:r w:rsidRPr="7379905B">
        <w:rPr>
          <w:rFonts w:eastAsia="Arial"/>
          <w:b/>
          <w:bCs/>
          <w:color w:val="000000" w:themeColor="text1"/>
          <w:sz w:val="24"/>
          <w:szCs w:val="24"/>
        </w:rPr>
        <w:t xml:space="preserve"> </w:t>
      </w:r>
    </w:p>
    <w:p w14:paraId="5A7275FA" w14:textId="1C5646DF" w:rsidR="7379905B" w:rsidRDefault="7379905B">
      <w:r w:rsidRPr="7379905B">
        <w:rPr>
          <w:rFonts w:eastAsia="Arial"/>
          <w:b/>
          <w:bCs/>
          <w:color w:val="000000" w:themeColor="text1"/>
          <w:sz w:val="24"/>
          <w:szCs w:val="24"/>
        </w:rPr>
        <w:t xml:space="preserve"> </w:t>
      </w:r>
    </w:p>
    <w:p w14:paraId="6426881D" w14:textId="28A82107" w:rsidR="7379905B" w:rsidRDefault="7379905B">
      <w:r w:rsidRPr="7379905B">
        <w:rPr>
          <w:rFonts w:eastAsia="Arial"/>
          <w:b/>
          <w:bCs/>
          <w:color w:val="000000" w:themeColor="text1"/>
          <w:sz w:val="24"/>
          <w:szCs w:val="24"/>
        </w:rPr>
        <w:t xml:space="preserve"> </w:t>
      </w:r>
    </w:p>
    <w:p w14:paraId="7F4500A4" w14:textId="23C97A45" w:rsidR="7379905B" w:rsidRDefault="7379905B">
      <w:r w:rsidRPr="7379905B">
        <w:rPr>
          <w:rFonts w:eastAsia="Arial"/>
          <w:b/>
          <w:bCs/>
          <w:color w:val="000000" w:themeColor="text1"/>
          <w:sz w:val="24"/>
          <w:szCs w:val="24"/>
        </w:rPr>
        <w:t>Confirmation of the progress on the Occupational Competency Portfolio (OCP).</w:t>
      </w:r>
    </w:p>
    <w:p w14:paraId="71FF9495" w14:textId="7221D87F" w:rsidR="7379905B" w:rsidRDefault="7379905B">
      <w:r w:rsidRPr="7379905B">
        <w:rPr>
          <w:rFonts w:eastAsia="Arial"/>
          <w:color w:val="000000" w:themeColor="text1"/>
          <w:sz w:val="24"/>
          <w:szCs w:val="24"/>
        </w:rPr>
        <w:t xml:space="preserve"> </w:t>
      </w:r>
    </w:p>
    <w:p w14:paraId="55FE4DBF" w14:textId="67B500A4" w:rsidR="7379905B" w:rsidRDefault="7379905B">
      <w:r w:rsidRPr="7379905B">
        <w:rPr>
          <w:rFonts w:eastAsia="Arial"/>
          <w:color w:val="000000" w:themeColor="text1"/>
          <w:sz w:val="24"/>
          <w:szCs w:val="24"/>
        </w:rPr>
        <w:t xml:space="preserve">I confirm that I am progressing with the Occupational Competency Portfolio (OCP) in accordance to the regulations. </w:t>
      </w:r>
    </w:p>
    <w:p w14:paraId="3CA1F4C2" w14:textId="5E03BFF6" w:rsidR="7379905B" w:rsidRDefault="7379905B">
      <w:r w:rsidRPr="7379905B">
        <w:rPr>
          <w:rFonts w:eastAsia="Arial"/>
          <w:color w:val="000000" w:themeColor="text1"/>
          <w:sz w:val="24"/>
          <w:szCs w:val="24"/>
        </w:rPr>
        <w:t xml:space="preserve"> </w:t>
      </w:r>
    </w:p>
    <w:p w14:paraId="3DA14071" w14:textId="661609CD" w:rsidR="7379905B" w:rsidRDefault="7379905B" w:rsidP="7379905B">
      <w:pPr>
        <w:jc w:val="both"/>
      </w:pPr>
      <w:r w:rsidRPr="7379905B">
        <w:rPr>
          <w:rFonts w:eastAsia="Arial"/>
          <w:color w:val="000000" w:themeColor="text1"/>
          <w:sz w:val="24"/>
          <w:szCs w:val="24"/>
        </w:rPr>
        <w:t>Signed:  _ _ _</w:t>
      </w:r>
      <w:proofErr w:type="spellStart"/>
      <w:r w:rsidR="00746F7A">
        <w:rPr>
          <w:rFonts w:eastAsia="Arial"/>
          <w:color w:val="000000" w:themeColor="text1"/>
          <w:sz w:val="24"/>
          <w:szCs w:val="24"/>
        </w:rPr>
        <w:t>H.Lloyd</w:t>
      </w:r>
      <w:proofErr w:type="spellEnd"/>
      <w:r w:rsidRPr="7379905B">
        <w:rPr>
          <w:rFonts w:eastAsia="Arial"/>
          <w:color w:val="000000" w:themeColor="text1"/>
          <w:sz w:val="24"/>
          <w:szCs w:val="24"/>
        </w:rPr>
        <w:t xml:space="preserve"> _ _ _ _ _ _ _ _ _ _ _ _ (Learner – electronic signature accepted.)</w:t>
      </w:r>
    </w:p>
    <w:p w14:paraId="3E695FCD" w14:textId="2B5455EA" w:rsidR="7379905B" w:rsidRDefault="7379905B" w:rsidP="7379905B">
      <w:pPr>
        <w:jc w:val="both"/>
      </w:pPr>
      <w:r w:rsidRPr="7379905B">
        <w:rPr>
          <w:rFonts w:eastAsia="Arial"/>
          <w:color w:val="000000" w:themeColor="text1"/>
          <w:sz w:val="24"/>
          <w:szCs w:val="24"/>
        </w:rPr>
        <w:t xml:space="preserve"> </w:t>
      </w:r>
    </w:p>
    <w:p w14:paraId="710359E1" w14:textId="455588D1" w:rsidR="7379905B" w:rsidRDefault="7379905B" w:rsidP="7379905B">
      <w:pPr>
        <w:jc w:val="both"/>
      </w:pPr>
      <w:r w:rsidRPr="7379905B">
        <w:rPr>
          <w:rFonts w:eastAsia="Arial"/>
          <w:color w:val="000000" w:themeColor="text1"/>
          <w:sz w:val="24"/>
          <w:szCs w:val="24"/>
        </w:rPr>
        <w:t xml:space="preserve">Date: _ _ </w:t>
      </w:r>
      <w:r w:rsidR="00746F7A">
        <w:rPr>
          <w:rFonts w:eastAsia="Arial"/>
          <w:color w:val="000000" w:themeColor="text1"/>
          <w:sz w:val="24"/>
          <w:szCs w:val="24"/>
        </w:rPr>
        <w:t>21/06/2020</w:t>
      </w:r>
      <w:r w:rsidRPr="7379905B">
        <w:rPr>
          <w:rFonts w:eastAsia="Arial"/>
          <w:color w:val="000000" w:themeColor="text1"/>
          <w:sz w:val="24"/>
          <w:szCs w:val="24"/>
        </w:rPr>
        <w:t>_ _ _ _ _ _ _ _</w:t>
      </w:r>
    </w:p>
    <w:p w14:paraId="62A85D74" w14:textId="28C2F605" w:rsidR="7379905B" w:rsidRDefault="7379905B" w:rsidP="7379905B">
      <w:pPr>
        <w:rPr>
          <w:rFonts w:eastAsia="Arial"/>
          <w:color w:val="000000" w:themeColor="text1"/>
          <w:sz w:val="24"/>
          <w:szCs w:val="24"/>
        </w:rPr>
      </w:pPr>
    </w:p>
    <w:p w14:paraId="0D2F9F36" w14:textId="290727B7" w:rsidR="7379905B" w:rsidRDefault="7379905B" w:rsidP="7379905B">
      <w:pPr>
        <w:rPr>
          <w:rFonts w:eastAsia="Arial"/>
          <w:b/>
          <w:bCs/>
          <w:sz w:val="24"/>
          <w:szCs w:val="24"/>
        </w:rPr>
      </w:pPr>
    </w:p>
    <w:p w14:paraId="24844E53" w14:textId="11388029" w:rsidR="28A9B94D" w:rsidRDefault="28A9B94D" w:rsidP="28A9B94D"/>
    <w:sectPr w:rsidR="28A9B94D" w:rsidSect="00746F7A">
      <w:headerReference w:type="even" r:id="rId45"/>
      <w:headerReference w:type="default" r:id="rId46"/>
      <w:footerReference w:type="even" r:id="rId47"/>
      <w:footerReference w:type="default" r:id="rId48"/>
      <w:headerReference w:type="first" r:id="rId49"/>
      <w:footerReference w:type="first" r:id="rId50"/>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995892" w:rsidRDefault="00995892">
      <w:r>
        <w:separator/>
      </w:r>
    </w:p>
  </w:endnote>
  <w:endnote w:type="continuationSeparator" w:id="0">
    <w:p w14:paraId="1B867723" w14:textId="77777777" w:rsidR="00995892" w:rsidRDefault="009958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36861D" w14:textId="2431292D" w:rsidR="00995892" w:rsidRDefault="00995892" w:rsidP="00746F7A">
    <w:pPr>
      <w:pStyle w:val="Footer"/>
      <w:rPr>
        <w:sz w:val="17"/>
      </w:rPr>
    </w:pPr>
    <w:bookmarkStart w:id="2" w:name="TITUS1FooterEvenPages"/>
    <w:r w:rsidRPr="00746F7A">
      <w:rPr>
        <w:sz w:val="17"/>
      </w:rPr>
      <w:t> </w:t>
    </w:r>
  </w:p>
  <w:bookmarkEnd w:id="2"/>
  <w:p w14:paraId="769D440C" w14:textId="1BB4FEF2" w:rsidR="00995892" w:rsidRDefault="00995892" w:rsidP="00746F7A">
    <w:pPr>
      <w:pStyle w:val="Footer"/>
      <w:jc w:val="right"/>
    </w:pPr>
    <w:r>
      <w:fldChar w:fldCharType="begin"/>
    </w:r>
    <w:r>
      <w:instrText xml:space="preserve"> PAGE   \* MERGEFORMAT </w:instrText>
    </w:r>
    <w:r>
      <w:fldChar w:fldCharType="separate"/>
    </w:r>
    <w:r w:rsidR="006B0B49">
      <w:rPr>
        <w:noProof/>
      </w:rPr>
      <w:t>8</w:t>
    </w:r>
    <w:r>
      <w:rPr>
        <w:noProof/>
      </w:rPr>
      <w:fldChar w:fldCharType="end"/>
    </w:r>
  </w:p>
  <w:p w14:paraId="0A486956" w14:textId="77777777" w:rsidR="00995892" w:rsidRPr="00BB5EAA" w:rsidRDefault="00995892" w:rsidP="00746F7A">
    <w:pPr>
      <w:pStyle w:val="Footer"/>
      <w:ind w:right="360"/>
      <w:jc w:val="center"/>
    </w:pPr>
  </w:p>
  <w:p w14:paraId="7F598F90" w14:textId="77777777" w:rsidR="00995892" w:rsidRDefault="009958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2544B" w14:textId="244CE8B1" w:rsidR="00995892" w:rsidRDefault="00995892" w:rsidP="00746F7A">
    <w:pPr>
      <w:pStyle w:val="Footer"/>
      <w:rPr>
        <w:sz w:val="17"/>
      </w:rPr>
    </w:pPr>
    <w:bookmarkStart w:id="3" w:name="TITUS1FooterPrimary"/>
    <w:r w:rsidRPr="00746F7A">
      <w:rPr>
        <w:sz w:val="17"/>
      </w:rPr>
      <w:t> </w:t>
    </w:r>
  </w:p>
  <w:bookmarkEnd w:id="3"/>
  <w:p w14:paraId="50521BFA" w14:textId="62F70D2B" w:rsidR="00995892" w:rsidRDefault="00995892">
    <w:pPr>
      <w:pStyle w:val="Footer"/>
      <w:jc w:val="right"/>
    </w:pPr>
    <w:r>
      <w:fldChar w:fldCharType="begin"/>
    </w:r>
    <w:r>
      <w:instrText xml:space="preserve"> PAGE   \* MERGEFORMAT </w:instrText>
    </w:r>
    <w:r>
      <w:fldChar w:fldCharType="separate"/>
    </w:r>
    <w:r w:rsidR="006B0B49">
      <w:rPr>
        <w:noProof/>
      </w:rPr>
      <w:t>7</w:t>
    </w:r>
    <w:r>
      <w:rPr>
        <w:noProof/>
      </w:rPr>
      <w:fldChar w:fldCharType="end"/>
    </w:r>
  </w:p>
  <w:p w14:paraId="790812FF" w14:textId="77777777" w:rsidR="00995892" w:rsidRPr="00BB5EAA" w:rsidRDefault="0099589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6DF05A" w14:textId="3F793295" w:rsidR="00995892" w:rsidRDefault="00995892" w:rsidP="00746F7A">
    <w:pPr>
      <w:pStyle w:val="Footer"/>
      <w:rPr>
        <w:sz w:val="17"/>
      </w:rPr>
    </w:pPr>
    <w:bookmarkStart w:id="5" w:name="TITUS1FooterFirstPage"/>
    <w:r w:rsidRPr="00746F7A">
      <w:rPr>
        <w:sz w:val="17"/>
      </w:rPr>
      <w:t> </w:t>
    </w:r>
  </w:p>
  <w:bookmarkEnd w:id="5"/>
  <w:p w14:paraId="138B1191" w14:textId="6775E62A" w:rsidR="00995892" w:rsidRDefault="00995892" w:rsidP="00746F7A">
    <w:pPr>
      <w:pStyle w:val="Footer"/>
      <w:jc w:val="right"/>
    </w:pPr>
    <w:r>
      <w:fldChar w:fldCharType="begin"/>
    </w:r>
    <w:r>
      <w:instrText xml:space="preserve"> PAGE   \* MERGEFORMAT </w:instrText>
    </w:r>
    <w:r>
      <w:fldChar w:fldCharType="separate"/>
    </w:r>
    <w:r w:rsidR="006B0B49">
      <w:rPr>
        <w:noProof/>
      </w:rPr>
      <w:t>1</w:t>
    </w:r>
    <w:r>
      <w:rPr>
        <w:noProof/>
      </w:rPr>
      <w:fldChar w:fldCharType="end"/>
    </w:r>
  </w:p>
  <w:p w14:paraId="592DB6B9" w14:textId="77777777" w:rsidR="00995892" w:rsidRPr="00BB5EAA" w:rsidRDefault="00995892" w:rsidP="00746F7A">
    <w:pPr>
      <w:pStyle w:val="Footer"/>
      <w:ind w:right="360"/>
      <w:jc w:val="center"/>
    </w:pPr>
  </w:p>
  <w:p w14:paraId="0663B734" w14:textId="77777777" w:rsidR="00995892" w:rsidRDefault="0099589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79202E" w14:textId="73DB7A6F" w:rsidR="00995892" w:rsidRDefault="00995892" w:rsidP="00746F7A">
    <w:pPr>
      <w:pStyle w:val="Footer"/>
      <w:rPr>
        <w:sz w:val="17"/>
      </w:rPr>
    </w:pPr>
    <w:bookmarkStart w:id="8" w:name="TITUS2FooterEvenPages"/>
    <w:r w:rsidRPr="00746F7A">
      <w:rPr>
        <w:sz w:val="17"/>
      </w:rPr>
      <w:t> </w:t>
    </w:r>
  </w:p>
  <w:bookmarkEnd w:id="8"/>
  <w:p w14:paraId="3965D43B" w14:textId="77777777" w:rsidR="00995892" w:rsidRDefault="00995892" w:rsidP="00746F7A">
    <w:pPr>
      <w:pStyle w:val="Footer"/>
      <w:jc w:val="right"/>
    </w:pPr>
  </w:p>
  <w:p w14:paraId="73D474F3" w14:textId="45D2E057" w:rsidR="00995892" w:rsidRDefault="00995892" w:rsidP="00746F7A">
    <w:pPr>
      <w:pStyle w:val="Footer"/>
      <w:jc w:val="right"/>
    </w:pPr>
    <w:r>
      <w:fldChar w:fldCharType="begin"/>
    </w:r>
    <w:r>
      <w:instrText xml:space="preserve"> PAGE   \* MERGEFORMAT </w:instrText>
    </w:r>
    <w:r>
      <w:fldChar w:fldCharType="separate"/>
    </w:r>
    <w:r w:rsidR="006B0B49">
      <w:rPr>
        <w:noProof/>
      </w:rPr>
      <w:t>20</w:t>
    </w:r>
    <w:r>
      <w:rPr>
        <w:noProof/>
      </w:rPr>
      <w:fldChar w:fldCharType="end"/>
    </w:r>
  </w:p>
  <w:p w14:paraId="3897923A" w14:textId="77777777" w:rsidR="00995892" w:rsidRPr="00BB5EAA" w:rsidRDefault="00995892" w:rsidP="00746F7A">
    <w:pPr>
      <w:pStyle w:val="Footer"/>
      <w:ind w:right="360"/>
      <w:jc w:val="center"/>
    </w:pPr>
  </w:p>
  <w:p w14:paraId="29D18FF7" w14:textId="77777777" w:rsidR="00995892" w:rsidRDefault="0099589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BF7BE6" w14:textId="12D159DB" w:rsidR="00995892" w:rsidRDefault="00995892" w:rsidP="00746F7A">
    <w:pPr>
      <w:pStyle w:val="Footer"/>
      <w:rPr>
        <w:sz w:val="17"/>
      </w:rPr>
    </w:pPr>
    <w:bookmarkStart w:id="9" w:name="TITUS2FooterPrimary"/>
    <w:r w:rsidRPr="00746F7A">
      <w:rPr>
        <w:sz w:val="17"/>
      </w:rPr>
      <w:t> </w:t>
    </w:r>
  </w:p>
  <w:bookmarkEnd w:id="9"/>
  <w:p w14:paraId="3C91D0BC" w14:textId="77777777" w:rsidR="00995892" w:rsidRDefault="00995892">
    <w:pPr>
      <w:pStyle w:val="Footer"/>
      <w:jc w:val="right"/>
    </w:pPr>
  </w:p>
  <w:p w14:paraId="2400EC51" w14:textId="3D3C30E3" w:rsidR="00995892" w:rsidRDefault="00995892">
    <w:pPr>
      <w:pStyle w:val="Footer"/>
      <w:jc w:val="right"/>
    </w:pPr>
    <w:r>
      <w:fldChar w:fldCharType="begin"/>
    </w:r>
    <w:r>
      <w:instrText xml:space="preserve"> PAGE   \* MERGEFORMAT </w:instrText>
    </w:r>
    <w:r>
      <w:fldChar w:fldCharType="separate"/>
    </w:r>
    <w:r w:rsidR="006B0B49">
      <w:rPr>
        <w:noProof/>
      </w:rPr>
      <w:t>19</w:t>
    </w:r>
    <w:r>
      <w:rPr>
        <w:noProof/>
      </w:rPr>
      <w:fldChar w:fldCharType="end"/>
    </w:r>
  </w:p>
  <w:p w14:paraId="52769706" w14:textId="77777777" w:rsidR="00995892" w:rsidRPr="00BB5EAA" w:rsidRDefault="0099589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CB2AEC" w14:textId="1BBD6CCC" w:rsidR="00995892" w:rsidRDefault="00995892" w:rsidP="00746F7A">
    <w:pPr>
      <w:pStyle w:val="Footer"/>
      <w:rPr>
        <w:sz w:val="17"/>
      </w:rPr>
    </w:pPr>
    <w:bookmarkStart w:id="11" w:name="TITUS2FooterFirstPage"/>
    <w:r w:rsidRPr="00746F7A">
      <w:rPr>
        <w:sz w:val="17"/>
      </w:rPr>
      <w:t> </w:t>
    </w:r>
  </w:p>
  <w:bookmarkEnd w:id="11"/>
  <w:p w14:paraId="16317F09" w14:textId="77777777" w:rsidR="00995892" w:rsidRDefault="00995892" w:rsidP="00746F7A">
    <w:pPr>
      <w:pStyle w:val="Footer"/>
      <w:jc w:val="right"/>
    </w:pPr>
  </w:p>
  <w:p w14:paraId="573A881C" w14:textId="6F4561E3" w:rsidR="00995892" w:rsidRDefault="00995892" w:rsidP="00746F7A">
    <w:pPr>
      <w:pStyle w:val="Footer"/>
      <w:jc w:val="right"/>
    </w:pPr>
    <w:r>
      <w:fldChar w:fldCharType="begin"/>
    </w:r>
    <w:r>
      <w:instrText xml:space="preserve"> PAGE   \* MERGEFORMAT </w:instrText>
    </w:r>
    <w:r>
      <w:fldChar w:fldCharType="separate"/>
    </w:r>
    <w:r w:rsidR="006B0B49">
      <w:rPr>
        <w:noProof/>
      </w:rPr>
      <w:t>9</w:t>
    </w:r>
    <w:r>
      <w:rPr>
        <w:noProof/>
      </w:rPr>
      <w:fldChar w:fldCharType="end"/>
    </w:r>
  </w:p>
  <w:p w14:paraId="7B8474FB" w14:textId="77777777" w:rsidR="00995892" w:rsidRPr="00BB5EAA" w:rsidRDefault="00995892" w:rsidP="00746F7A">
    <w:pPr>
      <w:pStyle w:val="Footer"/>
      <w:ind w:right="360"/>
      <w:jc w:val="center"/>
    </w:pPr>
  </w:p>
  <w:p w14:paraId="5407595F" w14:textId="77777777" w:rsidR="00995892" w:rsidRDefault="0099589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8FBE1" w14:textId="23AC574B" w:rsidR="00995892" w:rsidRDefault="00995892" w:rsidP="00746F7A">
    <w:pPr>
      <w:pStyle w:val="Footer"/>
      <w:rPr>
        <w:sz w:val="17"/>
      </w:rPr>
    </w:pPr>
    <w:bookmarkStart w:id="22" w:name="TITUS3FooterEvenPages"/>
    <w:r w:rsidRPr="00746F7A">
      <w:rPr>
        <w:sz w:val="17"/>
      </w:rPr>
      <w:t> </w:t>
    </w:r>
  </w:p>
  <w:bookmarkEnd w:id="22"/>
  <w:p w14:paraId="197E6667" w14:textId="77777777" w:rsidR="00995892" w:rsidRDefault="00995892" w:rsidP="00746F7A">
    <w:pPr>
      <w:pStyle w:val="Footer"/>
      <w:jc w:val="right"/>
    </w:pPr>
  </w:p>
  <w:p w14:paraId="2B63C214" w14:textId="25B8360A" w:rsidR="00995892" w:rsidRDefault="00995892" w:rsidP="00746F7A">
    <w:pPr>
      <w:pStyle w:val="Footer"/>
      <w:jc w:val="right"/>
    </w:pPr>
    <w:r>
      <w:fldChar w:fldCharType="begin"/>
    </w:r>
    <w:r>
      <w:instrText xml:space="preserve"> PAGE   \* MERGEFORMAT </w:instrText>
    </w:r>
    <w:r>
      <w:fldChar w:fldCharType="separate"/>
    </w:r>
    <w:r w:rsidR="006B0B49">
      <w:rPr>
        <w:noProof/>
      </w:rPr>
      <w:t>22</w:t>
    </w:r>
    <w:r>
      <w:rPr>
        <w:noProof/>
      </w:rPr>
      <w:fldChar w:fldCharType="end"/>
    </w:r>
  </w:p>
  <w:p w14:paraId="2D193CDA" w14:textId="77777777" w:rsidR="00995892" w:rsidRPr="00BB5EAA" w:rsidRDefault="00995892" w:rsidP="00746F7A">
    <w:pPr>
      <w:pStyle w:val="Footer"/>
      <w:ind w:right="360"/>
      <w:jc w:val="center"/>
    </w:pPr>
  </w:p>
  <w:p w14:paraId="3C404AE4" w14:textId="77777777" w:rsidR="00995892" w:rsidRDefault="0099589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C36276" w14:textId="72C5DF69" w:rsidR="00995892" w:rsidRDefault="00995892" w:rsidP="00746F7A">
    <w:pPr>
      <w:pStyle w:val="Footer"/>
      <w:rPr>
        <w:sz w:val="17"/>
      </w:rPr>
    </w:pPr>
    <w:bookmarkStart w:id="23" w:name="TITUS3FooterPrimary"/>
    <w:r w:rsidRPr="00746F7A">
      <w:rPr>
        <w:sz w:val="17"/>
      </w:rPr>
      <w:t> </w:t>
    </w:r>
  </w:p>
  <w:bookmarkEnd w:id="23"/>
  <w:p w14:paraId="338EBE36" w14:textId="77777777" w:rsidR="00995892" w:rsidRDefault="00995892">
    <w:pPr>
      <w:pStyle w:val="Footer"/>
      <w:jc w:val="right"/>
    </w:pPr>
  </w:p>
  <w:p w14:paraId="73A51EF5" w14:textId="5D70FC6C" w:rsidR="00995892" w:rsidRDefault="00995892">
    <w:pPr>
      <w:pStyle w:val="Footer"/>
      <w:jc w:val="right"/>
    </w:pPr>
    <w:r>
      <w:fldChar w:fldCharType="begin"/>
    </w:r>
    <w:r>
      <w:instrText xml:space="preserve"> PAGE   \* MERGEFORMAT </w:instrText>
    </w:r>
    <w:r>
      <w:fldChar w:fldCharType="separate"/>
    </w:r>
    <w:r w:rsidR="006B0B49">
      <w:rPr>
        <w:noProof/>
      </w:rPr>
      <w:t>23</w:t>
    </w:r>
    <w:r>
      <w:rPr>
        <w:noProof/>
      </w:rPr>
      <w:fldChar w:fldCharType="end"/>
    </w:r>
  </w:p>
  <w:p w14:paraId="20A191E5" w14:textId="77777777" w:rsidR="00995892" w:rsidRPr="00BB5EAA" w:rsidRDefault="0099589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04857E" w14:textId="08E9435A" w:rsidR="00995892" w:rsidRDefault="00995892" w:rsidP="00746F7A">
    <w:pPr>
      <w:pStyle w:val="Footer"/>
      <w:rPr>
        <w:sz w:val="17"/>
      </w:rPr>
    </w:pPr>
    <w:bookmarkStart w:id="25" w:name="TITUS3FooterFirstPage"/>
    <w:r w:rsidRPr="00746F7A">
      <w:rPr>
        <w:sz w:val="17"/>
      </w:rPr>
      <w:t> </w:t>
    </w:r>
  </w:p>
  <w:bookmarkEnd w:id="25"/>
  <w:p w14:paraId="13FF1056" w14:textId="77777777" w:rsidR="00995892" w:rsidRDefault="00995892" w:rsidP="00746F7A">
    <w:pPr>
      <w:pStyle w:val="Footer"/>
      <w:jc w:val="right"/>
    </w:pPr>
  </w:p>
  <w:p w14:paraId="77822E7A" w14:textId="40AD1C2C" w:rsidR="00995892" w:rsidRDefault="00995892" w:rsidP="00746F7A">
    <w:pPr>
      <w:pStyle w:val="Footer"/>
      <w:jc w:val="right"/>
    </w:pPr>
    <w:r>
      <w:fldChar w:fldCharType="begin"/>
    </w:r>
    <w:r>
      <w:instrText xml:space="preserve"> PAGE   \* MERGEFORMAT </w:instrText>
    </w:r>
    <w:r>
      <w:fldChar w:fldCharType="separate"/>
    </w:r>
    <w:r w:rsidR="006B0B49">
      <w:rPr>
        <w:noProof/>
      </w:rPr>
      <w:t>21</w:t>
    </w:r>
    <w:r>
      <w:rPr>
        <w:noProof/>
      </w:rPr>
      <w:fldChar w:fldCharType="end"/>
    </w:r>
  </w:p>
  <w:p w14:paraId="583DFA53" w14:textId="77777777" w:rsidR="00995892" w:rsidRPr="00BB5EAA" w:rsidRDefault="00995892" w:rsidP="00746F7A">
    <w:pPr>
      <w:pStyle w:val="Footer"/>
      <w:ind w:right="360"/>
      <w:jc w:val="center"/>
    </w:pPr>
  </w:p>
  <w:p w14:paraId="290A10CD" w14:textId="77777777" w:rsidR="00995892" w:rsidRDefault="0099589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560A8B" w14:textId="4BD9F6FA" w:rsidR="00995892" w:rsidRDefault="00995892" w:rsidP="00746F7A">
    <w:pPr>
      <w:pStyle w:val="Footer"/>
      <w:rPr>
        <w:sz w:val="17"/>
      </w:rPr>
    </w:pPr>
    <w:bookmarkStart w:id="28" w:name="TITUS4FooterEvenPages"/>
    <w:r w:rsidRPr="00746F7A">
      <w:rPr>
        <w:sz w:val="17"/>
      </w:rPr>
      <w:t> </w:t>
    </w:r>
  </w:p>
  <w:bookmarkEnd w:id="28"/>
  <w:p w14:paraId="05502AE1" w14:textId="77777777" w:rsidR="00995892" w:rsidRDefault="00995892" w:rsidP="00746F7A">
    <w:pPr>
      <w:pStyle w:val="Footer"/>
      <w:jc w:val="right"/>
    </w:pPr>
  </w:p>
  <w:p w14:paraId="72DF2E8A" w14:textId="77777777" w:rsidR="00995892" w:rsidRDefault="00995892" w:rsidP="00746F7A">
    <w:pPr>
      <w:pStyle w:val="Footer"/>
      <w:jc w:val="right"/>
    </w:pPr>
    <w:r>
      <w:fldChar w:fldCharType="begin"/>
    </w:r>
    <w:r>
      <w:instrText xml:space="preserve"> PAGE   \* MERGEFORMAT </w:instrText>
    </w:r>
    <w:r>
      <w:fldChar w:fldCharType="separate"/>
    </w:r>
    <w:r>
      <w:rPr>
        <w:noProof/>
      </w:rPr>
      <w:t>1</w:t>
    </w:r>
    <w:r>
      <w:rPr>
        <w:noProof/>
      </w:rPr>
      <w:fldChar w:fldCharType="end"/>
    </w:r>
  </w:p>
  <w:p w14:paraId="77095F3D" w14:textId="77777777" w:rsidR="00995892" w:rsidRPr="00BB5EAA" w:rsidRDefault="00995892" w:rsidP="00746F7A">
    <w:pPr>
      <w:pStyle w:val="Footer"/>
      <w:ind w:right="360"/>
      <w:jc w:val="center"/>
    </w:pPr>
  </w:p>
  <w:p w14:paraId="3D9791C9" w14:textId="77777777" w:rsidR="00995892" w:rsidRDefault="0099589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092A48" w14:textId="261D8A87" w:rsidR="00995892" w:rsidRDefault="00995892" w:rsidP="00746F7A">
    <w:pPr>
      <w:pStyle w:val="Footer"/>
      <w:rPr>
        <w:sz w:val="17"/>
      </w:rPr>
    </w:pPr>
    <w:bookmarkStart w:id="29" w:name="TITUS4FooterPrimary"/>
    <w:r w:rsidRPr="00746F7A">
      <w:rPr>
        <w:sz w:val="17"/>
      </w:rPr>
      <w:t> </w:t>
    </w:r>
  </w:p>
  <w:bookmarkEnd w:id="29"/>
  <w:p w14:paraId="09FFD813" w14:textId="77777777" w:rsidR="00995892" w:rsidRDefault="00995892">
    <w:pPr>
      <w:pStyle w:val="Footer"/>
      <w:jc w:val="right"/>
    </w:pPr>
  </w:p>
  <w:p w14:paraId="71A7F13B" w14:textId="77777777" w:rsidR="00995892" w:rsidRDefault="00995892">
    <w:pPr>
      <w:pStyle w:val="Footer"/>
      <w:jc w:val="right"/>
    </w:pPr>
    <w:r>
      <w:fldChar w:fldCharType="begin"/>
    </w:r>
    <w:r>
      <w:instrText xml:space="preserve"> PAGE   \* MERGEFORMAT </w:instrText>
    </w:r>
    <w:r>
      <w:fldChar w:fldCharType="separate"/>
    </w:r>
    <w:r>
      <w:rPr>
        <w:noProof/>
      </w:rPr>
      <w:t>1</w:t>
    </w:r>
    <w:r>
      <w:rPr>
        <w:noProof/>
      </w:rPr>
      <w:fldChar w:fldCharType="end"/>
    </w:r>
  </w:p>
  <w:p w14:paraId="52DE65E9" w14:textId="77777777" w:rsidR="00995892" w:rsidRPr="00BB5EAA" w:rsidRDefault="0099589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FB4091" w14:textId="77D2A947" w:rsidR="00995892" w:rsidRDefault="00995892" w:rsidP="00746F7A">
    <w:pPr>
      <w:pStyle w:val="Footer"/>
      <w:rPr>
        <w:sz w:val="17"/>
      </w:rPr>
    </w:pPr>
    <w:bookmarkStart w:id="31" w:name="TITUS4FooterFirstPage"/>
    <w:r w:rsidRPr="00746F7A">
      <w:rPr>
        <w:sz w:val="17"/>
      </w:rPr>
      <w:t> </w:t>
    </w:r>
  </w:p>
  <w:bookmarkEnd w:id="31"/>
  <w:p w14:paraId="0E233B8A" w14:textId="77777777" w:rsidR="00995892" w:rsidRDefault="00995892" w:rsidP="00746F7A">
    <w:pPr>
      <w:pStyle w:val="Footer"/>
      <w:jc w:val="right"/>
    </w:pPr>
  </w:p>
  <w:p w14:paraId="36E8F808" w14:textId="25304A51" w:rsidR="00995892" w:rsidRDefault="00995892" w:rsidP="00746F7A">
    <w:pPr>
      <w:pStyle w:val="Footer"/>
      <w:jc w:val="right"/>
    </w:pPr>
    <w:r>
      <w:fldChar w:fldCharType="begin"/>
    </w:r>
    <w:r>
      <w:instrText xml:space="preserve"> PAGE   \* MERGEFORMAT </w:instrText>
    </w:r>
    <w:r>
      <w:fldChar w:fldCharType="separate"/>
    </w:r>
    <w:r w:rsidR="006B0B49">
      <w:rPr>
        <w:noProof/>
      </w:rPr>
      <w:t>25</w:t>
    </w:r>
    <w:r>
      <w:rPr>
        <w:noProof/>
      </w:rPr>
      <w:fldChar w:fldCharType="end"/>
    </w:r>
  </w:p>
  <w:p w14:paraId="22802067" w14:textId="77777777" w:rsidR="00995892" w:rsidRPr="00BB5EAA" w:rsidRDefault="00995892" w:rsidP="00746F7A">
    <w:pPr>
      <w:pStyle w:val="Footer"/>
      <w:ind w:right="360"/>
      <w:jc w:val="center"/>
    </w:pPr>
  </w:p>
  <w:p w14:paraId="5B9E7CBC" w14:textId="77777777" w:rsidR="00995892" w:rsidRDefault="00995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995892" w:rsidRDefault="00995892">
      <w:r>
        <w:separator/>
      </w:r>
    </w:p>
  </w:footnote>
  <w:footnote w:type="continuationSeparator" w:id="0">
    <w:p w14:paraId="09396778" w14:textId="77777777" w:rsidR="00995892" w:rsidRDefault="0099589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4A775A9D" w:rsidR="00995892" w:rsidRDefault="00995892" w:rsidP="00746F7A">
    <w:pPr>
      <w:pStyle w:val="Header"/>
      <w:rPr>
        <w:sz w:val="17"/>
      </w:rPr>
    </w:pPr>
    <w:bookmarkStart w:id="0" w:name="TITUS1HeaderEvenPages"/>
    <w:r w:rsidRPr="00746F7A">
      <w:rPr>
        <w:sz w:val="17"/>
      </w:rPr>
      <w:t> </w:t>
    </w:r>
  </w:p>
  <w:bookmarkEnd w:id="0"/>
  <w:p w14:paraId="07C6B814" w14:textId="77777777" w:rsidR="00995892" w:rsidRDefault="0099589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2ED86032" w:rsidR="00995892" w:rsidRDefault="00995892" w:rsidP="00746F7A">
    <w:pPr>
      <w:pStyle w:val="Header"/>
      <w:rPr>
        <w:sz w:val="17"/>
      </w:rPr>
    </w:pPr>
    <w:bookmarkStart w:id="1" w:name="TITUS1HeaderPrimary"/>
    <w:r w:rsidRPr="00746F7A">
      <w:rPr>
        <w:sz w:val="17"/>
      </w:rPr>
      <w:t> </w:t>
    </w:r>
  </w:p>
  <w:bookmarkEnd w:id="1"/>
  <w:p w14:paraId="5322BA92" w14:textId="77777777" w:rsidR="00995892" w:rsidRDefault="0099589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2B4FD242" w:rsidR="00995892" w:rsidRDefault="00995892" w:rsidP="00746F7A">
    <w:pPr>
      <w:pStyle w:val="Header"/>
      <w:rPr>
        <w:sz w:val="17"/>
      </w:rPr>
    </w:pPr>
    <w:bookmarkStart w:id="4" w:name="TITUS1HeaderFirstPage"/>
    <w:r w:rsidRPr="00746F7A">
      <w:rPr>
        <w:sz w:val="17"/>
      </w:rPr>
      <w:t> </w:t>
    </w:r>
  </w:p>
  <w:bookmarkEnd w:id="4"/>
  <w:p w14:paraId="5315AB29" w14:textId="77777777" w:rsidR="00995892" w:rsidRDefault="0099589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811991" w14:textId="30D3A7AD" w:rsidR="00995892" w:rsidRDefault="00995892" w:rsidP="00746F7A">
    <w:pPr>
      <w:pStyle w:val="Header"/>
      <w:rPr>
        <w:sz w:val="17"/>
      </w:rPr>
    </w:pPr>
    <w:bookmarkStart w:id="6" w:name="TITUS2HeaderEvenPages"/>
    <w:r w:rsidRPr="00746F7A">
      <w:rPr>
        <w:sz w:val="17"/>
      </w:rPr>
      <w:t> </w:t>
    </w:r>
  </w:p>
  <w:bookmarkEnd w:id="6"/>
  <w:p w14:paraId="472F4B78" w14:textId="77777777" w:rsidR="00995892" w:rsidRDefault="00995892" w:rsidP="00746F7A">
    <w:pPr>
      <w:pStyle w:val="Header"/>
    </w:pPr>
  </w:p>
  <w:p w14:paraId="5700D895" w14:textId="77777777" w:rsidR="00995892" w:rsidRDefault="0099589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46D151" w14:textId="274D1E5E" w:rsidR="00995892" w:rsidRDefault="00995892" w:rsidP="00746F7A">
    <w:pPr>
      <w:pStyle w:val="Header"/>
      <w:rPr>
        <w:sz w:val="17"/>
      </w:rPr>
    </w:pPr>
    <w:bookmarkStart w:id="7" w:name="TITUS2HeaderPrimary"/>
    <w:r w:rsidRPr="00746F7A">
      <w:rPr>
        <w:sz w:val="17"/>
      </w:rPr>
      <w:t> </w:t>
    </w:r>
  </w:p>
  <w:bookmarkEnd w:id="7"/>
  <w:p w14:paraId="514C3590" w14:textId="77777777" w:rsidR="00995892" w:rsidRDefault="0099589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592483" w14:textId="4628CCC1" w:rsidR="00995892" w:rsidRDefault="00995892" w:rsidP="00746F7A">
    <w:pPr>
      <w:pStyle w:val="Header"/>
      <w:rPr>
        <w:sz w:val="17"/>
      </w:rPr>
    </w:pPr>
    <w:bookmarkStart w:id="10" w:name="TITUS2HeaderFirstPage"/>
    <w:r w:rsidRPr="00746F7A">
      <w:rPr>
        <w:sz w:val="17"/>
      </w:rPr>
      <w:t> </w:t>
    </w:r>
  </w:p>
  <w:bookmarkEnd w:id="10"/>
  <w:p w14:paraId="4B5324CD" w14:textId="77777777" w:rsidR="00995892" w:rsidRDefault="00995892" w:rsidP="00746F7A">
    <w:pPr>
      <w:pStyle w:val="Header"/>
    </w:pPr>
  </w:p>
  <w:p w14:paraId="7ECFA179" w14:textId="77777777" w:rsidR="00995892" w:rsidRDefault="0099589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3ABB82" w14:textId="3C79F033" w:rsidR="00995892" w:rsidRDefault="00995892" w:rsidP="00746F7A">
    <w:pPr>
      <w:pStyle w:val="Header"/>
      <w:rPr>
        <w:sz w:val="17"/>
      </w:rPr>
    </w:pPr>
    <w:bookmarkStart w:id="20" w:name="TITUS3HeaderEvenPages"/>
    <w:r w:rsidRPr="00746F7A">
      <w:rPr>
        <w:sz w:val="17"/>
      </w:rPr>
      <w:t> </w:t>
    </w:r>
  </w:p>
  <w:bookmarkEnd w:id="20"/>
  <w:p w14:paraId="7050E6E7" w14:textId="77777777" w:rsidR="00995892" w:rsidRDefault="00995892" w:rsidP="00746F7A">
    <w:pPr>
      <w:pStyle w:val="Header"/>
    </w:pPr>
  </w:p>
  <w:p w14:paraId="45381D1A" w14:textId="77777777" w:rsidR="00995892" w:rsidRDefault="0099589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0133AB" w14:textId="2D0D2C49" w:rsidR="00995892" w:rsidRDefault="00995892" w:rsidP="00746F7A">
    <w:pPr>
      <w:pStyle w:val="Header"/>
      <w:rPr>
        <w:sz w:val="17"/>
      </w:rPr>
    </w:pPr>
    <w:bookmarkStart w:id="21" w:name="TITUS3HeaderPrimary"/>
    <w:r w:rsidRPr="00746F7A">
      <w:rPr>
        <w:sz w:val="17"/>
      </w:rPr>
      <w:t> </w:t>
    </w:r>
  </w:p>
  <w:bookmarkEnd w:id="21"/>
  <w:p w14:paraId="0586893F" w14:textId="77777777" w:rsidR="00995892" w:rsidRDefault="0099589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B8B843" w14:textId="76F6558F" w:rsidR="00995892" w:rsidRDefault="00995892" w:rsidP="00746F7A">
    <w:pPr>
      <w:pStyle w:val="Header"/>
      <w:rPr>
        <w:sz w:val="17"/>
      </w:rPr>
    </w:pPr>
    <w:bookmarkStart w:id="24" w:name="TITUS3HeaderFirstPage"/>
    <w:r w:rsidRPr="00746F7A">
      <w:rPr>
        <w:sz w:val="17"/>
      </w:rPr>
      <w:t> </w:t>
    </w:r>
  </w:p>
  <w:bookmarkEnd w:id="24"/>
  <w:p w14:paraId="0F8C19F1" w14:textId="77777777" w:rsidR="00995892" w:rsidRDefault="00995892" w:rsidP="00746F7A">
    <w:pPr>
      <w:pStyle w:val="Header"/>
    </w:pPr>
  </w:p>
  <w:p w14:paraId="689EB573" w14:textId="77777777" w:rsidR="00995892" w:rsidRDefault="0099589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5F1A41" w14:textId="60744853" w:rsidR="00995892" w:rsidRDefault="00995892" w:rsidP="00746F7A">
    <w:pPr>
      <w:pStyle w:val="Header"/>
      <w:rPr>
        <w:sz w:val="17"/>
      </w:rPr>
    </w:pPr>
    <w:bookmarkStart w:id="26" w:name="TITUS4HeaderEvenPages"/>
    <w:r w:rsidRPr="00746F7A">
      <w:rPr>
        <w:sz w:val="17"/>
      </w:rPr>
      <w:t> </w:t>
    </w:r>
  </w:p>
  <w:bookmarkEnd w:id="26"/>
  <w:p w14:paraId="48A55D41" w14:textId="77777777" w:rsidR="00995892" w:rsidRDefault="00995892" w:rsidP="00746F7A">
    <w:pPr>
      <w:pStyle w:val="Header"/>
    </w:pPr>
  </w:p>
  <w:p w14:paraId="317F03C2" w14:textId="77777777" w:rsidR="00995892" w:rsidRDefault="0099589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A11541" w14:textId="1BC723A9" w:rsidR="00995892" w:rsidRDefault="00995892" w:rsidP="00746F7A">
    <w:pPr>
      <w:pStyle w:val="Header"/>
      <w:rPr>
        <w:sz w:val="17"/>
      </w:rPr>
    </w:pPr>
    <w:bookmarkStart w:id="27" w:name="TITUS4HeaderPrimary"/>
    <w:r w:rsidRPr="00746F7A">
      <w:rPr>
        <w:sz w:val="17"/>
      </w:rPr>
      <w:t> </w:t>
    </w:r>
  </w:p>
  <w:bookmarkEnd w:id="27"/>
  <w:p w14:paraId="4E95A728" w14:textId="77777777" w:rsidR="00995892" w:rsidRDefault="0099589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0FE2AB" w14:textId="7B3806BE" w:rsidR="00995892" w:rsidRDefault="00995892" w:rsidP="00746F7A">
    <w:pPr>
      <w:pStyle w:val="Header"/>
      <w:rPr>
        <w:sz w:val="17"/>
      </w:rPr>
    </w:pPr>
    <w:bookmarkStart w:id="30" w:name="TITUS4HeaderFirstPage"/>
    <w:r w:rsidRPr="00746F7A">
      <w:rPr>
        <w:sz w:val="17"/>
      </w:rPr>
      <w:t> </w:t>
    </w:r>
  </w:p>
  <w:bookmarkEnd w:id="30"/>
  <w:p w14:paraId="4DFA224C" w14:textId="77777777" w:rsidR="00995892" w:rsidRDefault="00995892" w:rsidP="00746F7A">
    <w:pPr>
      <w:pStyle w:val="Header"/>
    </w:pPr>
  </w:p>
  <w:p w14:paraId="14498C68" w14:textId="77777777" w:rsidR="00995892" w:rsidRDefault="00995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2A5D3E"/>
    <w:multiLevelType w:val="hybridMultilevel"/>
    <w:tmpl w:val="DFC06CD0"/>
    <w:lvl w:ilvl="0" w:tplc="BE4E2F24">
      <w:start w:val="1"/>
      <w:numFmt w:val="bullet"/>
      <w:lvlText w:val=""/>
      <w:lvlJc w:val="left"/>
      <w:pPr>
        <w:ind w:left="720" w:hanging="360"/>
      </w:pPr>
      <w:rPr>
        <w:rFonts w:ascii="Symbol" w:hAnsi="Symbol" w:hint="default"/>
      </w:rPr>
    </w:lvl>
    <w:lvl w:ilvl="1" w:tplc="CD28202A">
      <w:start w:val="1"/>
      <w:numFmt w:val="bullet"/>
      <w:lvlText w:val="o"/>
      <w:lvlJc w:val="left"/>
      <w:pPr>
        <w:ind w:left="1440" w:hanging="360"/>
      </w:pPr>
      <w:rPr>
        <w:rFonts w:ascii="Courier New" w:hAnsi="Courier New" w:hint="default"/>
      </w:rPr>
    </w:lvl>
    <w:lvl w:ilvl="2" w:tplc="58345230">
      <w:start w:val="1"/>
      <w:numFmt w:val="bullet"/>
      <w:lvlText w:val=""/>
      <w:lvlJc w:val="left"/>
      <w:pPr>
        <w:ind w:left="2160" w:hanging="360"/>
      </w:pPr>
      <w:rPr>
        <w:rFonts w:ascii="Wingdings" w:hAnsi="Wingdings" w:hint="default"/>
      </w:rPr>
    </w:lvl>
    <w:lvl w:ilvl="3" w:tplc="8766B98C">
      <w:start w:val="1"/>
      <w:numFmt w:val="bullet"/>
      <w:lvlText w:val=""/>
      <w:lvlJc w:val="left"/>
      <w:pPr>
        <w:ind w:left="2880" w:hanging="360"/>
      </w:pPr>
      <w:rPr>
        <w:rFonts w:ascii="Symbol" w:hAnsi="Symbol" w:hint="default"/>
      </w:rPr>
    </w:lvl>
    <w:lvl w:ilvl="4" w:tplc="E154EF42">
      <w:start w:val="1"/>
      <w:numFmt w:val="bullet"/>
      <w:lvlText w:val="o"/>
      <w:lvlJc w:val="left"/>
      <w:pPr>
        <w:ind w:left="3600" w:hanging="360"/>
      </w:pPr>
      <w:rPr>
        <w:rFonts w:ascii="Courier New" w:hAnsi="Courier New" w:hint="default"/>
      </w:rPr>
    </w:lvl>
    <w:lvl w:ilvl="5" w:tplc="6A745166">
      <w:start w:val="1"/>
      <w:numFmt w:val="bullet"/>
      <w:lvlText w:val=""/>
      <w:lvlJc w:val="left"/>
      <w:pPr>
        <w:ind w:left="4320" w:hanging="360"/>
      </w:pPr>
      <w:rPr>
        <w:rFonts w:ascii="Wingdings" w:hAnsi="Wingdings" w:hint="default"/>
      </w:rPr>
    </w:lvl>
    <w:lvl w:ilvl="6" w:tplc="1A268432">
      <w:start w:val="1"/>
      <w:numFmt w:val="bullet"/>
      <w:lvlText w:val=""/>
      <w:lvlJc w:val="left"/>
      <w:pPr>
        <w:ind w:left="5040" w:hanging="360"/>
      </w:pPr>
      <w:rPr>
        <w:rFonts w:ascii="Symbol" w:hAnsi="Symbol" w:hint="default"/>
      </w:rPr>
    </w:lvl>
    <w:lvl w:ilvl="7" w:tplc="E9A04E6C">
      <w:start w:val="1"/>
      <w:numFmt w:val="bullet"/>
      <w:lvlText w:val="o"/>
      <w:lvlJc w:val="left"/>
      <w:pPr>
        <w:ind w:left="5760" w:hanging="360"/>
      </w:pPr>
      <w:rPr>
        <w:rFonts w:ascii="Courier New" w:hAnsi="Courier New" w:hint="default"/>
      </w:rPr>
    </w:lvl>
    <w:lvl w:ilvl="8" w:tplc="0E8C63CC">
      <w:start w:val="1"/>
      <w:numFmt w:val="bullet"/>
      <w:lvlText w:val=""/>
      <w:lvlJc w:val="left"/>
      <w:pPr>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FFFFFFFF">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9"/>
  </w:num>
  <w:num w:numId="2">
    <w:abstractNumId w:val="39"/>
  </w:num>
  <w:num w:numId="3">
    <w:abstractNumId w:val="32"/>
  </w:num>
  <w:num w:numId="4">
    <w:abstractNumId w:val="23"/>
  </w:num>
  <w:num w:numId="5">
    <w:abstractNumId w:val="1"/>
    <w:lvlOverride w:ilvl="0">
      <w:lvl w:ilvl="0">
        <w:start w:val="1"/>
        <w:numFmt w:val="bullet"/>
        <w:lvlText w:val=""/>
        <w:lvlJc w:val="left"/>
        <w:pPr>
          <w:ind w:left="720" w:hanging="360"/>
        </w:pPr>
        <w:rPr>
          <w:rFonts w:ascii="Symbol" w:hAnsi="Symbol" w:hint="default"/>
        </w:rPr>
      </w:lvl>
    </w:lvlOverride>
  </w:num>
  <w:num w:numId="6">
    <w:abstractNumId w:val="21"/>
  </w:num>
  <w:num w:numId="7">
    <w:abstractNumId w:val="46"/>
  </w:num>
  <w:num w:numId="8">
    <w:abstractNumId w:val="48"/>
  </w:num>
  <w:num w:numId="9">
    <w:abstractNumId w:val="35"/>
  </w:num>
  <w:num w:numId="10">
    <w:abstractNumId w:val="33"/>
  </w:num>
  <w:num w:numId="11">
    <w:abstractNumId w:val="28"/>
  </w:num>
  <w:num w:numId="12">
    <w:abstractNumId w:val="30"/>
  </w:num>
  <w:num w:numId="13">
    <w:abstractNumId w:val="9"/>
  </w:num>
  <w:num w:numId="14">
    <w:abstractNumId w:val="34"/>
  </w:num>
  <w:num w:numId="15">
    <w:abstractNumId w:val="16"/>
  </w:num>
  <w:num w:numId="16">
    <w:abstractNumId w:val="15"/>
  </w:num>
  <w:num w:numId="17">
    <w:abstractNumId w:val="26"/>
  </w:num>
  <w:num w:numId="18">
    <w:abstractNumId w:val="7"/>
  </w:num>
  <w:num w:numId="19">
    <w:abstractNumId w:val="25"/>
  </w:num>
  <w:num w:numId="20">
    <w:abstractNumId w:val="14"/>
  </w:num>
  <w:num w:numId="21">
    <w:abstractNumId w:val="12"/>
  </w:num>
  <w:num w:numId="2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2"/>
  </w:num>
  <w:num w:numId="24">
    <w:abstractNumId w:val="17"/>
  </w:num>
  <w:num w:numId="25">
    <w:abstractNumId w:val="13"/>
  </w:num>
  <w:num w:numId="26">
    <w:abstractNumId w:val="10"/>
  </w:num>
  <w:num w:numId="27">
    <w:abstractNumId w:val="27"/>
  </w:num>
  <w:num w:numId="28">
    <w:abstractNumId w:val="18"/>
  </w:num>
  <w:num w:numId="29">
    <w:abstractNumId w:val="42"/>
  </w:num>
  <w:num w:numId="30">
    <w:abstractNumId w:val="36"/>
  </w:num>
  <w:num w:numId="31">
    <w:abstractNumId w:val="41"/>
  </w:num>
  <w:num w:numId="32">
    <w:abstractNumId w:val="19"/>
  </w:num>
  <w:num w:numId="33">
    <w:abstractNumId w:val="44"/>
  </w:num>
  <w:num w:numId="34">
    <w:abstractNumId w:val="31"/>
  </w:num>
  <w:num w:numId="35">
    <w:abstractNumId w:val="11"/>
  </w:num>
  <w:num w:numId="36">
    <w:abstractNumId w:val="45"/>
  </w:num>
  <w:num w:numId="37">
    <w:abstractNumId w:val="40"/>
  </w:num>
  <w:num w:numId="38">
    <w:abstractNumId w:val="4"/>
  </w:num>
  <w:num w:numId="39">
    <w:abstractNumId w:val="47"/>
  </w:num>
  <w:num w:numId="40">
    <w:abstractNumId w:val="43"/>
  </w:num>
  <w:num w:numId="41">
    <w:abstractNumId w:val="37"/>
  </w:num>
  <w:num w:numId="42">
    <w:abstractNumId w:val="38"/>
  </w:num>
  <w:num w:numId="43">
    <w:abstractNumId w:val="3"/>
  </w:num>
  <w:num w:numId="44">
    <w:abstractNumId w:val="5"/>
  </w:num>
  <w:num w:numId="45">
    <w:abstractNumId w:val="24"/>
  </w:num>
  <w:num w:numId="46">
    <w:abstractNumId w:val="6"/>
  </w:num>
  <w:num w:numId="47">
    <w:abstractNumId w:val="2"/>
  </w:num>
  <w:num w:numId="48">
    <w:abstractNumId w:val="0"/>
  </w:num>
  <w:num w:numId="49">
    <w:abstractNumId w:val="2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2313"/>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26F4D"/>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0B49"/>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46F7A"/>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7794"/>
    <w:rsid w:val="00991FDA"/>
    <w:rsid w:val="009927A1"/>
    <w:rsid w:val="00995892"/>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1DD38249"/>
    <w:rsid w:val="28A9B94D"/>
    <w:rsid w:val="7379905B"/>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customStyle="1" w:styleId="H2">
    <w:name w:val="H2"/>
    <w:basedOn w:val="Normal"/>
    <w:next w:val="Normal"/>
    <w:uiPriority w:val="99"/>
    <w:rsid w:val="00746F7A"/>
    <w:pPr>
      <w:keepNext/>
      <w:overflowPunct/>
      <w:spacing w:before="100" w:after="100"/>
      <w:textAlignment w:val="auto"/>
      <w:outlineLvl w:val="2"/>
    </w:pPr>
    <w:rPr>
      <w:rFonts w:ascii="Times New Roman" w:hAnsi="Times New Roman" w:cs="Times New Roman"/>
      <w:b/>
      <w:bCs/>
      <w:color w:val="auto"/>
      <w:sz w:val="36"/>
      <w:szCs w:val="3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mindtools.com/pages/article/newCS_82.htm" TargetMode="External"/><Relationship Id="rId39"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www.legislation.gov.uk/ukpga/1967/58" TargetMode="External"/><Relationship Id="rId42" Type="http://schemas.openxmlformats.org/officeDocument/2006/relationships/footer" Target="footer8.xml"/><Relationship Id="rId47" Type="http://schemas.openxmlformats.org/officeDocument/2006/relationships/footer" Target="footer10.xml"/><Relationship Id="rId50"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www.legislation.gov.uk/ukpga/1986/64/section/3" TargetMode="External"/><Relationship Id="rId38" Type="http://schemas.openxmlformats.org/officeDocument/2006/relationships/hyperlink" Target="https://www.gov.uk/government/publications/the-code-of-practice-for-victims-of-crime" TargetMode="External"/><Relationship Id="rId46"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science/journal/11308621/29/supp/S2" TargetMode="External"/><Relationship Id="rId41"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www.stress.org" TargetMode="External"/><Relationship Id="rId37" Type="http://schemas.openxmlformats.org/officeDocument/2006/relationships/hyperlink" Target="https://www.swansea.gov.uk/wardprofiles" TargetMode="External"/><Relationship Id="rId40" Type="http://schemas.openxmlformats.org/officeDocument/2006/relationships/header" Target="header8.xml"/><Relationship Id="rId45" Type="http://schemas.openxmlformats.org/officeDocument/2006/relationships/header" Target="header10.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science/journal/11308621" TargetMode="External"/><Relationship Id="rId36" Type="http://schemas.openxmlformats.org/officeDocument/2006/relationships/hyperlink" Target="https://statswales.gov.wales/Catalogue/Equality-and-Diversity/Ethnicity/ethnicity-by-area-ethnicgroup" TargetMode="External"/><Relationship Id="rId49"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policing-by-consent/definition-of-policing-by-consent" TargetMode="External"/><Relationship Id="rId44" Type="http://schemas.openxmlformats.org/officeDocument/2006/relationships/footer" Target="footer9.xm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file:///\\swp.police.int\science\journal\01651781\260\supp\C" TargetMode="External"/><Relationship Id="rId30" Type="http://schemas.openxmlformats.org/officeDocument/2006/relationships/hyperlink" Target="https://www.ons.gov.uk/census/2011census/2011censusdata" TargetMode="External"/><Relationship Id="rId35" Type="http://schemas.openxmlformats.org/officeDocument/2006/relationships/hyperlink" Target="http://www.legislation.gov.uk/ukpga/1984/60/section/32" TargetMode="External"/><Relationship Id="rId43" Type="http://schemas.openxmlformats.org/officeDocument/2006/relationships/header" Target="header9.xml"/><Relationship Id="rId48" Type="http://schemas.openxmlformats.org/officeDocument/2006/relationships/footer" Target="footer11.xm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6285204-50B2-4B04-ACF1-6EA329D651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25CE9A40-C6BF-46B0-9C68-4147C25AA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25</Pages>
  <Words>11170</Words>
  <Characters>56734</Characters>
  <Application>Microsoft Office Word</Application>
  <DocSecurity>0</DocSecurity>
  <Lines>472</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Lloyd,Hywel swp6452</cp:lastModifiedBy>
  <cp:revision>4</cp:revision>
  <cp:lastPrinted>2020-02-25T11:50:00Z</cp:lastPrinted>
  <dcterms:created xsi:type="dcterms:W3CDTF">2020-02-25T11:54:00Z</dcterms:created>
  <dcterms:modified xsi:type="dcterms:W3CDTF">2020-06-22T11:13:00Z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c04aba1b-5753-4768-915a-02ab298cbf70</vt:lpwstr>
  </property>
  <property fmtid="{D5CDD505-2E9C-101B-9397-08002B2CF9AE}" pid="4" name="Classification">
    <vt:lpwstr>OFFICIAL</vt:lpwstr>
  </property>
  <property fmtid="{D5CDD505-2E9C-101B-9397-08002B2CF9AE}" pid="5" name="Visibility">
    <vt:lpwstr>NOT VISIBLE</vt:lpwstr>
  </property>
</Properties>
</file>