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39B7461">
      <w:pPr>
        <w:spacing w:after="160" w:line="360" w:lineRule="auto"/>
        <w:jc w:val="center"/>
        <w:rPr>
          <w:b/>
          <w:bCs/>
          <w:lang w:val="en-IN"/>
        </w:rPr>
      </w:pPr>
      <w:r>
        <w:rPr>
          <w:b/>
          <w:bCs/>
          <w:lang w:val="en-IN"/>
        </w:rPr>
        <w:drawing>
          <wp:inline distT="0" distB="0" distL="0" distR="0">
            <wp:extent cx="2047875" cy="1104900"/>
            <wp:effectExtent l="0" t="0" r="9525" b="0"/>
            <wp:docPr id="1868958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958905" name="Picture 1"/>
                    <pic:cNvPicPr>
                      <a:picLocks noChangeAspect="1"/>
                    </pic:cNvPicPr>
                  </pic:nvPicPr>
                  <pic:blipFill>
                    <a:blip r:embed="rId7"/>
                    <a:stretch>
                      <a:fillRect/>
                    </a:stretch>
                  </pic:blipFill>
                  <pic:spPr>
                    <a:xfrm>
                      <a:off x="0" y="0"/>
                      <a:ext cx="2048161" cy="1105054"/>
                    </a:xfrm>
                    <a:prstGeom prst="rect">
                      <a:avLst/>
                    </a:prstGeom>
                  </pic:spPr>
                </pic:pic>
              </a:graphicData>
            </a:graphic>
          </wp:inline>
        </w:drawing>
      </w:r>
    </w:p>
    <w:p w14:paraId="72790967">
      <w:pPr>
        <w:spacing w:after="160" w:line="360" w:lineRule="auto"/>
        <w:jc w:val="center"/>
        <w:rPr>
          <w:b/>
          <w:bCs/>
          <w:lang w:val="en-IN"/>
        </w:rPr>
      </w:pPr>
      <w:bookmarkStart w:id="22" w:name="_GoBack"/>
      <w:r>
        <w:rPr>
          <w:b/>
          <w:bCs/>
          <w:lang w:val="en-IN"/>
        </w:rPr>
        <w:t>Module Code: LCMB7024</w:t>
      </w:r>
    </w:p>
    <w:bookmarkEnd w:id="22"/>
    <w:p w14:paraId="393ADBAA">
      <w:pPr>
        <w:spacing w:after="160" w:line="360" w:lineRule="auto"/>
        <w:jc w:val="center"/>
        <w:rPr>
          <w:b/>
          <w:bCs/>
          <w:lang w:val="en-IN"/>
        </w:rPr>
      </w:pPr>
      <w:r>
        <w:rPr>
          <w:b/>
          <w:bCs/>
          <w:lang w:val="en-IN"/>
        </w:rPr>
        <w:t>Programme: Master of Business Administration (MBA)</w:t>
      </w:r>
      <w:r>
        <w:rPr>
          <w:b/>
          <w:bCs/>
          <w:lang w:val="en-IN"/>
        </w:rPr>
        <w:br w:type="textWrapping"/>
      </w:r>
      <w:r>
        <w:rPr>
          <w:b/>
          <w:bCs/>
          <w:lang w:val="en-IN"/>
        </w:rPr>
        <w:t>Module: Marketing Management</w:t>
      </w:r>
      <w:r>
        <w:rPr>
          <w:b/>
          <w:bCs/>
          <w:lang w:val="en-IN"/>
        </w:rPr>
        <w:br w:type="textWrapping"/>
      </w:r>
      <w:r>
        <w:rPr>
          <w:b/>
          <w:bCs/>
          <w:lang w:val="en-IN"/>
        </w:rPr>
        <w:t>Assignment Title: Adidas EcoSmart Running Shoes – A Sustainable Brand Extension for Business Growth</w:t>
      </w:r>
      <w:r>
        <w:rPr>
          <w:b/>
          <w:bCs/>
          <w:lang w:val="en-IN"/>
        </w:rPr>
        <w:br w:type="textWrapping"/>
      </w:r>
      <w:r>
        <w:rPr>
          <w:b/>
          <w:bCs/>
          <w:lang w:val="en-IN"/>
        </w:rPr>
        <w:br w:type="textWrapping"/>
      </w:r>
      <w:r>
        <w:rPr>
          <w:b/>
          <w:bCs/>
          <w:lang w:val="en-IN"/>
        </w:rPr>
        <w:t>Student Name: Sejal Choudhary</w:t>
      </w:r>
    </w:p>
    <w:p w14:paraId="01608F4B">
      <w:pPr>
        <w:spacing w:after="160" w:line="360" w:lineRule="auto"/>
        <w:jc w:val="center"/>
        <w:rPr>
          <w:b/>
          <w:bCs/>
          <w:lang w:val="en-IN"/>
        </w:rPr>
      </w:pPr>
      <w:r>
        <w:rPr>
          <w:b/>
          <w:bCs/>
          <w:lang w:val="en-IN"/>
        </w:rPr>
        <w:t>Student ID: 2538991</w:t>
      </w:r>
    </w:p>
    <w:p w14:paraId="10AC2692">
      <w:pPr>
        <w:spacing w:after="160" w:line="480" w:lineRule="auto"/>
        <w:jc w:val="center"/>
        <w:rPr>
          <w:b/>
          <w:bCs/>
          <w:lang w:val="en-IN"/>
        </w:rPr>
      </w:pPr>
    </w:p>
    <w:p w14:paraId="244708EE">
      <w:pPr>
        <w:spacing w:after="160" w:line="360" w:lineRule="auto"/>
        <w:jc w:val="both"/>
      </w:pPr>
      <w:r>
        <w:br w:type="page"/>
      </w:r>
    </w:p>
    <w:sdt>
      <w:sdtPr>
        <w:rPr>
          <w:rFonts w:ascii="Times New Roman" w:hAnsi="Times New Roman" w:eastAsia="Calibri" w:cs="Times New Roman"/>
          <w:color w:val="auto"/>
          <w:sz w:val="24"/>
          <w:szCs w:val="22"/>
          <w:lang w:val="en-GB"/>
        </w:rPr>
        <w:id w:val="1095130628"/>
        <w:docPartObj>
          <w:docPartGallery w:val="Table of Contents"/>
          <w:docPartUnique/>
        </w:docPartObj>
      </w:sdtPr>
      <w:sdtEndPr>
        <w:rPr>
          <w:rFonts w:ascii="Times New Roman" w:hAnsi="Times New Roman" w:eastAsia="Calibri" w:cs="Times New Roman"/>
          <w:b/>
          <w:bCs/>
          <w:color w:val="auto"/>
          <w:sz w:val="24"/>
          <w:szCs w:val="22"/>
          <w:lang w:val="en-GB"/>
        </w:rPr>
      </w:sdtEndPr>
      <w:sdtContent>
        <w:p w14:paraId="6F30530F">
          <w:pPr>
            <w:pStyle w:val="42"/>
          </w:pPr>
          <w:r>
            <w:t>Table of Contents</w:t>
          </w:r>
        </w:p>
        <w:p w14:paraId="4D2BD9FA">
          <w:pPr>
            <w:pStyle w:val="19"/>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TOC \o "1-3" \h \z \u </w:instrText>
          </w:r>
          <w:r>
            <w:fldChar w:fldCharType="separate"/>
          </w:r>
          <w:r>
            <w:fldChar w:fldCharType="begin"/>
          </w:r>
          <w:r>
            <w:instrText xml:space="preserve"> HYPERLINK \l "_Toc237003198" </w:instrText>
          </w:r>
          <w:r>
            <w:fldChar w:fldCharType="separate"/>
          </w:r>
          <w:r>
            <w:rPr>
              <w:rStyle w:val="16"/>
              <w:lang w:val="en-IN"/>
            </w:rPr>
            <w:t>Introduction</w:t>
          </w:r>
          <w:r>
            <w:tab/>
          </w:r>
          <w:r>
            <w:fldChar w:fldCharType="begin"/>
          </w:r>
          <w:r>
            <w:instrText xml:space="preserve"> PAGEREF _Toc237003198 \h </w:instrText>
          </w:r>
          <w:r>
            <w:fldChar w:fldCharType="separate"/>
          </w:r>
          <w:r>
            <w:t>3</w:t>
          </w:r>
          <w:r>
            <w:fldChar w:fldCharType="end"/>
          </w:r>
          <w:r>
            <w:fldChar w:fldCharType="end"/>
          </w:r>
        </w:p>
        <w:p w14:paraId="265628E2">
          <w:pPr>
            <w:pStyle w:val="19"/>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"_Toc237003199" </w:instrText>
          </w:r>
          <w:r>
            <w:fldChar w:fldCharType="separate"/>
          </w:r>
          <w:r>
            <w:rPr>
              <w:rStyle w:val="16"/>
            </w:rPr>
            <w:t>Element 1 (Poster)</w:t>
          </w:r>
          <w:r>
            <w:tab/>
          </w:r>
          <w:r>
            <w:fldChar w:fldCharType="begin"/>
          </w:r>
          <w:r>
            <w:instrText xml:space="preserve"> PAGEREF _Toc237003199 \h </w:instrText>
          </w:r>
          <w:r>
            <w:fldChar w:fldCharType="separate"/>
          </w:r>
          <w:r>
            <w:t>3</w:t>
          </w:r>
          <w:r>
            <w:fldChar w:fldCharType="end"/>
          </w:r>
          <w:r>
            <w:fldChar w:fldCharType="end"/>
          </w:r>
        </w:p>
        <w:p w14:paraId="526B3081">
          <w:pPr>
            <w:pStyle w:val="19"/>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"_Toc237003200" </w:instrText>
          </w:r>
          <w:r>
            <w:fldChar w:fldCharType="separate"/>
          </w:r>
          <w:r>
            <w:rPr>
              <w:rStyle w:val="16"/>
            </w:rPr>
            <w:t>Element 2: STDP Analysis</w:t>
          </w:r>
          <w:r>
            <w:tab/>
          </w:r>
          <w:r>
            <w:fldChar w:fldCharType="begin"/>
          </w:r>
          <w:r>
            <w:instrText xml:space="preserve"> PAGEREF _Toc237003200 \h </w:instrText>
          </w:r>
          <w:r>
            <w:fldChar w:fldCharType="separate"/>
          </w:r>
          <w:r>
            <w:t>3</w:t>
          </w:r>
          <w:r>
            <w:fldChar w:fldCharType="end"/>
          </w:r>
          <w:r>
            <w:fldChar w:fldCharType="end"/>
          </w:r>
        </w:p>
        <w:p w14:paraId="7530ACDC">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"_Toc237003201" </w:instrText>
          </w:r>
          <w:r>
            <w:fldChar w:fldCharType="separate"/>
          </w:r>
          <w:r>
            <w:rPr>
              <w:rStyle w:val="16"/>
              <w:lang w:val="en-IN"/>
            </w:rPr>
            <w:t>2.1 Segmentation</w:t>
          </w:r>
          <w:r>
            <w:tab/>
          </w:r>
          <w:r>
            <w:fldChar w:fldCharType="begin"/>
          </w:r>
          <w:r>
            <w:instrText xml:space="preserve"> PAGEREF _Toc237003201 \h </w:instrText>
          </w:r>
          <w:r>
            <w:fldChar w:fldCharType="separate"/>
          </w:r>
          <w:r>
            <w:t>3</w:t>
          </w:r>
          <w:r>
            <w:fldChar w:fldCharType="end"/>
          </w:r>
          <w:r>
            <w:fldChar w:fldCharType="end"/>
          </w:r>
        </w:p>
        <w:p w14:paraId="6764789E">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"_Toc237003202" </w:instrText>
          </w:r>
          <w:r>
            <w:fldChar w:fldCharType="separate"/>
          </w:r>
          <w:r>
            <w:rPr>
              <w:rStyle w:val="16"/>
              <w:lang w:val="en-IN"/>
            </w:rPr>
            <w:t>2.2 Targeting</w:t>
          </w:r>
          <w:r>
            <w:tab/>
          </w:r>
          <w:r>
            <w:fldChar w:fldCharType="begin"/>
          </w:r>
          <w:r>
            <w:instrText xml:space="preserve"> PAGEREF _Toc237003202 \h </w:instrText>
          </w:r>
          <w:r>
            <w:fldChar w:fldCharType="separate"/>
          </w:r>
          <w:r>
            <w:t>4</w:t>
          </w:r>
          <w:r>
            <w:fldChar w:fldCharType="end"/>
          </w:r>
          <w:r>
            <w:fldChar w:fldCharType="end"/>
          </w:r>
        </w:p>
        <w:p w14:paraId="1474399D">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"_Toc237003203" </w:instrText>
          </w:r>
          <w:r>
            <w:fldChar w:fldCharType="separate"/>
          </w:r>
          <w:r>
            <w:rPr>
              <w:rStyle w:val="16"/>
              <w:lang w:val="en-IN"/>
            </w:rPr>
            <w:t>2.3 Differentiation</w:t>
          </w:r>
          <w:r>
            <w:tab/>
          </w:r>
          <w:r>
            <w:fldChar w:fldCharType="begin"/>
          </w:r>
          <w:r>
            <w:instrText xml:space="preserve"> PAGEREF _Toc237003203 \h </w:instrText>
          </w:r>
          <w:r>
            <w:fldChar w:fldCharType="separate"/>
          </w:r>
          <w:r>
            <w:t>5</w:t>
          </w:r>
          <w:r>
            <w:fldChar w:fldCharType="end"/>
          </w:r>
          <w:r>
            <w:fldChar w:fldCharType="end"/>
          </w:r>
        </w:p>
        <w:p w14:paraId="49D30B4F">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"_Toc237003204" </w:instrText>
          </w:r>
          <w:r>
            <w:fldChar w:fldCharType="separate"/>
          </w:r>
          <w:r>
            <w:rPr>
              <w:rStyle w:val="16"/>
              <w:lang w:val="en-IN"/>
            </w:rPr>
            <w:t>2.4 Positioning</w:t>
          </w:r>
          <w:r>
            <w:tab/>
          </w:r>
          <w:r>
            <w:fldChar w:fldCharType="begin"/>
          </w:r>
          <w:r>
            <w:instrText xml:space="preserve"> PAGEREF _Toc237003204 \h </w:instrText>
          </w:r>
          <w:r>
            <w:fldChar w:fldCharType="separate"/>
          </w:r>
          <w:r>
            <w:t>6</w:t>
          </w:r>
          <w:r>
            <w:fldChar w:fldCharType="end"/>
          </w:r>
          <w:r>
            <w:fldChar w:fldCharType="end"/>
          </w:r>
        </w:p>
        <w:p w14:paraId="4065B648">
          <w:pPr>
            <w:pStyle w:val="19"/>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"_Toc237003205" </w:instrText>
          </w:r>
          <w:r>
            <w:fldChar w:fldCharType="separate"/>
          </w:r>
          <w:r>
            <w:rPr>
              <w:rStyle w:val="16"/>
            </w:rPr>
            <w:t>Element 3: Marketing Mix (7Ps)</w:t>
          </w:r>
          <w:r>
            <w:tab/>
          </w:r>
          <w:r>
            <w:fldChar w:fldCharType="begin"/>
          </w:r>
          <w:r>
            <w:instrText xml:space="preserve"> PAGEREF _Toc237003205 \h </w:instrText>
          </w:r>
          <w:r>
            <w:fldChar w:fldCharType="separate"/>
          </w:r>
          <w:r>
            <w:t>7</w:t>
          </w:r>
          <w:r>
            <w:fldChar w:fldCharType="end"/>
          </w:r>
          <w:r>
            <w:fldChar w:fldCharType="end"/>
          </w:r>
        </w:p>
        <w:p w14:paraId="190EC72B">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"_Toc237003206" </w:instrText>
          </w:r>
          <w:r>
            <w:fldChar w:fldCharType="separate"/>
          </w:r>
          <w:r>
            <w:rPr>
              <w:rStyle w:val="16"/>
              <w:lang w:val="en-IN"/>
            </w:rPr>
            <w:t>3.1 Product</w:t>
          </w:r>
          <w:r>
            <w:tab/>
          </w:r>
          <w:r>
            <w:fldChar w:fldCharType="begin"/>
          </w:r>
          <w:r>
            <w:instrText xml:space="preserve"> PAGEREF _Toc237003206 \h </w:instrText>
          </w:r>
          <w:r>
            <w:fldChar w:fldCharType="separate"/>
          </w:r>
          <w:r>
            <w:t>7</w:t>
          </w:r>
          <w:r>
            <w:fldChar w:fldCharType="end"/>
          </w:r>
          <w:r>
            <w:fldChar w:fldCharType="end"/>
          </w:r>
        </w:p>
        <w:p w14:paraId="66FB7C62">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"_Toc237003207" </w:instrText>
          </w:r>
          <w:r>
            <w:fldChar w:fldCharType="separate"/>
          </w:r>
          <w:r>
            <w:rPr>
              <w:rStyle w:val="16"/>
              <w:lang w:val="en-IN"/>
            </w:rPr>
            <w:t>3.2 Price</w:t>
          </w:r>
          <w:r>
            <w:tab/>
          </w:r>
          <w:r>
            <w:fldChar w:fldCharType="begin"/>
          </w:r>
          <w:r>
            <w:instrText xml:space="preserve"> PAGEREF _Toc237003207 \h </w:instrText>
          </w:r>
          <w:r>
            <w:fldChar w:fldCharType="separate"/>
          </w:r>
          <w:r>
            <w:t>8</w:t>
          </w:r>
          <w:r>
            <w:fldChar w:fldCharType="end"/>
          </w:r>
          <w:r>
            <w:fldChar w:fldCharType="end"/>
          </w:r>
        </w:p>
        <w:p w14:paraId="58DFAB8B">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"_Toc237003208" </w:instrText>
          </w:r>
          <w:r>
            <w:fldChar w:fldCharType="separate"/>
          </w:r>
          <w:r>
            <w:rPr>
              <w:rStyle w:val="16"/>
              <w:lang w:val="en-IN"/>
            </w:rPr>
            <w:t>3.3 Place (Distribution)</w:t>
          </w:r>
          <w:r>
            <w:tab/>
          </w:r>
          <w:r>
            <w:fldChar w:fldCharType="begin"/>
          </w:r>
          <w:r>
            <w:instrText xml:space="preserve"> PAGEREF _Toc237003208 \h </w:instrText>
          </w:r>
          <w:r>
            <w:fldChar w:fldCharType="separate"/>
          </w:r>
          <w:r>
            <w:t>8</w:t>
          </w:r>
          <w:r>
            <w:fldChar w:fldCharType="end"/>
          </w:r>
          <w:r>
            <w:fldChar w:fldCharType="end"/>
          </w:r>
        </w:p>
        <w:p w14:paraId="17C4DB93">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"_Toc237003209" </w:instrText>
          </w:r>
          <w:r>
            <w:fldChar w:fldCharType="separate"/>
          </w:r>
          <w:r>
            <w:rPr>
              <w:rStyle w:val="16"/>
              <w:lang w:val="en-IN"/>
            </w:rPr>
            <w:t>3.4 Promotion</w:t>
          </w:r>
          <w:r>
            <w:tab/>
          </w:r>
          <w:r>
            <w:fldChar w:fldCharType="begin"/>
          </w:r>
          <w:r>
            <w:instrText xml:space="preserve"> PAGEREF _Toc237003209 \h </w:instrText>
          </w:r>
          <w:r>
            <w:fldChar w:fldCharType="separate"/>
          </w:r>
          <w:r>
            <w:t>8</w:t>
          </w:r>
          <w:r>
            <w:fldChar w:fldCharType="end"/>
          </w:r>
          <w:r>
            <w:fldChar w:fldCharType="end"/>
          </w:r>
        </w:p>
        <w:p w14:paraId="76285557">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"_Toc237003210" </w:instrText>
          </w:r>
          <w:r>
            <w:fldChar w:fldCharType="separate"/>
          </w:r>
          <w:r>
            <w:rPr>
              <w:rStyle w:val="16"/>
              <w:lang w:val="en-IN"/>
            </w:rPr>
            <w:t>3.5 People</w:t>
          </w:r>
          <w:r>
            <w:tab/>
          </w:r>
          <w:r>
            <w:fldChar w:fldCharType="begin"/>
          </w:r>
          <w:r>
            <w:instrText xml:space="preserve"> PAGEREF _Toc237003210 \h </w:instrText>
          </w:r>
          <w:r>
            <w:fldChar w:fldCharType="separate"/>
          </w:r>
          <w:r>
            <w:t>9</w:t>
          </w:r>
          <w:r>
            <w:fldChar w:fldCharType="end"/>
          </w:r>
          <w:r>
            <w:fldChar w:fldCharType="end"/>
          </w:r>
        </w:p>
        <w:p w14:paraId="045EDAA1">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"_Toc237003211" </w:instrText>
          </w:r>
          <w:r>
            <w:fldChar w:fldCharType="separate"/>
          </w:r>
          <w:r>
            <w:rPr>
              <w:rStyle w:val="16"/>
              <w:lang w:val="en-IN"/>
            </w:rPr>
            <w:t>3.6 Process</w:t>
          </w:r>
          <w:r>
            <w:tab/>
          </w:r>
          <w:r>
            <w:fldChar w:fldCharType="begin"/>
          </w:r>
          <w:r>
            <w:instrText xml:space="preserve"> PAGEREF _Toc237003211 \h </w:instrText>
          </w:r>
          <w:r>
            <w:fldChar w:fldCharType="separate"/>
          </w:r>
          <w:r>
            <w:t>9</w:t>
          </w:r>
          <w:r>
            <w:fldChar w:fldCharType="end"/>
          </w:r>
          <w:r>
            <w:fldChar w:fldCharType="end"/>
          </w:r>
        </w:p>
        <w:p w14:paraId="45F5F4E1">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"_Toc237003212" </w:instrText>
          </w:r>
          <w:r>
            <w:fldChar w:fldCharType="separate"/>
          </w:r>
          <w:r>
            <w:rPr>
              <w:rStyle w:val="16"/>
              <w:lang w:val="en-IN"/>
            </w:rPr>
            <w:t>3.7 Physical Evidence</w:t>
          </w:r>
          <w:r>
            <w:tab/>
          </w:r>
          <w:r>
            <w:fldChar w:fldCharType="begin"/>
          </w:r>
          <w:r>
            <w:instrText xml:space="preserve"> PAGEREF _Toc237003212 \h </w:instrText>
          </w:r>
          <w:r>
            <w:fldChar w:fldCharType="separate"/>
          </w:r>
          <w:r>
            <w:t>9</w:t>
          </w:r>
          <w:r>
            <w:fldChar w:fldCharType="end"/>
          </w:r>
          <w:r>
            <w:fldChar w:fldCharType="end"/>
          </w:r>
        </w:p>
        <w:p w14:paraId="07C043E4">
          <w:pPr>
            <w:pStyle w:val="19"/>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"_Toc237003213" </w:instrText>
          </w:r>
          <w:r>
            <w:fldChar w:fldCharType="separate"/>
          </w:r>
          <w:r>
            <w:rPr>
              <w:rStyle w:val="16"/>
            </w:rPr>
            <w:t>Element 4: Reflection</w:t>
          </w:r>
          <w:r>
            <w:tab/>
          </w:r>
          <w:r>
            <w:fldChar w:fldCharType="begin"/>
          </w:r>
          <w:r>
            <w:instrText xml:space="preserve"> PAGEREF _Toc237003213 \h </w:instrText>
          </w:r>
          <w:r>
            <w:fldChar w:fldCharType="separate"/>
          </w:r>
          <w:r>
            <w:t>10</w:t>
          </w:r>
          <w:r>
            <w:fldChar w:fldCharType="end"/>
          </w:r>
          <w:r>
            <w:fldChar w:fldCharType="end"/>
          </w:r>
        </w:p>
        <w:p w14:paraId="75F947BC">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"_Toc237003214" </w:instrText>
          </w:r>
          <w:r>
            <w:fldChar w:fldCharType="separate"/>
          </w:r>
          <w:r>
            <w:rPr>
              <w:rStyle w:val="16"/>
              <w:lang w:val="en-IN"/>
            </w:rPr>
            <w:t>4.1 What you did</w:t>
          </w:r>
          <w:r>
            <w:tab/>
          </w:r>
          <w:r>
            <w:fldChar w:fldCharType="begin"/>
          </w:r>
          <w:r>
            <w:instrText xml:space="preserve"> PAGEREF _Toc237003214 \h </w:instrText>
          </w:r>
          <w:r>
            <w:fldChar w:fldCharType="separate"/>
          </w:r>
          <w:r>
            <w:t>10</w:t>
          </w:r>
          <w:r>
            <w:fldChar w:fldCharType="end"/>
          </w:r>
          <w:r>
            <w:fldChar w:fldCharType="end"/>
          </w:r>
        </w:p>
        <w:p w14:paraId="7741E331">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"_Toc237003215" </w:instrText>
          </w:r>
          <w:r>
            <w:fldChar w:fldCharType="separate"/>
          </w:r>
          <w:r>
            <w:rPr>
              <w:rStyle w:val="16"/>
              <w:lang w:val="en-IN"/>
            </w:rPr>
            <w:t>4.2 What you learned</w:t>
          </w:r>
          <w:r>
            <w:tab/>
          </w:r>
          <w:r>
            <w:fldChar w:fldCharType="begin"/>
          </w:r>
          <w:r>
            <w:instrText xml:space="preserve"> PAGEREF _Toc237003215 \h </w:instrText>
          </w:r>
          <w:r>
            <w:fldChar w:fldCharType="separate"/>
          </w:r>
          <w:r>
            <w:t>10</w:t>
          </w:r>
          <w:r>
            <w:fldChar w:fldCharType="end"/>
          </w:r>
          <w:r>
            <w:fldChar w:fldCharType="end"/>
          </w:r>
        </w:p>
        <w:p w14:paraId="35B5BE38">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"_Toc237003216" </w:instrText>
          </w:r>
          <w:r>
            <w:fldChar w:fldCharType="separate"/>
          </w:r>
          <w:r>
            <w:rPr>
              <w:rStyle w:val="16"/>
              <w:lang w:val="en-IN"/>
            </w:rPr>
            <w:t>4.3 Skills developed</w:t>
          </w:r>
          <w:r>
            <w:tab/>
          </w:r>
          <w:r>
            <w:fldChar w:fldCharType="begin"/>
          </w:r>
          <w:r>
            <w:instrText xml:space="preserve"> PAGEREF _Toc237003216 \h </w:instrText>
          </w:r>
          <w:r>
            <w:fldChar w:fldCharType="separate"/>
          </w:r>
          <w:r>
            <w:t>10</w:t>
          </w:r>
          <w:r>
            <w:fldChar w:fldCharType="end"/>
          </w:r>
          <w:r>
            <w:fldChar w:fldCharType="end"/>
          </w:r>
        </w:p>
        <w:p w14:paraId="184F4815">
          <w:pPr>
            <w:pStyle w:val="20"/>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"_Toc237003217" </w:instrText>
          </w:r>
          <w:r>
            <w:fldChar w:fldCharType="separate"/>
          </w:r>
          <w:r>
            <w:rPr>
              <w:rStyle w:val="16"/>
              <w:lang w:val="en-IN"/>
            </w:rPr>
            <w:t>4.4 Improvements</w:t>
          </w:r>
          <w:r>
            <w:tab/>
          </w:r>
          <w:r>
            <w:fldChar w:fldCharType="begin"/>
          </w:r>
          <w:r>
            <w:instrText xml:space="preserve"> PAGEREF _Toc237003217 \h </w:instrText>
          </w:r>
          <w:r>
            <w:fldChar w:fldCharType="separate"/>
          </w:r>
          <w:r>
            <w:t>11</w:t>
          </w:r>
          <w:r>
            <w:fldChar w:fldCharType="end"/>
          </w:r>
          <w:r>
            <w:fldChar w:fldCharType="end"/>
          </w:r>
        </w:p>
        <w:p w14:paraId="348D0A06">
          <w:pPr>
            <w:pStyle w:val="19"/>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"_Toc237003218" </w:instrText>
          </w:r>
          <w:r>
            <w:fldChar w:fldCharType="separate"/>
          </w:r>
          <w:r>
            <w:rPr>
              <w:rStyle w:val="16"/>
              <w:lang w:val="en-IN"/>
            </w:rPr>
            <w:t>Conclusion</w:t>
          </w:r>
          <w:r>
            <w:tab/>
          </w:r>
          <w:r>
            <w:fldChar w:fldCharType="begin"/>
          </w:r>
          <w:r>
            <w:instrText xml:space="preserve"> PAGEREF _Toc237003218 \h </w:instrText>
          </w:r>
          <w:r>
            <w:fldChar w:fldCharType="separate"/>
          </w:r>
          <w:r>
            <w:t>11</w:t>
          </w:r>
          <w:r>
            <w:fldChar w:fldCharType="end"/>
          </w:r>
          <w:r>
            <w:fldChar w:fldCharType="end"/>
          </w:r>
        </w:p>
        <w:p w14:paraId="21C64B18">
          <w:pPr>
            <w:pStyle w:val="19"/>
            <w:tabs>
              <w:tab w:val="right" w:leader="dot" w:pos="9016"/>
            </w:tabs>
            <w:rPr>
              <w:rFonts w:asciiTheme="minorHAnsi" w:hAnsiTheme="minorHAnsi" w:eastAsiaTheme="minorEastAsia" w:cstheme="minorBidi"/>
              <w:kern w:val="2"/>
              <w:szCs w:val="24"/>
              <w:lang w:val="en-IN" w:eastAsia="en-IN"/>
              <w14:ligatures w14:val="standardContextual"/>
            </w:rPr>
          </w:pPr>
          <w:r>
            <w:fldChar w:fldCharType="begin"/>
          </w:r>
          <w:r>
            <w:instrText xml:space="preserve"> HYPERLINK \l "_Toc237003219" </w:instrText>
          </w:r>
          <w:r>
            <w:fldChar w:fldCharType="separate"/>
          </w:r>
          <w:r>
            <w:rPr>
              <w:rStyle w:val="16"/>
              <w:lang w:val="en-IN"/>
            </w:rPr>
            <w:t>References</w:t>
          </w:r>
          <w:r>
            <w:tab/>
          </w:r>
          <w:r>
            <w:fldChar w:fldCharType="begin"/>
          </w:r>
          <w:r>
            <w:instrText xml:space="preserve"> PAGEREF _Toc237003219 \h </w:instrText>
          </w:r>
          <w:r>
            <w:fldChar w:fldCharType="separate"/>
          </w:r>
          <w:r>
            <w:t>12</w:t>
          </w:r>
          <w:r>
            <w:fldChar w:fldCharType="end"/>
          </w:r>
          <w:r>
            <w:fldChar w:fldCharType="end"/>
          </w:r>
        </w:p>
        <w:p w14:paraId="2BEF5DF6">
          <w:r>
            <w:rPr>
              <w:b/>
              <w:bCs/>
            </w:rPr>
            <w:fldChar w:fldCharType="end"/>
          </w:r>
        </w:p>
      </w:sdtContent>
    </w:sdt>
    <w:p w14:paraId="6C6E9FF7">
      <w:pPr>
        <w:spacing w:after="160" w:line="360" w:lineRule="auto"/>
        <w:jc w:val="both"/>
      </w:pPr>
      <w:r>
        <w:br w:type="page"/>
      </w:r>
    </w:p>
    <w:p w14:paraId="2BA834EB">
      <w:pPr>
        <w:pStyle w:val="2"/>
        <w:rPr>
          <w:lang w:val="en-IN"/>
        </w:rPr>
      </w:pPr>
      <w:bookmarkStart w:id="0" w:name="_Toc237003198"/>
      <w:r>
        <w:rPr>
          <w:lang w:val="en-IN"/>
        </w:rPr>
        <w:t>Introduction</w:t>
      </w:r>
      <w:bookmarkEnd w:id="0"/>
      <w:r>
        <w:rPr>
          <w:lang w:val="en-IN"/>
        </w:rPr>
        <w:t xml:space="preserve"> </w:t>
      </w:r>
    </w:p>
    <w:p w14:paraId="6F02EF83">
      <w:pPr>
        <w:spacing w:line="360" w:lineRule="auto"/>
        <w:jc w:val="both"/>
        <w:rPr>
          <w:lang w:val="en-IN"/>
        </w:rPr>
      </w:pPr>
      <w:r>
        <w:rPr>
          <w:lang w:val="en-IN"/>
        </w:rPr>
        <w:t>This report will come up with a sustainable brand extension strategy of Adidas by launching EcoSmart Running Shoes, which will meet the increasing need of eco-friendly products. As a marketing consultant, the analysis uses major frameworks, such as Segmentation, Targeting, Differentiation and Positioning (STDP), and 7ps marketing mix, to assess how sustainability can be used to bring about competitive advantage and business development. The report is also critical of the ways Adidas can use its brand equity to attract eco-conscious customers without compromising on profitability and environmental responsibility. Combining theory with practice, the strategy shows how sustainability can serve as a driver of long-term value creation.</w:t>
      </w:r>
    </w:p>
    <w:p w14:paraId="213F924F">
      <w:pPr>
        <w:pStyle w:val="2"/>
        <w:rPr>
          <w:lang w:val="en-IN"/>
        </w:rPr>
      </w:pPr>
      <w:bookmarkStart w:id="1" w:name="_Toc237003199"/>
      <w:r>
        <w:t>Element 1 (Poster)</w:t>
      </w:r>
      <w:bookmarkEnd w:id="1"/>
    </w:p>
    <w:p w14:paraId="6C1D05F6">
      <w:pPr>
        <w:keepNext/>
        <w:spacing w:line="360" w:lineRule="auto"/>
        <w:jc w:val="center"/>
      </w:pPr>
      <w:r>
        <w:drawing>
          <wp:inline distT="0" distB="0" distL="0" distR="0">
            <wp:extent cx="5731510" cy="3151505"/>
            <wp:effectExtent l="0" t="0" r="2540" b="0"/>
            <wp:docPr id="643611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611609" name="Picture 1"/>
                    <pic:cNvPicPr>
                      <a:picLocks noChangeAspect="1"/>
                    </pic:cNvPicPr>
                  </pic:nvPicPr>
                  <pic:blipFill>
                    <a:blip r:embed="rId8"/>
                    <a:stretch>
                      <a:fillRect/>
                    </a:stretch>
                  </pic:blipFill>
                  <pic:spPr>
                    <a:xfrm>
                      <a:off x="0" y="0"/>
                      <a:ext cx="5731510" cy="3151505"/>
                    </a:xfrm>
                    <a:prstGeom prst="rect">
                      <a:avLst/>
                    </a:prstGeom>
                  </pic:spPr>
                </pic:pic>
              </a:graphicData>
            </a:graphic>
          </wp:inline>
        </w:drawing>
      </w:r>
    </w:p>
    <w:p w14:paraId="549078A9">
      <w:pPr>
        <w:pStyle w:val="13"/>
        <w:spacing w:line="360" w:lineRule="auto"/>
        <w:jc w:val="center"/>
      </w:pPr>
      <w:r>
        <w:t xml:space="preserve">Figure </w:t>
      </w:r>
      <w:r>
        <w:fldChar w:fldCharType="begin"/>
      </w:r>
      <w:r>
        <w:instrText xml:space="preserve"> SEQ Figure \* ARABIC </w:instrText>
      </w:r>
      <w:r>
        <w:fldChar w:fldCharType="separate"/>
      </w:r>
      <w:r>
        <w:t>1</w:t>
      </w:r>
      <w:r>
        <w:fldChar w:fldCharType="end"/>
      </w:r>
      <w:r>
        <w:t>:Poster</w:t>
      </w:r>
    </w:p>
    <w:p w14:paraId="056EF1E6">
      <w:pPr>
        <w:spacing w:line="360" w:lineRule="auto"/>
        <w:jc w:val="center"/>
      </w:pPr>
      <w:r>
        <w:t>Source: Self-Created</w:t>
      </w:r>
    </w:p>
    <w:p w14:paraId="768846C4">
      <w:pPr>
        <w:pStyle w:val="2"/>
      </w:pPr>
      <w:bookmarkStart w:id="2" w:name="_Toc237003200"/>
    </w:p>
    <w:p w14:paraId="5DB6DCAD">
      <w:pPr>
        <w:pStyle w:val="2"/>
      </w:pPr>
    </w:p>
    <w:p w14:paraId="39C76219"/>
    <w:p w14:paraId="3EC802E7">
      <w:pPr>
        <w:pStyle w:val="2"/>
      </w:pPr>
      <w:r>
        <w:t>Element 2: STDP Analysis</w:t>
      </w:r>
      <w:bookmarkEnd w:id="2"/>
    </w:p>
    <w:p w14:paraId="6333ED0E">
      <w:pPr>
        <w:pStyle w:val="3"/>
        <w:rPr>
          <w:lang w:val="en-IN"/>
        </w:rPr>
      </w:pPr>
      <w:bookmarkStart w:id="3" w:name="_Toc237003201"/>
      <w:r>
        <w:rPr>
          <w:lang w:val="en-IN"/>
        </w:rPr>
        <w:t>2.1 Segmentation</w:t>
      </w:r>
      <w:bookmarkEnd w:id="3"/>
      <w:r>
        <w:rPr>
          <w:lang w:val="en-IN"/>
        </w:rPr>
        <w:t xml:space="preserve"> </w:t>
      </w:r>
    </w:p>
    <w:p w14:paraId="7FFAC013">
      <w:pPr>
        <w:spacing w:line="360" w:lineRule="auto"/>
        <w:jc w:val="both"/>
        <w:rPr>
          <w:lang w:val="en-IN"/>
        </w:rPr>
      </w:pPr>
      <w:r>
        <w:rPr>
          <w:lang w:val="en-IN"/>
        </w:rPr>
        <w:t>The EcoSmart Running Shoes segmentation is based on the Market Segmentation Theory that states that breaking up the homogenous markets into significant groups increases strategic accuracy and profitability. Adidas has a multi-dimensional segmentation strategy (</w:t>
      </w:r>
      <w:r>
        <w:t>Meijer-Werner¸2024</w:t>
      </w:r>
      <w:r>
        <w:rPr>
          <w:lang w:val="en-IN"/>
        </w:rPr>
        <w:t>).</w:t>
      </w:r>
    </w:p>
    <w:p w14:paraId="51A7889F">
      <w:pPr>
        <w:spacing w:line="360" w:lineRule="auto"/>
        <w:jc w:val="both"/>
        <w:rPr>
          <w:lang w:val="en-IN"/>
        </w:rPr>
      </w:pPr>
      <w:r>
        <w:rPr>
          <w:lang w:val="en-IN"/>
        </w:rPr>
        <w:t>Its geographical target is European and North American urban markets, where the awareness of sustainability, running infrastructures, and purchasing power is much greater. The target group will be demographically represented by consumers aged 18-40 that have middle-to-high income as this age group is financially empowered and meets the lifestyle standards of high-quality sustainable goods. Psychographically, the segment comprises green-minded people who are conscious of their bodies and are mindful of their consumption as the phenomena of conscious capitalism emerges. On the behavioural level, it targets regular runners and brand-loyal customers that actively pursue sustainable options and are ready to pay a higher price (</w:t>
      </w:r>
      <w:r>
        <w:t>Datta, 2025</w:t>
      </w:r>
      <w:r>
        <w:rPr>
          <w:lang w:val="en-IN"/>
        </w:rPr>
        <w:t>).</w:t>
      </w:r>
    </w:p>
    <w:p w14:paraId="1498199B">
      <w:pPr>
        <w:spacing w:line="360" w:lineRule="auto"/>
        <w:jc w:val="both"/>
        <w:rPr>
          <w:lang w:val="en-IN"/>
        </w:rPr>
      </w:pPr>
      <w:r>
        <w:rPr>
          <w:lang w:val="en-IN"/>
        </w:rPr>
        <w:t>Importantly, these segments are very profitable since they are high lifetime value and low price sensitivity. In contrast to mass segments, eco-conscious consumers have a higher level of brand loyalty and advocacy and lower the long-term marketing expenses. Moreover, by aligning with segments that are focused on sustainability, Adidas will be able to capitalize on ESG positioning and boost its sources of revenue as well as corporate reputation. Nevertheless, excessive dependence on niche eco-segments can restrict scalability in case the adoption by larger consumers is not fast (</w:t>
      </w:r>
      <w:r>
        <w:t>Yazid, 2026</w:t>
      </w:r>
      <w:r>
        <w:rPr>
          <w:lang w:val="en-IN"/>
        </w:rPr>
        <w:t>).</w:t>
      </w:r>
    </w:p>
    <w:p w14:paraId="6BB94E7F">
      <w:pPr>
        <w:pStyle w:val="3"/>
        <w:rPr>
          <w:lang w:val="en-IN"/>
        </w:rPr>
      </w:pPr>
      <w:bookmarkStart w:id="4" w:name="_Toc237003202"/>
      <w:r>
        <w:rPr>
          <w:lang w:val="en-IN"/>
        </w:rPr>
        <w:t>2.2 Targeting</w:t>
      </w:r>
      <w:bookmarkEnd w:id="4"/>
      <w:r>
        <w:rPr>
          <w:lang w:val="en-IN"/>
        </w:rPr>
        <w:t xml:space="preserve"> </w:t>
      </w:r>
    </w:p>
    <w:p w14:paraId="566A81B0">
      <w:pPr>
        <w:spacing w:line="360" w:lineRule="auto"/>
        <w:jc w:val="both"/>
        <w:rPr>
          <w:lang w:val="en-IN"/>
        </w:rPr>
      </w:pPr>
      <w:r>
        <w:rPr>
          <w:lang w:val="en-IN"/>
        </w:rPr>
        <w:t>Adidas utilizes a differentiated targeting strategy by using the STP Model, where it has chosen various segments and proposing a value proposition that is specific to that segment. The core target audience is the eco-friendly urban runners, who are concerned with performance and sustainability. This segment is strategically appealing because of its high disposable income, and a good level of brand involvement and also because of its adherence to the sustainability agenda of Adidas. Gen Z consumers and fitness beginners are among the secondary targets as they are future growth segments due to digital trends and environmental consciousness.</w:t>
      </w:r>
    </w:p>
    <w:p w14:paraId="4EFE1880">
      <w:pPr>
        <w:spacing w:line="360" w:lineRule="auto"/>
        <w:jc w:val="both"/>
        <w:rPr>
          <w:lang w:val="en-IN"/>
        </w:rPr>
      </w:pPr>
      <w:r>
        <w:rPr>
          <w:lang w:val="en-IN"/>
        </w:rPr>
        <w:t>Most importantly, the chosen environmentally friendly runners are motivated by their purchasing power and readiness to pay extra prices, which is backed by the increasing ESG-based consumption trends. Brand loyalty is also higher in this segment, and it augments customer lifetime value. Furthermore, Gen Z is a sure way to secure the sustainability of the market in the long term, as this generation is the most rapidly increasing in terms of ethical consumption behaviour (</w:t>
      </w:r>
      <w:r>
        <w:t>França et al., 2023</w:t>
      </w:r>
      <w:r>
        <w:rPr>
          <w:lang w:val="en-IN"/>
        </w:rPr>
        <w:t>).</w:t>
      </w:r>
    </w:p>
    <w:p w14:paraId="191ABA1C">
      <w:pPr>
        <w:spacing w:line="360" w:lineRule="auto"/>
        <w:jc w:val="both"/>
        <w:rPr>
          <w:lang w:val="en-IN"/>
        </w:rPr>
      </w:pPr>
      <w:r>
        <w:rPr>
          <w:lang w:val="en-IN"/>
        </w:rPr>
        <w:t>Nonetheless, the differentiated targeting approach increases operational complexity, marketing costs, since Adidas will have to tailor messages to different segments. Also, by focusing on the high eco-consumers, it might not cover price sensitive markets, and this may restrain expansion of volumes. This notwithstanding, the approach fits well with long-term value creation, as it aims at delivering quality of revenue, but not volume, which puts Adidas in an unquestioned sustainability leader and seizes high-margin segments (</w:t>
      </w:r>
      <w:r>
        <w:t>Zara, 2025</w:t>
      </w:r>
      <w:r>
        <w:rPr>
          <w:lang w:val="en-IN"/>
        </w:rPr>
        <w:t>).</w:t>
      </w:r>
    </w:p>
    <w:p w14:paraId="2C1E8FC0">
      <w:pPr>
        <w:pStyle w:val="3"/>
        <w:rPr>
          <w:lang w:val="en-IN"/>
        </w:rPr>
      </w:pPr>
      <w:bookmarkStart w:id="5" w:name="_Toc237003203"/>
      <w:r>
        <w:rPr>
          <w:lang w:val="en-IN"/>
        </w:rPr>
        <w:t>2.3 Differentiation</w:t>
      </w:r>
      <w:bookmarkEnd w:id="5"/>
    </w:p>
    <w:p w14:paraId="3D89C216">
      <w:pPr>
        <w:spacing w:line="360" w:lineRule="auto"/>
        <w:jc w:val="both"/>
        <w:rPr>
          <w:lang w:val="en-IN"/>
        </w:rPr>
      </w:pPr>
      <w:r>
        <w:rPr>
          <w:lang w:val="en-IN"/>
        </w:rPr>
        <w:t>The EcoSmart Running Shoes of Adidas apply an approach of differentiation based on the generic strategy of Porter, which aims at establishing a unique value based on integration of sustainability and performance. In contrast to the conventional sports footwear, EcoSmart is a blend of recycled ocean plastic, bio-based foam, and ethically sourced materials with high-performance functionality that meets the requirements of both the environment and athletes (</w:t>
      </w:r>
      <w:r>
        <w:t>Zara, 2025</w:t>
      </w:r>
      <w:r>
        <w:rPr>
          <w:lang w:val="en-IN"/>
        </w:rPr>
        <w:t>).</w:t>
      </w:r>
    </w:p>
    <w:p w14:paraId="68E7AB85">
      <w:pPr>
        <w:spacing w:line="360" w:lineRule="auto"/>
        <w:jc w:val="both"/>
        <w:rPr>
          <w:lang w:val="en-IN"/>
        </w:rPr>
      </w:pPr>
      <w:r>
        <w:rPr>
          <w:lang w:val="en-IN"/>
        </w:rPr>
        <w:t>Importantly, this two-fold value proposition produces a hybrid differentiation benefit which cannot be easily imitated by competitors. As an example, Nike sustainability efforts (e.g., Move to Zero) are focused on the impact on the environment but can be criticised in respect of transparency and scalability. Likewise, Puma eco-friendly lines are centered on low costs but do not have the premium performance positioning. Adidas, thus, finds itself in an intermediate niche- both in terms of credibility in sustainability and performance (</w:t>
      </w:r>
      <w:r>
        <w:t>França et al., 2023</w:t>
      </w:r>
      <w:r>
        <w:rPr>
          <w:lang w:val="en-IN"/>
        </w:rPr>
        <w:t>).</w:t>
      </w:r>
    </w:p>
    <w:p w14:paraId="1AABEBE1">
      <w:pPr>
        <w:spacing w:line="360" w:lineRule="auto"/>
        <w:jc w:val="both"/>
        <w:rPr>
          <w:lang w:val="en-IN"/>
        </w:rPr>
      </w:pPr>
      <w:r>
        <w:rPr>
          <w:lang w:val="en-IN"/>
        </w:rPr>
        <w:t>This distinction increases brand equity and higher prices worth premiums, which leads to higher margins. Moreover, it coincides with the changing consumer demands, in which the functional benefits cannot do without the moral concerns. Nevertheless, the strategy also comes with risks, such as increased costs of production and possible greenwashing allegations in the event that sustainability claims are not always justified (</w:t>
      </w:r>
      <w:r>
        <w:t>Daou et al., 2025</w:t>
      </w:r>
      <w:r>
        <w:rPr>
          <w:lang w:val="en-IN"/>
        </w:rPr>
        <w:t>).</w:t>
      </w:r>
    </w:p>
    <w:p w14:paraId="487DB28A">
      <w:pPr>
        <w:spacing w:line="360" w:lineRule="auto"/>
        <w:jc w:val="both"/>
        <w:rPr>
          <w:lang w:val="en-IN"/>
        </w:rPr>
      </w:pPr>
      <w:r>
        <w:rPr>
          <w:lang w:val="en-IN"/>
        </w:rPr>
        <w:t>In general, the differentiation made by Adidas works as it makes sustainability not a mandatory condition but a key competitive force with the result of enhancing the market positioning and brand value in the long term (</w:t>
      </w:r>
      <w:r>
        <w:t>Agarwal et al., 2025</w:t>
      </w:r>
      <w:r>
        <w:rPr>
          <w:lang w:val="en-IN"/>
        </w:rPr>
        <w:t>).</w:t>
      </w:r>
    </w:p>
    <w:p w14:paraId="76C6E0A4">
      <w:pPr>
        <w:pStyle w:val="3"/>
        <w:rPr>
          <w:lang w:val="en-IN"/>
        </w:rPr>
      </w:pPr>
      <w:bookmarkStart w:id="6" w:name="_Toc237003204"/>
      <w:r>
        <w:rPr>
          <w:lang w:val="en-IN"/>
        </w:rPr>
        <w:t>2.4 Positioning</w:t>
      </w:r>
      <w:bookmarkEnd w:id="6"/>
    </w:p>
    <w:p w14:paraId="5E1CCA78">
      <w:pPr>
        <w:keepNext/>
        <w:jc w:val="center"/>
      </w:pPr>
      <w:r>
        <w:rPr>
          <w:lang w:val="en-IN"/>
        </w:rPr>
        <w:drawing>
          <wp:inline distT="0" distB="0" distL="0" distR="0">
            <wp:extent cx="5731510" cy="3820795"/>
            <wp:effectExtent l="0" t="0" r="2540" b="8255"/>
            <wp:docPr id="2502653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65363"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731510" cy="3820795"/>
                    </a:xfrm>
                    <a:prstGeom prst="rect">
                      <a:avLst/>
                    </a:prstGeom>
                    <a:noFill/>
                    <a:ln>
                      <a:noFill/>
                    </a:ln>
                  </pic:spPr>
                </pic:pic>
              </a:graphicData>
            </a:graphic>
          </wp:inline>
        </w:drawing>
      </w:r>
    </w:p>
    <w:p w14:paraId="7A2FDFEA">
      <w:pPr>
        <w:pStyle w:val="13"/>
        <w:jc w:val="center"/>
      </w:pPr>
      <w:r>
        <w:t xml:space="preserve">Figure </w:t>
      </w:r>
      <w:r>
        <w:fldChar w:fldCharType="begin"/>
      </w:r>
      <w:r>
        <w:instrText xml:space="preserve"> SEQ Figure \* ARABIC </w:instrText>
      </w:r>
      <w:r>
        <w:fldChar w:fldCharType="separate"/>
      </w:r>
      <w:r>
        <w:t>2</w:t>
      </w:r>
      <w:r>
        <w:fldChar w:fldCharType="end"/>
      </w:r>
      <w:r>
        <w:t>:Positioning Map</w:t>
      </w:r>
    </w:p>
    <w:p w14:paraId="7FB7904D">
      <w:pPr>
        <w:jc w:val="center"/>
        <w:rPr>
          <w:lang w:val="en-IN"/>
        </w:rPr>
      </w:pPr>
      <w:r>
        <w:rPr>
          <w:lang w:val="en-IN"/>
        </w:rPr>
        <w:t>Source: Self-Created</w:t>
      </w:r>
    </w:p>
    <w:p w14:paraId="271D7E16">
      <w:pPr>
        <w:spacing w:line="360" w:lineRule="auto"/>
        <w:jc w:val="both"/>
        <w:rPr>
          <w:lang w:val="en-IN"/>
        </w:rPr>
      </w:pPr>
      <w:r>
        <w:rPr>
          <w:lang w:val="en-IN"/>
        </w:rPr>
        <w:t>Adidas makes EcoSmart Running Shoes a positioning strategy as a premium sustainable performance running shoe. This stance combines two high value features performance excellence and environmental responsibility in a high-end brand story (</w:t>
      </w:r>
      <w:r>
        <w:t>Shrivastava et al., 2025</w:t>
      </w:r>
      <w:r>
        <w:rPr>
          <w:lang w:val="en-IN"/>
        </w:rPr>
        <w:t>).</w:t>
      </w:r>
    </w:p>
    <w:p w14:paraId="317AD0A2">
      <w:pPr>
        <w:spacing w:line="360" w:lineRule="auto"/>
        <w:jc w:val="both"/>
        <w:rPr>
          <w:lang w:val="en-IN"/>
        </w:rPr>
      </w:pPr>
      <w:r>
        <w:rPr>
          <w:lang w:val="en-IN"/>
        </w:rPr>
        <w:t>In terms of perceptual mapping, EcoSmart has a unique position with high performance and high sustainability, unlike other players who usually focus on one aspect at the expense of the other. This powerful positioning will help Adidas to appeal to consumers who want not only functional excellence but also moral resonance, to solidify brand relevance in a competitive market (</w:t>
      </w:r>
      <w:r>
        <w:t>Teotia, 2024</w:t>
      </w:r>
      <w:r>
        <w:rPr>
          <w:lang w:val="en-IN"/>
        </w:rPr>
        <w:t>).</w:t>
      </w:r>
    </w:p>
    <w:p w14:paraId="4FA2AAFF">
      <w:pPr>
        <w:spacing w:line="360" w:lineRule="auto"/>
        <w:jc w:val="both"/>
        <w:rPr>
          <w:lang w:val="en-IN"/>
        </w:rPr>
      </w:pPr>
      <w:r>
        <w:rPr>
          <w:lang w:val="en-IN"/>
        </w:rPr>
        <w:t>Most importantly, the premium positioning can be explained by the fact that the cost of production of sustainable materials and processes is higher, and the eco-conscious customers are ready to pay a premium price. In addition, premium positioning would be increasing perceived quality and brand prestige, which would increase the overall brand equity of Adidas (</w:t>
      </w:r>
      <w:r>
        <w:t>Teotia, 2024</w:t>
      </w:r>
      <w:r>
        <w:rPr>
          <w:lang w:val="en-IN"/>
        </w:rPr>
        <w:t>).</w:t>
      </w:r>
    </w:p>
    <w:p w14:paraId="2E86D1CE">
      <w:pPr>
        <w:spacing w:line="360" w:lineRule="auto"/>
        <w:jc w:val="both"/>
        <w:rPr>
          <w:lang w:val="en-IN"/>
        </w:rPr>
      </w:pPr>
      <w:r>
        <w:rPr>
          <w:lang w:val="en-IN"/>
        </w:rPr>
        <w:t>Sustainability is a key positioning factor, no longer a feature, but a fundamental brand value, which is consistent with the global trends in ESG and growing regulatory and societal pressure. Nevertheless, such positioning also involves some risks, such as possible marginalization of consumers, who are price-sensitive, and the increased suspicion of the sustainability claims (</w:t>
      </w:r>
      <w:r>
        <w:t>Guo, 2026</w:t>
      </w:r>
      <w:r>
        <w:rPr>
          <w:lang w:val="en-IN"/>
        </w:rPr>
        <w:t>).</w:t>
      </w:r>
    </w:p>
    <w:p w14:paraId="398E9B11">
      <w:pPr>
        <w:spacing w:line="360" w:lineRule="auto"/>
        <w:jc w:val="both"/>
        <w:rPr>
          <w:lang w:val="en-IN"/>
        </w:rPr>
      </w:pPr>
      <w:r>
        <w:rPr>
          <w:lang w:val="en-IN"/>
        </w:rPr>
        <w:t>In the end, the positioning strategy is efficient since this approach builds a dissimilariated brand identity that allows Adidas to set high prices and fit the long-term market and environmental trends (</w:t>
      </w:r>
      <w:r>
        <w:t>Guo, 2026</w:t>
      </w:r>
      <w:r>
        <w:rPr>
          <w:lang w:val="en-IN"/>
        </w:rPr>
        <w:t>).</w:t>
      </w:r>
    </w:p>
    <w:p w14:paraId="2B38359D">
      <w:pPr>
        <w:pStyle w:val="2"/>
      </w:pPr>
      <w:bookmarkStart w:id="7" w:name="_Toc237003205"/>
      <w:r>
        <w:t>Element 3: Marketing Mix (7Ps)</w:t>
      </w:r>
      <w:bookmarkEnd w:id="7"/>
    </w:p>
    <w:p w14:paraId="1527FAEA">
      <w:pPr>
        <w:keepNext/>
        <w:jc w:val="center"/>
        <w:rPr>
          <w:lang w:val="en-IN"/>
        </w:rPr>
      </w:pPr>
      <w:r>
        <w:rPr>
          <w:lang w:val="en-IN"/>
        </w:rPr>
        <w:drawing>
          <wp:inline distT="0" distB="0" distL="0" distR="0">
            <wp:extent cx="5731510" cy="3667760"/>
            <wp:effectExtent l="0" t="0" r="2540" b="8890"/>
            <wp:docPr id="13875768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7682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5731510" cy="3667760"/>
                    </a:xfrm>
                    <a:prstGeom prst="rect">
                      <a:avLst/>
                    </a:prstGeom>
                    <a:noFill/>
                    <a:ln>
                      <a:noFill/>
                    </a:ln>
                  </pic:spPr>
                </pic:pic>
              </a:graphicData>
            </a:graphic>
          </wp:inline>
        </w:drawing>
      </w:r>
    </w:p>
    <w:p w14:paraId="3E72D3B4">
      <w:pPr>
        <w:pStyle w:val="13"/>
        <w:jc w:val="center"/>
      </w:pPr>
      <w:r>
        <w:t xml:space="preserve">Figure </w:t>
      </w:r>
      <w:r>
        <w:fldChar w:fldCharType="begin"/>
      </w:r>
      <w:r>
        <w:instrText xml:space="preserve"> SEQ Figure \* ARABIC </w:instrText>
      </w:r>
      <w:r>
        <w:fldChar w:fldCharType="separate"/>
      </w:r>
      <w:r>
        <w:t>3</w:t>
      </w:r>
      <w:r>
        <w:fldChar w:fldCharType="end"/>
      </w:r>
      <w:r>
        <w:t>: STP and Marketing Mix Analysis</w:t>
      </w:r>
    </w:p>
    <w:p w14:paraId="7DF4C5E1">
      <w:pPr>
        <w:jc w:val="center"/>
      </w:pPr>
      <w:r>
        <w:t>Source: Self-Created</w:t>
      </w:r>
    </w:p>
    <w:p w14:paraId="1D6922A9">
      <w:pPr>
        <w:pStyle w:val="3"/>
        <w:rPr>
          <w:lang w:val="en-IN"/>
        </w:rPr>
      </w:pPr>
      <w:bookmarkStart w:id="8" w:name="_Toc237003206"/>
      <w:r>
        <w:rPr>
          <w:lang w:val="en-IN"/>
        </w:rPr>
        <w:t>3.1 Product</w:t>
      </w:r>
      <w:bookmarkEnd w:id="8"/>
      <w:r>
        <w:rPr>
          <w:lang w:val="en-IN"/>
        </w:rPr>
        <w:t xml:space="preserve"> </w:t>
      </w:r>
    </w:p>
    <w:p w14:paraId="656369A3">
      <w:pPr>
        <w:spacing w:line="360" w:lineRule="auto"/>
        <w:jc w:val="both"/>
        <w:rPr>
          <w:lang w:val="en-IN"/>
        </w:rPr>
      </w:pPr>
      <w:r>
        <w:rPr>
          <w:lang w:val="en-IN"/>
        </w:rPr>
        <w:t>EcoSmart Running Shoes embody the ideals of Product Life Cycle and sustainable product design as it incorporates recycled ocean plastic, bio-based foam, and sustainability into a high-performance product. The product is at the growth phase and uses innovation to exploit the new environment that is eco-friendly. Importantly, dual benefit proposition, which is a functional performance and environmental responsibility, is used to create value and improve perceived quality and brand equity (</w:t>
      </w:r>
      <w:r>
        <w:t>Liu et al., 2025</w:t>
      </w:r>
      <w:r>
        <w:rPr>
          <w:lang w:val="en-IN"/>
        </w:rPr>
        <w:t>). This differentiation facilitated by sustainability helps Adidas to rationalize higher prices and enhance competitiveness. But increased cost of production and complexity of technology can decrease scalability, making it difficult to achieve cost efficiency over the long term, despite excellent sustainability positioning (</w:t>
      </w:r>
      <w:r>
        <w:t>Setyadi et al., 2025</w:t>
      </w:r>
      <w:r>
        <w:rPr>
          <w:lang w:val="en-IN"/>
        </w:rPr>
        <w:t>).</w:t>
      </w:r>
    </w:p>
    <w:p w14:paraId="56EFA42C">
      <w:pPr>
        <w:pStyle w:val="3"/>
        <w:rPr>
          <w:lang w:val="en-IN"/>
        </w:rPr>
      </w:pPr>
      <w:bookmarkStart w:id="9" w:name="_Toc237003207"/>
      <w:r>
        <w:rPr>
          <w:lang w:val="en-IN"/>
        </w:rPr>
        <w:t>3.2 Price</w:t>
      </w:r>
      <w:bookmarkEnd w:id="9"/>
      <w:r>
        <w:rPr>
          <w:lang w:val="en-IN"/>
        </w:rPr>
        <w:t xml:space="preserve"> </w:t>
      </w:r>
    </w:p>
    <w:p w14:paraId="4279FFAE">
      <w:pPr>
        <w:spacing w:line="360" w:lineRule="auto"/>
        <w:jc w:val="both"/>
        <w:rPr>
          <w:lang w:val="en-IN"/>
        </w:rPr>
      </w:pPr>
      <w:r>
        <w:rPr>
          <w:lang w:val="en-IN"/>
        </w:rPr>
        <w:t>Adidas uses a premium pricing strategy which is consistent with Value-based pricing in which price is based on perceived value of sustainability and performance not the cost of production. Brand loyalty motivates environmental consumers to pay a higher price due to the ethical nature of their consumption and the belief in the brand. This is important because it improves margins and strengthens premium positioning, which would lead to profitability in the long run. Nevertheless, the price sensitivity is one of the major risks, especially in economically limited markets where sustainable products can be seen as non-essential. Therefore, although premium pricing can enhance brand equity and exclusivity, it can restrain market penetration and volume increase unless it is complemented by high perceived value and differentiation.</w:t>
      </w:r>
    </w:p>
    <w:p w14:paraId="42CEFB82">
      <w:pPr>
        <w:pStyle w:val="3"/>
        <w:rPr>
          <w:lang w:val="en-IN"/>
        </w:rPr>
      </w:pPr>
      <w:bookmarkStart w:id="10" w:name="_Toc237003208"/>
      <w:r>
        <w:rPr>
          <w:lang w:val="en-IN"/>
        </w:rPr>
        <w:t>3.3 Place (Distribution)</w:t>
      </w:r>
      <w:bookmarkEnd w:id="10"/>
      <w:r>
        <w:rPr>
          <w:lang w:val="en-IN"/>
        </w:rPr>
        <w:t xml:space="preserve"> </w:t>
      </w:r>
    </w:p>
    <w:p w14:paraId="19938019">
      <w:pPr>
        <w:spacing w:line="360" w:lineRule="auto"/>
        <w:jc w:val="both"/>
        <w:rPr>
          <w:lang w:val="en-IN"/>
        </w:rPr>
      </w:pPr>
      <w:r>
        <w:rPr>
          <w:lang w:val="en-IN"/>
        </w:rPr>
        <w:t>Adidas employs an omnichannel distribution approach, that incorporates direct-to-consumer online platforms, flagship stores, and sustainable retail partnerships (</w:t>
      </w:r>
      <w:r>
        <w:t>Bai et al., 2023</w:t>
      </w:r>
      <w:r>
        <w:rPr>
          <w:lang w:val="en-IN"/>
        </w:rPr>
        <w:t>). This strategy increases its access, and brand control is maintained. Importantly, direct-to-consumer channels are more profitable and offer useful consumer information, which facilitates personalised marketing and long-term relationships with consumers (</w:t>
      </w:r>
      <w:r>
        <w:t>Bai et al., 2023</w:t>
      </w:r>
      <w:r>
        <w:rPr>
          <w:lang w:val="en-IN"/>
        </w:rPr>
        <w:t>). In-store experience and credibility are enhanced by physical stores, especially when it comes to high-end goods. Nevertheless, upkeeping an omnichannel solution adds to the complexity and costs of operations, particularly when incorporating sustainability into logistics. Nevertheless, the strategy enhances competitive positioning through streamlining efficiency, convenience to customers and consistency of brand across several touchpoints (</w:t>
      </w:r>
      <w:r>
        <w:t>Wang et al., 2023</w:t>
      </w:r>
      <w:r>
        <w:rPr>
          <w:lang w:val="en-IN"/>
        </w:rPr>
        <w:t>).</w:t>
      </w:r>
    </w:p>
    <w:p w14:paraId="5C42DF04">
      <w:pPr>
        <w:pStyle w:val="3"/>
        <w:rPr>
          <w:lang w:val="en-IN"/>
        </w:rPr>
      </w:pPr>
      <w:bookmarkStart w:id="11" w:name="_Toc237003209"/>
      <w:r>
        <w:rPr>
          <w:lang w:val="en-IN"/>
        </w:rPr>
        <w:t>3.4 Promotion</w:t>
      </w:r>
      <w:bookmarkEnd w:id="11"/>
      <w:r>
        <w:rPr>
          <w:lang w:val="en-IN"/>
        </w:rPr>
        <w:t xml:space="preserve"> </w:t>
      </w:r>
    </w:p>
    <w:p w14:paraId="0C727D30">
      <w:pPr>
        <w:spacing w:line="360" w:lineRule="auto"/>
        <w:jc w:val="both"/>
        <w:rPr>
          <w:lang w:val="en-IN"/>
        </w:rPr>
      </w:pPr>
      <w:r>
        <w:rPr>
          <w:lang w:val="en-IN"/>
        </w:rPr>
        <w:t>Integrated Marketing Communication is supported by promotion that will guarantee similar messaging in social media, partnerships with influencers, and sustainability narratives. Fitness influencers and eco-activists help Adidas increase credibility and reach precisely at the target segments. Importantly, this combined strategy creates emotional associations, credibility, and brand authenticity which are critical in sustainability marketing (</w:t>
      </w:r>
      <w:r>
        <w:t>Zupok et al., 2025</w:t>
      </w:r>
      <w:r>
        <w:rPr>
          <w:lang w:val="en-IN"/>
        </w:rPr>
        <w:t>). Narratives about the environmental effects increase consumer interest and brand recognition. Nonetheless, excessive application of sustainability messages might result in sceptical attitude or greenwashing unless accompanied by clear activities. Thus, the effectiveness of the promotions is hinged on the correspondence of the communication and the verifiable sustainability practices (</w:t>
      </w:r>
      <w:r>
        <w:t>Şenyapar, 2024</w:t>
      </w:r>
      <w:r>
        <w:rPr>
          <w:lang w:val="en-IN"/>
        </w:rPr>
        <w:t>).</w:t>
      </w:r>
    </w:p>
    <w:p w14:paraId="774BDAB3">
      <w:pPr>
        <w:pStyle w:val="3"/>
        <w:rPr>
          <w:lang w:val="en-IN"/>
        </w:rPr>
      </w:pPr>
      <w:bookmarkStart w:id="12" w:name="_Toc237003210"/>
      <w:r>
        <w:rPr>
          <w:lang w:val="en-IN"/>
        </w:rPr>
        <w:t>3.5 People</w:t>
      </w:r>
      <w:bookmarkEnd w:id="12"/>
      <w:r>
        <w:rPr>
          <w:lang w:val="en-IN"/>
        </w:rPr>
        <w:t xml:space="preserve"> </w:t>
      </w:r>
    </w:p>
    <w:p w14:paraId="3411F5B8">
      <w:pPr>
        <w:spacing w:line="360" w:lineRule="auto"/>
        <w:jc w:val="both"/>
        <w:rPr>
          <w:lang w:val="en-IN"/>
        </w:rPr>
      </w:pPr>
      <w:r>
        <w:rPr>
          <w:lang w:val="en-IN"/>
        </w:rPr>
        <w:t>The human element is highly effective in providing the EcoSmart value proposition by having competent employees and practicing ethical labour. The adoption of responsible sourcing and workforce development helps Adidas improve its operational efficiency and corresponds to the idea of sustainability. More importantly, the ethical labour practices enhance brand credibility and trust especially among the socially conscious consumers (</w:t>
      </w:r>
      <w:r>
        <w:t>Kruja et al., 2025</w:t>
      </w:r>
      <w:r>
        <w:rPr>
          <w:lang w:val="en-IN"/>
        </w:rPr>
        <w:t>). Employees are brand ambassadors as well and other customers can be influenced by employees in terms of service quality and experience. Nevertheless, the high ethical standards in global supply chains raise the operational costs and complexity. This notwithstanding, investing in people helps in the creation of long-term brand equity and mitigation of reputational risks, thus, it is a strategic requirement and not a discretionary investment (</w:t>
      </w:r>
      <w:r>
        <w:t>Taheri Hosseinkhani, 2025</w:t>
      </w:r>
      <w:r>
        <w:rPr>
          <w:lang w:val="en-IN"/>
        </w:rPr>
        <w:t>).</w:t>
      </w:r>
    </w:p>
    <w:p w14:paraId="68EC97D4">
      <w:pPr>
        <w:pStyle w:val="3"/>
        <w:rPr>
          <w:lang w:val="en-IN"/>
        </w:rPr>
      </w:pPr>
      <w:bookmarkStart w:id="13" w:name="_Toc237003211"/>
      <w:r>
        <w:rPr>
          <w:lang w:val="en-IN"/>
        </w:rPr>
        <w:t>3.6 Process</w:t>
      </w:r>
      <w:bookmarkEnd w:id="13"/>
      <w:r>
        <w:rPr>
          <w:lang w:val="en-IN"/>
        </w:rPr>
        <w:t xml:space="preserve"> </w:t>
      </w:r>
    </w:p>
    <w:p w14:paraId="578993C7">
      <w:pPr>
        <w:spacing w:line="360" w:lineRule="auto"/>
        <w:jc w:val="both"/>
        <w:rPr>
          <w:lang w:val="en-IN"/>
        </w:rPr>
      </w:pPr>
      <w:r>
        <w:rPr>
          <w:lang w:val="en-IN"/>
        </w:rPr>
        <w:t>Its production and supply chain focuses on sustainability by manufacturing products in a sustainable way and having open supply chains. Adidas ensures that it incorporates recent technologies in order to minimize waste, emissions, and use of resources, which are in line with the principles of the circular economy. More importantly, effective operations will increase the reliability of operations and strengthen brand trust through accountability (</w:t>
      </w:r>
      <w:r>
        <w:t>Hong and Xiao, 2024</w:t>
      </w:r>
      <w:r>
        <w:rPr>
          <w:lang w:val="en-IN"/>
        </w:rPr>
        <w:t>). Nevertheless, sustainability and cost efficiency have a trade-off as the environmentally friendly processes are usually more expensive and slower to scale. This poses a strategic conflict between profitability and environmental responsibility. However, clear and responsible practices enhance the competitive edge as it addresses the regulatory expectations, and it also boosts consumer trust of the brand on its ethical promises (</w:t>
      </w:r>
      <w:r>
        <w:t>Agu et al., 2024</w:t>
      </w:r>
      <w:r>
        <w:rPr>
          <w:lang w:val="en-IN"/>
        </w:rPr>
        <w:t>).</w:t>
      </w:r>
    </w:p>
    <w:p w14:paraId="4C4C06FE">
      <w:pPr>
        <w:pStyle w:val="3"/>
        <w:rPr>
          <w:lang w:val="en-IN"/>
        </w:rPr>
      </w:pPr>
      <w:bookmarkStart w:id="14" w:name="_Toc237003212"/>
      <w:r>
        <w:rPr>
          <w:lang w:val="en-IN"/>
        </w:rPr>
        <w:t>3.7 Physical Evidence</w:t>
      </w:r>
      <w:bookmarkEnd w:id="14"/>
      <w:r>
        <w:rPr>
          <w:lang w:val="en-IN"/>
        </w:rPr>
        <w:t xml:space="preserve"> </w:t>
      </w:r>
    </w:p>
    <w:p w14:paraId="1BB51B0A">
      <w:pPr>
        <w:spacing w:line="360" w:lineRule="auto"/>
        <w:jc w:val="both"/>
        <w:rPr>
          <w:lang w:val="en-IN"/>
        </w:rPr>
      </w:pPr>
      <w:r>
        <w:rPr>
          <w:lang w:val="en-IN"/>
        </w:rPr>
        <w:t>Physical evidence supports EcoSmart brand with sustainable packaging, green branding and with eco-friendly store designs. These physical signals influence the consumer perceptions and substantiate sustainability claims. More importantly, a sustainable design and image contribute to more perceived authenticity and positioning Adidas above competitors, which contributes to the premium positioning (</w:t>
      </w:r>
      <w:r>
        <w:t>Poulis et al., 2026</w:t>
      </w:r>
      <w:r>
        <w:rPr>
          <w:lang w:val="en-IN"/>
        </w:rPr>
        <w:t>). The retail settings also enhance brand experience by putting customers into the sustainability narrative. Nonetheless, overreliance on visual indicators and lack of substantive sustainability measures will lead to greenwashing charge. Thus, the physical evidence should correspond to the reality of product and process sustainability to be credible. Well incorporated, it serves as a potent resource in bolstering brand credibility and consumer faith (</w:t>
      </w:r>
      <w:r>
        <w:t>Lee, 2025</w:t>
      </w:r>
      <w:r>
        <w:rPr>
          <w:lang w:val="en-IN"/>
        </w:rPr>
        <w:t>).</w:t>
      </w:r>
    </w:p>
    <w:p w14:paraId="2CDA3AD1">
      <w:pPr>
        <w:pStyle w:val="2"/>
      </w:pPr>
      <w:bookmarkStart w:id="15" w:name="_Toc237003213"/>
      <w:r>
        <w:t>Element 4: Reflection</w:t>
      </w:r>
      <w:bookmarkEnd w:id="15"/>
    </w:p>
    <w:p w14:paraId="71723A48">
      <w:pPr>
        <w:pStyle w:val="3"/>
        <w:rPr>
          <w:lang w:val="en-IN"/>
        </w:rPr>
      </w:pPr>
      <w:bookmarkStart w:id="16" w:name="_Toc237003214"/>
      <w:r>
        <w:rPr>
          <w:lang w:val="en-IN"/>
        </w:rPr>
        <w:t>4.1 What you did</w:t>
      </w:r>
      <w:bookmarkEnd w:id="16"/>
      <w:r>
        <w:rPr>
          <w:lang w:val="en-IN"/>
        </w:rPr>
        <w:t xml:space="preserve"> </w:t>
      </w:r>
    </w:p>
    <w:p w14:paraId="4632DAC9">
      <w:pPr>
        <w:spacing w:line="360" w:lineRule="auto"/>
        <w:jc w:val="both"/>
        <w:rPr>
          <w:lang w:val="en-IN"/>
        </w:rPr>
      </w:pPr>
      <w:r>
        <w:rPr>
          <w:lang w:val="en-IN"/>
        </w:rPr>
        <w:t>During this project, I have conceptualised the idea of an eco-friendly brand extension of the Adidas brand and built a detailed marketing plan, namely the EcoSmart Running Shoes. I used major models such as STDP and the 7Ps marketing mix to make sure that it was strategically aligned with the goals of sustainability and business development. Instead of explaining the aspects of marketing, I critically assessed the contributions of each decision to competitive advantage, as well as long-term profitability. This phase, which was based on Gibbs Reflective Cycle, was the description phase where I laid down the project in a systematic way, incorporating sustainability as a strategic driver rather than an additional characteristic.</w:t>
      </w:r>
    </w:p>
    <w:p w14:paraId="29568D26">
      <w:pPr>
        <w:pStyle w:val="3"/>
        <w:rPr>
          <w:lang w:val="en-IN"/>
        </w:rPr>
      </w:pPr>
      <w:bookmarkStart w:id="17" w:name="_Toc237003215"/>
      <w:r>
        <w:rPr>
          <w:lang w:val="en-IN"/>
        </w:rPr>
        <w:t>4.2 What you learned</w:t>
      </w:r>
      <w:bookmarkEnd w:id="17"/>
      <w:r>
        <w:rPr>
          <w:lang w:val="en-IN"/>
        </w:rPr>
        <w:t xml:space="preserve"> </w:t>
      </w:r>
    </w:p>
    <w:p w14:paraId="7871A8EB">
      <w:pPr>
        <w:spacing w:line="360" w:lineRule="auto"/>
        <w:jc w:val="both"/>
        <w:rPr>
          <w:lang w:val="en-IN"/>
        </w:rPr>
      </w:pPr>
      <w:r>
        <w:rPr>
          <w:lang w:val="en-IN"/>
        </w:rPr>
        <w:t>In the process, I gained a better insight into how STDP and the marketing mix are interrelated strategic tools and not distinct systems. I critically realised that segmentation and targeting choices have a direct impact on pricing, positioning, and promotional options. Also, I got to know that sustainability is not a fad but a driving force of the contemporary consumer behaviour and competitive stance. Using Gibbs Reflective Cycle (feelings and evaluation stages) I acknowledged that the combination of theory and application to real-life helped me to develop analytical thinking, especially when weighing the trade-offs between profitability and environmental responsibility.</w:t>
      </w:r>
    </w:p>
    <w:p w14:paraId="73ABB7E0">
      <w:pPr>
        <w:pStyle w:val="3"/>
        <w:rPr>
          <w:lang w:val="en-IN"/>
        </w:rPr>
      </w:pPr>
      <w:bookmarkStart w:id="18" w:name="_Toc237003216"/>
      <w:r>
        <w:rPr>
          <w:lang w:val="en-IN"/>
        </w:rPr>
        <w:t>4.3 Skills developed</w:t>
      </w:r>
      <w:bookmarkEnd w:id="18"/>
      <w:r>
        <w:rPr>
          <w:lang w:val="en-IN"/>
        </w:rPr>
        <w:t xml:space="preserve"> </w:t>
      </w:r>
    </w:p>
    <w:p w14:paraId="1DBA0FCD">
      <w:pPr>
        <w:spacing w:line="360" w:lineRule="auto"/>
        <w:jc w:val="both"/>
        <w:rPr>
          <w:lang w:val="en-IN"/>
        </w:rPr>
      </w:pPr>
      <w:r>
        <w:rPr>
          <w:lang w:val="en-IN"/>
        </w:rPr>
        <w:t>This project helped me a lot in developing critical thinking, research and strategic analysis skills. I also enhanced my skills in analyzing marketing models including the Porters and Kotler models and relating to business practice. My academic research abilities were also enhanced as I had to work with reliable sources and generalise information into logical points. By the process of analysis of Gibbs Reflective Cycle, I gained more confidence in providing justification of strategic decisions based on evidence as opposed to assumptions. I also enhanced my capacity to associate sustainability with business performance, showing a more developed, postgraduate level of knowledge of marketing strategy.</w:t>
      </w:r>
    </w:p>
    <w:p w14:paraId="54773A1E">
      <w:pPr>
        <w:pStyle w:val="3"/>
        <w:rPr>
          <w:lang w:val="en-IN"/>
        </w:rPr>
      </w:pPr>
      <w:bookmarkStart w:id="19" w:name="_Toc237003217"/>
      <w:r>
        <w:rPr>
          <w:lang w:val="en-IN"/>
        </w:rPr>
        <w:t>4.4 Improvements</w:t>
      </w:r>
      <w:bookmarkEnd w:id="19"/>
      <w:r>
        <w:rPr>
          <w:lang w:val="en-IN"/>
        </w:rPr>
        <w:t xml:space="preserve"> </w:t>
      </w:r>
    </w:p>
    <w:p w14:paraId="7CFD66FD">
      <w:pPr>
        <w:spacing w:line="360" w:lineRule="auto"/>
        <w:jc w:val="both"/>
        <w:rPr>
          <w:lang w:val="en-IN"/>
        </w:rPr>
      </w:pPr>
      <w:r>
        <w:rPr>
          <w:lang w:val="en-IN"/>
        </w:rPr>
        <w:t>Although these are my strong points, I can identify areas that I need to improve, especially through furthering data-driven analysis and improving on more quantitative-based evidence in helping to make strategic decisions. Although my conceptual knowledge is good, I can improve on the future work by incorporating actual market data and financial consequences. Also, I want to enhance my presentation skills to make complex ideas sound more succinctly and convincingly. Considering the conclusion and action plan phases of Gibbs Reflective Cycle, I will work on enhancing analytical richness, better using data, and the development of professional communication to reach a higher level of academic and practical performance in future projects.</w:t>
      </w:r>
    </w:p>
    <w:p w14:paraId="43B9EA42">
      <w:pPr>
        <w:pStyle w:val="2"/>
        <w:rPr>
          <w:lang w:val="en-IN"/>
        </w:rPr>
      </w:pPr>
      <w:bookmarkStart w:id="20" w:name="_Toc237003218"/>
      <w:r>
        <w:rPr>
          <w:lang w:val="en-IN"/>
        </w:rPr>
        <w:t>Conclusion</w:t>
      </w:r>
      <w:bookmarkEnd w:id="20"/>
      <w:r>
        <w:rPr>
          <w:lang w:val="en-IN"/>
        </w:rPr>
        <w:t xml:space="preserve"> </w:t>
      </w:r>
    </w:p>
    <w:p w14:paraId="4E5CB8C6">
      <w:pPr>
        <w:spacing w:line="360" w:lineRule="auto"/>
        <w:jc w:val="both"/>
        <w:rPr>
          <w:lang w:val="en-IN"/>
        </w:rPr>
      </w:pPr>
      <w:r>
        <w:rPr>
          <w:lang w:val="en-IN"/>
        </w:rPr>
        <w:t>To sum up, the EcoSmart Running Shoes is a strategically practical sustainable brand extension that reinforces the competitive stance of Adidas as well as responds to the changing consumer expectations. The analysis shows that sustainability can be efficiently incorporated into mainstream marketing strategy to create economic and environmental values through the use of STDP and the 7Ps marketing mix. Most importantly, to implement such a strategy, one needs to be authentic, deal with cost pressures, and provide coherent brand messages. In general, the report emphasizes that sustainability is no longer a choice, but a strategic necessity that can help Adidas to grow in the long term, increase brand equity, and gain a differentiated status in the sportswear market of the global market.</w:t>
      </w:r>
    </w:p>
    <w:p w14:paraId="1AC0AE5F">
      <w:pPr>
        <w:spacing w:after="160" w:line="259" w:lineRule="auto"/>
        <w:rPr>
          <w:lang w:val="en-IN"/>
        </w:rPr>
      </w:pPr>
      <w:r>
        <w:rPr>
          <w:lang w:val="en-IN"/>
        </w:rPr>
        <w:br w:type="page"/>
      </w:r>
    </w:p>
    <w:p w14:paraId="5AFFD6BE">
      <w:pPr>
        <w:pStyle w:val="2"/>
        <w:rPr>
          <w:lang w:val="en-IN"/>
        </w:rPr>
      </w:pPr>
      <w:bookmarkStart w:id="21" w:name="_Toc237003219"/>
      <w:r>
        <w:rPr>
          <w:lang w:val="en-IN"/>
        </w:rPr>
        <w:t>References</w:t>
      </w:r>
      <w:bookmarkEnd w:id="21"/>
    </w:p>
    <w:p w14:paraId="2311DF70">
      <w:pPr>
        <w:spacing w:line="360" w:lineRule="auto"/>
        <w:jc w:val="both"/>
      </w:pPr>
      <w:r>
        <w:t>Agarwal, S., Kweh, Q. L., Goh, K. W., and Wider, W. (2025). Redefining marketing strategies through sustainability: Influencing consumer behavior in the circular economy: A systematic review and future research roadmap. </w:t>
      </w:r>
      <w:r>
        <w:rPr>
          <w:i/>
          <w:iCs/>
        </w:rPr>
        <w:t>Cleaner and Responsible Consumption</w:t>
      </w:r>
      <w:r>
        <w:t>, </w:t>
      </w:r>
      <w:r>
        <w:rPr>
          <w:i/>
          <w:iCs/>
        </w:rPr>
        <w:t>18</w:t>
      </w:r>
      <w:r>
        <w:t>, 100298.</w:t>
      </w:r>
    </w:p>
    <w:p w14:paraId="7FB594F7">
      <w:pPr>
        <w:spacing w:line="360" w:lineRule="auto"/>
        <w:jc w:val="both"/>
      </w:pPr>
      <w:r>
        <w:t>Agu, E. E., Iyelolu, T. V., Idemudia, C., and Ijomah, T. I. (2024). Exploring the relationship between sustainable business practices and increased brand loyalty. </w:t>
      </w:r>
      <w:r>
        <w:rPr>
          <w:i/>
          <w:iCs/>
        </w:rPr>
        <w:t>International Journal of Management and Entrepreneurship Research</w:t>
      </w:r>
      <w:r>
        <w:t>, </w:t>
      </w:r>
      <w:r>
        <w:rPr>
          <w:i/>
          <w:iCs/>
        </w:rPr>
        <w:t>6</w:t>
      </w:r>
      <w:r>
        <w:t>(8), 2463-2475.</w:t>
      </w:r>
    </w:p>
    <w:p w14:paraId="7420BA4B">
      <w:pPr>
        <w:spacing w:line="360" w:lineRule="auto"/>
        <w:jc w:val="both"/>
      </w:pPr>
      <w:r>
        <w:t>Bai, H., Shi, J., Song, P., McColl, J., Moore, C., and Fillis, I. (2024). Localised multiple channel distribution strategies of luxury fashion retailers–evidence from China. </w:t>
      </w:r>
      <w:r>
        <w:rPr>
          <w:i/>
          <w:iCs/>
        </w:rPr>
        <w:t>Journal of Fashion Marketing and Management: An International Journal</w:t>
      </w:r>
      <w:r>
        <w:t>, </w:t>
      </w:r>
      <w:r>
        <w:rPr>
          <w:i/>
          <w:iCs/>
        </w:rPr>
        <w:t>28</w:t>
      </w:r>
      <w:r>
        <w:t>(6), 1151-1169.</w:t>
      </w:r>
    </w:p>
    <w:p w14:paraId="2697C51C">
      <w:pPr>
        <w:spacing w:line="360" w:lineRule="auto"/>
        <w:jc w:val="both"/>
      </w:pPr>
      <w:r>
        <w:t>Daou, L., Sayegh, E., Atallah, E., Jabbour Al Maalouf, N., and Sarkis, N. (2025). Greenwashing as a barrier to sustainable marketing: Expectation disconfirmation, confusion, and brand–consumer relationships. </w:t>
      </w:r>
      <w:r>
        <w:rPr>
          <w:i/>
          <w:iCs/>
        </w:rPr>
        <w:t>Sustainability</w:t>
      </w:r>
      <w:r>
        <w:t>, </w:t>
      </w:r>
      <w:r>
        <w:rPr>
          <w:i/>
          <w:iCs/>
        </w:rPr>
        <w:t>17</w:t>
      </w:r>
      <w:r>
        <w:t>(22), 9979.</w:t>
      </w:r>
    </w:p>
    <w:p w14:paraId="2771925F">
      <w:pPr>
        <w:spacing w:line="360" w:lineRule="auto"/>
        <w:jc w:val="both"/>
      </w:pPr>
      <w:r>
        <w:t>Datta, A. (2025) A study on financial implications of sustainable business practices with respect to fashion/apparel industry.</w:t>
      </w:r>
    </w:p>
    <w:p w14:paraId="4B092020">
      <w:pPr>
        <w:spacing w:line="360" w:lineRule="auto"/>
        <w:jc w:val="both"/>
      </w:pPr>
      <w:r>
        <w:t>França, A., López‐Manuel, L., Sartal, A., and Vázquez, X. H. (2023). Adapting corporations to climate change: How decarbonization impacts the business strategy–performance nexus. </w:t>
      </w:r>
      <w:r>
        <w:rPr>
          <w:i/>
          <w:iCs/>
        </w:rPr>
        <w:t>Business Strategy and the Environment</w:t>
      </w:r>
      <w:r>
        <w:t>, </w:t>
      </w:r>
      <w:r>
        <w:rPr>
          <w:i/>
          <w:iCs/>
        </w:rPr>
        <w:t>32</w:t>
      </w:r>
      <w:r>
        <w:t>(8), 5615-5632.</w:t>
      </w:r>
    </w:p>
    <w:p w14:paraId="38224EC2">
      <w:pPr>
        <w:spacing w:line="360" w:lineRule="auto"/>
        <w:jc w:val="both"/>
      </w:pPr>
      <w:r>
        <w:t>Gartner, J., Maresch, D., and Tierney, R. (2024). The key to scaling in the digital era: Simultaneous automation, individualization and interdisciplinarity. </w:t>
      </w:r>
      <w:r>
        <w:rPr>
          <w:i/>
          <w:iCs/>
        </w:rPr>
        <w:t>Journal of Small Business Management</w:t>
      </w:r>
      <w:r>
        <w:t>, </w:t>
      </w:r>
      <w:r>
        <w:rPr>
          <w:i/>
          <w:iCs/>
        </w:rPr>
        <w:t>62</w:t>
      </w:r>
      <w:r>
        <w:t>(2), 628-655.</w:t>
      </w:r>
    </w:p>
    <w:p w14:paraId="173427DE">
      <w:pPr>
        <w:spacing w:line="360" w:lineRule="auto"/>
        <w:jc w:val="both"/>
      </w:pPr>
      <w:r>
        <w:t>Guo, J. (2026). ESG disclosure and price premiums in sustainable pet food markets: the mediating role of value chain signals and consumer trust. </w:t>
      </w:r>
      <w:r>
        <w:rPr>
          <w:i/>
          <w:iCs/>
        </w:rPr>
        <w:t>Frontiers in Sustainable Food Systems</w:t>
      </w:r>
      <w:r>
        <w:t>, </w:t>
      </w:r>
      <w:r>
        <w:rPr>
          <w:i/>
          <w:iCs/>
        </w:rPr>
        <w:t>10</w:t>
      </w:r>
      <w:r>
        <w:t>, 1835925.</w:t>
      </w:r>
    </w:p>
    <w:p w14:paraId="46EA3CC0">
      <w:pPr>
        <w:spacing w:line="360" w:lineRule="auto"/>
        <w:jc w:val="both"/>
      </w:pPr>
      <w:r>
        <w:t>Hong, Z., and Xiao, K. (2024). Digital economy structuring for sustainable development: the role of blockchain and artificial intelligence in improving supply chain and reducing negative environmental impacts. </w:t>
      </w:r>
      <w:r>
        <w:rPr>
          <w:i/>
          <w:iCs/>
        </w:rPr>
        <w:t>Scientific Reports</w:t>
      </w:r>
      <w:r>
        <w:t>, </w:t>
      </w:r>
      <w:r>
        <w:rPr>
          <w:i/>
          <w:iCs/>
        </w:rPr>
        <w:t>14</w:t>
      </w:r>
      <w:r>
        <w:t>(1), 3912.</w:t>
      </w:r>
    </w:p>
    <w:p w14:paraId="23296812">
      <w:pPr>
        <w:spacing w:line="360" w:lineRule="auto"/>
        <w:jc w:val="both"/>
      </w:pPr>
      <w:r>
        <w:t>Kruja, D., Canco, I., and Kola, F. (2025). From green demand to green skills: The role of consumers in shaping sustainable workforce competencies. </w:t>
      </w:r>
      <w:r>
        <w:rPr>
          <w:i/>
          <w:iCs/>
        </w:rPr>
        <w:t>Sustainability</w:t>
      </w:r>
      <w:r>
        <w:t>, </w:t>
      </w:r>
      <w:r>
        <w:rPr>
          <w:i/>
          <w:iCs/>
        </w:rPr>
        <w:t>17</w:t>
      </w:r>
      <w:r>
        <w:t>(24), 10890.</w:t>
      </w:r>
    </w:p>
    <w:p w14:paraId="068A379C">
      <w:pPr>
        <w:spacing w:line="360" w:lineRule="auto"/>
        <w:jc w:val="both"/>
      </w:pPr>
      <w:r>
        <w:t>Lee, G. K. S. (2025). Building brands for a sustainable future: Integrating strategy, consumer response and ethical communication. </w:t>
      </w:r>
      <w:r>
        <w:rPr>
          <w:i/>
          <w:iCs/>
        </w:rPr>
        <w:t>Asian Journal of Economics, Business and Accounting</w:t>
      </w:r>
      <w:r>
        <w:t>, </w:t>
      </w:r>
      <w:r>
        <w:rPr>
          <w:i/>
          <w:iCs/>
        </w:rPr>
        <w:t>25</w:t>
      </w:r>
      <w:r>
        <w:t>(5), 10-9734.</w:t>
      </w:r>
    </w:p>
    <w:p w14:paraId="7F841091">
      <w:pPr>
        <w:spacing w:line="360" w:lineRule="auto"/>
        <w:jc w:val="both"/>
      </w:pPr>
      <w:r>
        <w:t>Liu, X., Kim, T. H., and Lee, M. J. (2025). The impact of green perceived value through green new products on purchase intention: Brand attitudes, brand trust, and digital customer engagement. </w:t>
      </w:r>
      <w:r>
        <w:rPr>
          <w:i/>
          <w:iCs/>
        </w:rPr>
        <w:t>Sustainability</w:t>
      </w:r>
      <w:r>
        <w:t>, </w:t>
      </w:r>
      <w:r>
        <w:rPr>
          <w:i/>
          <w:iCs/>
        </w:rPr>
        <w:t>17</w:t>
      </w:r>
      <w:r>
        <w:t>(9), 4106.</w:t>
      </w:r>
    </w:p>
    <w:p w14:paraId="087C9406">
      <w:pPr>
        <w:spacing w:line="360" w:lineRule="auto"/>
        <w:jc w:val="both"/>
      </w:pPr>
      <w:r>
        <w:t>Meijer-Werner, H. J. P. (2024). </w:t>
      </w:r>
      <w:r>
        <w:rPr>
          <w:i/>
          <w:iCs/>
        </w:rPr>
        <w:t>Heralding Adidas´ Turnaround: Leveraging E-Commerce and Athleisure Trends</w:t>
      </w:r>
      <w:r>
        <w:t> (Master's thesis, Universidade NOVA de Lisboa (Portugal)).</w:t>
      </w:r>
    </w:p>
    <w:p w14:paraId="2E475BB5">
      <w:pPr>
        <w:spacing w:line="360" w:lineRule="auto"/>
        <w:jc w:val="both"/>
      </w:pPr>
      <w:r>
        <w:t>Poulis, A., Theodoridis, P., and Zacharatos, T. (2026). Green branding in the digital era: The role of influencer credibility and greenwashing in shaping brand authenticity, trust and purchase intentions. </w:t>
      </w:r>
      <w:r>
        <w:rPr>
          <w:i/>
          <w:iCs/>
        </w:rPr>
        <w:t>Sustainability</w:t>
      </w:r>
      <w:r>
        <w:t>, </w:t>
      </w:r>
      <w:r>
        <w:rPr>
          <w:i/>
          <w:iCs/>
        </w:rPr>
        <w:t>18</w:t>
      </w:r>
      <w:r>
        <w:t>(1), 451.</w:t>
      </w:r>
    </w:p>
    <w:p w14:paraId="02960B12">
      <w:pPr>
        <w:spacing w:line="360" w:lineRule="auto"/>
        <w:jc w:val="both"/>
      </w:pPr>
      <w:r>
        <w:t>Şenyapar, H. N. D. (2024). Unveiling greenwashing strategies: A comprehensive analysis of impacts on consumer trust and environmental sustainability. </w:t>
      </w:r>
      <w:r>
        <w:rPr>
          <w:i/>
          <w:iCs/>
        </w:rPr>
        <w:t>Journal of Energy Systems</w:t>
      </w:r>
      <w:r>
        <w:t>, </w:t>
      </w:r>
      <w:r>
        <w:rPr>
          <w:i/>
          <w:iCs/>
        </w:rPr>
        <w:t>8</w:t>
      </w:r>
      <w:r>
        <w:t>(3), 164-181.</w:t>
      </w:r>
    </w:p>
    <w:p w14:paraId="51335C9F">
      <w:pPr>
        <w:spacing w:line="360" w:lineRule="auto"/>
        <w:jc w:val="both"/>
      </w:pPr>
      <w:r>
        <w:t>Setyadi, A., Pawirosumarto, S., and Damaris, A. (2025). Sustainable operations strategy in the age of climate change: integrating green lean practices into operational excellence. </w:t>
      </w:r>
      <w:r>
        <w:rPr>
          <w:i/>
          <w:iCs/>
        </w:rPr>
        <w:t>Sustainability</w:t>
      </w:r>
      <w:r>
        <w:t>, </w:t>
      </w:r>
      <w:r>
        <w:rPr>
          <w:i/>
          <w:iCs/>
        </w:rPr>
        <w:t>17</w:t>
      </w:r>
      <w:r>
        <w:t>(13), 5954.</w:t>
      </w:r>
    </w:p>
    <w:p w14:paraId="3A752A9D">
      <w:pPr>
        <w:spacing w:line="360" w:lineRule="auto"/>
        <w:jc w:val="both"/>
      </w:pPr>
      <w:r>
        <w:t>Shrivastava, P., Hernandez, S. R., and Hernandaz, O. R. (2025). Sustainable consumption meets conspicuous leisure: a dual-theory exploration in luxury hospitality. </w:t>
      </w:r>
      <w:r>
        <w:rPr>
          <w:i/>
          <w:iCs/>
        </w:rPr>
        <w:t>Frontiers in Sustainable Tourism</w:t>
      </w:r>
      <w:r>
        <w:t>, </w:t>
      </w:r>
      <w:r>
        <w:rPr>
          <w:i/>
          <w:iCs/>
        </w:rPr>
        <w:t>4</w:t>
      </w:r>
      <w:r>
        <w:t>, 1640400.</w:t>
      </w:r>
    </w:p>
    <w:p w14:paraId="3BF09444">
      <w:pPr>
        <w:spacing w:line="360" w:lineRule="auto"/>
        <w:jc w:val="both"/>
      </w:pPr>
      <w:r>
        <w:t>Taheri Hosseinkhani, N. (2025). Sustainable and Resilient Supply Chain Strategies in the Post-COVID Era. </w:t>
      </w:r>
      <w:r>
        <w:rPr>
          <w:i/>
          <w:iCs/>
        </w:rPr>
        <w:t>Available at SSRN 5448394</w:t>
      </w:r>
      <w:r>
        <w:t>.</w:t>
      </w:r>
    </w:p>
    <w:p w14:paraId="1774B645">
      <w:pPr>
        <w:spacing w:line="360" w:lineRule="auto"/>
        <w:jc w:val="both"/>
      </w:pPr>
      <w:r>
        <w:t>Teotia, R. (2024). Elevating brands: Unveiling the power of corporate social responsibility on brand reputation and consumer behavior. </w:t>
      </w:r>
      <w:r>
        <w:rPr>
          <w:i/>
          <w:iCs/>
        </w:rPr>
        <w:t>Tuijin Jishu/Journal of Propulsion Technology</w:t>
      </w:r>
      <w:r>
        <w:t>, </w:t>
      </w:r>
      <w:r>
        <w:rPr>
          <w:i/>
          <w:iCs/>
        </w:rPr>
        <w:t>45</w:t>
      </w:r>
      <w:r>
        <w:t>(3), 2024.</w:t>
      </w:r>
    </w:p>
    <w:p w14:paraId="73812611">
      <w:pPr>
        <w:spacing w:line="360" w:lineRule="auto"/>
        <w:jc w:val="both"/>
      </w:pPr>
      <w:r>
        <w:t>Wang, M., Marsden, J., Oguz, E., and Thomas, B. (2023). Exploring sustainable retail experiences: shall we make it fashionable?. </w:t>
      </w:r>
      <w:r>
        <w:rPr>
          <w:i/>
          <w:iCs/>
        </w:rPr>
        <w:t>Sustainability</w:t>
      </w:r>
      <w:r>
        <w:t>, </w:t>
      </w:r>
      <w:r>
        <w:rPr>
          <w:i/>
          <w:iCs/>
        </w:rPr>
        <w:t>15</w:t>
      </w:r>
      <w:r>
        <w:t>(23), 16478.</w:t>
      </w:r>
    </w:p>
    <w:p w14:paraId="3C9E5270">
      <w:pPr>
        <w:spacing w:line="360" w:lineRule="auto"/>
        <w:jc w:val="both"/>
      </w:pPr>
      <w:r>
        <w:t>Yazid, A. A. (2026). The Illusion of Eco-Friendly Brands: Greenwashing and Consumer Backlash in Fast-Fashion Retail. </w:t>
      </w:r>
      <w:r>
        <w:rPr>
          <w:i/>
          <w:iCs/>
        </w:rPr>
        <w:t>BizGrowth: Journal of Business and Economic Development</w:t>
      </w:r>
      <w:r>
        <w:t>, </w:t>
      </w:r>
      <w:r>
        <w:rPr>
          <w:i/>
          <w:iCs/>
        </w:rPr>
        <w:t>1</w:t>
      </w:r>
      <w:r>
        <w:t>(2), 77-92.</w:t>
      </w:r>
    </w:p>
    <w:p w14:paraId="20CD5AB2">
      <w:pPr>
        <w:spacing w:line="360" w:lineRule="auto"/>
        <w:jc w:val="both"/>
      </w:pPr>
      <w:r>
        <w:t>Zara, T. (2025). Measurement of biocompatible polymers. Assessing technical properties and modelling their environmental impact relationships for new innovative Decathlon products.</w:t>
      </w:r>
    </w:p>
    <w:p w14:paraId="011D2780">
      <w:pPr>
        <w:spacing w:line="360" w:lineRule="auto"/>
        <w:jc w:val="both"/>
      </w:pPr>
      <w:r>
        <w:t>Zupok, S., Dyrka, S., and Kapała, M. (2025). Sustainable marketing: integrating environmental values into customer communication.</w:t>
      </w:r>
    </w:p>
    <w:p w14:paraId="26C307E0">
      <w:pPr>
        <w:spacing w:line="360" w:lineRule="auto"/>
        <w:jc w:val="both"/>
        <w:rPr>
          <w:lang w:val="en-IN"/>
        </w:rPr>
      </w:pPr>
    </w:p>
    <w:p w14:paraId="3E0FA0E5">
      <w:pPr>
        <w:spacing w:line="360" w:lineRule="auto"/>
        <w:jc w:val="both"/>
        <w:rPr>
          <w:lang w:val="en-IN"/>
        </w:rPr>
      </w:pPr>
    </w:p>
    <w:p w14:paraId="726A7D18">
      <w:pPr>
        <w:spacing w:line="360" w:lineRule="auto"/>
        <w:jc w:val="both"/>
      </w:pPr>
    </w:p>
    <w:sectPr>
      <w:footerReference r:id="rId5" w:type="default"/>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Aptos Display">
    <w:altName w:val="Segoe Print"/>
    <w:panose1 w:val="00000000000000000000"/>
    <w:charset w:val="00"/>
    <w:family w:val="swiss"/>
    <w:pitch w:val="default"/>
    <w:sig w:usb0="00000000" w:usb1="00000000" w:usb2="00000000" w:usb3="00000000" w:csb0="0000019F" w:csb1="00000000"/>
  </w:font>
  <w:font w:name="等线">
    <w:altName w:val="Microsoft YaHei"/>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6142715"/>
      <w:docPartObj>
        <w:docPartGallery w:val="AutoText"/>
      </w:docPartObj>
    </w:sdtPr>
    <w:sdtContent>
      <w:p w14:paraId="5A87DCFE">
        <w:pPr>
          <w:pStyle w:val="14"/>
          <w:jc w:val="center"/>
        </w:pPr>
        <w:r>
          <w:fldChar w:fldCharType="begin"/>
        </w:r>
        <w:r>
          <w:instrText xml:space="preserve"> PAGE   \* MERGEFORMAT </w:instrText>
        </w:r>
        <w:r>
          <w:fldChar w:fldCharType="separate"/>
        </w:r>
        <w:r>
          <w:t>2</w:t>
        </w:r>
        <w:r>
          <w:fldChar w:fldCharType="end"/>
        </w:r>
      </w:p>
    </w:sdtContent>
  </w:sdt>
  <w:p w14:paraId="51487CCB">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12EC"/>
    <w:rsid w:val="000411B3"/>
    <w:rsid w:val="00044500"/>
    <w:rsid w:val="000453B9"/>
    <w:rsid w:val="00065F6C"/>
    <w:rsid w:val="000727DC"/>
    <w:rsid w:val="000D08AC"/>
    <w:rsid w:val="00121BEE"/>
    <w:rsid w:val="00187A53"/>
    <w:rsid w:val="00193DC7"/>
    <w:rsid w:val="001B6D0B"/>
    <w:rsid w:val="001B7E90"/>
    <w:rsid w:val="001C1C3B"/>
    <w:rsid w:val="001D2070"/>
    <w:rsid w:val="00201146"/>
    <w:rsid w:val="0021184A"/>
    <w:rsid w:val="00226F3F"/>
    <w:rsid w:val="002333ED"/>
    <w:rsid w:val="00266717"/>
    <w:rsid w:val="00290F6B"/>
    <w:rsid w:val="00297E15"/>
    <w:rsid w:val="002A3A22"/>
    <w:rsid w:val="002B31A1"/>
    <w:rsid w:val="002B5C29"/>
    <w:rsid w:val="002C029B"/>
    <w:rsid w:val="002C2355"/>
    <w:rsid w:val="002C312F"/>
    <w:rsid w:val="002D12EC"/>
    <w:rsid w:val="002F53B7"/>
    <w:rsid w:val="00302C04"/>
    <w:rsid w:val="003074AD"/>
    <w:rsid w:val="00314802"/>
    <w:rsid w:val="00316809"/>
    <w:rsid w:val="003352E6"/>
    <w:rsid w:val="00345E3F"/>
    <w:rsid w:val="00392DC5"/>
    <w:rsid w:val="00397A87"/>
    <w:rsid w:val="003A7032"/>
    <w:rsid w:val="00401D5C"/>
    <w:rsid w:val="00413BC3"/>
    <w:rsid w:val="00435284"/>
    <w:rsid w:val="00457590"/>
    <w:rsid w:val="0046044E"/>
    <w:rsid w:val="00471486"/>
    <w:rsid w:val="004723B8"/>
    <w:rsid w:val="00493FB4"/>
    <w:rsid w:val="004B33BE"/>
    <w:rsid w:val="004C25FD"/>
    <w:rsid w:val="004E2776"/>
    <w:rsid w:val="00503493"/>
    <w:rsid w:val="00520B22"/>
    <w:rsid w:val="00526629"/>
    <w:rsid w:val="00557B86"/>
    <w:rsid w:val="0057497A"/>
    <w:rsid w:val="00580DD2"/>
    <w:rsid w:val="0058710B"/>
    <w:rsid w:val="005C7AF4"/>
    <w:rsid w:val="005D3DBB"/>
    <w:rsid w:val="006162F3"/>
    <w:rsid w:val="006176EB"/>
    <w:rsid w:val="00632760"/>
    <w:rsid w:val="0064174F"/>
    <w:rsid w:val="006530BD"/>
    <w:rsid w:val="00656180"/>
    <w:rsid w:val="0065619C"/>
    <w:rsid w:val="00694D28"/>
    <w:rsid w:val="006C56FD"/>
    <w:rsid w:val="006D1300"/>
    <w:rsid w:val="00714E5B"/>
    <w:rsid w:val="007513CC"/>
    <w:rsid w:val="00761B29"/>
    <w:rsid w:val="00764B6D"/>
    <w:rsid w:val="00767085"/>
    <w:rsid w:val="0077244C"/>
    <w:rsid w:val="007B4F7E"/>
    <w:rsid w:val="007F335B"/>
    <w:rsid w:val="007F6436"/>
    <w:rsid w:val="00822224"/>
    <w:rsid w:val="00861AB4"/>
    <w:rsid w:val="00887482"/>
    <w:rsid w:val="00890122"/>
    <w:rsid w:val="008D6307"/>
    <w:rsid w:val="008D65D5"/>
    <w:rsid w:val="008E217E"/>
    <w:rsid w:val="008F1353"/>
    <w:rsid w:val="009042D7"/>
    <w:rsid w:val="00952746"/>
    <w:rsid w:val="00952A9F"/>
    <w:rsid w:val="00980FBB"/>
    <w:rsid w:val="009846DA"/>
    <w:rsid w:val="009961BE"/>
    <w:rsid w:val="009B2C97"/>
    <w:rsid w:val="009F7605"/>
    <w:rsid w:val="00A150D3"/>
    <w:rsid w:val="00A26F70"/>
    <w:rsid w:val="00A31D01"/>
    <w:rsid w:val="00A60222"/>
    <w:rsid w:val="00A7749A"/>
    <w:rsid w:val="00AA072B"/>
    <w:rsid w:val="00AA2E66"/>
    <w:rsid w:val="00AA507F"/>
    <w:rsid w:val="00AD3D6D"/>
    <w:rsid w:val="00AE08FF"/>
    <w:rsid w:val="00AE3BE1"/>
    <w:rsid w:val="00B10E47"/>
    <w:rsid w:val="00B1151C"/>
    <w:rsid w:val="00B143E1"/>
    <w:rsid w:val="00B32579"/>
    <w:rsid w:val="00B52018"/>
    <w:rsid w:val="00B70480"/>
    <w:rsid w:val="00BC32C9"/>
    <w:rsid w:val="00BD44C0"/>
    <w:rsid w:val="00BD661C"/>
    <w:rsid w:val="00BD7595"/>
    <w:rsid w:val="00C04DB1"/>
    <w:rsid w:val="00C15512"/>
    <w:rsid w:val="00C44FC0"/>
    <w:rsid w:val="00C63625"/>
    <w:rsid w:val="00C6609D"/>
    <w:rsid w:val="00CA43D0"/>
    <w:rsid w:val="00CA6D78"/>
    <w:rsid w:val="00CD1A60"/>
    <w:rsid w:val="00CF0730"/>
    <w:rsid w:val="00CF690F"/>
    <w:rsid w:val="00D07733"/>
    <w:rsid w:val="00D53F08"/>
    <w:rsid w:val="00D62AE6"/>
    <w:rsid w:val="00D63979"/>
    <w:rsid w:val="00D973A9"/>
    <w:rsid w:val="00DD0FB2"/>
    <w:rsid w:val="00E0360E"/>
    <w:rsid w:val="00E03800"/>
    <w:rsid w:val="00E27006"/>
    <w:rsid w:val="00E472CD"/>
    <w:rsid w:val="00E67925"/>
    <w:rsid w:val="00E744A4"/>
    <w:rsid w:val="00E74F31"/>
    <w:rsid w:val="00E844FD"/>
    <w:rsid w:val="00E94E7B"/>
    <w:rsid w:val="00EA6ACB"/>
    <w:rsid w:val="00EB6CE6"/>
    <w:rsid w:val="00EC7696"/>
    <w:rsid w:val="00ED2060"/>
    <w:rsid w:val="00EE05B0"/>
    <w:rsid w:val="00EF1A75"/>
    <w:rsid w:val="00F03F25"/>
    <w:rsid w:val="00F249C4"/>
    <w:rsid w:val="00F47D78"/>
    <w:rsid w:val="00F76CDE"/>
    <w:rsid w:val="00F84C83"/>
    <w:rsid w:val="00F97F20"/>
    <w:rsid w:val="00FC6C94"/>
    <w:rsid w:val="5EBA031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Calibr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imes New Roman" w:hAnsi="Times New Roman" w:eastAsia="Calibri" w:cs="Times New Roman"/>
      <w:kern w:val="0"/>
      <w:sz w:val="24"/>
      <w:szCs w:val="22"/>
      <w:lang w:val="en-GB" w:eastAsia="en-US" w:bidi="ar-SA"/>
      <w14:ligatures w14:val="none"/>
    </w:rPr>
  </w:style>
  <w:style w:type="paragraph" w:styleId="2">
    <w:name w:val="heading 1"/>
    <w:basedOn w:val="1"/>
    <w:next w:val="1"/>
    <w:link w:val="21"/>
    <w:autoRedefine/>
    <w:qFormat/>
    <w:uiPriority w:val="9"/>
    <w:pPr>
      <w:keepNext/>
      <w:spacing w:before="240" w:after="60"/>
      <w:outlineLvl w:val="0"/>
    </w:pPr>
    <w:rPr>
      <w:rFonts w:eastAsia="Times New Roman"/>
      <w:b/>
      <w:bCs/>
      <w:kern w:val="32"/>
      <w:szCs w:val="32"/>
    </w:rPr>
  </w:style>
  <w:style w:type="paragraph" w:styleId="3">
    <w:name w:val="heading 2"/>
    <w:basedOn w:val="1"/>
    <w:next w:val="1"/>
    <w:link w:val="23"/>
    <w:autoRedefine/>
    <w:unhideWhenUsed/>
    <w:qFormat/>
    <w:uiPriority w:val="9"/>
    <w:pPr>
      <w:keepNext/>
      <w:spacing w:before="240" w:after="60"/>
      <w:outlineLvl w:val="1"/>
    </w:pPr>
    <w:rPr>
      <w:rFonts w:eastAsia="Times New Roman" w:cstheme="minorBidi"/>
      <w:b/>
      <w:bCs/>
      <w:iCs/>
      <w:kern w:val="2"/>
      <w:szCs w:val="28"/>
      <w14:ligatures w14:val="standardContextual"/>
    </w:rPr>
  </w:style>
  <w:style w:type="paragraph" w:styleId="4">
    <w:name w:val="heading 3"/>
    <w:basedOn w:val="1"/>
    <w:next w:val="1"/>
    <w:link w:val="24"/>
    <w:semiHidden/>
    <w:unhideWhenUsed/>
    <w:qFormat/>
    <w:uiPriority w:val="9"/>
    <w:pPr>
      <w:keepNext/>
      <w:keepLines/>
      <w:spacing w:before="160" w:after="80"/>
      <w:outlineLvl w:val="2"/>
    </w:pPr>
    <w:rPr>
      <w:rFonts w:asciiTheme="minorHAnsi" w:hAnsiTheme="minorHAnsi" w:eastAsiaTheme="majorEastAsia" w:cstheme="majorBidi"/>
      <w:color w:val="104862" w:themeColor="accent1" w:themeShade="BF"/>
      <w:sz w:val="28"/>
      <w:szCs w:val="28"/>
    </w:rPr>
  </w:style>
  <w:style w:type="paragraph" w:styleId="5">
    <w:name w:val="heading 4"/>
    <w:basedOn w:val="1"/>
    <w:next w:val="1"/>
    <w:link w:val="25"/>
    <w:semiHidden/>
    <w:unhideWhenUsed/>
    <w:qFormat/>
    <w:uiPriority w:val="9"/>
    <w:pPr>
      <w:keepNext/>
      <w:keepLines/>
      <w:spacing w:before="80" w:after="40"/>
      <w:outlineLvl w:val="3"/>
    </w:pPr>
    <w:rPr>
      <w:rFonts w:asciiTheme="minorHAnsi" w:hAnsiTheme="minorHAnsi" w:eastAsiaTheme="majorEastAsia" w:cstheme="majorBidi"/>
      <w:i/>
      <w:iCs/>
      <w:color w:val="104862" w:themeColor="accent1" w:themeShade="BF"/>
    </w:rPr>
  </w:style>
  <w:style w:type="paragraph" w:styleId="6">
    <w:name w:val="heading 5"/>
    <w:basedOn w:val="1"/>
    <w:next w:val="1"/>
    <w:link w:val="26"/>
    <w:semiHidden/>
    <w:unhideWhenUsed/>
    <w:qFormat/>
    <w:uiPriority w:val="9"/>
    <w:pPr>
      <w:keepNext/>
      <w:keepLines/>
      <w:spacing w:before="80" w:after="40"/>
      <w:outlineLvl w:val="4"/>
    </w:pPr>
    <w:rPr>
      <w:rFonts w:asciiTheme="minorHAnsi" w:hAnsiTheme="minorHAnsi" w:eastAsiaTheme="majorEastAsia" w:cstheme="majorBidi"/>
      <w:color w:val="104862" w:themeColor="accent1" w:themeShade="BF"/>
    </w:rPr>
  </w:style>
  <w:style w:type="paragraph" w:styleId="7">
    <w:name w:val="heading 6"/>
    <w:basedOn w:val="1"/>
    <w:next w:val="1"/>
    <w:link w:val="27"/>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8"/>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0"/>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caption"/>
    <w:basedOn w:val="1"/>
    <w:next w:val="1"/>
    <w:unhideWhenUsed/>
    <w:qFormat/>
    <w:uiPriority w:val="35"/>
    <w:pPr>
      <w:spacing w:line="240" w:lineRule="auto"/>
    </w:pPr>
    <w:rPr>
      <w:i/>
      <w:iCs/>
      <w:color w:val="0E2841" w:themeColor="text2"/>
      <w:sz w:val="18"/>
      <w:szCs w:val="18"/>
      <w14:textFill>
        <w14:solidFill>
          <w14:schemeClr w14:val="tx2"/>
        </w14:solidFill>
      </w14:textFill>
    </w:rPr>
  </w:style>
  <w:style w:type="paragraph" w:styleId="14">
    <w:name w:val="footer"/>
    <w:basedOn w:val="1"/>
    <w:link w:val="41"/>
    <w:unhideWhenUsed/>
    <w:uiPriority w:val="99"/>
    <w:pPr>
      <w:tabs>
        <w:tab w:val="center" w:pos="4513"/>
        <w:tab w:val="right" w:pos="9026"/>
      </w:tabs>
      <w:spacing w:after="0" w:line="240" w:lineRule="auto"/>
    </w:pPr>
  </w:style>
  <w:style w:type="paragraph" w:styleId="15">
    <w:name w:val="header"/>
    <w:basedOn w:val="1"/>
    <w:link w:val="40"/>
    <w:unhideWhenUsed/>
    <w:uiPriority w:val="99"/>
    <w:pPr>
      <w:tabs>
        <w:tab w:val="center" w:pos="4513"/>
        <w:tab w:val="right" w:pos="9026"/>
      </w:tabs>
      <w:spacing w:after="0" w:line="240" w:lineRule="auto"/>
    </w:pPr>
  </w:style>
  <w:style w:type="character" w:styleId="16">
    <w:name w:val="Hyperlink"/>
    <w:basedOn w:val="11"/>
    <w:unhideWhenUsed/>
    <w:qFormat/>
    <w:uiPriority w:val="99"/>
    <w:rPr>
      <w:color w:val="467886" w:themeColor="hyperlink"/>
      <w:u w:val="single"/>
      <w14:textFill>
        <w14:solidFill>
          <w14:schemeClr w14:val="hlink"/>
        </w14:solidFill>
      </w14:textFill>
    </w:rPr>
  </w:style>
  <w:style w:type="paragraph" w:styleId="17">
    <w:name w:val="Subtitle"/>
    <w:basedOn w:val="1"/>
    <w:next w:val="1"/>
    <w:link w:val="32"/>
    <w:qFormat/>
    <w:uiPriority w:val="11"/>
    <w:pPr>
      <w:spacing w:after="160"/>
    </w:pPr>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itle"/>
    <w:basedOn w:val="1"/>
    <w:next w:val="1"/>
    <w:link w:val="31"/>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9">
    <w:name w:val="toc 1"/>
    <w:basedOn w:val="1"/>
    <w:next w:val="1"/>
    <w:autoRedefine/>
    <w:unhideWhenUsed/>
    <w:uiPriority w:val="39"/>
    <w:pPr>
      <w:spacing w:after="100"/>
    </w:pPr>
  </w:style>
  <w:style w:type="paragraph" w:styleId="20">
    <w:name w:val="toc 2"/>
    <w:basedOn w:val="1"/>
    <w:next w:val="1"/>
    <w:autoRedefine/>
    <w:unhideWhenUsed/>
    <w:uiPriority w:val="39"/>
    <w:pPr>
      <w:spacing w:after="100"/>
      <w:ind w:left="240"/>
    </w:pPr>
  </w:style>
  <w:style w:type="character" w:customStyle="1" w:styleId="21">
    <w:name w:val="Heading 1 Char"/>
    <w:link w:val="2"/>
    <w:uiPriority w:val="9"/>
    <w:rPr>
      <w:rFonts w:ascii="Times New Roman" w:hAnsi="Times New Roman" w:eastAsia="Times New Roman"/>
      <w:b/>
      <w:bCs/>
      <w:kern w:val="32"/>
      <w:sz w:val="24"/>
      <w:szCs w:val="32"/>
      <w:lang w:val="en-US"/>
    </w:rPr>
  </w:style>
  <w:style w:type="paragraph" w:styleId="22">
    <w:name w:val="No Spacing"/>
    <w:autoRedefine/>
    <w:qFormat/>
    <w:uiPriority w:val="1"/>
    <w:pPr>
      <w:spacing w:after="0" w:line="240" w:lineRule="auto"/>
      <w:jc w:val="both"/>
    </w:pPr>
    <w:rPr>
      <w:rFonts w:ascii="Times New Roman" w:hAnsi="Times New Roman" w:eastAsia="Calibri" w:cs="Times New Roman"/>
      <w:color w:val="000000" w:themeColor="text1"/>
      <w:kern w:val="0"/>
      <w:sz w:val="24"/>
      <w:szCs w:val="22"/>
      <w:lang w:val="en-US" w:eastAsia="en-US" w:bidi="ar-SA"/>
      <w14:textFill>
        <w14:solidFill>
          <w14:schemeClr w14:val="tx1"/>
        </w14:solidFill>
      </w14:textFill>
      <w14:ligatures w14:val="none"/>
    </w:rPr>
  </w:style>
  <w:style w:type="character" w:customStyle="1" w:styleId="23">
    <w:name w:val="Heading 2 Char"/>
    <w:link w:val="3"/>
    <w:uiPriority w:val="9"/>
    <w:rPr>
      <w:rFonts w:ascii="Times New Roman" w:hAnsi="Times New Roman" w:eastAsia="Times New Roman"/>
      <w:b/>
      <w:bCs/>
      <w:iCs/>
      <w:sz w:val="24"/>
      <w:szCs w:val="28"/>
      <w:lang w:val="en-US"/>
    </w:rPr>
  </w:style>
  <w:style w:type="character" w:customStyle="1" w:styleId="24">
    <w:name w:val="Heading 3 Char"/>
    <w:basedOn w:val="11"/>
    <w:link w:val="4"/>
    <w:semiHidden/>
    <w:uiPriority w:val="9"/>
    <w:rPr>
      <w:rFonts w:eastAsiaTheme="majorEastAsia" w:cstheme="majorBidi"/>
      <w:color w:val="104862" w:themeColor="accent1" w:themeShade="BF"/>
      <w:kern w:val="0"/>
      <w:sz w:val="28"/>
      <w:szCs w:val="28"/>
      <w:lang w:val="en-GB"/>
      <w14:ligatures w14:val="none"/>
    </w:rPr>
  </w:style>
  <w:style w:type="character" w:customStyle="1" w:styleId="25">
    <w:name w:val="Heading 4 Char"/>
    <w:basedOn w:val="11"/>
    <w:link w:val="5"/>
    <w:semiHidden/>
    <w:uiPriority w:val="9"/>
    <w:rPr>
      <w:rFonts w:eastAsiaTheme="majorEastAsia" w:cstheme="majorBidi"/>
      <w:i/>
      <w:iCs/>
      <w:color w:val="104862" w:themeColor="accent1" w:themeShade="BF"/>
      <w:kern w:val="0"/>
      <w:sz w:val="24"/>
      <w:lang w:val="en-GB"/>
      <w14:ligatures w14:val="none"/>
    </w:rPr>
  </w:style>
  <w:style w:type="character" w:customStyle="1" w:styleId="26">
    <w:name w:val="Heading 5 Char"/>
    <w:basedOn w:val="11"/>
    <w:link w:val="6"/>
    <w:semiHidden/>
    <w:uiPriority w:val="9"/>
    <w:rPr>
      <w:rFonts w:eastAsiaTheme="majorEastAsia" w:cstheme="majorBidi"/>
      <w:color w:val="104862" w:themeColor="accent1" w:themeShade="BF"/>
      <w:kern w:val="0"/>
      <w:sz w:val="24"/>
      <w:lang w:val="en-GB"/>
      <w14:ligatures w14:val="none"/>
    </w:rPr>
  </w:style>
  <w:style w:type="character" w:customStyle="1" w:styleId="27">
    <w:name w:val="Heading 6 Char"/>
    <w:basedOn w:val="11"/>
    <w:link w:val="7"/>
    <w:semiHidden/>
    <w:uiPriority w:val="9"/>
    <w:rPr>
      <w:rFonts w:eastAsiaTheme="majorEastAsia" w:cstheme="majorBidi"/>
      <w:i/>
      <w:iCs/>
      <w:color w:val="595959" w:themeColor="text1" w:themeTint="A6"/>
      <w:kern w:val="0"/>
      <w:sz w:val="24"/>
      <w:lang w:val="en-GB"/>
      <w14:textFill>
        <w14:solidFill>
          <w14:schemeClr w14:val="tx1">
            <w14:lumMod w14:val="65000"/>
            <w14:lumOff w14:val="35000"/>
          </w14:schemeClr>
        </w14:solidFill>
      </w14:textFill>
      <w14:ligatures w14:val="none"/>
    </w:rPr>
  </w:style>
  <w:style w:type="character" w:customStyle="1" w:styleId="28">
    <w:name w:val="Heading 7 Char"/>
    <w:basedOn w:val="11"/>
    <w:link w:val="8"/>
    <w:semiHidden/>
    <w:uiPriority w:val="9"/>
    <w:rPr>
      <w:rFonts w:eastAsiaTheme="majorEastAsia" w:cstheme="majorBidi"/>
      <w:color w:val="595959" w:themeColor="text1" w:themeTint="A6"/>
      <w:kern w:val="0"/>
      <w:sz w:val="24"/>
      <w:lang w:val="en-GB"/>
      <w14:textFill>
        <w14:solidFill>
          <w14:schemeClr w14:val="tx1">
            <w14:lumMod w14:val="65000"/>
            <w14:lumOff w14:val="35000"/>
          </w14:schemeClr>
        </w14:solidFill>
      </w14:textFill>
      <w14:ligatures w14:val="none"/>
    </w:rPr>
  </w:style>
  <w:style w:type="character" w:customStyle="1" w:styleId="29">
    <w:name w:val="Heading 8 Char"/>
    <w:basedOn w:val="11"/>
    <w:link w:val="9"/>
    <w:semiHidden/>
    <w:uiPriority w:val="9"/>
    <w:rPr>
      <w:rFonts w:eastAsiaTheme="majorEastAsia" w:cstheme="majorBidi"/>
      <w:i/>
      <w:iCs/>
      <w:color w:val="262626" w:themeColor="text1" w:themeTint="D9"/>
      <w:kern w:val="0"/>
      <w:sz w:val="24"/>
      <w:lang w:val="en-GB"/>
      <w14:textFill>
        <w14:solidFill>
          <w14:schemeClr w14:val="tx1">
            <w14:lumMod w14:val="85000"/>
            <w14:lumOff w14:val="15000"/>
          </w14:schemeClr>
        </w14:solidFill>
      </w14:textFill>
      <w14:ligatures w14:val="none"/>
    </w:rPr>
  </w:style>
  <w:style w:type="character" w:customStyle="1" w:styleId="30">
    <w:name w:val="Heading 9 Char"/>
    <w:basedOn w:val="11"/>
    <w:link w:val="10"/>
    <w:semiHidden/>
    <w:uiPriority w:val="9"/>
    <w:rPr>
      <w:rFonts w:eastAsiaTheme="majorEastAsia" w:cstheme="majorBidi"/>
      <w:color w:val="262626" w:themeColor="text1" w:themeTint="D9"/>
      <w:kern w:val="0"/>
      <w:sz w:val="24"/>
      <w:lang w:val="en-GB"/>
      <w14:textFill>
        <w14:solidFill>
          <w14:schemeClr w14:val="tx1">
            <w14:lumMod w14:val="85000"/>
            <w14:lumOff w14:val="15000"/>
          </w14:schemeClr>
        </w14:solidFill>
      </w14:textFill>
      <w14:ligatures w14:val="none"/>
    </w:rPr>
  </w:style>
  <w:style w:type="character" w:customStyle="1" w:styleId="31">
    <w:name w:val="Title Char"/>
    <w:basedOn w:val="11"/>
    <w:link w:val="18"/>
    <w:uiPriority w:val="10"/>
    <w:rPr>
      <w:rFonts w:asciiTheme="majorHAnsi" w:hAnsiTheme="majorHAnsi" w:eastAsiaTheme="majorEastAsia" w:cstheme="majorBidi"/>
      <w:spacing w:val="-10"/>
      <w:kern w:val="28"/>
      <w:sz w:val="56"/>
      <w:szCs w:val="56"/>
      <w:lang w:val="en-GB"/>
      <w14:ligatures w14:val="none"/>
    </w:rPr>
  </w:style>
  <w:style w:type="character" w:customStyle="1" w:styleId="32">
    <w:name w:val="Subtitle Char"/>
    <w:basedOn w:val="11"/>
    <w:link w:val="17"/>
    <w:uiPriority w:val="11"/>
    <w:rPr>
      <w:rFonts w:eastAsiaTheme="majorEastAsia" w:cstheme="majorBidi"/>
      <w:color w:val="595959" w:themeColor="text1" w:themeTint="A6"/>
      <w:spacing w:val="15"/>
      <w:kern w:val="0"/>
      <w:sz w:val="28"/>
      <w:szCs w:val="28"/>
      <w:lang w:val="en-GB"/>
      <w14:textFill>
        <w14:solidFill>
          <w14:schemeClr w14:val="tx1">
            <w14:lumMod w14:val="65000"/>
            <w14:lumOff w14:val="35000"/>
          </w14:schemeClr>
        </w14:solidFill>
      </w14:textFill>
      <w14:ligatures w14:val="none"/>
    </w:rPr>
  </w:style>
  <w:style w:type="paragraph" w:styleId="33">
    <w:name w:val="Quote"/>
    <w:basedOn w:val="1"/>
    <w:next w:val="1"/>
    <w:link w:val="34"/>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Quote Char"/>
    <w:basedOn w:val="11"/>
    <w:link w:val="33"/>
    <w:uiPriority w:val="29"/>
    <w:rPr>
      <w:rFonts w:ascii="Times New Roman" w:hAnsi="Times New Roman" w:cs="Times New Roman"/>
      <w:i/>
      <w:iCs/>
      <w:color w:val="404040" w:themeColor="text1" w:themeTint="BF"/>
      <w:kern w:val="0"/>
      <w:sz w:val="24"/>
      <w:lang w:val="en-GB"/>
      <w14:textFill>
        <w14:solidFill>
          <w14:schemeClr w14:val="tx1">
            <w14:lumMod w14:val="75000"/>
            <w14:lumOff w14:val="25000"/>
          </w14:schemeClr>
        </w14:solidFill>
      </w14:textFill>
      <w14:ligatures w14:val="none"/>
    </w:rPr>
  </w:style>
  <w:style w:type="paragraph" w:styleId="35">
    <w:name w:val="List Paragraph"/>
    <w:basedOn w:val="1"/>
    <w:qFormat/>
    <w:uiPriority w:val="34"/>
    <w:pPr>
      <w:ind w:left="720"/>
      <w:contextualSpacing/>
    </w:pPr>
  </w:style>
  <w:style w:type="character" w:customStyle="1" w:styleId="36">
    <w:name w:val="Intense Emphasis"/>
    <w:basedOn w:val="11"/>
    <w:qFormat/>
    <w:uiPriority w:val="21"/>
    <w:rPr>
      <w:i/>
      <w:iCs/>
      <w:color w:val="104862" w:themeColor="accent1" w:themeShade="BF"/>
    </w:rPr>
  </w:style>
  <w:style w:type="paragraph" w:styleId="37">
    <w:name w:val="Intense Quote"/>
    <w:basedOn w:val="1"/>
    <w:next w:val="1"/>
    <w:link w:val="38"/>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8">
    <w:name w:val="Intense Quote Char"/>
    <w:basedOn w:val="11"/>
    <w:link w:val="37"/>
    <w:uiPriority w:val="30"/>
    <w:rPr>
      <w:rFonts w:ascii="Times New Roman" w:hAnsi="Times New Roman" w:cs="Times New Roman"/>
      <w:i/>
      <w:iCs/>
      <w:color w:val="104862" w:themeColor="accent1" w:themeShade="BF"/>
      <w:kern w:val="0"/>
      <w:sz w:val="24"/>
      <w:lang w:val="en-GB"/>
      <w14:ligatures w14:val="none"/>
    </w:rPr>
  </w:style>
  <w:style w:type="character" w:customStyle="1" w:styleId="39">
    <w:name w:val="Intense Reference"/>
    <w:basedOn w:val="11"/>
    <w:qFormat/>
    <w:uiPriority w:val="32"/>
    <w:rPr>
      <w:b/>
      <w:bCs/>
      <w:smallCaps/>
      <w:color w:val="104862" w:themeColor="accent1" w:themeShade="BF"/>
      <w:spacing w:val="5"/>
    </w:rPr>
  </w:style>
  <w:style w:type="character" w:customStyle="1" w:styleId="40">
    <w:name w:val="Header Char"/>
    <w:basedOn w:val="11"/>
    <w:link w:val="15"/>
    <w:uiPriority w:val="99"/>
    <w:rPr>
      <w:rFonts w:ascii="Times New Roman" w:hAnsi="Times New Roman" w:cs="Times New Roman"/>
      <w:kern w:val="0"/>
      <w:sz w:val="24"/>
      <w:lang w:val="en-GB"/>
      <w14:ligatures w14:val="none"/>
    </w:rPr>
  </w:style>
  <w:style w:type="character" w:customStyle="1" w:styleId="41">
    <w:name w:val="Footer Char"/>
    <w:basedOn w:val="11"/>
    <w:link w:val="14"/>
    <w:uiPriority w:val="99"/>
    <w:rPr>
      <w:rFonts w:ascii="Times New Roman" w:hAnsi="Times New Roman" w:cs="Times New Roman"/>
      <w:kern w:val="0"/>
      <w:sz w:val="24"/>
      <w:lang w:val="en-GB"/>
      <w14:ligatures w14:val="none"/>
    </w:rPr>
  </w:style>
  <w:style w:type="paragraph" w:customStyle="1" w:styleId="42">
    <w:name w:val="TOC Heading"/>
    <w:basedOn w:val="2"/>
    <w:next w:val="1"/>
    <w:unhideWhenUsed/>
    <w:qFormat/>
    <w:uiPriority w:val="39"/>
    <w:pPr>
      <w:keepLines/>
      <w:spacing w:after="0" w:line="259" w:lineRule="auto"/>
      <w:outlineLvl w:val="9"/>
    </w:pPr>
    <w:rPr>
      <w:rFonts w:asciiTheme="majorHAnsi" w:hAnsiTheme="majorHAnsi" w:eastAsiaTheme="majorEastAsia" w:cstheme="majorBidi"/>
      <w:b w:val="0"/>
      <w:bCs w:val="0"/>
      <w:color w:val="104862" w:themeColor="accent1" w:themeShade="BF"/>
      <w:kern w:val="0"/>
      <w:sz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62AC3E-5517-4D57-B91B-784D8BAAE8E9}">
  <ds:schemaRefs/>
</ds:datastoreItem>
</file>

<file path=docProps/app.xml><?xml version="1.0" encoding="utf-8"?>
<Properties xmlns="http://schemas.openxmlformats.org/officeDocument/2006/extended-properties" xmlns:vt="http://schemas.openxmlformats.org/officeDocument/2006/docPropsVTypes">
  <Template>Normal</Template>
  <Pages>14</Pages>
  <Words>3685</Words>
  <Characters>21011</Characters>
  <Lines>175</Lines>
  <Paragraphs>49</Paragraphs>
  <TotalTime>2</TotalTime>
  <ScaleCrop>false</ScaleCrop>
  <LinksUpToDate>false</LinksUpToDate>
  <CharactersWithSpaces>24647</CharactersWithSpaces>
  <Application>WPS Office_12.2.0.23206_F1E327BC-269C-435d-A152-05C5408002CA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2026-08-07T05:51:00Z</dcterms:created>
  <dc:creator>Laptop</dc:creator>
  <cp:lastModifiedBy>JMD</cp:lastModifiedBy>
  <dcterms:modified xsi:type="dcterms:W3CDTF">2026-08-07T09:10:43Z</dcterms:modified>
  <cp:revision>63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2057-12.2.0.23206</vt:lpwstr>
  </property>
  <property fmtid="{D5CDD505-2E9C-101B-9397-08002B2CF9AE}" pid="3" name="ICV">
    <vt:lpwstr>971C3F754C5D400AAA8FB411DDAFA6B6_13</vt:lpwstr>
  </property>
</Properties>
</file>