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40704" w14:textId="77777777" w:rsidR="009F76A3" w:rsidRDefault="009F76A3" w:rsidP="009F76A3">
      <w:pPr>
        <w:spacing w:line="360" w:lineRule="auto"/>
        <w:jc w:val="center"/>
        <w:rPr>
          <w:rFonts w:ascii="Times New Roman" w:hAnsi="Times New Roman" w:cs="Times New Roman"/>
          <w:b/>
          <w:bCs/>
          <w:sz w:val="32"/>
          <w:szCs w:val="32"/>
        </w:rPr>
      </w:pPr>
    </w:p>
    <w:p w14:paraId="3A978AE3" w14:textId="77777777" w:rsidR="009F76A3" w:rsidRDefault="009F76A3" w:rsidP="009F76A3">
      <w:pPr>
        <w:spacing w:line="360" w:lineRule="auto"/>
        <w:jc w:val="center"/>
        <w:rPr>
          <w:rFonts w:ascii="Times New Roman" w:hAnsi="Times New Roman" w:cs="Times New Roman"/>
          <w:b/>
          <w:bCs/>
          <w:sz w:val="32"/>
          <w:szCs w:val="32"/>
        </w:rPr>
      </w:pPr>
    </w:p>
    <w:p w14:paraId="5BA2E5C7" w14:textId="3E5E16A5" w:rsidR="005771ED" w:rsidRPr="009F76A3" w:rsidRDefault="007770E6" w:rsidP="009F76A3">
      <w:pPr>
        <w:spacing w:line="360" w:lineRule="auto"/>
        <w:jc w:val="center"/>
        <w:rPr>
          <w:rFonts w:ascii="Times New Roman" w:hAnsi="Times New Roman" w:cs="Times New Roman"/>
          <w:b/>
          <w:bCs/>
          <w:sz w:val="24"/>
          <w:szCs w:val="24"/>
        </w:rPr>
      </w:pPr>
      <w:r w:rsidRPr="009F76A3">
        <w:rPr>
          <w:rFonts w:ascii="Times New Roman" w:hAnsi="Times New Roman" w:cs="Times New Roman"/>
          <w:b/>
          <w:bCs/>
          <w:sz w:val="32"/>
          <w:szCs w:val="32"/>
        </w:rPr>
        <w:t>BMPL4009 Criminal law</w:t>
      </w:r>
    </w:p>
    <w:p w14:paraId="6C85B6B7" w14:textId="77777777" w:rsidR="00726CEB" w:rsidRDefault="00726CEB" w:rsidP="009F76A3">
      <w:pPr>
        <w:spacing w:line="360" w:lineRule="auto"/>
        <w:jc w:val="both"/>
        <w:rPr>
          <w:rFonts w:ascii="Times New Roman" w:hAnsi="Times New Roman" w:cs="Times New Roman"/>
          <w:b/>
          <w:bCs/>
          <w:sz w:val="24"/>
          <w:szCs w:val="24"/>
        </w:rPr>
      </w:pPr>
    </w:p>
    <w:p w14:paraId="2C1071BD" w14:textId="77777777" w:rsidR="00726CEB" w:rsidRDefault="00726CEB" w:rsidP="009F76A3">
      <w:pPr>
        <w:spacing w:line="360" w:lineRule="auto"/>
        <w:jc w:val="both"/>
        <w:rPr>
          <w:rFonts w:ascii="Times New Roman" w:hAnsi="Times New Roman" w:cs="Times New Roman"/>
          <w:b/>
          <w:bCs/>
          <w:sz w:val="24"/>
          <w:szCs w:val="24"/>
        </w:rPr>
      </w:pPr>
    </w:p>
    <w:p w14:paraId="1E4973D3" w14:textId="77777777" w:rsidR="00726CEB" w:rsidRDefault="00726CEB" w:rsidP="009F76A3">
      <w:pPr>
        <w:spacing w:line="360" w:lineRule="auto"/>
        <w:jc w:val="both"/>
        <w:rPr>
          <w:rFonts w:ascii="Times New Roman" w:hAnsi="Times New Roman" w:cs="Times New Roman"/>
          <w:b/>
          <w:bCs/>
          <w:sz w:val="24"/>
          <w:szCs w:val="24"/>
        </w:rPr>
      </w:pPr>
    </w:p>
    <w:p w14:paraId="5F7C1B0B" w14:textId="77777777" w:rsidR="00726CEB" w:rsidRDefault="00726CEB" w:rsidP="009F76A3">
      <w:pPr>
        <w:spacing w:line="360" w:lineRule="auto"/>
        <w:jc w:val="both"/>
        <w:rPr>
          <w:rFonts w:ascii="Times New Roman" w:hAnsi="Times New Roman" w:cs="Times New Roman"/>
          <w:b/>
          <w:bCs/>
          <w:sz w:val="24"/>
          <w:szCs w:val="24"/>
        </w:rPr>
      </w:pPr>
    </w:p>
    <w:p w14:paraId="55E756AE" w14:textId="77777777" w:rsidR="00726CEB" w:rsidRDefault="00726CEB" w:rsidP="009F76A3">
      <w:pPr>
        <w:spacing w:line="360" w:lineRule="auto"/>
        <w:jc w:val="both"/>
        <w:rPr>
          <w:rFonts w:ascii="Times New Roman" w:hAnsi="Times New Roman" w:cs="Times New Roman"/>
          <w:b/>
          <w:bCs/>
          <w:sz w:val="24"/>
          <w:szCs w:val="24"/>
        </w:rPr>
      </w:pPr>
    </w:p>
    <w:p w14:paraId="28A94A91" w14:textId="77777777" w:rsidR="00726CEB" w:rsidRDefault="00726CEB" w:rsidP="009F76A3">
      <w:pPr>
        <w:spacing w:line="360" w:lineRule="auto"/>
        <w:jc w:val="both"/>
        <w:rPr>
          <w:rFonts w:ascii="Times New Roman" w:hAnsi="Times New Roman" w:cs="Times New Roman"/>
          <w:b/>
          <w:bCs/>
          <w:sz w:val="24"/>
          <w:szCs w:val="24"/>
        </w:rPr>
      </w:pPr>
    </w:p>
    <w:p w14:paraId="338C61C9" w14:textId="77777777" w:rsidR="00726CEB" w:rsidRDefault="00726CEB" w:rsidP="009F76A3">
      <w:pPr>
        <w:spacing w:line="360" w:lineRule="auto"/>
        <w:jc w:val="both"/>
        <w:rPr>
          <w:rFonts w:ascii="Times New Roman" w:hAnsi="Times New Roman" w:cs="Times New Roman"/>
          <w:b/>
          <w:bCs/>
          <w:sz w:val="24"/>
          <w:szCs w:val="24"/>
        </w:rPr>
      </w:pPr>
    </w:p>
    <w:p w14:paraId="567A9594" w14:textId="77777777" w:rsidR="00726CEB" w:rsidRDefault="00726CEB" w:rsidP="009F76A3">
      <w:pPr>
        <w:spacing w:line="360" w:lineRule="auto"/>
        <w:jc w:val="both"/>
        <w:rPr>
          <w:rFonts w:ascii="Times New Roman" w:hAnsi="Times New Roman" w:cs="Times New Roman"/>
          <w:b/>
          <w:bCs/>
          <w:sz w:val="24"/>
          <w:szCs w:val="24"/>
        </w:rPr>
      </w:pPr>
    </w:p>
    <w:p w14:paraId="3ACFE7F7" w14:textId="77777777" w:rsidR="00726CEB" w:rsidRDefault="00726CEB" w:rsidP="009F76A3">
      <w:pPr>
        <w:spacing w:line="360" w:lineRule="auto"/>
        <w:jc w:val="both"/>
        <w:rPr>
          <w:rFonts w:ascii="Times New Roman" w:hAnsi="Times New Roman" w:cs="Times New Roman"/>
          <w:b/>
          <w:bCs/>
          <w:sz w:val="24"/>
          <w:szCs w:val="24"/>
        </w:rPr>
      </w:pPr>
    </w:p>
    <w:p w14:paraId="6320C563" w14:textId="77777777" w:rsidR="00726CEB" w:rsidRDefault="00726CEB" w:rsidP="009F76A3">
      <w:pPr>
        <w:spacing w:line="360" w:lineRule="auto"/>
        <w:jc w:val="both"/>
        <w:rPr>
          <w:rFonts w:ascii="Times New Roman" w:hAnsi="Times New Roman" w:cs="Times New Roman"/>
          <w:b/>
          <w:bCs/>
          <w:sz w:val="24"/>
          <w:szCs w:val="24"/>
        </w:rPr>
      </w:pPr>
    </w:p>
    <w:p w14:paraId="13E3D38B" w14:textId="77777777" w:rsidR="00726CEB" w:rsidRDefault="00726CEB" w:rsidP="009F76A3">
      <w:pPr>
        <w:spacing w:line="360" w:lineRule="auto"/>
        <w:jc w:val="both"/>
        <w:rPr>
          <w:rFonts w:ascii="Times New Roman" w:hAnsi="Times New Roman" w:cs="Times New Roman"/>
          <w:b/>
          <w:bCs/>
          <w:sz w:val="24"/>
          <w:szCs w:val="24"/>
        </w:rPr>
      </w:pPr>
    </w:p>
    <w:p w14:paraId="2DAA5CC9" w14:textId="77777777" w:rsidR="00726CEB" w:rsidRDefault="00726CEB" w:rsidP="009F76A3">
      <w:pPr>
        <w:spacing w:line="360" w:lineRule="auto"/>
        <w:jc w:val="both"/>
        <w:rPr>
          <w:rFonts w:ascii="Times New Roman" w:hAnsi="Times New Roman" w:cs="Times New Roman"/>
          <w:b/>
          <w:bCs/>
          <w:sz w:val="24"/>
          <w:szCs w:val="24"/>
        </w:rPr>
      </w:pPr>
    </w:p>
    <w:p w14:paraId="1E73672B" w14:textId="77777777" w:rsidR="00726CEB" w:rsidRDefault="00726CEB" w:rsidP="009F76A3">
      <w:pPr>
        <w:spacing w:line="360" w:lineRule="auto"/>
        <w:jc w:val="both"/>
        <w:rPr>
          <w:rFonts w:ascii="Times New Roman" w:hAnsi="Times New Roman" w:cs="Times New Roman"/>
          <w:b/>
          <w:bCs/>
          <w:sz w:val="24"/>
          <w:szCs w:val="24"/>
        </w:rPr>
      </w:pPr>
    </w:p>
    <w:p w14:paraId="3CCDE4E5" w14:textId="77777777" w:rsidR="00726CEB" w:rsidRDefault="00726CEB" w:rsidP="009F76A3">
      <w:pPr>
        <w:spacing w:line="360" w:lineRule="auto"/>
        <w:jc w:val="both"/>
        <w:rPr>
          <w:rFonts w:ascii="Times New Roman" w:hAnsi="Times New Roman" w:cs="Times New Roman"/>
          <w:b/>
          <w:bCs/>
          <w:sz w:val="24"/>
          <w:szCs w:val="24"/>
        </w:rPr>
      </w:pPr>
    </w:p>
    <w:p w14:paraId="53418D99" w14:textId="77777777" w:rsidR="00726CEB" w:rsidRDefault="00726CEB" w:rsidP="009F76A3">
      <w:pPr>
        <w:spacing w:line="360" w:lineRule="auto"/>
        <w:jc w:val="both"/>
        <w:rPr>
          <w:rFonts w:ascii="Times New Roman" w:hAnsi="Times New Roman" w:cs="Times New Roman"/>
          <w:b/>
          <w:bCs/>
          <w:sz w:val="24"/>
          <w:szCs w:val="24"/>
        </w:rPr>
      </w:pPr>
    </w:p>
    <w:p w14:paraId="407E5B25" w14:textId="77777777" w:rsidR="00726CEB" w:rsidRDefault="00726CEB" w:rsidP="009F76A3">
      <w:pPr>
        <w:spacing w:line="360" w:lineRule="auto"/>
        <w:jc w:val="both"/>
        <w:rPr>
          <w:rFonts w:ascii="Times New Roman" w:hAnsi="Times New Roman" w:cs="Times New Roman"/>
          <w:b/>
          <w:bCs/>
          <w:sz w:val="24"/>
          <w:szCs w:val="24"/>
        </w:rPr>
      </w:pPr>
    </w:p>
    <w:p w14:paraId="7AFB18EA" w14:textId="77777777" w:rsidR="00726CEB" w:rsidRDefault="00726CEB" w:rsidP="009F76A3">
      <w:pPr>
        <w:spacing w:line="360" w:lineRule="auto"/>
        <w:jc w:val="both"/>
        <w:rPr>
          <w:rFonts w:ascii="Times New Roman" w:hAnsi="Times New Roman" w:cs="Times New Roman"/>
          <w:b/>
          <w:bCs/>
          <w:sz w:val="24"/>
          <w:szCs w:val="24"/>
        </w:rPr>
      </w:pPr>
    </w:p>
    <w:p w14:paraId="74F1F9BE" w14:textId="77777777" w:rsidR="00726CEB" w:rsidRDefault="00726CEB" w:rsidP="009F76A3">
      <w:pPr>
        <w:spacing w:line="360" w:lineRule="auto"/>
        <w:jc w:val="both"/>
        <w:rPr>
          <w:rFonts w:ascii="Times New Roman" w:hAnsi="Times New Roman" w:cs="Times New Roman"/>
          <w:b/>
          <w:bCs/>
          <w:sz w:val="24"/>
          <w:szCs w:val="24"/>
        </w:rPr>
      </w:pPr>
    </w:p>
    <w:p w14:paraId="5CC331DA" w14:textId="77777777" w:rsidR="00726CEB" w:rsidRDefault="00726CEB" w:rsidP="009F76A3">
      <w:pPr>
        <w:spacing w:line="360" w:lineRule="auto"/>
        <w:jc w:val="both"/>
        <w:rPr>
          <w:rFonts w:ascii="Times New Roman" w:hAnsi="Times New Roman" w:cs="Times New Roman"/>
          <w:b/>
          <w:bCs/>
          <w:sz w:val="24"/>
          <w:szCs w:val="24"/>
        </w:rPr>
      </w:pPr>
    </w:p>
    <w:p w14:paraId="578C2F21" w14:textId="77777777" w:rsidR="0070791A" w:rsidRDefault="0070791A" w:rsidP="00726CEB">
      <w:pPr>
        <w:spacing w:after="0" w:line="360" w:lineRule="auto"/>
        <w:jc w:val="both"/>
        <w:rPr>
          <w:rFonts w:ascii="Times New Roman" w:hAnsi="Times New Roman" w:cs="Times New Roman"/>
          <w:b/>
          <w:bCs/>
          <w:sz w:val="28"/>
          <w:szCs w:val="28"/>
        </w:rPr>
        <w:sectPr w:rsidR="0070791A">
          <w:footerReference w:type="default" r:id="rId7"/>
          <w:pgSz w:w="12240" w:h="15840"/>
          <w:pgMar w:top="1440" w:right="1440" w:bottom="1440" w:left="1440" w:header="720" w:footer="720" w:gutter="0"/>
          <w:cols w:space="720"/>
          <w:docGrid w:linePitch="360"/>
        </w:sectPr>
      </w:pPr>
    </w:p>
    <w:p w14:paraId="4F624FF1" w14:textId="36FB08C5" w:rsidR="007770E6" w:rsidRPr="00726CEB" w:rsidRDefault="00AA6A7A" w:rsidP="00726CEB">
      <w:pPr>
        <w:spacing w:after="0" w:line="360" w:lineRule="auto"/>
        <w:jc w:val="both"/>
        <w:rPr>
          <w:rFonts w:ascii="Times New Roman" w:hAnsi="Times New Roman" w:cs="Times New Roman"/>
          <w:b/>
          <w:bCs/>
          <w:sz w:val="28"/>
          <w:szCs w:val="28"/>
        </w:rPr>
      </w:pPr>
      <w:r w:rsidRPr="00726CEB">
        <w:rPr>
          <w:rFonts w:ascii="Times New Roman" w:hAnsi="Times New Roman" w:cs="Times New Roman"/>
          <w:b/>
          <w:bCs/>
          <w:sz w:val="28"/>
          <w:szCs w:val="28"/>
        </w:rPr>
        <w:lastRenderedPageBreak/>
        <w:t>Introduction</w:t>
      </w:r>
    </w:p>
    <w:p w14:paraId="3BA03D7C" w14:textId="7D090CAC" w:rsidR="00AA6A7A" w:rsidRPr="009F76A3" w:rsidRDefault="00CF08E8" w:rsidP="009F76A3">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Ashworth and Horder (2013), c</w:t>
      </w:r>
      <w:r w:rsidR="00E05D72" w:rsidRPr="009F76A3">
        <w:rPr>
          <w:rFonts w:ascii="Times New Roman" w:hAnsi="Times New Roman" w:cs="Times New Roman"/>
          <w:sz w:val="24"/>
          <w:szCs w:val="24"/>
        </w:rPr>
        <w:t xml:space="preserve">riminal law is a set of rules that specifies which actions constitute crimes and lays out the penalties and processes for prosecuting offenders. It covers a broad spectrum of wrongdoing, from shoplifting to murder to forgery to drug trafficking. The goals of criminal law are to prevent disorder, safeguard citizens and their property, and punish those who violate it. </w:t>
      </w:r>
      <w:r>
        <w:rPr>
          <w:rFonts w:ascii="Times New Roman" w:hAnsi="Times New Roman" w:cs="Times New Roman"/>
          <w:sz w:val="24"/>
          <w:szCs w:val="24"/>
        </w:rPr>
        <w:t>Hall (2010) have said that c</w:t>
      </w:r>
      <w:r w:rsidR="00E05D72" w:rsidRPr="009F76A3">
        <w:rPr>
          <w:rFonts w:ascii="Times New Roman" w:hAnsi="Times New Roman" w:cs="Times New Roman"/>
          <w:sz w:val="24"/>
          <w:szCs w:val="24"/>
        </w:rPr>
        <w:t xml:space="preserve">ourts, prosecutors, defense lawyers, and law enforcement agencies all collaborate as part of the criminal justice system to investigate, prosecute, and adjudicate criminal matters in a way that ensures justice is done and everyone's rights are protected. This essay is based on the ethical and philosophical aspects of criminal law that influence the understanding of consent in the UK and legal principles and case law. </w:t>
      </w:r>
    </w:p>
    <w:p w14:paraId="24D3F99B" w14:textId="1BBC281E" w:rsidR="0017226F" w:rsidRPr="009F76A3" w:rsidRDefault="0017226F" w:rsidP="009F76A3">
      <w:pPr>
        <w:spacing w:line="360" w:lineRule="auto"/>
        <w:jc w:val="both"/>
        <w:rPr>
          <w:rFonts w:ascii="Times New Roman" w:hAnsi="Times New Roman" w:cs="Times New Roman"/>
          <w:sz w:val="24"/>
          <w:szCs w:val="24"/>
        </w:rPr>
      </w:pPr>
      <w:r w:rsidRPr="009F76A3">
        <w:rPr>
          <w:rFonts w:ascii="Times New Roman" w:hAnsi="Times New Roman" w:cs="Times New Roman"/>
          <w:sz w:val="24"/>
          <w:szCs w:val="24"/>
        </w:rPr>
        <w:t>In legal proceedings involving battery, the idea of permission is given a significant amount of weight in the United Kingdom</w:t>
      </w:r>
      <w:r w:rsidR="00CF08E8">
        <w:rPr>
          <w:rFonts w:ascii="Times New Roman" w:hAnsi="Times New Roman" w:cs="Times New Roman"/>
          <w:sz w:val="24"/>
          <w:szCs w:val="24"/>
        </w:rPr>
        <w:t xml:space="preserve"> (Samaha, 2016)</w:t>
      </w:r>
      <w:r w:rsidRPr="009F76A3">
        <w:rPr>
          <w:rFonts w:ascii="Times New Roman" w:hAnsi="Times New Roman" w:cs="Times New Roman"/>
          <w:sz w:val="24"/>
          <w:szCs w:val="24"/>
        </w:rPr>
        <w:t xml:space="preserve">. When force is used to another person in an unauthorized and purposeful manner that does not have their agreement, this is considered battery. </w:t>
      </w:r>
      <w:r w:rsidR="00CF08E8">
        <w:rPr>
          <w:rFonts w:ascii="Times New Roman" w:hAnsi="Times New Roman" w:cs="Times New Roman"/>
          <w:sz w:val="24"/>
          <w:szCs w:val="24"/>
        </w:rPr>
        <w:t>Simpson (2016) have said that t</w:t>
      </w:r>
      <w:r w:rsidRPr="009F76A3">
        <w:rPr>
          <w:rFonts w:ascii="Times New Roman" w:hAnsi="Times New Roman" w:cs="Times New Roman"/>
          <w:sz w:val="24"/>
          <w:szCs w:val="24"/>
        </w:rPr>
        <w:t xml:space="preserve">he term "consent" refers to the voluntary agreement by a person to participate in a certain conduct or to enable another individual to engage in an act that, in any other circumstance, would be regarded a battery. Because it makes a clear distinction between legitimate and unlawful behavior, the notion of consent is an essential component of criminal law. </w:t>
      </w:r>
      <w:r w:rsidR="00CF08E8">
        <w:rPr>
          <w:rFonts w:ascii="Times New Roman" w:hAnsi="Times New Roman" w:cs="Times New Roman"/>
          <w:sz w:val="24"/>
          <w:szCs w:val="24"/>
        </w:rPr>
        <w:t>According to Harrison et al. (2018), i</w:t>
      </w:r>
      <w:r w:rsidRPr="009F76A3">
        <w:rPr>
          <w:rFonts w:ascii="Times New Roman" w:hAnsi="Times New Roman" w:cs="Times New Roman"/>
          <w:sz w:val="24"/>
          <w:szCs w:val="24"/>
        </w:rPr>
        <w:t>n situations involving battery, the prosecution must prove that the defendant knowingly and illegally put force against the victim without the victim's permission in order to convict the defendant of the crime of battery. It is possible that the defendant will have a legitimate defense against the allegation of battery if they are able to establish that the victim agreed to the incident. However,</w:t>
      </w:r>
      <w:r w:rsidR="00252E6B">
        <w:rPr>
          <w:rFonts w:ascii="Times New Roman" w:hAnsi="Times New Roman" w:cs="Times New Roman"/>
          <w:sz w:val="24"/>
          <w:szCs w:val="24"/>
        </w:rPr>
        <w:t xml:space="preserve"> according to Anitha and Gill (2017),</w:t>
      </w:r>
      <w:r w:rsidRPr="009F76A3">
        <w:rPr>
          <w:rFonts w:ascii="Times New Roman" w:hAnsi="Times New Roman" w:cs="Times New Roman"/>
          <w:sz w:val="24"/>
          <w:szCs w:val="24"/>
        </w:rPr>
        <w:t xml:space="preserve"> it is essential to keep in mind that not all instances of physical contact call for express permission in the form of a vocal statement. When certain conditions are met, it may be possible to infer or assume that someone has given their agreement. </w:t>
      </w:r>
      <w:r w:rsidR="00252E6B">
        <w:rPr>
          <w:rFonts w:ascii="Times New Roman" w:hAnsi="Times New Roman" w:cs="Times New Roman"/>
          <w:sz w:val="24"/>
          <w:szCs w:val="24"/>
        </w:rPr>
        <w:t>According to Walton (2020),</w:t>
      </w:r>
      <w:r w:rsidRPr="009F76A3">
        <w:rPr>
          <w:rFonts w:ascii="Times New Roman" w:hAnsi="Times New Roman" w:cs="Times New Roman"/>
          <w:sz w:val="24"/>
          <w:szCs w:val="24"/>
        </w:rPr>
        <w:t xml:space="preserve"> players in sports or other types of leisure activities may provide their tacit agreement to a certain amount of physical contact that, in other contexts, might be considered a kind of battery. This is what is referred to as "implied consent."</w:t>
      </w:r>
    </w:p>
    <w:p w14:paraId="731B7F1B" w14:textId="4F455432" w:rsidR="0017226F" w:rsidRPr="009F76A3" w:rsidRDefault="00252E6B" w:rsidP="009F76A3">
      <w:pPr>
        <w:spacing w:line="360" w:lineRule="auto"/>
        <w:jc w:val="both"/>
        <w:rPr>
          <w:rFonts w:ascii="Times New Roman" w:hAnsi="Times New Roman" w:cs="Times New Roman"/>
          <w:sz w:val="24"/>
          <w:szCs w:val="24"/>
        </w:rPr>
      </w:pPr>
      <w:r>
        <w:rPr>
          <w:rFonts w:ascii="Times New Roman" w:hAnsi="Times New Roman" w:cs="Times New Roman"/>
          <w:sz w:val="24"/>
          <w:szCs w:val="24"/>
        </w:rPr>
        <w:t>Elliott and Quinn (2008) have said that t</w:t>
      </w:r>
      <w:r w:rsidR="00954D8F" w:rsidRPr="009F76A3">
        <w:rPr>
          <w:rFonts w:ascii="Times New Roman" w:hAnsi="Times New Roman" w:cs="Times New Roman"/>
          <w:sz w:val="24"/>
          <w:szCs w:val="24"/>
        </w:rPr>
        <w:t xml:space="preserve">he moral and intellectual underpinnings of criminal law play a crucial part in contributing to the development of the human conception of the concept of consent. In the context of the criminal justice system, the interpretation and application of consent </w:t>
      </w:r>
      <w:r w:rsidR="00954D8F" w:rsidRPr="009F76A3">
        <w:rPr>
          <w:rFonts w:ascii="Times New Roman" w:hAnsi="Times New Roman" w:cs="Times New Roman"/>
          <w:sz w:val="24"/>
          <w:szCs w:val="24"/>
        </w:rPr>
        <w:lastRenderedPageBreak/>
        <w:t xml:space="preserve">are guided, in part, by these factors, as well as by legal principles and applicable case law. </w:t>
      </w:r>
      <w:r>
        <w:rPr>
          <w:rFonts w:ascii="Times New Roman" w:hAnsi="Times New Roman" w:cs="Times New Roman"/>
          <w:sz w:val="24"/>
          <w:szCs w:val="24"/>
        </w:rPr>
        <w:t>According to Gardner and Anderson (2014), o</w:t>
      </w:r>
      <w:r w:rsidR="00954D8F" w:rsidRPr="009F76A3">
        <w:rPr>
          <w:rFonts w:ascii="Times New Roman" w:hAnsi="Times New Roman" w:cs="Times New Roman"/>
          <w:sz w:val="24"/>
          <w:szCs w:val="24"/>
        </w:rPr>
        <w:t xml:space="preserve">n a moral level, the concepts of autonomy, individual freedom, and the integrity of the body are intimately connected to the concept of consent. It is widely acknowledged that people have the right to make choices regarding their own bodies and personal limits, and this right should be respected. </w:t>
      </w:r>
      <w:r>
        <w:rPr>
          <w:rFonts w:ascii="Times New Roman" w:hAnsi="Times New Roman" w:cs="Times New Roman"/>
          <w:sz w:val="24"/>
          <w:szCs w:val="24"/>
        </w:rPr>
        <w:t>According to Ormerod et al. (2018), c</w:t>
      </w:r>
      <w:r w:rsidR="00954D8F" w:rsidRPr="009F76A3">
        <w:rPr>
          <w:rFonts w:ascii="Times New Roman" w:hAnsi="Times New Roman" w:cs="Times New Roman"/>
          <w:sz w:val="24"/>
          <w:szCs w:val="24"/>
        </w:rPr>
        <w:t>onsent is often seen as an essential component of upholding these rights and ensuring that persons retain some measure of agency over the events that take place in their lives. Consent is often studied from a philosophical perspective in the context of moral agency and the ability to provide informed and voluntary assent</w:t>
      </w:r>
      <w:r>
        <w:rPr>
          <w:rFonts w:ascii="Times New Roman" w:hAnsi="Times New Roman" w:cs="Times New Roman"/>
          <w:sz w:val="24"/>
          <w:szCs w:val="24"/>
        </w:rPr>
        <w:t xml:space="preserve"> (Cowan, 2007)</w:t>
      </w:r>
      <w:r w:rsidR="00954D8F" w:rsidRPr="009F76A3">
        <w:rPr>
          <w:rFonts w:ascii="Times New Roman" w:hAnsi="Times New Roman" w:cs="Times New Roman"/>
          <w:sz w:val="24"/>
          <w:szCs w:val="24"/>
        </w:rPr>
        <w:t>. Many moral theorists think that permission is necessary for moral relations because it demonstrates respect for the autonomy and dignity of the person. The damage principle, which was developed by John Stuart Mill</w:t>
      </w:r>
      <w:r w:rsidR="00F12715">
        <w:rPr>
          <w:rFonts w:ascii="Times New Roman" w:hAnsi="Times New Roman" w:cs="Times New Roman"/>
          <w:sz w:val="24"/>
          <w:szCs w:val="24"/>
        </w:rPr>
        <w:t xml:space="preserve"> (2022)</w:t>
      </w:r>
      <w:r w:rsidR="00954D8F" w:rsidRPr="009F76A3">
        <w:rPr>
          <w:rFonts w:ascii="Times New Roman" w:hAnsi="Times New Roman" w:cs="Times New Roman"/>
          <w:sz w:val="24"/>
          <w:szCs w:val="24"/>
        </w:rPr>
        <w:t>, asserts that people should have the freedom to participate in consensual behaviors so long as they do not cause harm to other people.</w:t>
      </w:r>
    </w:p>
    <w:p w14:paraId="20969BF0" w14:textId="6C84CF86" w:rsidR="0017226F" w:rsidRPr="009F76A3" w:rsidRDefault="0017226F" w:rsidP="009F76A3">
      <w:pPr>
        <w:spacing w:line="360" w:lineRule="auto"/>
        <w:jc w:val="both"/>
        <w:rPr>
          <w:rFonts w:ascii="Times New Roman" w:hAnsi="Times New Roman" w:cs="Times New Roman"/>
          <w:sz w:val="24"/>
          <w:szCs w:val="24"/>
        </w:rPr>
      </w:pPr>
      <w:r w:rsidRPr="009F76A3">
        <w:rPr>
          <w:rFonts w:ascii="Times New Roman" w:hAnsi="Times New Roman" w:cs="Times New Roman"/>
          <w:sz w:val="24"/>
          <w:szCs w:val="24"/>
        </w:rPr>
        <w:t xml:space="preserve">The law acknowledges that permission must be voluntarily provided, capable of being supplied, and informed. When talking about consent being freely granted, it implies that it was not acquired by any kind of force, threats, or fraud. </w:t>
      </w:r>
      <w:r w:rsidR="00F12715">
        <w:rPr>
          <w:rFonts w:ascii="Times New Roman" w:hAnsi="Times New Roman" w:cs="Times New Roman"/>
          <w:sz w:val="24"/>
          <w:szCs w:val="24"/>
        </w:rPr>
        <w:t>According to McCormack et al. (2018), c</w:t>
      </w:r>
      <w:r w:rsidRPr="009F76A3">
        <w:rPr>
          <w:rFonts w:ascii="Times New Roman" w:hAnsi="Times New Roman" w:cs="Times New Roman"/>
          <w:sz w:val="24"/>
          <w:szCs w:val="24"/>
        </w:rPr>
        <w:t xml:space="preserve">onsent that is "informed" indicates that the person giving it is aware of the specifics of the action being consented to as well as the potential outcomes of that action. </w:t>
      </w:r>
      <w:r w:rsidR="00F12715">
        <w:rPr>
          <w:rFonts w:ascii="Times New Roman" w:hAnsi="Times New Roman" w:cs="Times New Roman"/>
          <w:sz w:val="24"/>
          <w:szCs w:val="24"/>
        </w:rPr>
        <w:t>On the other hand, Anyadike-Danes (2022) have said that c</w:t>
      </w:r>
      <w:r w:rsidRPr="009F76A3">
        <w:rPr>
          <w:rFonts w:ascii="Times New Roman" w:hAnsi="Times New Roman" w:cs="Times New Roman"/>
          <w:sz w:val="24"/>
          <w:szCs w:val="24"/>
        </w:rPr>
        <w:t>onsent that is considered "capable" indicates that the person giving it have the mental ability to do so. When there are allegations of battery, the question of permission often becomes the primary focal point of the trial. The burden of proof is with the prosecution, who must disprove beyond a shadow of a doubt that the defendant lacked the required consent to perform the act of violence</w:t>
      </w:r>
      <w:r w:rsidR="00F12715">
        <w:rPr>
          <w:rFonts w:ascii="Times New Roman" w:hAnsi="Times New Roman" w:cs="Times New Roman"/>
          <w:sz w:val="24"/>
          <w:szCs w:val="24"/>
        </w:rPr>
        <w:t xml:space="preserve"> (Duff and Green, 2011)</w:t>
      </w:r>
      <w:r w:rsidRPr="009F76A3">
        <w:rPr>
          <w:rFonts w:ascii="Times New Roman" w:hAnsi="Times New Roman" w:cs="Times New Roman"/>
          <w:sz w:val="24"/>
          <w:szCs w:val="24"/>
        </w:rPr>
        <w:t>. This may be difficult to do at times, particularly when the defense attempts to demonstrate that the victim either knowingly or unknowingly agreed to the conduct in question. When a defendant asserts that they had a good faith belief that the victim had agreed to a conduct, the burden of evidence shifts to them to demonstrate that they had a genuine belief that the victim had consented to the act</w:t>
      </w:r>
      <w:r w:rsidR="00F12715">
        <w:rPr>
          <w:rFonts w:ascii="Times New Roman" w:hAnsi="Times New Roman" w:cs="Times New Roman"/>
          <w:sz w:val="24"/>
          <w:szCs w:val="24"/>
        </w:rPr>
        <w:t xml:space="preserve"> (Szczucki, 2018)</w:t>
      </w:r>
      <w:r w:rsidRPr="009F76A3">
        <w:rPr>
          <w:rFonts w:ascii="Times New Roman" w:hAnsi="Times New Roman" w:cs="Times New Roman"/>
          <w:sz w:val="24"/>
          <w:szCs w:val="24"/>
        </w:rPr>
        <w:t>. The defendant has the burden of proving both that they took reasonable efforts to determine whether or not the victim gave their permission and that their belief was reasonable given the circumstances.</w:t>
      </w:r>
    </w:p>
    <w:p w14:paraId="4CE9019B" w14:textId="6169D50E" w:rsidR="0017226F" w:rsidRPr="009F76A3" w:rsidRDefault="00954D8F" w:rsidP="009F76A3">
      <w:pPr>
        <w:spacing w:line="360" w:lineRule="auto"/>
        <w:jc w:val="both"/>
        <w:rPr>
          <w:rFonts w:ascii="Times New Roman" w:hAnsi="Times New Roman" w:cs="Times New Roman"/>
          <w:sz w:val="24"/>
          <w:szCs w:val="24"/>
        </w:rPr>
      </w:pPr>
      <w:r w:rsidRPr="009F76A3">
        <w:rPr>
          <w:rFonts w:ascii="Times New Roman" w:hAnsi="Times New Roman" w:cs="Times New Roman"/>
          <w:sz w:val="24"/>
          <w:szCs w:val="24"/>
        </w:rPr>
        <w:lastRenderedPageBreak/>
        <w:t xml:space="preserve">These ethical and philosophical viewpoints have an impact on the way permission is interpreted within the framework of criminal law. </w:t>
      </w:r>
      <w:r w:rsidR="00F12715">
        <w:rPr>
          <w:rFonts w:ascii="Times New Roman" w:hAnsi="Times New Roman" w:cs="Times New Roman"/>
          <w:sz w:val="24"/>
          <w:szCs w:val="24"/>
        </w:rPr>
        <w:t>According to Braswell et al. (2017), t</w:t>
      </w:r>
      <w:r w:rsidRPr="009F76A3">
        <w:rPr>
          <w:rFonts w:ascii="Times New Roman" w:hAnsi="Times New Roman" w:cs="Times New Roman"/>
          <w:sz w:val="24"/>
          <w:szCs w:val="24"/>
        </w:rPr>
        <w:t xml:space="preserve">o satisfy the requirements of some legal principles, such as the presumption of innocence, the prosecution must demonstrate beyond a shadow of a doubt that the defendant did not provide their permission. Because of this, the burden of proving that consent was absent is placed squarely on the shoulders of the prosecution. </w:t>
      </w:r>
      <w:r w:rsidR="00F12715">
        <w:rPr>
          <w:rFonts w:ascii="Times New Roman" w:hAnsi="Times New Roman" w:cs="Times New Roman"/>
          <w:sz w:val="24"/>
          <w:szCs w:val="24"/>
        </w:rPr>
        <w:t>According to Husak (2010), c</w:t>
      </w:r>
      <w:r w:rsidRPr="009F76A3">
        <w:rPr>
          <w:rFonts w:ascii="Times New Roman" w:hAnsi="Times New Roman" w:cs="Times New Roman"/>
          <w:sz w:val="24"/>
          <w:szCs w:val="24"/>
        </w:rPr>
        <w:t>ase law is another important factor that contributes significantly to the development of the understanding of consent. When interpreting and applying the law to particular instances, the courts look to earlier judgements for guidance. In the United Kingdom, seminal judgements have had an impact on the legal concept of consent in respect to activities that may cause injury but are participated in voluntarily by the participant</w:t>
      </w:r>
      <w:r w:rsidR="00F12715">
        <w:rPr>
          <w:rFonts w:ascii="Times New Roman" w:hAnsi="Times New Roman" w:cs="Times New Roman"/>
          <w:sz w:val="24"/>
          <w:szCs w:val="24"/>
        </w:rPr>
        <w:t xml:space="preserve"> (Dubber and Hornle, 2014)</w:t>
      </w:r>
      <w:r w:rsidRPr="009F76A3">
        <w:rPr>
          <w:rFonts w:ascii="Times New Roman" w:hAnsi="Times New Roman" w:cs="Times New Roman"/>
          <w:sz w:val="24"/>
          <w:szCs w:val="24"/>
        </w:rPr>
        <w:t>. The House of Lords came to the conclusion in this particular instance that permission is not a valid defense for actions that cause significant physical damage. The idea of consent is fraught with ambiguities and hotly contested points of view. The question of whether or not permission should be considered valid if it was gained via force or duress is a contentious one. Because doing so weakens the free character of consent, it is possible that permission gained by force or threats may be regarded unethical and so invalid. On the other hand, defining the point at which permission is no longer voluntarily given may be difficult and calls for an in-depth analysis of the relevant facts</w:t>
      </w:r>
      <w:r w:rsidR="003A3CAB">
        <w:rPr>
          <w:rFonts w:ascii="Times New Roman" w:hAnsi="Times New Roman" w:cs="Times New Roman"/>
          <w:sz w:val="24"/>
          <w:szCs w:val="24"/>
        </w:rPr>
        <w:t xml:space="preserve"> (Hall, 2022)</w:t>
      </w:r>
      <w:r w:rsidRPr="009F76A3">
        <w:rPr>
          <w:rFonts w:ascii="Times New Roman" w:hAnsi="Times New Roman" w:cs="Times New Roman"/>
          <w:sz w:val="24"/>
          <w:szCs w:val="24"/>
        </w:rPr>
        <w:t>. In recent years, conversations surrounding consent have broadened to examine concerns of affirmative consent and enthusiastic consent. These ideas stress the need of consistent interaction to guarantee informed, willing consent. They strive to question the conventional concept of consent as simply lack of denial and encourage a more proactive attitude to sexual interactions</w:t>
      </w:r>
      <w:r w:rsidR="003A3CAB">
        <w:rPr>
          <w:rFonts w:ascii="Times New Roman" w:hAnsi="Times New Roman" w:cs="Times New Roman"/>
          <w:sz w:val="24"/>
          <w:szCs w:val="24"/>
        </w:rPr>
        <w:t xml:space="preserve"> (Kadish et al., 2016)</w:t>
      </w:r>
      <w:r w:rsidRPr="009F76A3">
        <w:rPr>
          <w:rFonts w:ascii="Times New Roman" w:hAnsi="Times New Roman" w:cs="Times New Roman"/>
          <w:sz w:val="24"/>
          <w:szCs w:val="24"/>
        </w:rPr>
        <w:t>.</w:t>
      </w:r>
    </w:p>
    <w:p w14:paraId="3EF751E1" w14:textId="6B0E91FE" w:rsidR="00AA6A7A" w:rsidRPr="009F76A3" w:rsidRDefault="0017226F" w:rsidP="009F76A3">
      <w:pPr>
        <w:spacing w:line="360" w:lineRule="auto"/>
        <w:jc w:val="both"/>
        <w:rPr>
          <w:rFonts w:ascii="Times New Roman" w:hAnsi="Times New Roman" w:cs="Times New Roman"/>
          <w:sz w:val="24"/>
          <w:szCs w:val="24"/>
        </w:rPr>
      </w:pPr>
      <w:r w:rsidRPr="009F76A3">
        <w:rPr>
          <w:rFonts w:ascii="Times New Roman" w:hAnsi="Times New Roman" w:cs="Times New Roman"/>
          <w:sz w:val="24"/>
          <w:szCs w:val="24"/>
        </w:rPr>
        <w:t>The nature of the conduct, the connection between the people involved, any previous history of consent, and the surrounding circumstances are some of the things that the courts take into consideration when assessing whether or not consent was present</w:t>
      </w:r>
      <w:r w:rsidR="003A3CAB">
        <w:rPr>
          <w:rFonts w:ascii="Times New Roman" w:hAnsi="Times New Roman" w:cs="Times New Roman"/>
          <w:sz w:val="24"/>
          <w:szCs w:val="24"/>
        </w:rPr>
        <w:t xml:space="preserve"> (Souryal and Whitehead, 2019)</w:t>
      </w:r>
      <w:r w:rsidRPr="009F76A3">
        <w:rPr>
          <w:rFonts w:ascii="Times New Roman" w:hAnsi="Times New Roman" w:cs="Times New Roman"/>
          <w:sz w:val="24"/>
          <w:szCs w:val="24"/>
        </w:rPr>
        <w:t xml:space="preserve">. The age, maturity, and mental capacity of the persons involved are also taken into consideration by the courts, as well as any power imbalances or vulnerabilities that may impair the ability to grant valid consent. It is essential to keep in mind that one's permission might be revoked at any moment. </w:t>
      </w:r>
      <w:r w:rsidR="003A3CAB">
        <w:rPr>
          <w:rFonts w:ascii="Times New Roman" w:hAnsi="Times New Roman" w:cs="Times New Roman"/>
          <w:sz w:val="24"/>
          <w:szCs w:val="24"/>
        </w:rPr>
        <w:t>According to Banks (2018), i</w:t>
      </w:r>
      <w:r w:rsidRPr="009F76A3">
        <w:rPr>
          <w:rFonts w:ascii="Times New Roman" w:hAnsi="Times New Roman" w:cs="Times New Roman"/>
          <w:sz w:val="24"/>
          <w:szCs w:val="24"/>
        </w:rPr>
        <w:t xml:space="preserve">f the victim first accepted to an act but then withdrew their agreement, any continuing action by the defendant may be regarded a battery, even if the victim had initially given their consent to the conduct. It is necessary for the defendant to be aware of the </w:t>
      </w:r>
      <w:r w:rsidRPr="009F76A3">
        <w:rPr>
          <w:rFonts w:ascii="Times New Roman" w:hAnsi="Times New Roman" w:cs="Times New Roman"/>
          <w:sz w:val="24"/>
          <w:szCs w:val="24"/>
        </w:rPr>
        <w:lastRenderedPageBreak/>
        <w:t>withdrawal of permission and to respect it. This obligation falls squarely on the defendant's shoulders. In situations involving battery, the question of permission is one that is fraught with complexities and nuances</w:t>
      </w:r>
      <w:r w:rsidR="003A3CAB">
        <w:rPr>
          <w:rFonts w:ascii="Times New Roman" w:hAnsi="Times New Roman" w:cs="Times New Roman"/>
          <w:sz w:val="24"/>
          <w:szCs w:val="24"/>
        </w:rPr>
        <w:t xml:space="preserve"> (Horder, 2016)</w:t>
      </w:r>
      <w:r w:rsidRPr="009F76A3">
        <w:rPr>
          <w:rFonts w:ascii="Times New Roman" w:hAnsi="Times New Roman" w:cs="Times New Roman"/>
          <w:sz w:val="24"/>
          <w:szCs w:val="24"/>
        </w:rPr>
        <w:t>. The law seeks to find a middle ground between protecting persons from unintended physical injury and recognizing the significance of personal autonomy and the freedom to make choices about one's own body. This is accomplished by striking a balance between the two competing goals. In order to decide whether or not the required consent was present, the courts examine the facts and the circumstances surrounding each case in great detail. This helps to ensure that justice is finally carried out.</w:t>
      </w:r>
    </w:p>
    <w:p w14:paraId="57A9A6CD" w14:textId="69F6A8C4" w:rsidR="00AA6A7A" w:rsidRPr="00726CEB" w:rsidRDefault="00AA6A7A" w:rsidP="00726CEB">
      <w:pPr>
        <w:spacing w:after="0" w:line="360" w:lineRule="auto"/>
        <w:jc w:val="both"/>
        <w:rPr>
          <w:rFonts w:ascii="Times New Roman" w:hAnsi="Times New Roman" w:cs="Times New Roman"/>
          <w:b/>
          <w:bCs/>
          <w:sz w:val="28"/>
          <w:szCs w:val="28"/>
        </w:rPr>
      </w:pPr>
      <w:r w:rsidRPr="00726CEB">
        <w:rPr>
          <w:rFonts w:ascii="Times New Roman" w:hAnsi="Times New Roman" w:cs="Times New Roman"/>
          <w:b/>
          <w:bCs/>
          <w:sz w:val="28"/>
          <w:szCs w:val="28"/>
        </w:rPr>
        <w:t>Conclusion</w:t>
      </w:r>
    </w:p>
    <w:p w14:paraId="36B54949" w14:textId="1272C041" w:rsidR="00AA6A7A" w:rsidRDefault="00954D8F" w:rsidP="009F76A3">
      <w:pPr>
        <w:spacing w:line="360" w:lineRule="auto"/>
        <w:jc w:val="both"/>
        <w:rPr>
          <w:rFonts w:ascii="Times New Roman" w:hAnsi="Times New Roman" w:cs="Times New Roman"/>
          <w:sz w:val="24"/>
          <w:szCs w:val="24"/>
        </w:rPr>
      </w:pPr>
      <w:r w:rsidRPr="009F76A3">
        <w:rPr>
          <w:rFonts w:ascii="Times New Roman" w:hAnsi="Times New Roman" w:cs="Times New Roman"/>
          <w:sz w:val="24"/>
          <w:szCs w:val="24"/>
        </w:rPr>
        <w:t>In conclusion, the ethical and philosophical considerations that go into criminal law have a considerable impact on how individuals comprehend the concept of consent. In the context of the criminal justice system, the interpretation and application of consent are both shaped by the combination of these characteristics with legal principles and case law. When it comes to establishing consent within a legal framework, one of the most important aspects to keep in mind is how important it is to respect human autonomy, physical integrity, and informed decision-making. Despite this, continuing disputes and shifting social views continue to affect our understanding of consent. These changes are a reflection of the intricacies of human relationships as well as the need for a legal system that is fair and ethical.</w:t>
      </w:r>
    </w:p>
    <w:p w14:paraId="57462CE4" w14:textId="3A351845" w:rsidR="003A3CAB" w:rsidRDefault="003A3CAB" w:rsidP="009F76A3">
      <w:pPr>
        <w:spacing w:line="360" w:lineRule="auto"/>
        <w:jc w:val="both"/>
        <w:rPr>
          <w:rFonts w:ascii="Times New Roman" w:hAnsi="Times New Roman" w:cs="Times New Roman"/>
          <w:sz w:val="24"/>
          <w:szCs w:val="24"/>
        </w:rPr>
      </w:pPr>
    </w:p>
    <w:p w14:paraId="21F0E90F" w14:textId="32299DB2" w:rsidR="003A3CAB" w:rsidRDefault="003A3CAB" w:rsidP="009F76A3">
      <w:pPr>
        <w:spacing w:line="360" w:lineRule="auto"/>
        <w:jc w:val="both"/>
        <w:rPr>
          <w:rFonts w:ascii="Times New Roman" w:hAnsi="Times New Roman" w:cs="Times New Roman"/>
          <w:sz w:val="24"/>
          <w:szCs w:val="24"/>
        </w:rPr>
      </w:pPr>
    </w:p>
    <w:p w14:paraId="019386D1" w14:textId="13A7A88A" w:rsidR="003A3CAB" w:rsidRDefault="003A3CAB" w:rsidP="009F76A3">
      <w:pPr>
        <w:spacing w:line="360" w:lineRule="auto"/>
        <w:jc w:val="both"/>
        <w:rPr>
          <w:rFonts w:ascii="Times New Roman" w:hAnsi="Times New Roman" w:cs="Times New Roman"/>
          <w:sz w:val="24"/>
          <w:szCs w:val="24"/>
        </w:rPr>
      </w:pPr>
    </w:p>
    <w:p w14:paraId="21F97AD8" w14:textId="7AEA8519" w:rsidR="003A3CAB" w:rsidRDefault="003A3CAB" w:rsidP="009F76A3">
      <w:pPr>
        <w:spacing w:line="360" w:lineRule="auto"/>
        <w:jc w:val="both"/>
        <w:rPr>
          <w:rFonts w:ascii="Times New Roman" w:hAnsi="Times New Roman" w:cs="Times New Roman"/>
          <w:sz w:val="24"/>
          <w:szCs w:val="24"/>
        </w:rPr>
      </w:pPr>
    </w:p>
    <w:p w14:paraId="1201035D" w14:textId="4BEAB89D" w:rsidR="003A3CAB" w:rsidRDefault="003A3CAB" w:rsidP="009F76A3">
      <w:pPr>
        <w:spacing w:line="360" w:lineRule="auto"/>
        <w:jc w:val="both"/>
        <w:rPr>
          <w:rFonts w:ascii="Times New Roman" w:hAnsi="Times New Roman" w:cs="Times New Roman"/>
          <w:sz w:val="24"/>
          <w:szCs w:val="24"/>
        </w:rPr>
      </w:pPr>
    </w:p>
    <w:p w14:paraId="06B930DC" w14:textId="099428E3" w:rsidR="003A3CAB" w:rsidRDefault="003A3CAB" w:rsidP="009F76A3">
      <w:pPr>
        <w:spacing w:line="360" w:lineRule="auto"/>
        <w:jc w:val="both"/>
        <w:rPr>
          <w:rFonts w:ascii="Times New Roman" w:hAnsi="Times New Roman" w:cs="Times New Roman"/>
          <w:sz w:val="24"/>
          <w:szCs w:val="24"/>
        </w:rPr>
      </w:pPr>
    </w:p>
    <w:p w14:paraId="13F15273" w14:textId="2BF4D248" w:rsidR="003A3CAB" w:rsidRDefault="003A3CAB" w:rsidP="009F76A3">
      <w:pPr>
        <w:spacing w:line="360" w:lineRule="auto"/>
        <w:jc w:val="both"/>
        <w:rPr>
          <w:rFonts w:ascii="Times New Roman" w:hAnsi="Times New Roman" w:cs="Times New Roman"/>
          <w:sz w:val="24"/>
          <w:szCs w:val="24"/>
        </w:rPr>
      </w:pPr>
    </w:p>
    <w:p w14:paraId="6A33D917" w14:textId="621C2564" w:rsidR="003A3CAB" w:rsidRDefault="003A3CAB" w:rsidP="009F76A3">
      <w:pPr>
        <w:spacing w:line="360" w:lineRule="auto"/>
        <w:jc w:val="both"/>
        <w:rPr>
          <w:rFonts w:ascii="Times New Roman" w:hAnsi="Times New Roman" w:cs="Times New Roman"/>
          <w:sz w:val="24"/>
          <w:szCs w:val="24"/>
        </w:rPr>
      </w:pPr>
    </w:p>
    <w:p w14:paraId="27907D02" w14:textId="6D18830D" w:rsidR="003A3CAB" w:rsidRDefault="003A3CAB" w:rsidP="009F76A3">
      <w:pPr>
        <w:spacing w:line="360" w:lineRule="auto"/>
        <w:jc w:val="both"/>
        <w:rPr>
          <w:rFonts w:ascii="Times New Roman" w:hAnsi="Times New Roman" w:cs="Times New Roman"/>
          <w:sz w:val="24"/>
          <w:szCs w:val="24"/>
        </w:rPr>
      </w:pPr>
    </w:p>
    <w:p w14:paraId="60688354" w14:textId="45499D6E" w:rsidR="003A3CAB" w:rsidRPr="003A3CAB" w:rsidRDefault="003A3CAB" w:rsidP="003A3CAB">
      <w:pPr>
        <w:spacing w:after="0" w:line="360" w:lineRule="auto"/>
        <w:jc w:val="both"/>
        <w:rPr>
          <w:rFonts w:ascii="Times New Roman" w:hAnsi="Times New Roman" w:cs="Times New Roman"/>
          <w:b/>
          <w:bCs/>
          <w:sz w:val="28"/>
          <w:szCs w:val="28"/>
        </w:rPr>
      </w:pPr>
      <w:r w:rsidRPr="003A3CAB">
        <w:rPr>
          <w:rFonts w:ascii="Times New Roman" w:hAnsi="Times New Roman" w:cs="Times New Roman"/>
          <w:b/>
          <w:bCs/>
          <w:sz w:val="28"/>
          <w:szCs w:val="28"/>
        </w:rPr>
        <w:lastRenderedPageBreak/>
        <w:t>References</w:t>
      </w:r>
    </w:p>
    <w:p w14:paraId="3F03B7CA"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 xml:space="preserve">Anitha, S. and Gill, A., 2017. Coercion, </w:t>
      </w:r>
      <w:proofErr w:type="gramStart"/>
      <w:r w:rsidRPr="002E30A0">
        <w:rPr>
          <w:rFonts w:ascii="Times New Roman" w:hAnsi="Times New Roman" w:cs="Times New Roman"/>
          <w:sz w:val="24"/>
          <w:szCs w:val="24"/>
        </w:rPr>
        <w:t>consent</w:t>
      </w:r>
      <w:proofErr w:type="gramEnd"/>
      <w:r w:rsidRPr="002E30A0">
        <w:rPr>
          <w:rFonts w:ascii="Times New Roman" w:hAnsi="Times New Roman" w:cs="Times New Roman"/>
          <w:sz w:val="24"/>
          <w:szCs w:val="24"/>
        </w:rPr>
        <w:t xml:space="preserve"> and the forced marriage debate in the UK. In Marital rights (pp. 133-152). Routledge.</w:t>
      </w:r>
    </w:p>
    <w:p w14:paraId="0CAEA012"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Anyadike-Danes, N., 2022. Perceptions of consent in UK Higher Education. Stopping Gender-based Violence in Higher Education: Policy, Practice, and Partnerships.</w:t>
      </w:r>
    </w:p>
    <w:p w14:paraId="223F844B"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Ashworth, A. and Horder, J., 2013. Principles of criminal law. Oxford University Press, USA.</w:t>
      </w:r>
    </w:p>
    <w:p w14:paraId="79C2FC19"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Banks, C., 2018. Criminal justice ethics: Theory and practice. Sage Publications.</w:t>
      </w:r>
    </w:p>
    <w:p w14:paraId="484E3687"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Braswell, M.C., Edwards, B.D., McCarthy, B.R. and McCarthy, B.J., 2017. Justice, crime, and ethics. Routledge.</w:t>
      </w:r>
    </w:p>
    <w:p w14:paraId="7B8EC529"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Cowan, S., 2007. Choosing freely: Theoretically reframing the concept of consent. Choice and consent: Feminist engagements with law and subjectivity, pp.91-105.</w:t>
      </w:r>
    </w:p>
    <w:p w14:paraId="2F2EBA38"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 xml:space="preserve">Dubber, M. and </w:t>
      </w:r>
      <w:proofErr w:type="spellStart"/>
      <w:r w:rsidRPr="002E30A0">
        <w:rPr>
          <w:rFonts w:ascii="Times New Roman" w:hAnsi="Times New Roman" w:cs="Times New Roman"/>
          <w:sz w:val="24"/>
          <w:szCs w:val="24"/>
        </w:rPr>
        <w:t>Hörnle</w:t>
      </w:r>
      <w:proofErr w:type="spellEnd"/>
      <w:r w:rsidRPr="002E30A0">
        <w:rPr>
          <w:rFonts w:ascii="Times New Roman" w:hAnsi="Times New Roman" w:cs="Times New Roman"/>
          <w:sz w:val="24"/>
          <w:szCs w:val="24"/>
        </w:rPr>
        <w:t>, T., 2014. Criminal law: A comparative approach. Oxford University Press, USA.</w:t>
      </w:r>
    </w:p>
    <w:p w14:paraId="2EAAC7CB"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Duff, R.A. and Green, S. eds., 2011. Philosophical foundations of criminal law. Oxford University Press.</w:t>
      </w:r>
    </w:p>
    <w:p w14:paraId="68BF7B3A"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Elliott, C. and Quinn, F., 2008. Criminal law. Pearson Education.</w:t>
      </w:r>
    </w:p>
    <w:p w14:paraId="14E76106"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 xml:space="preserve">Gardner, </w:t>
      </w:r>
      <w:proofErr w:type="gramStart"/>
      <w:r w:rsidRPr="002E30A0">
        <w:rPr>
          <w:rFonts w:ascii="Times New Roman" w:hAnsi="Times New Roman" w:cs="Times New Roman"/>
          <w:sz w:val="24"/>
          <w:szCs w:val="24"/>
        </w:rPr>
        <w:t>T.J.</w:t>
      </w:r>
      <w:proofErr w:type="gramEnd"/>
      <w:r w:rsidRPr="002E30A0">
        <w:rPr>
          <w:rFonts w:ascii="Times New Roman" w:hAnsi="Times New Roman" w:cs="Times New Roman"/>
          <w:sz w:val="24"/>
          <w:szCs w:val="24"/>
        </w:rPr>
        <w:t xml:space="preserve"> and Anderson, T.M., 2014. Criminal law. Cengage Learning.</w:t>
      </w:r>
    </w:p>
    <w:p w14:paraId="0B81EDD0"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Hall, D.E., 2022. Criminal law and procedure. Cengage Learning.</w:t>
      </w:r>
    </w:p>
    <w:p w14:paraId="128CF4BF"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Hall, J., 2010. General principles of criminal law. The Lawbook Exchange, Ltd.</w:t>
      </w:r>
    </w:p>
    <w:p w14:paraId="4495EEFF"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Harrison, N., Hewitt, H., Pandya, P. and Reisel, D., 2018. How Montgomery is reconfiguring consent in the UK. The Lancet, 392(10142), pp.102-104.</w:t>
      </w:r>
    </w:p>
    <w:p w14:paraId="46FE7B89"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Horder, J., 2016. Ashworth's principles of criminal law. Oxford University Press.</w:t>
      </w:r>
    </w:p>
    <w:p w14:paraId="2BD61AE0"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Husak, D.N., 2010. The philosophy of criminal law: selected essays. Oxford University Press.</w:t>
      </w:r>
    </w:p>
    <w:p w14:paraId="4FD1D0A0"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 xml:space="preserve">Kadish, S.H., </w:t>
      </w:r>
      <w:proofErr w:type="spellStart"/>
      <w:r w:rsidRPr="002E30A0">
        <w:rPr>
          <w:rFonts w:ascii="Times New Roman" w:hAnsi="Times New Roman" w:cs="Times New Roman"/>
          <w:sz w:val="24"/>
          <w:szCs w:val="24"/>
        </w:rPr>
        <w:t>Schulhofer</w:t>
      </w:r>
      <w:proofErr w:type="spellEnd"/>
      <w:r w:rsidRPr="002E30A0">
        <w:rPr>
          <w:rFonts w:ascii="Times New Roman" w:hAnsi="Times New Roman" w:cs="Times New Roman"/>
          <w:sz w:val="24"/>
          <w:szCs w:val="24"/>
        </w:rPr>
        <w:t>, S.J. and Barkow, R.E., 2016. Criminal law and its processes: Cases and materials. Aspen Publishing.</w:t>
      </w:r>
    </w:p>
    <w:p w14:paraId="3F3D6E61"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lastRenderedPageBreak/>
        <w:t xml:space="preserve">McCormack, D.J., Gulati, A. and </w:t>
      </w:r>
      <w:proofErr w:type="spellStart"/>
      <w:r w:rsidRPr="002E30A0">
        <w:rPr>
          <w:rFonts w:ascii="Times New Roman" w:hAnsi="Times New Roman" w:cs="Times New Roman"/>
          <w:sz w:val="24"/>
          <w:szCs w:val="24"/>
        </w:rPr>
        <w:t>Mangwani</w:t>
      </w:r>
      <w:proofErr w:type="spellEnd"/>
      <w:r w:rsidRPr="002E30A0">
        <w:rPr>
          <w:rFonts w:ascii="Times New Roman" w:hAnsi="Times New Roman" w:cs="Times New Roman"/>
          <w:sz w:val="24"/>
          <w:szCs w:val="24"/>
        </w:rPr>
        <w:t>, J., 2018. Informed consent: a global perspective. The Bone &amp; Joint Journal, 100(6), pp.687-692.</w:t>
      </w:r>
    </w:p>
    <w:p w14:paraId="32C05A6D"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 xml:space="preserve">Mill, J.S., 2022. The Collected Works of John Stuart Mill. </w:t>
      </w:r>
      <w:proofErr w:type="spellStart"/>
      <w:r w:rsidRPr="002E30A0">
        <w:rPr>
          <w:rFonts w:ascii="Times New Roman" w:hAnsi="Times New Roman" w:cs="Times New Roman"/>
          <w:sz w:val="24"/>
          <w:szCs w:val="24"/>
        </w:rPr>
        <w:t>DigiCat</w:t>
      </w:r>
      <w:proofErr w:type="spellEnd"/>
      <w:r w:rsidRPr="002E30A0">
        <w:rPr>
          <w:rFonts w:ascii="Times New Roman" w:hAnsi="Times New Roman" w:cs="Times New Roman"/>
          <w:sz w:val="24"/>
          <w:szCs w:val="24"/>
        </w:rPr>
        <w:t>.</w:t>
      </w:r>
    </w:p>
    <w:p w14:paraId="1859E39D"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Ormerod, D., Smith, J.C. and Laird, K., 2018. Smith, Hogan, and Ormerod's criminal law. Oxford University Press.</w:t>
      </w:r>
    </w:p>
    <w:p w14:paraId="4B7DB39C"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Samaha, J., 2016. Criminal law. Cengage Learning.</w:t>
      </w:r>
    </w:p>
    <w:p w14:paraId="30603CA4"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 xml:space="preserve">Simpson, B., 2016. Why has the concept of consent proven so difficult to </w:t>
      </w:r>
      <w:proofErr w:type="gramStart"/>
      <w:r w:rsidRPr="002E30A0">
        <w:rPr>
          <w:rFonts w:ascii="Times New Roman" w:hAnsi="Times New Roman" w:cs="Times New Roman"/>
          <w:sz w:val="24"/>
          <w:szCs w:val="24"/>
        </w:rPr>
        <w:t>clarify?.</w:t>
      </w:r>
      <w:proofErr w:type="gramEnd"/>
      <w:r w:rsidRPr="002E30A0">
        <w:rPr>
          <w:rFonts w:ascii="Times New Roman" w:hAnsi="Times New Roman" w:cs="Times New Roman"/>
          <w:sz w:val="24"/>
          <w:szCs w:val="24"/>
        </w:rPr>
        <w:t xml:space="preserve"> The Journal of Criminal Law, 80(2), pp.97-123.</w:t>
      </w:r>
    </w:p>
    <w:p w14:paraId="770338AA"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Souryal, S.S. and Whitehead, J.T., 2019. Ethics in criminal justice: In search of the truth. Routledge.</w:t>
      </w:r>
    </w:p>
    <w:p w14:paraId="51A1D0D6"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Szczucki, K., 2018. Ethical legitimacy of criminal law. International Journal of Law, Crime and Justice, 53, pp.67-76.</w:t>
      </w:r>
    </w:p>
    <w:p w14:paraId="47D57DFB" w14:textId="77777777" w:rsidR="002E30A0" w:rsidRPr="002E30A0" w:rsidRDefault="002E30A0" w:rsidP="002E30A0">
      <w:pPr>
        <w:spacing w:line="360" w:lineRule="auto"/>
        <w:ind w:left="360"/>
        <w:jc w:val="both"/>
        <w:rPr>
          <w:rFonts w:ascii="Times New Roman" w:hAnsi="Times New Roman" w:cs="Times New Roman"/>
          <w:sz w:val="24"/>
          <w:szCs w:val="24"/>
        </w:rPr>
      </w:pPr>
      <w:r w:rsidRPr="002E30A0">
        <w:rPr>
          <w:rFonts w:ascii="Times New Roman" w:hAnsi="Times New Roman" w:cs="Times New Roman"/>
          <w:sz w:val="24"/>
          <w:szCs w:val="24"/>
        </w:rPr>
        <w:t xml:space="preserve">Walton, T., 2020. Material risk: a review of informed consent in the UK. </w:t>
      </w:r>
      <w:proofErr w:type="spellStart"/>
      <w:r w:rsidRPr="002E30A0">
        <w:rPr>
          <w:rFonts w:ascii="Times New Roman" w:hAnsi="Times New Roman" w:cs="Times New Roman"/>
          <w:sz w:val="24"/>
          <w:szCs w:val="24"/>
        </w:rPr>
        <w:t>Orthopaedics</w:t>
      </w:r>
      <w:proofErr w:type="spellEnd"/>
      <w:r w:rsidRPr="002E30A0">
        <w:rPr>
          <w:rFonts w:ascii="Times New Roman" w:hAnsi="Times New Roman" w:cs="Times New Roman"/>
          <w:sz w:val="24"/>
          <w:szCs w:val="24"/>
        </w:rPr>
        <w:t xml:space="preserve"> and Trauma, 34(3), pp.131-134.</w:t>
      </w:r>
    </w:p>
    <w:sectPr w:rsidR="002E30A0" w:rsidRPr="002E30A0" w:rsidSect="0070791A">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66A51" w14:textId="77777777" w:rsidR="00D35192" w:rsidRDefault="00D35192" w:rsidP="0070791A">
      <w:pPr>
        <w:spacing w:after="0" w:line="240" w:lineRule="auto"/>
      </w:pPr>
      <w:r>
        <w:separator/>
      </w:r>
    </w:p>
  </w:endnote>
  <w:endnote w:type="continuationSeparator" w:id="0">
    <w:p w14:paraId="2876E60A" w14:textId="77777777" w:rsidR="00D35192" w:rsidRDefault="00D35192" w:rsidP="00707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8AAD7" w14:textId="625E4170" w:rsidR="0070791A" w:rsidRDefault="0070791A">
    <w:pPr>
      <w:pStyle w:val="Footer"/>
      <w:jc w:val="right"/>
    </w:pPr>
  </w:p>
  <w:p w14:paraId="016CC9D7" w14:textId="77777777" w:rsidR="0070791A" w:rsidRDefault="007079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334770"/>
      <w:docPartObj>
        <w:docPartGallery w:val="Page Numbers (Bottom of Page)"/>
        <w:docPartUnique/>
      </w:docPartObj>
    </w:sdtPr>
    <w:sdtEndPr>
      <w:rPr>
        <w:noProof/>
      </w:rPr>
    </w:sdtEndPr>
    <w:sdtContent>
      <w:p w14:paraId="2AA257C2" w14:textId="77777777" w:rsidR="0070791A" w:rsidRDefault="007079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0D6945" w14:textId="77777777" w:rsidR="0070791A" w:rsidRDefault="007079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33F9C" w14:textId="77777777" w:rsidR="00D35192" w:rsidRDefault="00D35192" w:rsidP="0070791A">
      <w:pPr>
        <w:spacing w:after="0" w:line="240" w:lineRule="auto"/>
      </w:pPr>
      <w:r>
        <w:separator/>
      </w:r>
    </w:p>
  </w:footnote>
  <w:footnote w:type="continuationSeparator" w:id="0">
    <w:p w14:paraId="01B38D48" w14:textId="77777777" w:rsidR="00D35192" w:rsidRDefault="00D35192" w:rsidP="007079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086576"/>
    <w:multiLevelType w:val="hybridMultilevel"/>
    <w:tmpl w:val="7E7AAC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3224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3CD"/>
    <w:rsid w:val="0017226F"/>
    <w:rsid w:val="00252E6B"/>
    <w:rsid w:val="002C2D09"/>
    <w:rsid w:val="002E30A0"/>
    <w:rsid w:val="003A3CAB"/>
    <w:rsid w:val="005563CD"/>
    <w:rsid w:val="005771ED"/>
    <w:rsid w:val="005C57E3"/>
    <w:rsid w:val="0070791A"/>
    <w:rsid w:val="00726CEB"/>
    <w:rsid w:val="007770E6"/>
    <w:rsid w:val="00954D8F"/>
    <w:rsid w:val="009F76A3"/>
    <w:rsid w:val="00AA6A7A"/>
    <w:rsid w:val="00CF08E8"/>
    <w:rsid w:val="00D35192"/>
    <w:rsid w:val="00D76B6F"/>
    <w:rsid w:val="00E05D72"/>
    <w:rsid w:val="00F1271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324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7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791A"/>
  </w:style>
  <w:style w:type="paragraph" w:styleId="Footer">
    <w:name w:val="footer"/>
    <w:basedOn w:val="Normal"/>
    <w:link w:val="FooterChar"/>
    <w:uiPriority w:val="99"/>
    <w:unhideWhenUsed/>
    <w:rsid w:val="007079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791A"/>
  </w:style>
  <w:style w:type="paragraph" w:styleId="ListParagraph">
    <w:name w:val="List Paragraph"/>
    <w:basedOn w:val="Normal"/>
    <w:uiPriority w:val="34"/>
    <w:qFormat/>
    <w:rsid w:val="003A3C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1885</Words>
  <Characters>10751</Characters>
  <Application>Microsoft Office Word</Application>
  <DocSecurity>0</DocSecurity>
  <Lines>89</Lines>
  <Paragraphs>25</Paragraphs>
  <ScaleCrop>false</ScaleCrop>
  <Company/>
  <LinksUpToDate>false</LinksUpToDate>
  <CharactersWithSpaces>12611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2023-11-10T18:01:00Z</dcterms:created>
  <dcterms:modified xsi:type="dcterms:W3CDTF">2023-11-10T18:01:00Z</dcterms:modified>
</cp:coreProperties>
</file>