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5DA424" w14:textId="5B2CA5F4" w:rsidR="0093160A" w:rsidRDefault="0093160A">
      <w:pPr>
        <w:rPr>
          <w:u w:val="single"/>
        </w:rPr>
      </w:pPr>
      <w:r w:rsidRPr="0093160A">
        <w:rPr>
          <w:u w:val="single"/>
        </w:rPr>
        <w:t>Reference list</w:t>
      </w:r>
    </w:p>
    <w:p w14:paraId="0218CDE9" w14:textId="77777777" w:rsidR="000647F0" w:rsidRDefault="000647F0"/>
    <w:p w14:paraId="0CA01C5E" w14:textId="77777777" w:rsidR="000647F0" w:rsidRDefault="000647F0" w:rsidP="00704B2E"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Blissett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J. and Fogel, A., 2013. Intrinsic and extrinsic influences on children's acceptance of new foods.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Physiology &amp;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pp.89-95.</w:t>
      </w:r>
      <w:r w:rsidRPr="00704B2E">
        <w:t xml:space="preserve"> </w:t>
      </w:r>
      <w:bookmarkStart w:id="0" w:name="_Hlk77429597"/>
      <w:r>
        <w:t>Available at: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bookmarkEnd w:id="0"/>
      <w:r w:rsidRPr="00704B2E">
        <w:fldChar w:fldCharType="begin"/>
      </w:r>
      <w:r w:rsidRPr="00704B2E">
        <w:instrText xml:space="preserve"> HYPERLINK "https://www.sciencedirect.com/science/article/abs/pii/S0031938413000425" </w:instrText>
      </w:r>
      <w:r w:rsidRPr="00704B2E">
        <w:fldChar w:fldCharType="separate"/>
      </w:r>
      <w:r w:rsidRPr="00704B2E">
        <w:rPr>
          <w:color w:val="0000FF"/>
          <w:u w:val="single"/>
        </w:rPr>
        <w:t>Intrinsic and extrinsic influences on children's acceptance of new foods - ScienceDirect</w:t>
      </w:r>
      <w:r w:rsidRPr="00704B2E">
        <w:fldChar w:fldCharType="end"/>
      </w:r>
      <w:bookmarkStart w:id="1" w:name="_Hlk77429760"/>
      <w:r>
        <w:rPr>
          <w:i/>
          <w:iCs/>
        </w:rPr>
        <w:t>(</w:t>
      </w:r>
      <w:r w:rsidRPr="005441AE">
        <w:t>Accessed</w:t>
      </w:r>
      <w:r>
        <w:t xml:space="preserve">: 12 July 2021). </w:t>
      </w:r>
    </w:p>
    <w:bookmarkEnd w:id="1"/>
    <w:p w14:paraId="756D08E1" w14:textId="77777777" w:rsidR="000647F0" w:rsidRDefault="000647F0">
      <w:r w:rsidRPr="00497A41">
        <w:t>Chan, M. (2013)</w:t>
      </w:r>
      <w:r w:rsidRPr="00497A41">
        <w:rPr>
          <w:i/>
          <w:iCs/>
        </w:rPr>
        <w:t xml:space="preserve"> Linking child survival and child development for health, equity, and sustainable development.</w:t>
      </w:r>
      <w:r>
        <w:t xml:space="preserve"> The Lancet, 381(9877): 1514–1515</w:t>
      </w:r>
      <w:r w:rsidRPr="00792D52">
        <w:rPr>
          <w:i/>
          <w:iCs/>
        </w:rPr>
        <w:t xml:space="preserve"> </w:t>
      </w:r>
      <w:bookmarkStart w:id="2" w:name="_Hlk77420415"/>
      <w:r>
        <w:rPr>
          <w:i/>
          <w:iCs/>
        </w:rPr>
        <w:t>(</w:t>
      </w:r>
      <w:r w:rsidRPr="005441AE">
        <w:t>Accessed</w:t>
      </w:r>
      <w:r>
        <w:t>: 12 July 2021)</w:t>
      </w:r>
      <w:bookmarkEnd w:id="2"/>
    </w:p>
    <w:p w14:paraId="72FAA28D" w14:textId="77777777" w:rsidR="000647F0" w:rsidRDefault="000647F0" w:rsidP="008B57EC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Crosby, S., Laird, K.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Younie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S., 2019. Interactive health-hygiene education for early years: the creation and evaluation of learning resources to improve understanding of handwashing practice.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Early Years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pp.374-390.</w:t>
      </w:r>
      <w:r w:rsidRPr="00252915">
        <w:t xml:space="preserve"> </w:t>
      </w:r>
      <w:r>
        <w:t>Available at:</w:t>
      </w:r>
      <w:r w:rsidRPr="00347000">
        <w:t xml:space="preserve"> </w:t>
      </w:r>
      <w:hyperlink r:id="rId7" w:history="1">
        <w:r w:rsidRPr="00347000">
          <w:rPr>
            <w:rStyle w:val="Hyperlink"/>
          </w:rPr>
          <w:t>Interactive health-hygiene education for early years: the creation and evaluation of learning resources to improve understanding of handwashing practice: International Journal of Early Years Education: Vol 27, No 4 (tandfonline.com)</w:t>
        </w:r>
      </w:hyperlink>
      <w:r>
        <w:t xml:space="preserve"> </w:t>
      </w:r>
      <w:bookmarkStart w:id="3" w:name="_Hlk77431561"/>
      <w:r>
        <w:rPr>
          <w:i/>
          <w:iCs/>
        </w:rPr>
        <w:t>(</w:t>
      </w:r>
      <w:r w:rsidRPr="005441AE">
        <w:t>Accessed</w:t>
      </w:r>
      <w:r>
        <w:t xml:space="preserve">: 12 July 2021).  </w:t>
      </w:r>
    </w:p>
    <w:bookmarkEnd w:id="3"/>
    <w:p w14:paraId="143AF1D6" w14:textId="77777777" w:rsidR="000647F0" w:rsidRDefault="000647F0" w:rsidP="00704B2E">
      <w:r w:rsidRPr="00277BE2">
        <w:t>ESTYN, 2014</w:t>
      </w:r>
      <w:r w:rsidRPr="00277BE2">
        <w:rPr>
          <w:i/>
          <w:iCs/>
        </w:rPr>
        <w:t xml:space="preserve">  ESDGC: Progress in education for sustainable development and global citizenship</w:t>
      </w:r>
      <w:r w:rsidRPr="00277BE2">
        <w:t xml:space="preserve"> </w:t>
      </w:r>
      <w:bookmarkStart w:id="4" w:name="_Hlk77429189"/>
      <w:r>
        <w:t>Available at</w:t>
      </w:r>
      <w:bookmarkEnd w:id="4"/>
      <w:r>
        <w:t>:</w:t>
      </w:r>
      <w:r w:rsidRPr="00EA01C2">
        <w:t xml:space="preserve"> </w:t>
      </w:r>
      <w:hyperlink r:id="rId8" w:history="1">
        <w:r w:rsidRPr="00EA01C2">
          <w:rPr>
            <w:color w:val="0000FF"/>
            <w:u w:val="single"/>
          </w:rPr>
          <w:t>ESDGC: Progress in education for sustainable development and global citizenship - June 2014 | Estyn (</w:t>
        </w:r>
        <w:proofErr w:type="spellStart"/>
        <w:r w:rsidRPr="00EA01C2">
          <w:rPr>
            <w:color w:val="0000FF"/>
            <w:u w:val="single"/>
          </w:rPr>
          <w:t>gov.wales</w:t>
        </w:r>
        <w:proofErr w:type="spellEnd"/>
        <w:r w:rsidRPr="00EA01C2">
          <w:rPr>
            <w:color w:val="0000FF"/>
            <w:u w:val="single"/>
          </w:rPr>
          <w:t>)</w:t>
        </w:r>
      </w:hyperlink>
      <w:r w:rsidRPr="00704B2E">
        <w:rPr>
          <w:i/>
          <w:iCs/>
        </w:rPr>
        <w:t xml:space="preserve"> </w:t>
      </w:r>
      <w:r>
        <w:rPr>
          <w:i/>
          <w:iCs/>
        </w:rPr>
        <w:t>(</w:t>
      </w:r>
      <w:r w:rsidRPr="005441AE">
        <w:t>Accessed</w:t>
      </w:r>
      <w:r>
        <w:t xml:space="preserve">: 12 July 2021). </w:t>
      </w:r>
    </w:p>
    <w:p w14:paraId="345C66E6" w14:textId="77777777" w:rsidR="000647F0" w:rsidRDefault="000647F0" w:rsidP="00343776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Hedges, H., Cullen, J. and Jordan, B., 2011. Early years curriculum: Funds of knowledge as a conceptual framework for children’s interests.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Curriculum Studies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pp.185-205.</w:t>
      </w:r>
      <w:r w:rsidRPr="00942592">
        <w:t xml:space="preserve"> </w:t>
      </w:r>
      <w:bookmarkStart w:id="5" w:name="_Hlk77431521"/>
      <w:bookmarkStart w:id="6" w:name="_Hlk77431071"/>
      <w:r>
        <w:t>Available at</w:t>
      </w:r>
      <w:bookmarkEnd w:id="5"/>
      <w:r>
        <w:t xml:space="preserve">: </w:t>
      </w:r>
      <w:bookmarkEnd w:id="6"/>
      <w:r>
        <w:fldChar w:fldCharType="begin"/>
      </w:r>
      <w:r>
        <w:instrText xml:space="preserve"> HYPERLINK "</w:instrText>
      </w:r>
      <w:r w:rsidRPr="00512B0C">
        <w:instrText>https://www.tandfonline.com/doi/abs/10.1080/00220272.2010.511275</w:instrText>
      </w:r>
      <w:r>
        <w:instrText xml:space="preserve">" </w:instrText>
      </w:r>
      <w:r>
        <w:fldChar w:fldCharType="separate"/>
      </w:r>
      <w:r w:rsidRPr="00D86704">
        <w:rPr>
          <w:rStyle w:val="Hyperlink"/>
        </w:rPr>
        <w:t>https://www.tandfonline.com/doi/abs/10.1080/00220272.2010.511275</w:t>
      </w:r>
      <w:r>
        <w:fldChar w:fldCharType="end"/>
      </w:r>
      <w:r>
        <w:t xml:space="preserve"> </w:t>
      </w:r>
      <w:bookmarkStart w:id="7" w:name="_Hlk77431186"/>
      <w:r>
        <w:rPr>
          <w:i/>
          <w:iCs/>
        </w:rPr>
        <w:t>(</w:t>
      </w:r>
      <w:r w:rsidRPr="005441AE">
        <w:t>Accessed</w:t>
      </w:r>
      <w:r>
        <w:t xml:space="preserve">: 12 July 2021).  </w:t>
      </w:r>
    </w:p>
    <w:bookmarkEnd w:id="7"/>
    <w:p w14:paraId="57E45C52" w14:textId="77777777" w:rsidR="000647F0" w:rsidRDefault="000647F0">
      <w:r>
        <w:t xml:space="preserve">John Muir Trust, (2021) </w:t>
      </w:r>
      <w:r w:rsidRPr="00FA38A8">
        <w:t>Health and wellbeing</w:t>
      </w:r>
      <w:r>
        <w:t>.</w:t>
      </w:r>
      <w:r w:rsidRPr="00FA38A8">
        <w:t xml:space="preserve"> </w:t>
      </w:r>
      <w:r>
        <w:t>Available at:</w:t>
      </w:r>
      <w:r w:rsidRPr="005E3543">
        <w:t xml:space="preserve"> </w:t>
      </w:r>
      <w:hyperlink r:id="rId9" w:anchor="education" w:history="1">
        <w:r w:rsidRPr="00D86704">
          <w:rPr>
            <w:rStyle w:val="Hyperlink"/>
          </w:rPr>
          <w:t>https://www.johnmuirtrust.org/john-muir-award/ideas-and-resources/health-and-wellbeing#education</w:t>
        </w:r>
      </w:hyperlink>
      <w:r>
        <w:t xml:space="preserve"> </w:t>
      </w:r>
      <w:bookmarkStart w:id="8" w:name="_Hlk77424189"/>
      <w:r>
        <w:rPr>
          <w:i/>
          <w:iCs/>
        </w:rPr>
        <w:t>(</w:t>
      </w:r>
      <w:r w:rsidRPr="005441AE">
        <w:t>Accessed</w:t>
      </w:r>
      <w:r>
        <w:t>: 12 July 2021).</w:t>
      </w:r>
      <w:bookmarkEnd w:id="8"/>
    </w:p>
    <w:p w14:paraId="6EB69CAA" w14:textId="77777777" w:rsidR="000647F0" w:rsidRDefault="000647F0">
      <w:proofErr w:type="spellStart"/>
      <w:r>
        <w:t>Kariks</w:t>
      </w:r>
      <w:proofErr w:type="spellEnd"/>
      <w:r>
        <w:t xml:space="preserve"> 2020, </w:t>
      </w:r>
      <w:r w:rsidRPr="00D85C98">
        <w:rPr>
          <w:i/>
          <w:iCs/>
        </w:rPr>
        <w:t>Vygotsky Scaffolding: What It Is and How to Use It</w:t>
      </w:r>
      <w:r w:rsidRPr="006E00E9">
        <w:t xml:space="preserve"> </w:t>
      </w:r>
      <w:hyperlink r:id="rId10" w:anchor=":~:text=Vygotsky%20scaffolding%20is%20a%20teaching%20method%20that%20uses,they%20were%20tackling%20the%20subject%20on%20their%20own." w:history="1">
        <w:r w:rsidRPr="003E0420">
          <w:rPr>
            <w:rStyle w:val="Hyperlink"/>
          </w:rPr>
          <w:t>Vygotsky Scaffolding: What It Is and How to Use It (prepscholar.com)</w:t>
        </w:r>
      </w:hyperlink>
      <w:r w:rsidRPr="003E091E">
        <w:rPr>
          <w:i/>
          <w:iCs/>
        </w:rPr>
        <w:t xml:space="preserve"> </w:t>
      </w:r>
      <w:r>
        <w:rPr>
          <w:i/>
          <w:iCs/>
        </w:rPr>
        <w:t>(</w:t>
      </w:r>
      <w:r w:rsidRPr="005441AE">
        <w:t>Accessed</w:t>
      </w:r>
      <w:r>
        <w:t xml:space="preserve">: 12 July 2021).  </w:t>
      </w:r>
    </w:p>
    <w:p w14:paraId="6EA50EA8" w14:textId="77777777" w:rsidR="000647F0" w:rsidRDefault="000647F0" w:rsidP="00927BE2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Nutbrown, C., Clough, P. and Atherton, F., 2013.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Inclusion in the early years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Sage.</w:t>
      </w:r>
      <w:r w:rsidRPr="00831DD4">
        <w:t xml:space="preserve"> </w:t>
      </w:r>
      <w:r>
        <w:t>Available at:</w:t>
      </w:r>
      <w:r w:rsidRPr="00927BE2">
        <w:t xml:space="preserve"> </w:t>
      </w:r>
      <w:hyperlink r:id="rId11" w:anchor="v=onepage&amp;q=the%20nursery%20needs%20to%20take%20inclusive%20practice%20into%20consideration&amp;f=false" w:history="1">
        <w:r w:rsidRPr="00927BE2">
          <w:rPr>
            <w:rStyle w:val="Hyperlink"/>
          </w:rPr>
          <w:t>Inclusion in the Early Years - Cathy Nutbrown, Peter Clough, Frances Atherton - Google Books</w:t>
        </w:r>
      </w:hyperlink>
      <w:r>
        <w:t xml:space="preserve"> </w:t>
      </w:r>
      <w:r>
        <w:rPr>
          <w:i/>
          <w:iCs/>
        </w:rPr>
        <w:t>(</w:t>
      </w:r>
      <w:r w:rsidRPr="005441AE">
        <w:t>Accessed</w:t>
      </w:r>
      <w:r>
        <w:t xml:space="preserve">: 12 July 2021).  </w:t>
      </w:r>
    </w:p>
    <w:p w14:paraId="4D302842" w14:textId="34EC537A" w:rsidR="000647F0" w:rsidRPr="003E091E" w:rsidRDefault="000647F0" w:rsidP="00A5719C">
      <w:proofErr w:type="spellStart"/>
      <w:r w:rsidRPr="006E00E9">
        <w:rPr>
          <w:rFonts w:ascii="Arial" w:hAnsi="Arial" w:cs="Arial"/>
          <w:color w:val="333333"/>
          <w:sz w:val="20"/>
          <w:szCs w:val="20"/>
          <w:shd w:val="clear" w:color="auto" w:fill="FFFFFF"/>
        </w:rPr>
        <w:t>Priti</w:t>
      </w:r>
      <w:proofErr w:type="spellEnd"/>
      <w:r>
        <w:rPr>
          <w:rFonts w:ascii="Arial" w:hAnsi="Arial" w:cs="Arial"/>
          <w:color w:val="333333"/>
          <w:sz w:val="20"/>
          <w:szCs w:val="20"/>
          <w:shd w:val="clear" w:color="auto" w:fill="FFFFFF"/>
        </w:rPr>
        <w:t xml:space="preserve">, J </w:t>
      </w:r>
      <w:r w:rsidRPr="006E00E9">
        <w:rPr>
          <w:rFonts w:ascii="Arial" w:hAnsi="Arial" w:cs="Arial"/>
          <w:color w:val="333333"/>
          <w:sz w:val="20"/>
          <w:szCs w:val="20"/>
          <w:shd w:val="clear" w:color="auto" w:fill="FFFFFF"/>
        </w:rPr>
        <w:t xml:space="preserve">and </w:t>
      </w:r>
      <w:proofErr w:type="spellStart"/>
      <w:r w:rsidRPr="006E00E9">
        <w:rPr>
          <w:rFonts w:ascii="Arial" w:hAnsi="Arial" w:cs="Arial"/>
          <w:color w:val="333333"/>
          <w:sz w:val="20"/>
          <w:szCs w:val="20"/>
          <w:shd w:val="clear" w:color="auto" w:fill="FFFFFF"/>
        </w:rPr>
        <w:t>Subri</w:t>
      </w:r>
      <w:proofErr w:type="spellEnd"/>
      <w:r w:rsidRPr="006E00E9">
        <w:rPr>
          <w:rFonts w:ascii="Arial" w:hAnsi="Arial" w:cs="Arial"/>
          <w:color w:val="333333"/>
          <w:sz w:val="20"/>
          <w:szCs w:val="20"/>
          <w:shd w:val="clear" w:color="auto" w:fill="FFFFFF"/>
        </w:rPr>
        <w:t>,</w:t>
      </w:r>
      <w:r>
        <w:rPr>
          <w:rFonts w:ascii="Arial" w:hAnsi="Arial" w:cs="Arial"/>
          <w:color w:val="333333"/>
          <w:sz w:val="20"/>
          <w:szCs w:val="20"/>
          <w:shd w:val="clear" w:color="auto" w:fill="FFFFFF"/>
        </w:rPr>
        <w:t xml:space="preserve"> S, </w:t>
      </w:r>
      <w:r w:rsidRPr="006E00E9">
        <w:rPr>
          <w:rFonts w:ascii="Arial" w:hAnsi="Arial" w:cs="Arial"/>
          <w:color w:val="333333"/>
          <w:sz w:val="20"/>
          <w:szCs w:val="20"/>
          <w:shd w:val="clear" w:color="auto" w:fill="FFFFFF"/>
        </w:rPr>
        <w:t xml:space="preserve"> (2019).</w:t>
      </w:r>
      <w:r w:rsidR="00B907F2">
        <w:rPr>
          <w:rFonts w:ascii="Georgia" w:eastAsia="Times New Roman" w:hAnsi="Georgia" w:cs="Times New Roman"/>
          <w:color w:val="333333"/>
          <w:spacing w:val="5"/>
          <w:kern w:val="36"/>
          <w:sz w:val="48"/>
          <w:szCs w:val="48"/>
          <w:lang w:eastAsia="en-GB"/>
        </w:rPr>
        <w:t xml:space="preserve"> </w:t>
      </w:r>
      <w:r w:rsidRPr="00A5719C">
        <w:rPr>
          <w:rFonts w:ascii="Arial" w:hAnsi="Arial" w:cs="Arial"/>
          <w:i/>
          <w:iCs/>
          <w:color w:val="333333"/>
          <w:sz w:val="20"/>
          <w:szCs w:val="20"/>
          <w:shd w:val="clear" w:color="auto" w:fill="FFFFFF"/>
        </w:rPr>
        <w:t>Child Development and Education in the Twenty-First Century</w:t>
      </w:r>
      <w:r w:rsidRPr="003E091E">
        <w:rPr>
          <w:i/>
          <w:iCs/>
        </w:rPr>
        <w:t xml:space="preserve"> </w:t>
      </w:r>
      <w:r>
        <w:rPr>
          <w:i/>
          <w:iCs/>
        </w:rPr>
        <w:t>(</w:t>
      </w:r>
      <w:r w:rsidRPr="005441AE">
        <w:t>Accessed</w:t>
      </w:r>
      <w:r>
        <w:t xml:space="preserve">: 12 July 2021).  </w:t>
      </w:r>
      <w:bookmarkStart w:id="9" w:name="_Hlk77428213"/>
    </w:p>
    <w:p w14:paraId="4B85551A" w14:textId="77777777" w:rsidR="000647F0" w:rsidRDefault="000647F0" w:rsidP="00343776">
      <w:bookmarkStart w:id="10" w:name="_Hlk77430119"/>
      <w:bookmarkEnd w:id="9"/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Ridgers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N.D., Knowles, Z.R. and Sayers, J., 2012. </w:t>
      </w:r>
      <w:bookmarkEnd w:id="10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Encouraging play in the natural environment: a child-focused case study of Forest School.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Children's geographies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pp.49-65.</w:t>
      </w:r>
      <w:r w:rsidRPr="00EE6971">
        <w:t xml:space="preserve"> </w:t>
      </w:r>
      <w:bookmarkStart w:id="11" w:name="_Hlk77430595"/>
      <w:r>
        <w:t>Available at:</w:t>
      </w:r>
      <w:r w:rsidRPr="00343776">
        <w:t xml:space="preserve"> </w:t>
      </w:r>
      <w:bookmarkEnd w:id="11"/>
      <w:r w:rsidRPr="00343776">
        <w:fldChar w:fldCharType="begin"/>
      </w:r>
      <w:r w:rsidRPr="00343776">
        <w:instrText xml:space="preserve"> HYPERLINK "https://www.tandfonline.com/doi/abs/10.1080/14733285.2011.638176" </w:instrText>
      </w:r>
      <w:r w:rsidRPr="00343776">
        <w:fldChar w:fldCharType="separate"/>
      </w:r>
      <w:r w:rsidRPr="00343776">
        <w:rPr>
          <w:color w:val="0000FF"/>
          <w:u w:val="single"/>
        </w:rPr>
        <w:t>Encouraging play in the natural environment: a child-focused case study of Forest School: Children's Geographies: Vol 10, No 1 (tandfonline.com)</w:t>
      </w:r>
      <w:r w:rsidRPr="00343776">
        <w:fldChar w:fldCharType="end"/>
      </w:r>
      <w:r w:rsidRPr="00343776">
        <w:rPr>
          <w:i/>
          <w:iCs/>
        </w:rPr>
        <w:t xml:space="preserve"> </w:t>
      </w:r>
      <w:bookmarkStart w:id="12" w:name="_Hlk77430645"/>
      <w:r>
        <w:rPr>
          <w:i/>
          <w:iCs/>
        </w:rPr>
        <w:t>(</w:t>
      </w:r>
      <w:r w:rsidRPr="005441AE">
        <w:t>Accessed</w:t>
      </w:r>
      <w:r>
        <w:t xml:space="preserve">: 12 July 2021). </w:t>
      </w:r>
      <w:bookmarkEnd w:id="12"/>
    </w:p>
    <w:p w14:paraId="551E9A37" w14:textId="77777777" w:rsidR="000647F0" w:rsidRDefault="000647F0" w:rsidP="00474BCC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Siraj-Blatchford, J., Smith, K.C. and Samuelsson, I.P., 2010.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 for sustainable development in the early years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OMEP, World Organization for Early Childhood Education.</w:t>
      </w:r>
      <w:r w:rsidRPr="003351DA">
        <w:t xml:space="preserve"> </w:t>
      </w:r>
      <w:bookmarkStart w:id="13" w:name="_Hlk77430168"/>
      <w:r>
        <w:t>Available at:</w:t>
      </w:r>
      <w:r w:rsidRPr="00474BCC">
        <w:t xml:space="preserve"> </w:t>
      </w:r>
      <w:bookmarkEnd w:id="13"/>
      <w:r w:rsidRPr="00474BCC">
        <w:fldChar w:fldCharType="begin"/>
      </w:r>
      <w:r w:rsidRPr="00474BCC">
        <w:instrText xml:space="preserve"> HYPERLINK "http://watfa.net/wp-content/uploads/2018/01/Education-for-Sustainable-Development-in-the-early-years-%D9%83%D8%AA%D8%A7%D8%A8-%D8%A7%D9%84%D8%AA%D9%86%D9%85%D9%8A%D8%A9-%D9%88%D8%A7%D9%84%D8%AA%D8%B1%D8%A8%D9%8A%D8%A9-%D8%A7%D9%84%D9%85%D8%B3%D8%AA%D8%AF%D8%A7%D9%85%D8%A9-%D9%84%D9%84%D8%AA%D8%B1%D8%AC%D9%85%D8%A9-%D8%A3%D9%8A%D8%B6%D8%A7-%D9%8A%D8%AC%D8%A8-%D8%A3%D9%86-%D9%8A%D8%AA%D8%B1%D8%AC%D9%85-%D9%84%D8%B7%D9%84%D8%A7%D8%A8-%D8%A7%D9%84%D9%85%D8%A7%D8%B3%D8%AA%D8%B1.pdf" </w:instrText>
      </w:r>
      <w:r w:rsidRPr="00474BCC">
        <w:fldChar w:fldCharType="separate"/>
      </w:r>
      <w:r w:rsidRPr="00474BCC">
        <w:rPr>
          <w:color w:val="0000FF"/>
          <w:u w:val="single"/>
        </w:rPr>
        <w:t>Education-for-Sustainable-Development-in-the-early-years-.pdf (watfa.net)</w:t>
      </w:r>
      <w:r w:rsidRPr="00474BCC">
        <w:fldChar w:fldCharType="end"/>
      </w:r>
      <w:r w:rsidRPr="00474BCC">
        <w:t xml:space="preserve"> </w:t>
      </w:r>
      <w:bookmarkStart w:id="14" w:name="_Hlk77430228"/>
      <w:r>
        <w:rPr>
          <w:i/>
          <w:iCs/>
        </w:rPr>
        <w:t>(</w:t>
      </w:r>
      <w:r w:rsidRPr="005441AE">
        <w:t>Accessed</w:t>
      </w:r>
      <w:r>
        <w:t xml:space="preserve">: 12 July 2021). </w:t>
      </w:r>
    </w:p>
    <w:bookmarkEnd w:id="14"/>
    <w:p w14:paraId="120F0CAB" w14:textId="288774B6" w:rsidR="000647F0" w:rsidRDefault="000647F0" w:rsidP="00BC3866">
      <w:r w:rsidRPr="00063CE4">
        <w:t xml:space="preserve">The United Nations Convention on the Rights of the Child, </w:t>
      </w:r>
      <w:r>
        <w:t>(</w:t>
      </w:r>
      <w:r w:rsidRPr="00063CE4">
        <w:t>UNCRC</w:t>
      </w:r>
      <w:r>
        <w:t>)</w:t>
      </w:r>
      <w:r w:rsidRPr="004B24E4">
        <w:t xml:space="preserve"> </w:t>
      </w:r>
      <w:r w:rsidRPr="000647F0">
        <w:rPr>
          <w:i/>
          <w:iCs/>
        </w:rPr>
        <w:t>Article 23</w:t>
      </w:r>
      <w:r>
        <w:t xml:space="preserve">. Available at: </w:t>
      </w:r>
      <w:hyperlink r:id="rId12" w:history="1">
        <w:r w:rsidRPr="001F2A05">
          <w:rPr>
            <w:rStyle w:val="Hyperlink"/>
          </w:rPr>
          <w:t>UNCRC_summary-1_1.pdf (unicef.org.uk)</w:t>
        </w:r>
      </w:hyperlink>
      <w:r>
        <w:t xml:space="preserve"> </w:t>
      </w:r>
      <w:r>
        <w:rPr>
          <w:i/>
          <w:iCs/>
        </w:rPr>
        <w:t>(</w:t>
      </w:r>
      <w:r w:rsidRPr="005441AE">
        <w:t>Accessed</w:t>
      </w:r>
      <w:r>
        <w:t xml:space="preserve">: 12 July 2021). </w:t>
      </w:r>
    </w:p>
    <w:p w14:paraId="6F953DCF" w14:textId="09282052" w:rsidR="000647F0" w:rsidRDefault="000647F0" w:rsidP="00BC3866">
      <w:r w:rsidRPr="00063CE4">
        <w:t xml:space="preserve">The United Nations Convention on the Rights of the Child, </w:t>
      </w:r>
      <w:r>
        <w:t>(</w:t>
      </w:r>
      <w:r w:rsidRPr="00063CE4">
        <w:t>UNCRC</w:t>
      </w:r>
      <w:r>
        <w:t>)</w:t>
      </w:r>
      <w:r w:rsidRPr="004B24E4">
        <w:t xml:space="preserve"> </w:t>
      </w:r>
      <w:r w:rsidRPr="000647F0">
        <w:rPr>
          <w:i/>
          <w:iCs/>
        </w:rPr>
        <w:t>Article 2</w:t>
      </w:r>
      <w:r w:rsidRPr="000647F0">
        <w:rPr>
          <w:i/>
          <w:iCs/>
        </w:rPr>
        <w:t>8</w:t>
      </w:r>
      <w:r>
        <w:t xml:space="preserve">. Available at: </w:t>
      </w:r>
      <w:hyperlink r:id="rId13" w:history="1">
        <w:r w:rsidRPr="001F2A05">
          <w:rPr>
            <w:rStyle w:val="Hyperlink"/>
          </w:rPr>
          <w:t>UNCRC_summary-1_1.pdf (unicef.org.uk)</w:t>
        </w:r>
      </w:hyperlink>
      <w:r>
        <w:t xml:space="preserve"> </w:t>
      </w:r>
      <w:r>
        <w:rPr>
          <w:i/>
          <w:iCs/>
        </w:rPr>
        <w:t>(</w:t>
      </w:r>
      <w:r w:rsidRPr="005441AE">
        <w:t>Accessed</w:t>
      </w:r>
      <w:r>
        <w:t>: 12 July 2021).</w:t>
      </w:r>
    </w:p>
    <w:p w14:paraId="4F6FDE34" w14:textId="77777777" w:rsidR="000647F0" w:rsidRDefault="000647F0" w:rsidP="00BC3866"/>
    <w:p w14:paraId="6665CA0B" w14:textId="77777777" w:rsidR="000647F0" w:rsidRDefault="000647F0">
      <w:pPr>
        <w:rPr>
          <w:i/>
          <w:iCs/>
        </w:rPr>
      </w:pPr>
      <w:r>
        <w:lastRenderedPageBreak/>
        <w:t xml:space="preserve">Welsh Assembly Government, (2008) </w:t>
      </w:r>
      <w:r w:rsidRPr="0008595A">
        <w:rPr>
          <w:i/>
          <w:iCs/>
        </w:rPr>
        <w:t>Education for Sustainable Development and Global Citizenship</w:t>
      </w:r>
      <w:r w:rsidRPr="00663C99">
        <w:t xml:space="preserve"> </w:t>
      </w:r>
      <w:r w:rsidRPr="00663C99">
        <w:rPr>
          <w:i/>
          <w:iCs/>
        </w:rPr>
        <w:t>A Common Understanding for Schools</w:t>
      </w:r>
      <w:r w:rsidRPr="00663C99">
        <w:t>.</w:t>
      </w:r>
      <w:r>
        <w:t xml:space="preserve"> </w:t>
      </w:r>
      <w:bookmarkStart w:id="15" w:name="_Hlk77424158"/>
      <w:bookmarkStart w:id="16" w:name="_Hlk77420382"/>
      <w:r>
        <w:t>Available at:</w:t>
      </w:r>
      <w:bookmarkEnd w:id="15"/>
      <w:r>
        <w:rPr>
          <w:i/>
          <w:iCs/>
        </w:rPr>
        <w:t xml:space="preserve"> </w:t>
      </w:r>
      <w:bookmarkEnd w:id="16"/>
      <w:r>
        <w:fldChar w:fldCharType="begin"/>
      </w:r>
      <w:r>
        <w:instrText xml:space="preserve"> HYPERLINK "https://hwb.gov.wales/storage/eaf467e6-30fe-45c9-93ef-cb30f31f1c90/common-understanding-for-school.pdf" </w:instrText>
      </w:r>
      <w:r>
        <w:fldChar w:fldCharType="separate"/>
      </w:r>
      <w:r w:rsidRPr="0003627A">
        <w:rPr>
          <w:rStyle w:val="Hyperlink"/>
          <w:i/>
          <w:iCs/>
        </w:rPr>
        <w:t>https://hwb.gov.wales/storage/eaf467e6-30fe-45c9-93ef-cb30f31f1c90/common-understanding-for-school.pdf</w:t>
      </w:r>
      <w:r>
        <w:rPr>
          <w:rStyle w:val="Hyperlink"/>
          <w:i/>
          <w:iCs/>
        </w:rPr>
        <w:fldChar w:fldCharType="end"/>
      </w:r>
      <w:r>
        <w:rPr>
          <w:i/>
          <w:iCs/>
        </w:rPr>
        <w:t xml:space="preserve"> (</w:t>
      </w:r>
      <w:r w:rsidRPr="005441AE">
        <w:t>Accessed</w:t>
      </w:r>
      <w:r>
        <w:t>: 12 July 2021)</w:t>
      </w:r>
      <w:r>
        <w:rPr>
          <w:i/>
          <w:iCs/>
        </w:rPr>
        <w:t xml:space="preserve"> </w:t>
      </w:r>
    </w:p>
    <w:p w14:paraId="6A050499" w14:textId="77777777" w:rsidR="000647F0" w:rsidRDefault="000647F0" w:rsidP="00EB21E8">
      <w:r>
        <w:t xml:space="preserve">Welsh Government, (2012) </w:t>
      </w:r>
      <w:r w:rsidRPr="00337621">
        <w:rPr>
          <w:i/>
          <w:iCs/>
        </w:rPr>
        <w:t>Education for Sustainable Development and Global Citizenship A common understanding for the adult and community learning sector</w:t>
      </w:r>
      <w:r w:rsidRPr="00337621">
        <w:t xml:space="preserve"> </w:t>
      </w:r>
      <w:bookmarkStart w:id="17" w:name="_Hlk77425367"/>
      <w:r>
        <w:t>. Available at:</w:t>
      </w:r>
      <w:r w:rsidRPr="00EB21E8">
        <w:t xml:space="preserve"> </w:t>
      </w:r>
      <w:bookmarkEnd w:id="17"/>
      <w:r>
        <w:fldChar w:fldCharType="begin"/>
      </w:r>
      <w:r>
        <w:instrText xml:space="preserve"> HYPERLINK "</w:instrText>
      </w:r>
      <w:r w:rsidRPr="00EB21E8">
        <w:instrText>https://gov.wales/sites/default/files/publications/2018-02/education-for-sustainable-development-and-global-citizenship-a-common-understanding-for-the-adult-and-community-learning-sector.pdf</w:instrText>
      </w:r>
      <w:r>
        <w:instrText xml:space="preserve">" </w:instrText>
      </w:r>
      <w:r>
        <w:fldChar w:fldCharType="separate"/>
      </w:r>
      <w:r w:rsidRPr="00D86704">
        <w:rPr>
          <w:rStyle w:val="Hyperlink"/>
        </w:rPr>
        <w:t>https://gov.wales/sites/default/files/publications/2018-02/education-for-sustainable-development-and-global-citizenship-a-common-understanding-for-the-adult-and-community-learning-sector.pdf</w:t>
      </w:r>
      <w:r>
        <w:fldChar w:fldCharType="end"/>
      </w:r>
      <w:r>
        <w:t xml:space="preserve"> </w:t>
      </w:r>
      <w:bookmarkStart w:id="18" w:name="_Hlk77429210"/>
      <w:r>
        <w:rPr>
          <w:i/>
          <w:iCs/>
        </w:rPr>
        <w:t>(</w:t>
      </w:r>
      <w:r w:rsidRPr="005441AE">
        <w:t>Accessed</w:t>
      </w:r>
      <w:r>
        <w:t xml:space="preserve">: 12 July 2021). </w:t>
      </w:r>
    </w:p>
    <w:bookmarkEnd w:id="18"/>
    <w:p w14:paraId="5D8E6468" w14:textId="77777777" w:rsidR="000647F0" w:rsidRDefault="000647F0">
      <w:r>
        <w:t xml:space="preserve">Welsh Government, (2020) </w:t>
      </w:r>
      <w:r w:rsidRPr="001C4E77">
        <w:rPr>
          <w:i/>
          <w:iCs/>
        </w:rPr>
        <w:t>International Strategy</w:t>
      </w:r>
      <w:r>
        <w:rPr>
          <w:i/>
          <w:iCs/>
        </w:rPr>
        <w:t>.</w:t>
      </w:r>
      <w:r w:rsidRPr="001C4E77">
        <w:t xml:space="preserve"> </w:t>
      </w:r>
      <w:bookmarkStart w:id="19" w:name="_Hlk77432412"/>
      <w:r>
        <w:t>Available at:</w:t>
      </w:r>
      <w:r w:rsidRPr="003A6416">
        <w:t xml:space="preserve"> </w:t>
      </w:r>
      <w:bookmarkEnd w:id="19"/>
      <w:r>
        <w:fldChar w:fldCharType="begin"/>
      </w:r>
      <w:r>
        <w:instrText xml:space="preserve"> HYPERLINK "</w:instrText>
      </w:r>
      <w:r w:rsidRPr="003A6416">
        <w:instrText>https://gov.wales/sites/default/files/publications/2020-10/international-strategy-for-wales-v1.pdf</w:instrText>
      </w:r>
      <w:r>
        <w:instrText xml:space="preserve">" </w:instrText>
      </w:r>
      <w:r>
        <w:fldChar w:fldCharType="separate"/>
      </w:r>
      <w:r w:rsidRPr="00D86704">
        <w:rPr>
          <w:rStyle w:val="Hyperlink"/>
        </w:rPr>
        <w:t>https://gov.wales/sites/default/files/publications/2020-10/international-strategy-for-wales-v1.pdf</w:t>
      </w:r>
      <w:r>
        <w:fldChar w:fldCharType="end"/>
      </w:r>
      <w:bookmarkStart w:id="20" w:name="_Hlk77424913"/>
      <w:r>
        <w:t xml:space="preserve"> </w:t>
      </w:r>
      <w:bookmarkStart w:id="21" w:name="_Hlk77432573"/>
      <w:r>
        <w:rPr>
          <w:i/>
          <w:iCs/>
        </w:rPr>
        <w:t>(</w:t>
      </w:r>
      <w:r w:rsidRPr="005441AE">
        <w:t>Accessed</w:t>
      </w:r>
      <w:r>
        <w:t xml:space="preserve">: 12 July 2021). </w:t>
      </w:r>
      <w:bookmarkEnd w:id="20"/>
      <w:bookmarkEnd w:id="21"/>
    </w:p>
    <w:sectPr w:rsidR="000647F0" w:rsidSect="00703050">
      <w:headerReference w:type="default" r:id="rId1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351EFB" w14:textId="77777777" w:rsidR="00DF1185" w:rsidRDefault="00DF1185" w:rsidP="00085729">
      <w:pPr>
        <w:spacing w:after="0" w:line="240" w:lineRule="auto"/>
      </w:pPr>
      <w:r>
        <w:separator/>
      </w:r>
    </w:p>
  </w:endnote>
  <w:endnote w:type="continuationSeparator" w:id="0">
    <w:p w14:paraId="46773A63" w14:textId="77777777" w:rsidR="00DF1185" w:rsidRDefault="00DF1185" w:rsidP="000857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BDAB8C" w14:textId="77777777" w:rsidR="00DF1185" w:rsidRDefault="00DF1185" w:rsidP="00085729">
      <w:pPr>
        <w:spacing w:after="0" w:line="240" w:lineRule="auto"/>
      </w:pPr>
      <w:r>
        <w:separator/>
      </w:r>
    </w:p>
  </w:footnote>
  <w:footnote w:type="continuationSeparator" w:id="0">
    <w:p w14:paraId="22CC3A72" w14:textId="77777777" w:rsidR="00DF1185" w:rsidRDefault="00DF1185" w:rsidP="000857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036D75" w14:textId="2CA18605" w:rsidR="00085729" w:rsidRDefault="00B907F2">
    <w:pPr>
      <w:pStyle w:val="Header"/>
    </w:pPr>
    <w:r>
      <w:t xml:space="preserve">EAEE6005                                                                                                                                             </w:t>
    </w:r>
    <w:r w:rsidR="003E091E">
      <w:t>1906327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1C47C8"/>
    <w:multiLevelType w:val="hybridMultilevel"/>
    <w:tmpl w:val="1FE60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050"/>
    <w:rsid w:val="000064FF"/>
    <w:rsid w:val="00012EC1"/>
    <w:rsid w:val="00022253"/>
    <w:rsid w:val="00033842"/>
    <w:rsid w:val="00041693"/>
    <w:rsid w:val="000416DA"/>
    <w:rsid w:val="00052AA1"/>
    <w:rsid w:val="00063CE4"/>
    <w:rsid w:val="000647F0"/>
    <w:rsid w:val="00073CF4"/>
    <w:rsid w:val="0008224A"/>
    <w:rsid w:val="0008448D"/>
    <w:rsid w:val="00084F97"/>
    <w:rsid w:val="00085729"/>
    <w:rsid w:val="0008595A"/>
    <w:rsid w:val="00086DA0"/>
    <w:rsid w:val="00087C7C"/>
    <w:rsid w:val="00096C55"/>
    <w:rsid w:val="000A4795"/>
    <w:rsid w:val="000C520F"/>
    <w:rsid w:val="000C573B"/>
    <w:rsid w:val="000C76A7"/>
    <w:rsid w:val="000D21FA"/>
    <w:rsid w:val="000D5E29"/>
    <w:rsid w:val="000E0FB5"/>
    <w:rsid w:val="000E72F4"/>
    <w:rsid w:val="000F6D82"/>
    <w:rsid w:val="001043AA"/>
    <w:rsid w:val="0010650A"/>
    <w:rsid w:val="00110DF1"/>
    <w:rsid w:val="001215A2"/>
    <w:rsid w:val="0012454A"/>
    <w:rsid w:val="00135C4C"/>
    <w:rsid w:val="00144AE2"/>
    <w:rsid w:val="00152794"/>
    <w:rsid w:val="00156CD6"/>
    <w:rsid w:val="00162842"/>
    <w:rsid w:val="001A1CC9"/>
    <w:rsid w:val="001A6CF7"/>
    <w:rsid w:val="001A7F84"/>
    <w:rsid w:val="001B39D0"/>
    <w:rsid w:val="001B7E49"/>
    <w:rsid w:val="001C4E77"/>
    <w:rsid w:val="001F0A18"/>
    <w:rsid w:val="001F0B47"/>
    <w:rsid w:val="001F2A05"/>
    <w:rsid w:val="0021210E"/>
    <w:rsid w:val="00220856"/>
    <w:rsid w:val="00231391"/>
    <w:rsid w:val="00234512"/>
    <w:rsid w:val="00236080"/>
    <w:rsid w:val="002528D7"/>
    <w:rsid w:val="00252915"/>
    <w:rsid w:val="002567A9"/>
    <w:rsid w:val="00262268"/>
    <w:rsid w:val="00270D0E"/>
    <w:rsid w:val="0027245E"/>
    <w:rsid w:val="00275A6B"/>
    <w:rsid w:val="002770A9"/>
    <w:rsid w:val="00277BE2"/>
    <w:rsid w:val="00280627"/>
    <w:rsid w:val="0028224E"/>
    <w:rsid w:val="00285B93"/>
    <w:rsid w:val="0028766D"/>
    <w:rsid w:val="002B5538"/>
    <w:rsid w:val="002B5C79"/>
    <w:rsid w:val="002B7D1A"/>
    <w:rsid w:val="002C390C"/>
    <w:rsid w:val="002C5365"/>
    <w:rsid w:val="002D2FB3"/>
    <w:rsid w:val="002D3666"/>
    <w:rsid w:val="002D6DC8"/>
    <w:rsid w:val="002E492A"/>
    <w:rsid w:val="002E5239"/>
    <w:rsid w:val="002E63B4"/>
    <w:rsid w:val="002F2032"/>
    <w:rsid w:val="002F4A6B"/>
    <w:rsid w:val="00300D39"/>
    <w:rsid w:val="00304321"/>
    <w:rsid w:val="00306F29"/>
    <w:rsid w:val="0031411E"/>
    <w:rsid w:val="00316F57"/>
    <w:rsid w:val="00321394"/>
    <w:rsid w:val="003257C9"/>
    <w:rsid w:val="0032679A"/>
    <w:rsid w:val="0033042B"/>
    <w:rsid w:val="0033179D"/>
    <w:rsid w:val="003351DA"/>
    <w:rsid w:val="0033577C"/>
    <w:rsid w:val="00337621"/>
    <w:rsid w:val="00340A1F"/>
    <w:rsid w:val="00343776"/>
    <w:rsid w:val="003441B9"/>
    <w:rsid w:val="00347000"/>
    <w:rsid w:val="00362DC7"/>
    <w:rsid w:val="00370A32"/>
    <w:rsid w:val="00371DB3"/>
    <w:rsid w:val="003759A1"/>
    <w:rsid w:val="003833B3"/>
    <w:rsid w:val="003A538A"/>
    <w:rsid w:val="003A6416"/>
    <w:rsid w:val="003A6779"/>
    <w:rsid w:val="003A7152"/>
    <w:rsid w:val="003C3B33"/>
    <w:rsid w:val="003D21EC"/>
    <w:rsid w:val="003E0420"/>
    <w:rsid w:val="003E091E"/>
    <w:rsid w:val="003E49E4"/>
    <w:rsid w:val="003F41BA"/>
    <w:rsid w:val="00403E3A"/>
    <w:rsid w:val="00432123"/>
    <w:rsid w:val="00432A27"/>
    <w:rsid w:val="00433FA3"/>
    <w:rsid w:val="004346A9"/>
    <w:rsid w:val="0044565C"/>
    <w:rsid w:val="00450364"/>
    <w:rsid w:val="00451F48"/>
    <w:rsid w:val="00457BE2"/>
    <w:rsid w:val="00464957"/>
    <w:rsid w:val="00474BCC"/>
    <w:rsid w:val="00474C2E"/>
    <w:rsid w:val="00480A8E"/>
    <w:rsid w:val="00486643"/>
    <w:rsid w:val="00495306"/>
    <w:rsid w:val="00497A41"/>
    <w:rsid w:val="004A0B2B"/>
    <w:rsid w:val="004A42C1"/>
    <w:rsid w:val="004B0034"/>
    <w:rsid w:val="004B1667"/>
    <w:rsid w:val="004B24E4"/>
    <w:rsid w:val="004B2703"/>
    <w:rsid w:val="004B7C03"/>
    <w:rsid w:val="004B7F09"/>
    <w:rsid w:val="004C27CF"/>
    <w:rsid w:val="004C5ACC"/>
    <w:rsid w:val="004D6525"/>
    <w:rsid w:val="004E08B0"/>
    <w:rsid w:val="004E1A43"/>
    <w:rsid w:val="004E5C5D"/>
    <w:rsid w:val="00502B0F"/>
    <w:rsid w:val="00505087"/>
    <w:rsid w:val="00506E59"/>
    <w:rsid w:val="00512B0C"/>
    <w:rsid w:val="00512F38"/>
    <w:rsid w:val="005172C5"/>
    <w:rsid w:val="00536ACD"/>
    <w:rsid w:val="005441AE"/>
    <w:rsid w:val="00545E35"/>
    <w:rsid w:val="00557916"/>
    <w:rsid w:val="00557CE1"/>
    <w:rsid w:val="005622D4"/>
    <w:rsid w:val="00564062"/>
    <w:rsid w:val="00566F24"/>
    <w:rsid w:val="005733AA"/>
    <w:rsid w:val="00576B3A"/>
    <w:rsid w:val="00581345"/>
    <w:rsid w:val="005873D8"/>
    <w:rsid w:val="005936A6"/>
    <w:rsid w:val="005A7707"/>
    <w:rsid w:val="005B096F"/>
    <w:rsid w:val="005B56E2"/>
    <w:rsid w:val="005C3BF2"/>
    <w:rsid w:val="005D1D8B"/>
    <w:rsid w:val="005E0EC2"/>
    <w:rsid w:val="005E3543"/>
    <w:rsid w:val="005E3D7B"/>
    <w:rsid w:val="005E7999"/>
    <w:rsid w:val="005F1CF0"/>
    <w:rsid w:val="005F34DE"/>
    <w:rsid w:val="00602BFD"/>
    <w:rsid w:val="006050C5"/>
    <w:rsid w:val="00606AC0"/>
    <w:rsid w:val="00607E6C"/>
    <w:rsid w:val="00615CB4"/>
    <w:rsid w:val="00623F11"/>
    <w:rsid w:val="00625771"/>
    <w:rsid w:val="00637D56"/>
    <w:rsid w:val="00643C5C"/>
    <w:rsid w:val="006447D7"/>
    <w:rsid w:val="00650C86"/>
    <w:rsid w:val="0065282D"/>
    <w:rsid w:val="00653C78"/>
    <w:rsid w:val="006616DC"/>
    <w:rsid w:val="00663C99"/>
    <w:rsid w:val="006640CC"/>
    <w:rsid w:val="00676703"/>
    <w:rsid w:val="00684BB6"/>
    <w:rsid w:val="006867F6"/>
    <w:rsid w:val="006914E7"/>
    <w:rsid w:val="0069321D"/>
    <w:rsid w:val="006A4398"/>
    <w:rsid w:val="006B1E67"/>
    <w:rsid w:val="006C33DA"/>
    <w:rsid w:val="006D26E0"/>
    <w:rsid w:val="006D7D90"/>
    <w:rsid w:val="006E00E9"/>
    <w:rsid w:val="006F13B0"/>
    <w:rsid w:val="006F6080"/>
    <w:rsid w:val="006F7716"/>
    <w:rsid w:val="00701950"/>
    <w:rsid w:val="00701FB4"/>
    <w:rsid w:val="00703050"/>
    <w:rsid w:val="00704B2E"/>
    <w:rsid w:val="007053A6"/>
    <w:rsid w:val="0071041E"/>
    <w:rsid w:val="00714A5F"/>
    <w:rsid w:val="00723E24"/>
    <w:rsid w:val="00745606"/>
    <w:rsid w:val="00757A9D"/>
    <w:rsid w:val="00771574"/>
    <w:rsid w:val="007721B3"/>
    <w:rsid w:val="00772836"/>
    <w:rsid w:val="007808E0"/>
    <w:rsid w:val="007840B7"/>
    <w:rsid w:val="007906E3"/>
    <w:rsid w:val="00792D52"/>
    <w:rsid w:val="007A6B81"/>
    <w:rsid w:val="007B14DD"/>
    <w:rsid w:val="007B1CF2"/>
    <w:rsid w:val="007B2D0B"/>
    <w:rsid w:val="007B5F91"/>
    <w:rsid w:val="007B7DCE"/>
    <w:rsid w:val="007C5685"/>
    <w:rsid w:val="007F1F2C"/>
    <w:rsid w:val="007F5696"/>
    <w:rsid w:val="007F5C09"/>
    <w:rsid w:val="00802D37"/>
    <w:rsid w:val="008048C9"/>
    <w:rsid w:val="00804CB6"/>
    <w:rsid w:val="00831DD4"/>
    <w:rsid w:val="0084091D"/>
    <w:rsid w:val="008412D4"/>
    <w:rsid w:val="00844567"/>
    <w:rsid w:val="00852206"/>
    <w:rsid w:val="008572C3"/>
    <w:rsid w:val="00866C36"/>
    <w:rsid w:val="00870EDA"/>
    <w:rsid w:val="00872694"/>
    <w:rsid w:val="00887422"/>
    <w:rsid w:val="0089177B"/>
    <w:rsid w:val="008941E9"/>
    <w:rsid w:val="008A0A24"/>
    <w:rsid w:val="008B57EC"/>
    <w:rsid w:val="008C1B3B"/>
    <w:rsid w:val="008C1F3B"/>
    <w:rsid w:val="008C2645"/>
    <w:rsid w:val="008C5712"/>
    <w:rsid w:val="008C5996"/>
    <w:rsid w:val="008F5C48"/>
    <w:rsid w:val="009211BD"/>
    <w:rsid w:val="009216D2"/>
    <w:rsid w:val="00924A1B"/>
    <w:rsid w:val="00927BE2"/>
    <w:rsid w:val="0093029F"/>
    <w:rsid w:val="00930C2A"/>
    <w:rsid w:val="0093160A"/>
    <w:rsid w:val="00931E70"/>
    <w:rsid w:val="00935BB4"/>
    <w:rsid w:val="009377A0"/>
    <w:rsid w:val="009417E6"/>
    <w:rsid w:val="00942592"/>
    <w:rsid w:val="0094614D"/>
    <w:rsid w:val="00991DD5"/>
    <w:rsid w:val="00997ADF"/>
    <w:rsid w:val="009A4D7F"/>
    <w:rsid w:val="009B3FB5"/>
    <w:rsid w:val="009C0A6A"/>
    <w:rsid w:val="009C2439"/>
    <w:rsid w:val="009C7468"/>
    <w:rsid w:val="009D7A62"/>
    <w:rsid w:val="009E2449"/>
    <w:rsid w:val="009E358A"/>
    <w:rsid w:val="009F012A"/>
    <w:rsid w:val="009F03C3"/>
    <w:rsid w:val="009F0A1D"/>
    <w:rsid w:val="009F0B15"/>
    <w:rsid w:val="00A00F71"/>
    <w:rsid w:val="00A10D64"/>
    <w:rsid w:val="00A11C42"/>
    <w:rsid w:val="00A23F6E"/>
    <w:rsid w:val="00A2494D"/>
    <w:rsid w:val="00A353EB"/>
    <w:rsid w:val="00A532AB"/>
    <w:rsid w:val="00A5719C"/>
    <w:rsid w:val="00A6245F"/>
    <w:rsid w:val="00A63651"/>
    <w:rsid w:val="00A67475"/>
    <w:rsid w:val="00A75CD8"/>
    <w:rsid w:val="00A77803"/>
    <w:rsid w:val="00A93265"/>
    <w:rsid w:val="00A9563F"/>
    <w:rsid w:val="00A9583A"/>
    <w:rsid w:val="00AA2525"/>
    <w:rsid w:val="00AA2823"/>
    <w:rsid w:val="00AB11BD"/>
    <w:rsid w:val="00AB2E8E"/>
    <w:rsid w:val="00AB7CBA"/>
    <w:rsid w:val="00AC6DC8"/>
    <w:rsid w:val="00AE4889"/>
    <w:rsid w:val="00AE4BAF"/>
    <w:rsid w:val="00AF42A2"/>
    <w:rsid w:val="00AF4B8B"/>
    <w:rsid w:val="00AF4BD7"/>
    <w:rsid w:val="00AF556F"/>
    <w:rsid w:val="00AF5E2D"/>
    <w:rsid w:val="00B1024B"/>
    <w:rsid w:val="00B148A3"/>
    <w:rsid w:val="00B15EE9"/>
    <w:rsid w:val="00B20DA3"/>
    <w:rsid w:val="00B21F17"/>
    <w:rsid w:val="00B25509"/>
    <w:rsid w:val="00B30AA1"/>
    <w:rsid w:val="00B45E91"/>
    <w:rsid w:val="00B51B96"/>
    <w:rsid w:val="00B5340C"/>
    <w:rsid w:val="00B60F85"/>
    <w:rsid w:val="00B677E8"/>
    <w:rsid w:val="00B77350"/>
    <w:rsid w:val="00B8306E"/>
    <w:rsid w:val="00B907F2"/>
    <w:rsid w:val="00B930B2"/>
    <w:rsid w:val="00B96AAA"/>
    <w:rsid w:val="00BA19B6"/>
    <w:rsid w:val="00BA2C04"/>
    <w:rsid w:val="00BA58FE"/>
    <w:rsid w:val="00BC065A"/>
    <w:rsid w:val="00BC3255"/>
    <w:rsid w:val="00BC3866"/>
    <w:rsid w:val="00BE5656"/>
    <w:rsid w:val="00BF3C23"/>
    <w:rsid w:val="00BF44DD"/>
    <w:rsid w:val="00C03691"/>
    <w:rsid w:val="00C04941"/>
    <w:rsid w:val="00C16EA3"/>
    <w:rsid w:val="00C17D09"/>
    <w:rsid w:val="00C217B8"/>
    <w:rsid w:val="00C23F4E"/>
    <w:rsid w:val="00C44443"/>
    <w:rsid w:val="00C4507E"/>
    <w:rsid w:val="00C5285C"/>
    <w:rsid w:val="00C54FD0"/>
    <w:rsid w:val="00C60AC8"/>
    <w:rsid w:val="00C80950"/>
    <w:rsid w:val="00C945E0"/>
    <w:rsid w:val="00CA188B"/>
    <w:rsid w:val="00CA291B"/>
    <w:rsid w:val="00CA612F"/>
    <w:rsid w:val="00CB1346"/>
    <w:rsid w:val="00CB1A38"/>
    <w:rsid w:val="00CB4212"/>
    <w:rsid w:val="00CC5ABB"/>
    <w:rsid w:val="00CD5163"/>
    <w:rsid w:val="00CE6524"/>
    <w:rsid w:val="00CF18AD"/>
    <w:rsid w:val="00D06CC3"/>
    <w:rsid w:val="00D158FE"/>
    <w:rsid w:val="00D17407"/>
    <w:rsid w:val="00D22961"/>
    <w:rsid w:val="00D2523F"/>
    <w:rsid w:val="00D31166"/>
    <w:rsid w:val="00D352B1"/>
    <w:rsid w:val="00D43A08"/>
    <w:rsid w:val="00D57E8E"/>
    <w:rsid w:val="00D6659E"/>
    <w:rsid w:val="00D66F72"/>
    <w:rsid w:val="00D67C7C"/>
    <w:rsid w:val="00D73F2F"/>
    <w:rsid w:val="00D84725"/>
    <w:rsid w:val="00D85C98"/>
    <w:rsid w:val="00DA286C"/>
    <w:rsid w:val="00DA60A1"/>
    <w:rsid w:val="00DB5E0C"/>
    <w:rsid w:val="00DC61AA"/>
    <w:rsid w:val="00DD20D5"/>
    <w:rsid w:val="00DE4C1F"/>
    <w:rsid w:val="00DF1185"/>
    <w:rsid w:val="00DF2E26"/>
    <w:rsid w:val="00DF6ED9"/>
    <w:rsid w:val="00E045D9"/>
    <w:rsid w:val="00E06B44"/>
    <w:rsid w:val="00E3163C"/>
    <w:rsid w:val="00E340DA"/>
    <w:rsid w:val="00E36B8F"/>
    <w:rsid w:val="00E41EAC"/>
    <w:rsid w:val="00E43F38"/>
    <w:rsid w:val="00E536D5"/>
    <w:rsid w:val="00E654C3"/>
    <w:rsid w:val="00E73C80"/>
    <w:rsid w:val="00E94458"/>
    <w:rsid w:val="00EA01C2"/>
    <w:rsid w:val="00EA27AF"/>
    <w:rsid w:val="00EB0C06"/>
    <w:rsid w:val="00EB21E8"/>
    <w:rsid w:val="00ED079F"/>
    <w:rsid w:val="00ED3392"/>
    <w:rsid w:val="00ED5915"/>
    <w:rsid w:val="00EE0567"/>
    <w:rsid w:val="00EE2BFD"/>
    <w:rsid w:val="00EE4032"/>
    <w:rsid w:val="00EE6971"/>
    <w:rsid w:val="00EF12A0"/>
    <w:rsid w:val="00EF404C"/>
    <w:rsid w:val="00EF7D43"/>
    <w:rsid w:val="00F011A5"/>
    <w:rsid w:val="00F054D9"/>
    <w:rsid w:val="00F076DB"/>
    <w:rsid w:val="00F13B5A"/>
    <w:rsid w:val="00F2074F"/>
    <w:rsid w:val="00F24747"/>
    <w:rsid w:val="00F36781"/>
    <w:rsid w:val="00F36DE4"/>
    <w:rsid w:val="00F375F3"/>
    <w:rsid w:val="00F4712D"/>
    <w:rsid w:val="00F52E23"/>
    <w:rsid w:val="00F56CC5"/>
    <w:rsid w:val="00F63E28"/>
    <w:rsid w:val="00F67FD5"/>
    <w:rsid w:val="00F82585"/>
    <w:rsid w:val="00F8504A"/>
    <w:rsid w:val="00F85EA9"/>
    <w:rsid w:val="00F91CB5"/>
    <w:rsid w:val="00F92E7B"/>
    <w:rsid w:val="00F941EB"/>
    <w:rsid w:val="00F96BC8"/>
    <w:rsid w:val="00FA3104"/>
    <w:rsid w:val="00FA38A8"/>
    <w:rsid w:val="00FA7180"/>
    <w:rsid w:val="00FB102B"/>
    <w:rsid w:val="00FB483E"/>
    <w:rsid w:val="00FD2E10"/>
    <w:rsid w:val="00FD7849"/>
    <w:rsid w:val="00FE5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DEDB1"/>
  <w15:chartTrackingRefBased/>
  <w15:docId w15:val="{339DE8AF-197F-4E11-A13D-6C81F94A6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71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41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41A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930B2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2770A9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A571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857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5729"/>
  </w:style>
  <w:style w:type="paragraph" w:styleId="Footer">
    <w:name w:val="footer"/>
    <w:basedOn w:val="Normal"/>
    <w:link w:val="FooterChar"/>
    <w:uiPriority w:val="99"/>
    <w:unhideWhenUsed/>
    <w:rsid w:val="000857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57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6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9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9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thematic-report/esdgc-progress-education-sustainable-development-and-global-citizenship-june-2014" TargetMode="External"/><Relationship Id="rId13" Type="http://schemas.openxmlformats.org/officeDocument/2006/relationships/hyperlink" Target="https://downloads.unicef.org.uk/wp-content/uploads/2019/10/UNCRC_summary-1_1.pdf?_adal_sd=www.unicef.org.uk.1626535984926&amp;_adal_ca=so%3DLive%26me%3Dorganic%26ca%3D(not%2520set)%26co%3D(not%2520set)%26ke%3D(not%2520set).1626535984926&amp;_adal_cw=1626535839144.1626535984926&amp;_adal_id=f955facb-cb95-4325-98f6-78b6189b069f.1626535839.2.1626535839.1626535839.fd9357f2-a6d7-4d19-bbe8-6d1e5dea409a.1626535984926&amp;_ga=2.170441824.1397822203.1626535839-1742290444.162653583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andfonline.com/doi/abs/10.1080/09669760.2019.1628010" TargetMode="External"/><Relationship Id="rId12" Type="http://schemas.openxmlformats.org/officeDocument/2006/relationships/hyperlink" Target="https://downloads.unicef.org.uk/wp-content/uploads/2019/10/UNCRC_summary-1_1.pdf?_adal_sd=www.unicef.org.uk.1626535984926&amp;_adal_ca=so%3DLive%26me%3Dorganic%26ca%3D(not%2520set)%26co%3D(not%2520set)%26ke%3D(not%2520set).1626535984926&amp;_adal_cw=1626535839144.1626535984926&amp;_adal_id=f955facb-cb95-4325-98f6-78b6189b069f.1626535839.2.1626535839.1626535839.fd9357f2-a6d7-4d19-bbe8-6d1e5dea409a.1626535984926&amp;_ga=2.170441824.1397822203.1626535839-1742290444.1626535839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ooks.google.co.uk/books?hl=en&amp;lr=&amp;id=3kFPi4U4iXwC&amp;oi=fnd&amp;pg=PP2&amp;dq=the+nursery+needs+to+take+inclusive+practice+into+consideration+&amp;ots=HVweETlCS_&amp;sig=N85G3BmwLLIkoK41uY3sy0iIjrE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blog.prepscholar.com/vygotsky-scaffolding-zone-of-proximal-develop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johnmuirtrust.org/john-muir-award/ideas-and-resources/health-and-wellbeing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1056</Words>
  <Characters>6022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philly rogers</dc:creator>
  <cp:keywords/>
  <dc:description/>
  <cp:lastModifiedBy>philly rogers</cp:lastModifiedBy>
  <cp:revision>2</cp:revision>
  <dcterms:created xsi:type="dcterms:W3CDTF">2021-07-17T17:10:00Z</dcterms:created>
  <dcterms:modified xsi:type="dcterms:W3CDTF">2021-07-17T17:10:00Z</dcterms:modified>
</cp:coreProperties>
</file>