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5B9E36" w14:textId="15555D8E" w:rsidR="007006AD" w:rsidRDefault="00D422B2" w:rsidP="005B5CF5">
      <w:pPr>
        <w:spacing w:line="360" w:lineRule="auto"/>
        <w:jc w:val="center"/>
        <w:rPr>
          <w:rFonts w:ascii="Arial" w:hAnsi="Arial" w:cs="Arial"/>
          <w:sz w:val="24"/>
          <w:szCs w:val="24"/>
        </w:rPr>
      </w:pPr>
      <w:r>
        <w:rPr>
          <w:rFonts w:ascii="Arial" w:hAnsi="Arial" w:cs="Arial"/>
          <w:sz w:val="24"/>
          <w:szCs w:val="24"/>
        </w:rPr>
        <w:t>Presentation notes.</w:t>
      </w:r>
    </w:p>
    <w:p w14:paraId="1BCBF5E1" w14:textId="3B1A0999" w:rsidR="005B5CF5" w:rsidRDefault="005B5CF5" w:rsidP="005B5CF5">
      <w:pPr>
        <w:spacing w:line="360" w:lineRule="auto"/>
        <w:rPr>
          <w:rFonts w:ascii="Arial" w:hAnsi="Arial" w:cs="Arial"/>
          <w:sz w:val="24"/>
          <w:szCs w:val="24"/>
        </w:rPr>
      </w:pPr>
      <w:r>
        <w:rPr>
          <w:rFonts w:ascii="Arial" w:hAnsi="Arial" w:cs="Arial"/>
          <w:sz w:val="24"/>
          <w:szCs w:val="24"/>
        </w:rPr>
        <w:t>Slide 1, title page</w:t>
      </w:r>
      <w:r w:rsidR="007E3CFF">
        <w:rPr>
          <w:rFonts w:ascii="Arial" w:hAnsi="Arial" w:cs="Arial"/>
          <w:sz w:val="24"/>
          <w:szCs w:val="24"/>
        </w:rPr>
        <w:t>.</w:t>
      </w:r>
    </w:p>
    <w:p w14:paraId="1DED3AB6" w14:textId="3246B164" w:rsidR="007E3CFF" w:rsidRDefault="007E3CFF" w:rsidP="005B5CF5">
      <w:pPr>
        <w:spacing w:line="360" w:lineRule="auto"/>
        <w:rPr>
          <w:rFonts w:ascii="Arial" w:hAnsi="Arial" w:cs="Arial"/>
          <w:sz w:val="24"/>
          <w:szCs w:val="24"/>
        </w:rPr>
      </w:pPr>
      <w:r>
        <w:rPr>
          <w:rFonts w:ascii="Arial" w:hAnsi="Arial" w:cs="Arial"/>
          <w:sz w:val="24"/>
          <w:szCs w:val="24"/>
        </w:rPr>
        <w:t>Slide 2, agenda.</w:t>
      </w:r>
    </w:p>
    <w:p w14:paraId="4EB4BF35" w14:textId="30E5B04A" w:rsidR="007E3CFF" w:rsidRDefault="007E3CFF" w:rsidP="005B5CF5">
      <w:pPr>
        <w:spacing w:line="360" w:lineRule="auto"/>
        <w:rPr>
          <w:rFonts w:ascii="Arial" w:hAnsi="Arial" w:cs="Arial"/>
          <w:sz w:val="24"/>
          <w:szCs w:val="24"/>
        </w:rPr>
      </w:pPr>
      <w:r>
        <w:rPr>
          <w:rFonts w:ascii="Arial" w:hAnsi="Arial" w:cs="Arial"/>
          <w:sz w:val="24"/>
          <w:szCs w:val="24"/>
        </w:rPr>
        <w:t>Slide 3, introduction to the presentation</w:t>
      </w:r>
    </w:p>
    <w:p w14:paraId="45B102AD" w14:textId="46936F60" w:rsidR="007E3CFF" w:rsidRDefault="007E3CFF" w:rsidP="005B5CF5">
      <w:pPr>
        <w:spacing w:line="360" w:lineRule="auto"/>
        <w:rPr>
          <w:rFonts w:ascii="Arial" w:hAnsi="Arial" w:cs="Arial"/>
          <w:sz w:val="24"/>
          <w:szCs w:val="24"/>
        </w:rPr>
      </w:pPr>
      <w:r>
        <w:rPr>
          <w:rFonts w:ascii="Arial" w:hAnsi="Arial" w:cs="Arial"/>
          <w:sz w:val="24"/>
          <w:szCs w:val="24"/>
        </w:rPr>
        <w:t>Slide 4, what is attachment</w:t>
      </w:r>
      <w:r w:rsidR="004E5983">
        <w:rPr>
          <w:rFonts w:ascii="Arial" w:hAnsi="Arial" w:cs="Arial"/>
          <w:sz w:val="24"/>
          <w:szCs w:val="24"/>
        </w:rPr>
        <w:t>.</w:t>
      </w:r>
    </w:p>
    <w:p w14:paraId="14B21D03" w14:textId="4E1DA627" w:rsidR="00B64644" w:rsidRDefault="00B64644" w:rsidP="005B5CF5">
      <w:pPr>
        <w:spacing w:line="360" w:lineRule="auto"/>
        <w:rPr>
          <w:rFonts w:ascii="Arial" w:hAnsi="Arial" w:cs="Arial"/>
          <w:sz w:val="24"/>
          <w:szCs w:val="24"/>
        </w:rPr>
      </w:pPr>
      <w:r>
        <w:rPr>
          <w:rFonts w:ascii="Arial" w:hAnsi="Arial" w:cs="Arial"/>
          <w:sz w:val="24"/>
          <w:szCs w:val="24"/>
        </w:rPr>
        <w:t xml:space="preserve">According to </w:t>
      </w:r>
      <w:r w:rsidR="00CD0F92">
        <w:rPr>
          <w:rFonts w:ascii="Arial" w:hAnsi="Arial" w:cs="Arial"/>
          <w:sz w:val="24"/>
          <w:szCs w:val="24"/>
        </w:rPr>
        <w:t>Bowlby</w:t>
      </w:r>
      <w:r>
        <w:rPr>
          <w:rFonts w:ascii="Arial" w:hAnsi="Arial" w:cs="Arial"/>
          <w:sz w:val="24"/>
          <w:szCs w:val="24"/>
        </w:rPr>
        <w:t xml:space="preserve"> in the 1980’s </w:t>
      </w:r>
      <w:r w:rsidR="00CD0F92">
        <w:rPr>
          <w:rFonts w:ascii="Arial" w:hAnsi="Arial" w:cs="Arial"/>
          <w:sz w:val="24"/>
          <w:szCs w:val="24"/>
        </w:rPr>
        <w:t xml:space="preserve">attachment theory indicates that </w:t>
      </w:r>
      <w:r w:rsidR="00C279E7">
        <w:rPr>
          <w:rFonts w:ascii="Arial" w:hAnsi="Arial" w:cs="Arial"/>
          <w:sz w:val="24"/>
          <w:szCs w:val="24"/>
        </w:rPr>
        <w:t>individuals that experience early life trauma are more likely to demonstrate ins</w:t>
      </w:r>
      <w:r w:rsidR="00B533F9">
        <w:rPr>
          <w:rFonts w:ascii="Arial" w:hAnsi="Arial" w:cs="Arial"/>
          <w:sz w:val="24"/>
          <w:szCs w:val="24"/>
        </w:rPr>
        <w:t xml:space="preserve">ecure attachment style in later </w:t>
      </w:r>
      <w:r w:rsidR="00497EFA">
        <w:rPr>
          <w:rFonts w:ascii="Arial" w:hAnsi="Arial" w:cs="Arial"/>
          <w:sz w:val="24"/>
          <w:szCs w:val="24"/>
        </w:rPr>
        <w:t>adulthood. These insecure attachment styles also increase criminality and limited emotional</w:t>
      </w:r>
      <w:r w:rsidR="00EF1CE5">
        <w:rPr>
          <w:rFonts w:ascii="Arial" w:hAnsi="Arial" w:cs="Arial"/>
          <w:sz w:val="24"/>
          <w:szCs w:val="24"/>
        </w:rPr>
        <w:t xml:space="preserve"> and or behavioural regulation, finch et al 202</w:t>
      </w:r>
      <w:r w:rsidR="0038152A">
        <w:rPr>
          <w:rFonts w:ascii="Arial" w:hAnsi="Arial" w:cs="Arial"/>
          <w:sz w:val="24"/>
          <w:szCs w:val="24"/>
        </w:rPr>
        <w:t>4</w:t>
      </w:r>
      <w:r w:rsidR="00C02EA6">
        <w:rPr>
          <w:rFonts w:ascii="Arial" w:hAnsi="Arial" w:cs="Arial"/>
          <w:sz w:val="24"/>
          <w:szCs w:val="24"/>
        </w:rPr>
        <w:t>.</w:t>
      </w:r>
      <w:r w:rsidR="000658E2">
        <w:rPr>
          <w:rFonts w:ascii="Arial" w:hAnsi="Arial" w:cs="Arial"/>
          <w:sz w:val="24"/>
          <w:szCs w:val="24"/>
        </w:rPr>
        <w:t xml:space="preserve"> In </w:t>
      </w:r>
      <w:r w:rsidR="00AA6DD9">
        <w:rPr>
          <w:rFonts w:ascii="Arial" w:hAnsi="Arial" w:cs="Arial"/>
          <w:sz w:val="24"/>
          <w:szCs w:val="24"/>
        </w:rPr>
        <w:t>its</w:t>
      </w:r>
      <w:r w:rsidR="000658E2">
        <w:rPr>
          <w:rFonts w:ascii="Arial" w:hAnsi="Arial" w:cs="Arial"/>
          <w:sz w:val="24"/>
          <w:szCs w:val="24"/>
        </w:rPr>
        <w:t xml:space="preserve"> conception </w:t>
      </w:r>
      <w:r w:rsidR="00AA6DD9">
        <w:rPr>
          <w:rFonts w:ascii="Arial" w:hAnsi="Arial" w:cs="Arial"/>
          <w:sz w:val="24"/>
          <w:szCs w:val="24"/>
        </w:rPr>
        <w:t xml:space="preserve">attachment theory related to </w:t>
      </w:r>
      <w:r w:rsidR="00754351">
        <w:rPr>
          <w:rFonts w:ascii="Arial" w:hAnsi="Arial" w:cs="Arial"/>
          <w:sz w:val="24"/>
          <w:szCs w:val="24"/>
        </w:rPr>
        <w:t>children and young people</w:t>
      </w:r>
      <w:r w:rsidR="00E556B7">
        <w:rPr>
          <w:rFonts w:ascii="Arial" w:hAnsi="Arial" w:cs="Arial"/>
          <w:sz w:val="24"/>
          <w:szCs w:val="24"/>
        </w:rPr>
        <w:t xml:space="preserve">, over time through research attachment theory has moved from outside of the home and is now </w:t>
      </w:r>
      <w:r w:rsidR="00B86514">
        <w:rPr>
          <w:rFonts w:ascii="Arial" w:hAnsi="Arial" w:cs="Arial"/>
          <w:sz w:val="24"/>
          <w:szCs w:val="24"/>
        </w:rPr>
        <w:t>recognised within intimate relationships and professional relationships</w:t>
      </w:r>
      <w:r w:rsidR="007D7BFA">
        <w:rPr>
          <w:rFonts w:ascii="Arial" w:hAnsi="Arial" w:cs="Arial"/>
          <w:sz w:val="24"/>
          <w:szCs w:val="24"/>
        </w:rPr>
        <w:t xml:space="preserve">. Attachment relationships serve specific functions, </w:t>
      </w:r>
      <w:r w:rsidR="00101EFC">
        <w:rPr>
          <w:rFonts w:ascii="Arial" w:hAnsi="Arial" w:cs="Arial"/>
          <w:sz w:val="24"/>
          <w:szCs w:val="24"/>
        </w:rPr>
        <w:t>a safe place, safe space, secure base.</w:t>
      </w:r>
      <w:r w:rsidR="0099321C">
        <w:rPr>
          <w:rFonts w:ascii="Arial" w:hAnsi="Arial" w:cs="Arial"/>
          <w:sz w:val="24"/>
          <w:szCs w:val="24"/>
        </w:rPr>
        <w:t xml:space="preserve"> Alongside</w:t>
      </w:r>
      <w:r w:rsidR="00247D41">
        <w:rPr>
          <w:rFonts w:ascii="Arial" w:hAnsi="Arial" w:cs="Arial"/>
          <w:sz w:val="24"/>
          <w:szCs w:val="24"/>
        </w:rPr>
        <w:t xml:space="preserve"> this, affect regulation has been associated with the different attachment styles</w:t>
      </w:r>
      <w:r w:rsidR="00845DBA">
        <w:rPr>
          <w:rFonts w:ascii="Arial" w:hAnsi="Arial" w:cs="Arial"/>
          <w:sz w:val="24"/>
          <w:szCs w:val="24"/>
        </w:rPr>
        <w:t xml:space="preserve"> including interpersonal issues, negative mood and low self-esteem</w:t>
      </w:r>
      <w:r w:rsidR="002D02AF">
        <w:rPr>
          <w:rFonts w:ascii="Arial" w:hAnsi="Arial" w:cs="Arial"/>
          <w:sz w:val="24"/>
          <w:szCs w:val="24"/>
        </w:rPr>
        <w:t>. This can then lead on to insecurely attached clients</w:t>
      </w:r>
      <w:r w:rsidR="002D61A4">
        <w:rPr>
          <w:rFonts w:ascii="Arial" w:hAnsi="Arial" w:cs="Arial"/>
          <w:sz w:val="24"/>
          <w:szCs w:val="24"/>
        </w:rPr>
        <w:t>, this type of client has difficulties regulating their emotions</w:t>
      </w:r>
      <w:r w:rsidR="00A10A19">
        <w:rPr>
          <w:rFonts w:ascii="Arial" w:hAnsi="Arial" w:cs="Arial"/>
          <w:sz w:val="24"/>
          <w:szCs w:val="24"/>
        </w:rPr>
        <w:t xml:space="preserve">, this can then impact the clients responsiveness to </w:t>
      </w:r>
      <w:r w:rsidR="00B662BA">
        <w:rPr>
          <w:rFonts w:ascii="Arial" w:hAnsi="Arial" w:cs="Arial"/>
          <w:sz w:val="24"/>
          <w:szCs w:val="24"/>
        </w:rPr>
        <w:t>therapy. It has also been suggested that the client would likely need the therapist to focus clos</w:t>
      </w:r>
      <w:r w:rsidR="001F5183">
        <w:rPr>
          <w:rFonts w:ascii="Arial" w:hAnsi="Arial" w:cs="Arial"/>
          <w:sz w:val="24"/>
          <w:szCs w:val="24"/>
        </w:rPr>
        <w:t>ely on the therapeutic relationship, therefore possibly giving the client a safe space</w:t>
      </w:r>
      <w:r w:rsidR="00D34E75">
        <w:rPr>
          <w:rFonts w:ascii="Arial" w:hAnsi="Arial" w:cs="Arial"/>
          <w:sz w:val="24"/>
          <w:szCs w:val="24"/>
        </w:rPr>
        <w:t xml:space="preserve"> and secure base in which they could express their emotions.</w:t>
      </w:r>
      <w:r w:rsidR="00B662BA">
        <w:rPr>
          <w:rFonts w:ascii="Arial" w:hAnsi="Arial" w:cs="Arial"/>
          <w:sz w:val="24"/>
          <w:szCs w:val="24"/>
        </w:rPr>
        <w:t xml:space="preserve"> </w:t>
      </w:r>
    </w:p>
    <w:p w14:paraId="7A7B6316" w14:textId="77777777" w:rsidR="00CD2F87" w:rsidRDefault="004E5983" w:rsidP="005B5CF5">
      <w:pPr>
        <w:spacing w:line="360" w:lineRule="auto"/>
        <w:rPr>
          <w:rFonts w:ascii="Arial" w:hAnsi="Arial" w:cs="Arial"/>
          <w:sz w:val="24"/>
          <w:szCs w:val="24"/>
        </w:rPr>
      </w:pPr>
      <w:r>
        <w:rPr>
          <w:rFonts w:ascii="Arial" w:hAnsi="Arial" w:cs="Arial"/>
          <w:sz w:val="24"/>
          <w:szCs w:val="24"/>
        </w:rPr>
        <w:t xml:space="preserve">Slide 5, </w:t>
      </w:r>
    </w:p>
    <w:p w14:paraId="7A1A7419" w14:textId="57B89C64" w:rsidR="00CD2F87" w:rsidRDefault="00CD2F87" w:rsidP="005B5CF5">
      <w:pPr>
        <w:spacing w:line="360" w:lineRule="auto"/>
        <w:rPr>
          <w:rFonts w:ascii="Arial" w:hAnsi="Arial" w:cs="Arial"/>
          <w:sz w:val="24"/>
          <w:szCs w:val="24"/>
        </w:rPr>
      </w:pPr>
      <w:r>
        <w:rPr>
          <w:rFonts w:ascii="Arial" w:hAnsi="Arial" w:cs="Arial"/>
          <w:sz w:val="24"/>
          <w:szCs w:val="24"/>
        </w:rPr>
        <w:t xml:space="preserve">Images of attachment </w:t>
      </w:r>
      <w:r w:rsidR="006B03B5">
        <w:rPr>
          <w:rFonts w:ascii="Arial" w:hAnsi="Arial" w:cs="Arial"/>
          <w:sz w:val="24"/>
          <w:szCs w:val="24"/>
        </w:rPr>
        <w:t>styles</w:t>
      </w:r>
    </w:p>
    <w:p w14:paraId="0F239F25" w14:textId="0193D82B" w:rsidR="006309C4" w:rsidRDefault="006309C4" w:rsidP="005B5CF5">
      <w:pPr>
        <w:spacing w:line="360" w:lineRule="auto"/>
        <w:rPr>
          <w:rFonts w:ascii="Arial" w:hAnsi="Arial" w:cs="Arial"/>
          <w:sz w:val="24"/>
          <w:szCs w:val="24"/>
        </w:rPr>
      </w:pPr>
      <w:r>
        <w:rPr>
          <w:rFonts w:ascii="Arial" w:hAnsi="Arial" w:cs="Arial"/>
          <w:sz w:val="24"/>
          <w:szCs w:val="24"/>
        </w:rPr>
        <w:t>S</w:t>
      </w:r>
      <w:r w:rsidR="00E6109A">
        <w:rPr>
          <w:rFonts w:ascii="Arial" w:hAnsi="Arial" w:cs="Arial"/>
          <w:sz w:val="24"/>
          <w:szCs w:val="24"/>
        </w:rPr>
        <w:t>lide 6,</w:t>
      </w:r>
    </w:p>
    <w:p w14:paraId="11400173" w14:textId="18AB30CA" w:rsidR="004E5983" w:rsidRDefault="004E5983" w:rsidP="005B5CF5">
      <w:pPr>
        <w:spacing w:line="360" w:lineRule="auto"/>
        <w:rPr>
          <w:rFonts w:ascii="Arial" w:hAnsi="Arial" w:cs="Arial"/>
          <w:sz w:val="24"/>
          <w:szCs w:val="24"/>
        </w:rPr>
      </w:pPr>
      <w:r>
        <w:rPr>
          <w:rFonts w:ascii="Arial" w:hAnsi="Arial" w:cs="Arial"/>
          <w:sz w:val="24"/>
          <w:szCs w:val="24"/>
        </w:rPr>
        <w:t xml:space="preserve">what are </w:t>
      </w:r>
      <w:r w:rsidR="00C126D4">
        <w:rPr>
          <w:rFonts w:ascii="Arial" w:hAnsi="Arial" w:cs="Arial"/>
          <w:sz w:val="24"/>
          <w:szCs w:val="24"/>
        </w:rPr>
        <w:t>ACE’s</w:t>
      </w:r>
      <w:r w:rsidR="00E03BAA">
        <w:rPr>
          <w:rFonts w:ascii="Arial" w:hAnsi="Arial" w:cs="Arial"/>
          <w:sz w:val="24"/>
          <w:szCs w:val="24"/>
        </w:rPr>
        <w:t xml:space="preserve"> </w:t>
      </w:r>
      <w:r>
        <w:rPr>
          <w:rFonts w:ascii="Arial" w:hAnsi="Arial" w:cs="Arial"/>
          <w:sz w:val="24"/>
          <w:szCs w:val="24"/>
        </w:rPr>
        <w:t xml:space="preserve"> </w:t>
      </w:r>
      <w:r w:rsidR="00E03BAA">
        <w:rPr>
          <w:rFonts w:ascii="Arial" w:hAnsi="Arial" w:cs="Arial"/>
          <w:sz w:val="24"/>
          <w:szCs w:val="24"/>
        </w:rPr>
        <w:t>(</w:t>
      </w:r>
      <w:r>
        <w:rPr>
          <w:rFonts w:ascii="Arial" w:hAnsi="Arial" w:cs="Arial"/>
          <w:sz w:val="24"/>
          <w:szCs w:val="24"/>
        </w:rPr>
        <w:t>Adverse childhood experiences</w:t>
      </w:r>
      <w:r w:rsidR="00E03BAA">
        <w:rPr>
          <w:rFonts w:ascii="Arial" w:hAnsi="Arial" w:cs="Arial"/>
          <w:sz w:val="24"/>
          <w:szCs w:val="24"/>
        </w:rPr>
        <w:t>)</w:t>
      </w:r>
      <w:r w:rsidR="008162E6">
        <w:rPr>
          <w:rFonts w:ascii="Arial" w:hAnsi="Arial" w:cs="Arial"/>
          <w:sz w:val="24"/>
          <w:szCs w:val="24"/>
        </w:rPr>
        <w:t>.</w:t>
      </w:r>
    </w:p>
    <w:p w14:paraId="520FF0C6" w14:textId="0F905E6F" w:rsidR="00E6109A" w:rsidRDefault="00E6109A" w:rsidP="005B5CF5">
      <w:pPr>
        <w:spacing w:line="360" w:lineRule="auto"/>
        <w:rPr>
          <w:rFonts w:ascii="Arial" w:hAnsi="Arial" w:cs="Arial"/>
          <w:sz w:val="24"/>
          <w:szCs w:val="24"/>
        </w:rPr>
      </w:pPr>
      <w:r>
        <w:rPr>
          <w:rFonts w:ascii="Arial" w:hAnsi="Arial" w:cs="Arial"/>
          <w:sz w:val="24"/>
          <w:szCs w:val="24"/>
        </w:rPr>
        <w:t>According to Finch et al 2024</w:t>
      </w:r>
      <w:r w:rsidR="00397306">
        <w:rPr>
          <w:rFonts w:ascii="Arial" w:hAnsi="Arial" w:cs="Arial"/>
          <w:sz w:val="24"/>
          <w:szCs w:val="24"/>
        </w:rPr>
        <w:t xml:space="preserve">, adverse childhood experiences are experienced in around 50- 60 </w:t>
      </w:r>
      <w:r w:rsidR="00F9265B">
        <w:rPr>
          <w:rFonts w:ascii="Arial" w:hAnsi="Arial" w:cs="Arial"/>
          <w:sz w:val="24"/>
          <w:szCs w:val="24"/>
        </w:rPr>
        <w:t>% of the population. This has an affect on not just mental health</w:t>
      </w:r>
      <w:r w:rsidR="007B27B6">
        <w:rPr>
          <w:rFonts w:ascii="Arial" w:hAnsi="Arial" w:cs="Arial"/>
          <w:sz w:val="24"/>
          <w:szCs w:val="24"/>
        </w:rPr>
        <w:t xml:space="preserve"> on the physical health of the person.</w:t>
      </w:r>
      <w:r w:rsidR="000650F8">
        <w:rPr>
          <w:rFonts w:ascii="Arial" w:hAnsi="Arial" w:cs="Arial"/>
          <w:sz w:val="24"/>
          <w:szCs w:val="24"/>
        </w:rPr>
        <w:t xml:space="preserve"> Ace’s are associated with mood disorders, suicide, self-harming behaviours, </w:t>
      </w:r>
      <w:r w:rsidR="009B689A">
        <w:rPr>
          <w:rFonts w:ascii="Arial" w:hAnsi="Arial" w:cs="Arial"/>
          <w:sz w:val="24"/>
          <w:szCs w:val="24"/>
        </w:rPr>
        <w:t xml:space="preserve">anxiety, personality disorders, and </w:t>
      </w:r>
      <w:proofErr w:type="spellStart"/>
      <w:r w:rsidR="009B689A">
        <w:rPr>
          <w:rFonts w:ascii="Arial" w:hAnsi="Arial" w:cs="Arial"/>
          <w:sz w:val="24"/>
          <w:szCs w:val="24"/>
        </w:rPr>
        <w:t>post traumatic</w:t>
      </w:r>
      <w:proofErr w:type="spellEnd"/>
      <w:r w:rsidR="009B689A">
        <w:rPr>
          <w:rFonts w:ascii="Arial" w:hAnsi="Arial" w:cs="Arial"/>
          <w:sz w:val="24"/>
          <w:szCs w:val="24"/>
        </w:rPr>
        <w:t xml:space="preserve"> stress disorders.</w:t>
      </w:r>
    </w:p>
    <w:p w14:paraId="746406CB" w14:textId="0F589F6F" w:rsidR="005354AD" w:rsidRDefault="005354AD" w:rsidP="005B5CF5">
      <w:pPr>
        <w:spacing w:line="360" w:lineRule="auto"/>
        <w:rPr>
          <w:rFonts w:ascii="Arial" w:hAnsi="Arial" w:cs="Arial"/>
          <w:sz w:val="24"/>
          <w:szCs w:val="24"/>
        </w:rPr>
      </w:pPr>
      <w:r>
        <w:rPr>
          <w:rFonts w:ascii="Arial" w:hAnsi="Arial" w:cs="Arial"/>
          <w:sz w:val="24"/>
          <w:szCs w:val="24"/>
        </w:rPr>
        <w:lastRenderedPageBreak/>
        <w:t>Slide 7</w:t>
      </w:r>
    </w:p>
    <w:p w14:paraId="7266040A" w14:textId="77777777" w:rsidR="00FB572F" w:rsidRPr="00FB572F" w:rsidRDefault="00FB572F" w:rsidP="00FB572F">
      <w:pPr>
        <w:spacing w:line="360" w:lineRule="auto"/>
        <w:rPr>
          <w:rFonts w:ascii="Arial" w:hAnsi="Arial" w:cs="Arial"/>
          <w:sz w:val="24"/>
          <w:szCs w:val="24"/>
        </w:rPr>
      </w:pPr>
      <w:r w:rsidRPr="00FB572F">
        <w:rPr>
          <w:rFonts w:ascii="Arial" w:hAnsi="Arial" w:cs="Arial"/>
          <w:sz w:val="24"/>
          <w:szCs w:val="24"/>
        </w:rPr>
        <w:t xml:space="preserve">According to </w:t>
      </w:r>
      <w:proofErr w:type="spellStart"/>
      <w:r w:rsidRPr="00FB572F">
        <w:rPr>
          <w:rFonts w:ascii="Arial" w:hAnsi="Arial" w:cs="Arial"/>
          <w:sz w:val="24"/>
          <w:szCs w:val="24"/>
        </w:rPr>
        <w:t>Andriopoulou</w:t>
      </w:r>
      <w:proofErr w:type="spellEnd"/>
      <w:r w:rsidRPr="00FB572F">
        <w:rPr>
          <w:rFonts w:ascii="Arial" w:hAnsi="Arial" w:cs="Arial"/>
          <w:sz w:val="24"/>
          <w:szCs w:val="24"/>
        </w:rPr>
        <w:t xml:space="preserve"> (2021), characteristics of attachment bonds are normally met towards the later stages of the therapeutic relationship, however it is contested that if both client and therapist hold insecure attachment styles the capability for the therapeutic relationship can become limited. Further to this a client that hold anxious attachments might form a deep dependency on the therapist and may exhibit heightened levels and anxiety if the therapist is not also readily available, this can also inhibit formulation of the therapeutic relationship. </w:t>
      </w:r>
    </w:p>
    <w:p w14:paraId="6BBC89E2" w14:textId="44B5FE70" w:rsidR="005354AD" w:rsidRDefault="00C847A5" w:rsidP="005B5CF5">
      <w:pPr>
        <w:spacing w:line="360" w:lineRule="auto"/>
        <w:rPr>
          <w:rFonts w:ascii="Arial" w:hAnsi="Arial" w:cs="Arial"/>
          <w:sz w:val="24"/>
          <w:szCs w:val="24"/>
        </w:rPr>
      </w:pPr>
      <w:r>
        <w:rPr>
          <w:rFonts w:ascii="Arial" w:hAnsi="Arial" w:cs="Arial"/>
          <w:sz w:val="24"/>
          <w:szCs w:val="24"/>
        </w:rPr>
        <w:t>Slide 8</w:t>
      </w:r>
    </w:p>
    <w:p w14:paraId="2C4ABBC1" w14:textId="77777777" w:rsidR="00D13493" w:rsidRPr="00D13493" w:rsidRDefault="00D13493" w:rsidP="00D13493">
      <w:pPr>
        <w:spacing w:line="360" w:lineRule="auto"/>
        <w:rPr>
          <w:rFonts w:ascii="Arial" w:hAnsi="Arial" w:cs="Arial"/>
          <w:sz w:val="24"/>
          <w:szCs w:val="24"/>
        </w:rPr>
      </w:pPr>
      <w:r w:rsidRPr="00D13493">
        <w:rPr>
          <w:rFonts w:ascii="Arial" w:hAnsi="Arial" w:cs="Arial"/>
          <w:sz w:val="24"/>
          <w:szCs w:val="24"/>
        </w:rPr>
        <w:t>A client in the early stages of therapy might find it difficult to use their eye gaze flexibility, express facial cues, or moderate their tone of voice. The client may even lose their ability to speak, hear and regulate their emotions. (Mair, 2020)</w:t>
      </w:r>
    </w:p>
    <w:p w14:paraId="27F5C608" w14:textId="77777777" w:rsidR="00D872E9" w:rsidRDefault="00D872E9" w:rsidP="00D872E9">
      <w:pPr>
        <w:spacing w:line="360" w:lineRule="auto"/>
        <w:rPr>
          <w:rFonts w:ascii="Arial" w:hAnsi="Arial" w:cs="Arial"/>
          <w:sz w:val="24"/>
          <w:szCs w:val="24"/>
        </w:rPr>
      </w:pPr>
      <w:r w:rsidRPr="00D872E9">
        <w:rPr>
          <w:rFonts w:ascii="Arial" w:hAnsi="Arial" w:cs="Arial"/>
          <w:sz w:val="24"/>
          <w:szCs w:val="24"/>
        </w:rPr>
        <w:t>Due to brain activity whilst these reactions are occurring the client might find self- awareness more challenging and may have difficulties connecting with their intuitive and empathic nature. Research further suggests that in times of need, danger or distress the neurological pathways in the brain will engage in primary attachment strategy, therefore resulting in a deviation from homeostasis. Initiating the fright, flight or freeze response. Long et al, 2020</w:t>
      </w:r>
    </w:p>
    <w:p w14:paraId="1B14FBF8" w14:textId="77777777" w:rsidR="00A317B2" w:rsidRDefault="00A317B2" w:rsidP="00D872E9">
      <w:pPr>
        <w:spacing w:line="360" w:lineRule="auto"/>
        <w:rPr>
          <w:rFonts w:ascii="Arial" w:hAnsi="Arial" w:cs="Arial"/>
          <w:sz w:val="24"/>
          <w:szCs w:val="24"/>
        </w:rPr>
      </w:pPr>
    </w:p>
    <w:p w14:paraId="6BD86C0D" w14:textId="20366148" w:rsidR="00A317B2" w:rsidRDefault="00A317B2" w:rsidP="00D872E9">
      <w:pPr>
        <w:spacing w:line="360" w:lineRule="auto"/>
        <w:rPr>
          <w:rFonts w:ascii="Arial" w:hAnsi="Arial" w:cs="Arial"/>
          <w:sz w:val="24"/>
          <w:szCs w:val="24"/>
        </w:rPr>
      </w:pPr>
      <w:r>
        <w:rPr>
          <w:rFonts w:ascii="Arial" w:hAnsi="Arial" w:cs="Arial"/>
          <w:sz w:val="24"/>
          <w:szCs w:val="24"/>
        </w:rPr>
        <w:t xml:space="preserve">Slide 9 </w:t>
      </w:r>
    </w:p>
    <w:p w14:paraId="58329F8D" w14:textId="77777777" w:rsidR="00311A69" w:rsidRPr="00311A69" w:rsidRDefault="00311A69" w:rsidP="00311A69">
      <w:pPr>
        <w:spacing w:line="360" w:lineRule="auto"/>
        <w:rPr>
          <w:rFonts w:ascii="Arial" w:hAnsi="Arial" w:cs="Arial"/>
          <w:sz w:val="24"/>
          <w:szCs w:val="24"/>
        </w:rPr>
      </w:pPr>
      <w:r w:rsidRPr="00311A69">
        <w:rPr>
          <w:rFonts w:ascii="Arial" w:hAnsi="Arial" w:cs="Arial"/>
          <w:sz w:val="24"/>
          <w:szCs w:val="24"/>
        </w:rPr>
        <w:t xml:space="preserve">From studying the research from Carl Rogers in the 1950’s to research carried out in the present day by Duffy et al, (2023) Shapiro et al (2021)&amp; Hiles- Howard et al (2023) </w:t>
      </w:r>
    </w:p>
    <w:p w14:paraId="291FB718" w14:textId="77777777" w:rsidR="00311A69" w:rsidRPr="00311A69" w:rsidRDefault="00311A69" w:rsidP="00311A69">
      <w:pPr>
        <w:spacing w:line="360" w:lineRule="auto"/>
        <w:rPr>
          <w:rFonts w:ascii="Arial" w:hAnsi="Arial" w:cs="Arial"/>
          <w:sz w:val="24"/>
          <w:szCs w:val="24"/>
        </w:rPr>
      </w:pPr>
      <w:r w:rsidRPr="00311A69">
        <w:rPr>
          <w:rFonts w:ascii="Arial" w:hAnsi="Arial" w:cs="Arial"/>
          <w:sz w:val="24"/>
          <w:szCs w:val="24"/>
        </w:rPr>
        <w:t xml:space="preserve">It is understood that the therapeutic relationship is the bed rock that forms the secure, safe base that clients require when embarking on the therapeutic journey, the literature also alludes to non- directive therapies support the best outcomes for long term therapeutic changes. </w:t>
      </w:r>
    </w:p>
    <w:p w14:paraId="3F7EFF88" w14:textId="77777777" w:rsidR="00A317B2" w:rsidRPr="00D872E9" w:rsidRDefault="00A317B2" w:rsidP="00D872E9">
      <w:pPr>
        <w:spacing w:line="360" w:lineRule="auto"/>
        <w:rPr>
          <w:rFonts w:ascii="Arial" w:hAnsi="Arial" w:cs="Arial"/>
          <w:sz w:val="24"/>
          <w:szCs w:val="24"/>
        </w:rPr>
      </w:pPr>
    </w:p>
    <w:p w14:paraId="2E9D1AB9" w14:textId="508BFA96" w:rsidR="00C847A5" w:rsidRDefault="000C6B06" w:rsidP="005B5CF5">
      <w:pPr>
        <w:spacing w:line="360" w:lineRule="auto"/>
        <w:rPr>
          <w:rFonts w:ascii="Arial" w:hAnsi="Arial" w:cs="Arial"/>
          <w:sz w:val="24"/>
          <w:szCs w:val="24"/>
        </w:rPr>
      </w:pPr>
      <w:r>
        <w:rPr>
          <w:rFonts w:ascii="Arial" w:hAnsi="Arial" w:cs="Arial"/>
          <w:sz w:val="24"/>
          <w:szCs w:val="24"/>
        </w:rPr>
        <w:t>Slide 10</w:t>
      </w:r>
    </w:p>
    <w:p w14:paraId="4B228CA3" w14:textId="72F734DA" w:rsidR="003963B9" w:rsidRDefault="003963B9" w:rsidP="005B5CF5">
      <w:pPr>
        <w:spacing w:line="360" w:lineRule="auto"/>
        <w:rPr>
          <w:rFonts w:ascii="Arial" w:hAnsi="Arial" w:cs="Arial"/>
          <w:sz w:val="24"/>
          <w:szCs w:val="24"/>
        </w:rPr>
      </w:pPr>
      <w:r w:rsidRPr="003963B9">
        <w:rPr>
          <w:rFonts w:ascii="Arial" w:hAnsi="Arial" w:cs="Arial"/>
          <w:sz w:val="24"/>
          <w:szCs w:val="24"/>
        </w:rPr>
        <w:lastRenderedPageBreak/>
        <w:t>Research carried out by Renger &amp; Macaskill (2021) suggested that by implementing a person-centred approach within the therapeutic space and follow the core conditions from Carl Rogers, it is intended that the client would find the way to engage in self-learning, self – understanding and even self-counselling furthermore giving the client the tools to navigate through their emotions and achieve their own goals that they have set</w:t>
      </w:r>
    </w:p>
    <w:p w14:paraId="1FF12233" w14:textId="77777777" w:rsidR="003963B9" w:rsidRPr="003963B9" w:rsidRDefault="003963B9" w:rsidP="003963B9">
      <w:pPr>
        <w:spacing w:line="360" w:lineRule="auto"/>
        <w:rPr>
          <w:rFonts w:ascii="Arial" w:hAnsi="Arial" w:cs="Arial"/>
          <w:sz w:val="24"/>
          <w:szCs w:val="24"/>
        </w:rPr>
      </w:pPr>
      <w:r w:rsidRPr="003963B9">
        <w:rPr>
          <w:rFonts w:ascii="Arial" w:hAnsi="Arial" w:cs="Arial"/>
          <w:sz w:val="24"/>
          <w:szCs w:val="24"/>
        </w:rPr>
        <w:t>According to Rogers, (1957) most clients attend the therapy room with one immediate goal of understanding “who They are “ the therapeutic relationship is thought to be the answer in the clients' changing behaviours.</w:t>
      </w:r>
    </w:p>
    <w:p w14:paraId="5B4C6EFD" w14:textId="77777777" w:rsidR="005433C2" w:rsidRPr="005433C2" w:rsidRDefault="005433C2" w:rsidP="005433C2">
      <w:pPr>
        <w:spacing w:line="360" w:lineRule="auto"/>
        <w:rPr>
          <w:rFonts w:ascii="Arial" w:hAnsi="Arial" w:cs="Arial"/>
          <w:sz w:val="24"/>
          <w:szCs w:val="24"/>
        </w:rPr>
      </w:pPr>
      <w:r w:rsidRPr="005433C2">
        <w:rPr>
          <w:rFonts w:ascii="Arial" w:hAnsi="Arial" w:cs="Arial"/>
          <w:sz w:val="24"/>
          <w:szCs w:val="24"/>
        </w:rPr>
        <w:t>Further to this, De- Sousa (2023) implies the client will engage in the safety of the therapeutic relationship as a tool to self-awareness and change.</w:t>
      </w:r>
    </w:p>
    <w:p w14:paraId="301F4339" w14:textId="078F4A4A" w:rsidR="00E04D65" w:rsidRDefault="0009061C" w:rsidP="005B5CF5">
      <w:pPr>
        <w:spacing w:line="360" w:lineRule="auto"/>
        <w:rPr>
          <w:rFonts w:ascii="Arial" w:hAnsi="Arial" w:cs="Arial"/>
          <w:sz w:val="24"/>
          <w:szCs w:val="24"/>
        </w:rPr>
      </w:pPr>
      <w:r>
        <w:rPr>
          <w:rFonts w:ascii="Arial" w:hAnsi="Arial" w:cs="Arial"/>
          <w:sz w:val="24"/>
          <w:szCs w:val="24"/>
        </w:rPr>
        <w:t>Slide 1</w:t>
      </w:r>
      <w:r w:rsidR="003E757D">
        <w:rPr>
          <w:rFonts w:ascii="Arial" w:hAnsi="Arial" w:cs="Arial"/>
          <w:sz w:val="24"/>
          <w:szCs w:val="24"/>
        </w:rPr>
        <w:t>1</w:t>
      </w:r>
    </w:p>
    <w:p w14:paraId="3E75D7FA" w14:textId="77777777" w:rsidR="0009061C" w:rsidRPr="00D422B2" w:rsidRDefault="0009061C" w:rsidP="005B5CF5">
      <w:pPr>
        <w:spacing w:line="360" w:lineRule="auto"/>
        <w:rPr>
          <w:rFonts w:ascii="Arial" w:hAnsi="Arial" w:cs="Arial"/>
          <w:sz w:val="24"/>
          <w:szCs w:val="24"/>
        </w:rPr>
      </w:pPr>
    </w:p>
    <w:sectPr w:rsidR="0009061C" w:rsidRPr="00D422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2B2"/>
    <w:rsid w:val="000650F8"/>
    <w:rsid w:val="000658E2"/>
    <w:rsid w:val="0009061C"/>
    <w:rsid w:val="000C6B06"/>
    <w:rsid w:val="00101EFC"/>
    <w:rsid w:val="001F5183"/>
    <w:rsid w:val="00247D41"/>
    <w:rsid w:val="00280D80"/>
    <w:rsid w:val="002D02AF"/>
    <w:rsid w:val="002D61A4"/>
    <w:rsid w:val="002E181A"/>
    <w:rsid w:val="00311A69"/>
    <w:rsid w:val="0033337F"/>
    <w:rsid w:val="0038152A"/>
    <w:rsid w:val="003963B9"/>
    <w:rsid w:val="00397306"/>
    <w:rsid w:val="003E757D"/>
    <w:rsid w:val="00497EFA"/>
    <w:rsid w:val="004E5983"/>
    <w:rsid w:val="005354AD"/>
    <w:rsid w:val="005433C2"/>
    <w:rsid w:val="005B5CF5"/>
    <w:rsid w:val="006309C4"/>
    <w:rsid w:val="006B03B5"/>
    <w:rsid w:val="007006AD"/>
    <w:rsid w:val="00754351"/>
    <w:rsid w:val="007B27B6"/>
    <w:rsid w:val="007D7BFA"/>
    <w:rsid w:val="007E3CFF"/>
    <w:rsid w:val="008162E6"/>
    <w:rsid w:val="00845DBA"/>
    <w:rsid w:val="00910FA7"/>
    <w:rsid w:val="0099321C"/>
    <w:rsid w:val="009B689A"/>
    <w:rsid w:val="00A10A19"/>
    <w:rsid w:val="00A317B2"/>
    <w:rsid w:val="00AA6DD9"/>
    <w:rsid w:val="00AF0116"/>
    <w:rsid w:val="00B533F9"/>
    <w:rsid w:val="00B64644"/>
    <w:rsid w:val="00B662BA"/>
    <w:rsid w:val="00B86514"/>
    <w:rsid w:val="00C02EA6"/>
    <w:rsid w:val="00C126D4"/>
    <w:rsid w:val="00C279E7"/>
    <w:rsid w:val="00C847A5"/>
    <w:rsid w:val="00CD0F92"/>
    <w:rsid w:val="00CD2F87"/>
    <w:rsid w:val="00D13493"/>
    <w:rsid w:val="00D34E75"/>
    <w:rsid w:val="00D422B2"/>
    <w:rsid w:val="00D872E9"/>
    <w:rsid w:val="00E03BAA"/>
    <w:rsid w:val="00E04D65"/>
    <w:rsid w:val="00E556B7"/>
    <w:rsid w:val="00E6109A"/>
    <w:rsid w:val="00EF1CE5"/>
    <w:rsid w:val="00F9265B"/>
    <w:rsid w:val="00FB5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47F16"/>
  <w15:chartTrackingRefBased/>
  <w15:docId w15:val="{797DA8AA-8538-47E8-9D85-A9E6B01F3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22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22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22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22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22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22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22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22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22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2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22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22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22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22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22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22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22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22B2"/>
    <w:rPr>
      <w:rFonts w:eastAsiaTheme="majorEastAsia" w:cstheme="majorBidi"/>
      <w:color w:val="272727" w:themeColor="text1" w:themeTint="D8"/>
    </w:rPr>
  </w:style>
  <w:style w:type="paragraph" w:styleId="Title">
    <w:name w:val="Title"/>
    <w:basedOn w:val="Normal"/>
    <w:next w:val="Normal"/>
    <w:link w:val="TitleChar"/>
    <w:uiPriority w:val="10"/>
    <w:qFormat/>
    <w:rsid w:val="00D422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22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22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22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22B2"/>
    <w:pPr>
      <w:spacing w:before="160"/>
      <w:jc w:val="center"/>
    </w:pPr>
    <w:rPr>
      <w:i/>
      <w:iCs/>
      <w:color w:val="404040" w:themeColor="text1" w:themeTint="BF"/>
    </w:rPr>
  </w:style>
  <w:style w:type="character" w:customStyle="1" w:styleId="QuoteChar">
    <w:name w:val="Quote Char"/>
    <w:basedOn w:val="DefaultParagraphFont"/>
    <w:link w:val="Quote"/>
    <w:uiPriority w:val="29"/>
    <w:rsid w:val="00D422B2"/>
    <w:rPr>
      <w:i/>
      <w:iCs/>
      <w:color w:val="404040" w:themeColor="text1" w:themeTint="BF"/>
    </w:rPr>
  </w:style>
  <w:style w:type="paragraph" w:styleId="ListParagraph">
    <w:name w:val="List Paragraph"/>
    <w:basedOn w:val="Normal"/>
    <w:uiPriority w:val="34"/>
    <w:qFormat/>
    <w:rsid w:val="00D422B2"/>
    <w:pPr>
      <w:ind w:left="720"/>
      <w:contextualSpacing/>
    </w:pPr>
  </w:style>
  <w:style w:type="character" w:styleId="IntenseEmphasis">
    <w:name w:val="Intense Emphasis"/>
    <w:basedOn w:val="DefaultParagraphFont"/>
    <w:uiPriority w:val="21"/>
    <w:qFormat/>
    <w:rsid w:val="00D422B2"/>
    <w:rPr>
      <w:i/>
      <w:iCs/>
      <w:color w:val="0F4761" w:themeColor="accent1" w:themeShade="BF"/>
    </w:rPr>
  </w:style>
  <w:style w:type="paragraph" w:styleId="IntenseQuote">
    <w:name w:val="Intense Quote"/>
    <w:basedOn w:val="Normal"/>
    <w:next w:val="Normal"/>
    <w:link w:val="IntenseQuoteChar"/>
    <w:uiPriority w:val="30"/>
    <w:qFormat/>
    <w:rsid w:val="00D422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22B2"/>
    <w:rPr>
      <w:i/>
      <w:iCs/>
      <w:color w:val="0F4761" w:themeColor="accent1" w:themeShade="BF"/>
    </w:rPr>
  </w:style>
  <w:style w:type="character" w:styleId="IntenseReference">
    <w:name w:val="Intense Reference"/>
    <w:basedOn w:val="DefaultParagraphFont"/>
    <w:uiPriority w:val="32"/>
    <w:qFormat/>
    <w:rsid w:val="00D422B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5351598">
      <w:bodyDiv w:val="1"/>
      <w:marLeft w:val="0"/>
      <w:marRight w:val="0"/>
      <w:marTop w:val="0"/>
      <w:marBottom w:val="0"/>
      <w:divBdr>
        <w:top w:val="none" w:sz="0" w:space="0" w:color="auto"/>
        <w:left w:val="none" w:sz="0" w:space="0" w:color="auto"/>
        <w:bottom w:val="none" w:sz="0" w:space="0" w:color="auto"/>
        <w:right w:val="none" w:sz="0" w:space="0" w:color="auto"/>
      </w:divBdr>
    </w:div>
    <w:div w:id="458842863">
      <w:bodyDiv w:val="1"/>
      <w:marLeft w:val="0"/>
      <w:marRight w:val="0"/>
      <w:marTop w:val="0"/>
      <w:marBottom w:val="0"/>
      <w:divBdr>
        <w:top w:val="none" w:sz="0" w:space="0" w:color="auto"/>
        <w:left w:val="none" w:sz="0" w:space="0" w:color="auto"/>
        <w:bottom w:val="none" w:sz="0" w:space="0" w:color="auto"/>
        <w:right w:val="none" w:sz="0" w:space="0" w:color="auto"/>
      </w:divBdr>
    </w:div>
    <w:div w:id="471554962">
      <w:bodyDiv w:val="1"/>
      <w:marLeft w:val="0"/>
      <w:marRight w:val="0"/>
      <w:marTop w:val="0"/>
      <w:marBottom w:val="0"/>
      <w:divBdr>
        <w:top w:val="none" w:sz="0" w:space="0" w:color="auto"/>
        <w:left w:val="none" w:sz="0" w:space="0" w:color="auto"/>
        <w:bottom w:val="none" w:sz="0" w:space="0" w:color="auto"/>
        <w:right w:val="none" w:sz="0" w:space="0" w:color="auto"/>
      </w:divBdr>
    </w:div>
    <w:div w:id="488209756">
      <w:bodyDiv w:val="1"/>
      <w:marLeft w:val="0"/>
      <w:marRight w:val="0"/>
      <w:marTop w:val="0"/>
      <w:marBottom w:val="0"/>
      <w:divBdr>
        <w:top w:val="none" w:sz="0" w:space="0" w:color="auto"/>
        <w:left w:val="none" w:sz="0" w:space="0" w:color="auto"/>
        <w:bottom w:val="none" w:sz="0" w:space="0" w:color="auto"/>
        <w:right w:val="none" w:sz="0" w:space="0" w:color="auto"/>
      </w:divBdr>
    </w:div>
    <w:div w:id="618268662">
      <w:bodyDiv w:val="1"/>
      <w:marLeft w:val="0"/>
      <w:marRight w:val="0"/>
      <w:marTop w:val="0"/>
      <w:marBottom w:val="0"/>
      <w:divBdr>
        <w:top w:val="none" w:sz="0" w:space="0" w:color="auto"/>
        <w:left w:val="none" w:sz="0" w:space="0" w:color="auto"/>
        <w:bottom w:val="none" w:sz="0" w:space="0" w:color="auto"/>
        <w:right w:val="none" w:sz="0" w:space="0" w:color="auto"/>
      </w:divBdr>
    </w:div>
    <w:div w:id="1232740740">
      <w:bodyDiv w:val="1"/>
      <w:marLeft w:val="0"/>
      <w:marRight w:val="0"/>
      <w:marTop w:val="0"/>
      <w:marBottom w:val="0"/>
      <w:divBdr>
        <w:top w:val="none" w:sz="0" w:space="0" w:color="auto"/>
        <w:left w:val="none" w:sz="0" w:space="0" w:color="auto"/>
        <w:bottom w:val="none" w:sz="0" w:space="0" w:color="auto"/>
        <w:right w:val="none" w:sz="0" w:space="0" w:color="auto"/>
      </w:divBdr>
    </w:div>
    <w:div w:id="1335255416">
      <w:bodyDiv w:val="1"/>
      <w:marLeft w:val="0"/>
      <w:marRight w:val="0"/>
      <w:marTop w:val="0"/>
      <w:marBottom w:val="0"/>
      <w:divBdr>
        <w:top w:val="none" w:sz="0" w:space="0" w:color="auto"/>
        <w:left w:val="none" w:sz="0" w:space="0" w:color="auto"/>
        <w:bottom w:val="none" w:sz="0" w:space="0" w:color="auto"/>
        <w:right w:val="none" w:sz="0" w:space="0" w:color="auto"/>
      </w:divBdr>
    </w:div>
    <w:div w:id="1491409973">
      <w:bodyDiv w:val="1"/>
      <w:marLeft w:val="0"/>
      <w:marRight w:val="0"/>
      <w:marTop w:val="0"/>
      <w:marBottom w:val="0"/>
      <w:divBdr>
        <w:top w:val="none" w:sz="0" w:space="0" w:color="auto"/>
        <w:left w:val="none" w:sz="0" w:space="0" w:color="auto"/>
        <w:bottom w:val="none" w:sz="0" w:space="0" w:color="auto"/>
        <w:right w:val="none" w:sz="0" w:space="0" w:color="auto"/>
      </w:divBdr>
    </w:div>
    <w:div w:id="1591810855">
      <w:bodyDiv w:val="1"/>
      <w:marLeft w:val="0"/>
      <w:marRight w:val="0"/>
      <w:marTop w:val="0"/>
      <w:marBottom w:val="0"/>
      <w:divBdr>
        <w:top w:val="none" w:sz="0" w:space="0" w:color="auto"/>
        <w:left w:val="none" w:sz="0" w:space="0" w:color="auto"/>
        <w:bottom w:val="none" w:sz="0" w:space="0" w:color="auto"/>
        <w:right w:val="none" w:sz="0" w:space="0" w:color="auto"/>
      </w:divBdr>
    </w:div>
    <w:div w:id="1799182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651</Words>
  <Characters>3717</Characters>
  <Application>Microsoft Office Word</Application>
  <DocSecurity>0</DocSecurity>
  <Lines>30</Lines>
  <Paragraphs>8</Paragraphs>
  <ScaleCrop>false</ScaleCrop>
  <Company/>
  <LinksUpToDate>false</LinksUpToDate>
  <CharactersWithSpaces>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Briscoe</dc:creator>
  <cp:keywords/>
  <dc:description/>
  <cp:lastModifiedBy>Kirsty Briscoe</cp:lastModifiedBy>
  <cp:revision>2</cp:revision>
  <dcterms:created xsi:type="dcterms:W3CDTF">2024-11-05T20:28:00Z</dcterms:created>
  <dcterms:modified xsi:type="dcterms:W3CDTF">2024-11-05T20:28:00Z</dcterms:modified>
</cp:coreProperties>
</file>