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ind w:left="1440"/>
        <w:rPr>
          <w:rFonts w:ascii="Arial" w:hAnsi="Arial" w:cs="Arial"/>
          <w:b/>
          <w:bCs/>
          <w:sz w:val="28"/>
          <w:szCs w:val="28"/>
        </w:rPr>
      </w:pPr>
      <w:r>
        <w:rPr>
          <w:rFonts w:ascii="Arial" w:hAnsi="Arial" w:cs="Arial"/>
          <w:b/>
          <w:bCs/>
          <w:sz w:val="28"/>
          <w:szCs w:val="28"/>
        </w:rPr>
        <w:t>Name: Abosede Banjo</w:t>
      </w:r>
    </w:p>
    <w:p>
      <w:pPr>
        <w:spacing w:line="360" w:lineRule="auto"/>
        <w:ind w:left="1440"/>
        <w:rPr>
          <w:rFonts w:ascii="Arial" w:hAnsi="Arial" w:cs="Arial"/>
          <w:b/>
          <w:bCs/>
          <w:sz w:val="28"/>
          <w:szCs w:val="28"/>
        </w:rPr>
      </w:pPr>
      <w:r>
        <w:rPr>
          <w:rFonts w:ascii="Arial" w:hAnsi="Arial" w:cs="Arial"/>
          <w:b/>
          <w:bCs/>
          <w:sz w:val="28"/>
          <w:szCs w:val="28"/>
        </w:rPr>
        <w:t>Student ID: 2516291</w:t>
      </w:r>
    </w:p>
    <w:p>
      <w:pPr>
        <w:spacing w:line="360" w:lineRule="auto"/>
        <w:ind w:left="1440"/>
        <w:rPr>
          <w:rFonts w:ascii="Arial" w:hAnsi="Arial" w:cs="Arial"/>
          <w:b/>
          <w:bCs/>
          <w:sz w:val="28"/>
          <w:szCs w:val="28"/>
        </w:rPr>
      </w:pPr>
      <w:r>
        <w:rPr>
          <w:rFonts w:ascii="Arial" w:hAnsi="Arial" w:cs="Arial"/>
          <w:b/>
          <w:bCs/>
          <w:sz w:val="28"/>
          <w:szCs w:val="28"/>
        </w:rPr>
        <w:t>Module Code: LCHS4007</w:t>
      </w:r>
    </w:p>
    <w:p>
      <w:pPr>
        <w:spacing w:line="360" w:lineRule="auto"/>
        <w:ind w:left="1440"/>
        <w:rPr>
          <w:rFonts w:ascii="Arial" w:hAnsi="Arial" w:cs="Arial"/>
          <w:b/>
          <w:bCs/>
          <w:sz w:val="28"/>
          <w:szCs w:val="28"/>
        </w:rPr>
      </w:pPr>
      <w:r>
        <w:rPr>
          <w:rFonts w:ascii="Arial" w:hAnsi="Arial" w:cs="Arial"/>
          <w:b/>
          <w:bCs/>
          <w:sz w:val="28"/>
          <w:szCs w:val="28"/>
        </w:rPr>
        <w:t>Module Title: Digital Skills and Research Methods</w:t>
      </w:r>
    </w:p>
    <w:p>
      <w:pPr>
        <w:spacing w:line="360" w:lineRule="auto"/>
        <w:ind w:left="1440"/>
        <w:rPr>
          <w:rFonts w:ascii="Arial" w:hAnsi="Arial" w:cs="Arial"/>
          <w:b/>
          <w:bCs/>
          <w:sz w:val="28"/>
          <w:szCs w:val="28"/>
        </w:rPr>
      </w:pPr>
      <w:r>
        <w:rPr>
          <w:rFonts w:ascii="Arial" w:hAnsi="Arial" w:cs="Arial"/>
          <w:b/>
          <w:bCs/>
          <w:sz w:val="28"/>
          <w:szCs w:val="28"/>
        </w:rPr>
        <w:t>Lecturer:</w:t>
      </w:r>
    </w:p>
    <w:p>
      <w:pPr>
        <w:spacing w:line="360" w:lineRule="auto"/>
        <w:ind w:left="1440"/>
        <w:rPr>
          <w:rFonts w:ascii="Arial" w:hAnsi="Arial" w:cs="Arial"/>
          <w:b/>
          <w:bCs/>
          <w:sz w:val="28"/>
          <w:szCs w:val="28"/>
        </w:rPr>
      </w:pPr>
      <w:r>
        <w:rPr>
          <w:rFonts w:ascii="Arial" w:hAnsi="Arial" w:cs="Arial"/>
          <w:b/>
          <w:bCs/>
          <w:sz w:val="28"/>
          <w:szCs w:val="28"/>
        </w:rPr>
        <w:t>Internal Verifier: Jolly Nwankwo</w:t>
      </w:r>
    </w:p>
    <w:p>
      <w:pPr>
        <w:spacing w:line="360" w:lineRule="auto"/>
        <w:ind w:left="1440"/>
        <w:rPr>
          <w:rFonts w:ascii="Arial" w:hAnsi="Arial" w:cs="Arial"/>
          <w:b/>
          <w:bCs/>
          <w:sz w:val="28"/>
          <w:szCs w:val="28"/>
        </w:rPr>
      </w:pPr>
      <w:r>
        <w:rPr>
          <w:rFonts w:ascii="Arial" w:hAnsi="Arial" w:cs="Arial"/>
          <w:b/>
          <w:bCs/>
          <w:sz w:val="28"/>
          <w:szCs w:val="28"/>
        </w:rPr>
        <w:t>Assignment title: Component 2 - Research Report</w:t>
      </w: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ascii="Arial" w:hAnsi="Arial" w:cs="Arial"/>
          <w:b/>
          <w:bCs/>
          <w:sz w:val="22"/>
          <w:szCs w:val="22"/>
        </w:rPr>
      </w:pPr>
    </w:p>
    <w:p>
      <w:pPr>
        <w:spacing w:line="360" w:lineRule="auto"/>
        <w:rPr>
          <w:rFonts w:hint="eastAsia"/>
          <w:b/>
          <w:bCs/>
        </w:rPr>
      </w:pPr>
    </w:p>
    <w:p>
      <w:pPr>
        <w:spacing w:line="360" w:lineRule="auto"/>
        <w:rPr>
          <w:rFonts w:hint="eastAsia"/>
          <w:b/>
          <w:bCs/>
        </w:rPr>
      </w:pPr>
    </w:p>
    <w:p>
      <w:pPr>
        <w:spacing w:line="360" w:lineRule="auto"/>
        <w:rPr>
          <w:rFonts w:hint="eastAsia"/>
          <w:b/>
          <w:bCs/>
        </w:rPr>
      </w:pPr>
    </w:p>
    <w:p>
      <w:pPr>
        <w:spacing w:line="360" w:lineRule="auto"/>
        <w:rPr>
          <w:rFonts w:hint="default" w:ascii="Arial" w:hAnsi="Arial" w:eastAsia="Arial" w:cs="Arial"/>
          <w:sz w:val="20"/>
          <w:szCs w:val="20"/>
        </w:rPr>
      </w:pPr>
      <w:bookmarkStart w:id="0" w:name="_GoBack"/>
      <w:bookmarkEnd w:id="0"/>
      <w:r>
        <w:rPr>
          <w:rFonts w:hint="default" w:ascii="Arial" w:hAnsi="Arial" w:eastAsia="Arial" w:cs="Arial"/>
          <w:b/>
          <w:bCs/>
          <w:sz w:val="20"/>
          <w:szCs w:val="20"/>
        </w:rPr>
        <w:t>Research Report: Staff Exhaustion in the UK Health and Social Care Sector.</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b/>
          <w:bCs/>
          <w:sz w:val="20"/>
          <w:szCs w:val="20"/>
        </w:rPr>
        <w:t>Introduction</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The UK health and social care sector is experiencing serious staff exhaustion. Staff exhaustion involves emotional exhaustion, low energy and feeling unable to cope with continuing workplace demands. NHS and adult social care workers face staff shortages, heavy workloads, long shifts, emotional pressure and limited resources. These pressures can affect workers’ physical and mental wellbeing, job satisfaction and intention to remain in employment. They may also influence communication, decision-making and the quality and safety of care provided to service users. This report examines staff exhaustion, evaluates relevant information sources, considers suitable research methodologies and discusses primary and secondary data collection.</w:t>
      </w:r>
    </w:p>
    <w:p>
      <w:pPr>
        <w:spacing w:line="360" w:lineRule="auto"/>
        <w:rPr>
          <w:rFonts w:hint="default" w:ascii="Arial" w:hAnsi="Arial" w:eastAsia="Arial" w:cs="Arial"/>
          <w:b/>
          <w:bCs/>
          <w:sz w:val="20"/>
          <w:szCs w:val="20"/>
        </w:rPr>
      </w:pPr>
    </w:p>
    <w:p>
      <w:pPr>
        <w:spacing w:line="360" w:lineRule="auto"/>
        <w:rPr>
          <w:rFonts w:hint="default" w:ascii="Arial" w:hAnsi="Arial" w:eastAsia="Arial" w:cs="Arial"/>
          <w:sz w:val="20"/>
          <w:szCs w:val="20"/>
        </w:rPr>
      </w:pPr>
      <w:r>
        <w:rPr>
          <w:rFonts w:hint="default" w:ascii="Arial" w:hAnsi="Arial" w:eastAsia="Arial" w:cs="Arial"/>
          <w:b/>
          <w:bCs/>
          <w:sz w:val="20"/>
          <w:szCs w:val="20"/>
        </w:rPr>
        <w:t>Task 1: Selection of a Research Topic</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The selected research topic is the effect of staff exhaustion on the wellbeing of health and social care professionals and the quality of care provided to service users. This is a relevant contemporary issue because many employees work long shifts in understaffed services, manage demanding workloads and support people who may be distressed, vulnerable or approaching the end of life. The 2024 NHS Staff Survey reported that 42.2% of NHS employees often or always felt worn out at the end of their shift, while 30.2% felt burnt out because of their work (NHS England, 2025). NHS Providers (2025) also reported particularly high staff exhaustion among ambulance staff, at almost 39%.</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Staff exhaustion can affect nurses, doctors, healthcare assistants, social workers, carers, ambulance staff and other professionals. Possible effects include anxiety, stress, sleep difficulties, reduced motivation, sickness absence and employee turnover. Exhaustion may also affect concentration, teamwork, communication and responsiveness. A systematic review found that burnout and poor staff wellbeing were associated with poorer patient-safety outcomes, although it could not always prove direct causation (Hall et al., 2016). In adult social care, recruitment difficulties and concerns about maintaining services can increase pressure on existing staff (Department of Health and Social Care, 2025). This may create a cycle in which staff shortages increase workload, workload contributes to staff exhaustion and staff exhaustion encourages employees to leave.</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I selected this topic because worker wellbeing is closely connected to safeguarding, person-centred care and service quality. Research could identify which pressures contribute most to staff exhaustion and which support, such as supervision, protected breaks, fair rotas and psychological assistance, staff find useful. The topic is relevant to my professional development because it will improve my understanding of leadership, communication, workforce planning and quality improvement. Learning to recognise early warning signs may help me support colleagues and contribute to healthier working environments.</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b/>
          <w:bCs/>
          <w:sz w:val="20"/>
          <w:szCs w:val="20"/>
        </w:rPr>
        <w:t>Task 2: Evaluating Information Sources</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Three relevant sources are the NHS Staff Survey, the Care Quality Commission report and the NHS Long Term Workforce Plan. Together, they provide national workforce data, regulatory evidence and policy information. However, they differ in purpose, scope and the type of evidence they provide.</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The 2024 National NHS Staff Survey is useful because it provides recent evidence about employees’ experiences across the NHS. It indicates that staff exhaustion is widespread rather than being limited to individual workers or one organisation. The figures about exhaustion and feeling burnt out provide measurable evidence that can be compared between staff groups and organisations (NHS England, 2025). The survey is credible because it is conducted through national NHS Staff Survey arrangements on behalf of NHS England. Its results can help a researcher develop questions about working hours, workload, staffing, management support and wellbeing. The survey is also useful because it allows changes in staff experience to be monitored over time.</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Nevertheless, the survey mainly represents NHS employees and may not accurately describe adult social care workers, agency staff or workers in small independent services. It also uses self-reported responses, which may be influenced by memory, mood or concerns about confidentiality. Reported burnout is not necessarily the same as a clinical diagnosis. The survey therefore provides valuable evidence about employees’ perceptions but cannot fully explain the causes of staff exhaustion.</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The Care Quality Commission’s report is valuable because the CQC is an independent regulator covering health and adult social care services. Its evidence connects staffing difficulties, workload, morale and worker wellbeing with the ability of services to remain safe and effective (Care Quality Commission, 2025). The report states that providers have described staff as burnt out, overworked and experiencing low morale, showing the effect of workforce pressures on service sustainability. This gives the topic an organisational and service-quality perspective. The source can help show that staff exhaustion is related to leadership, staffing systems and the sustainability of care, rather than being only an individual problem.</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However, inspection reports are not designed primarily to collect detailed personal accounts from employees. Some organisations and staff experiences may not be represented equally, and the report may focus more on compliance, safety and service outcomes than on emotional exhaustion. Inspection findings may also describe the condition of a service at a particular time and may not reflect all staff experiences.</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The NHS Long Term Workforce Plan is useful as a policy and planning source. It recognises the importance of recruitment, retention, flexible working, professional development, leadership and staff wellbeing (NHS England, 2023). It demonstrates that workforce conditions are connected to long-term service capacity. Its limitation is that it describes intended strategies and expected improvements, which may not be implemented consistently. It also focuses more strongly on the NHS than on adult social care and does not provide detailed evidence about how individual employees experience staff exhaustion.</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Overall, the sources are credible and relevant, but they leave gaps. They provide limited local evidence about particular teams, internationally recruited workers, agency staff and adult social care employees. They also do not fully explain which workplace pressures cause the greatest distress or which interventions staff prefer. A small mixed-methods study using questionnaires and interviews could address these gaps by combining measurable local patterns with detailed personal experiences.</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b/>
          <w:bCs/>
          <w:sz w:val="20"/>
          <w:szCs w:val="20"/>
        </w:rPr>
        <w:t>Task 3: Research Methodologies</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Quantitative research collects numerical information that can be measured and analysed statistically. For this topic, a questionnaire could ask approximately fifty employees to rate workload, staffing levels, working hours, overtime, emotional exhaustion, sickness absence and access to wellbeing support using a five-point scale. The results could show the reported level of staff exhaustion and whether it is more common among workers who complete overtime or work in understaffed teams. Quantitative data is useful for identifying patterns, but a small sample from one organisation would not represent the whole UK workforce or prove that one factor causes staff exhaustion.</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Qualitative research explores meanings, experiences and opinions. Semi-structured interviews could allow employees to explain issues that a questionnaire might miss, including insufficient breaks, fear of speaking openly, poor management support or the emotional impact of caring for distressed service users. Interviews provide depth but are time-consuming and may be influenced by the relationship between researcher and participant.</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A mixed-methods approach would be most suitable because staff exhaustion has both measurable and personal dimensions. The researcher could distribute a questionnaire and then interview five to eight volunteers from the respondents. Questionnaire results would be analysed using percentages or averages, while interview transcripts would be examined for themes such as workload, leadership, emotional labour and support. Combining both types of evidence would provide breadth and depth and allow triangulation. Ethical requirements would include informed consent, voluntary participation, confidentiality, secure data storage and information about support services if discussing staff exhaustion causes distress.</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b/>
          <w:bCs/>
          <w:sz w:val="20"/>
          <w:szCs w:val="20"/>
        </w:rPr>
        <w:t>Task 4: Data Collection</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Primary data is information collected directly by the researcher for a specific study, like questionnaires, interviews, focus groups and observations. Secondary data has already been collected by another organisation and includes NHS reports, CQC publications, government statistics, workforce data and academic research.</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The proposed study would use both types of data, with primary data as the main source. Secondary sources would provide background information, national comparisons and evidence for developing the research questions. Primary questionnaires would collect local information about working hours, staffing levels, workload, breaks, sickness absence and access to support. Follow-up interviews would explore employees’ experiences in greater detail and identify practical changes, such as improved rota planning, protected breaks, supervision or psychological assistance.</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Primary data is directly relevant to the selected organisation and may reveal problems that national statistics overlook. However, collecting it can be difficult because staff may have limited time or fear that criticism could affect their employment. Confidentiality and anonymity are therefore essential. Participation should be voluntary, and managers should not be able to identify individual responses. A small sample may also create selection bias because employees with particularly strong opinions may be more likely to participate.</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sz w:val="20"/>
          <w:szCs w:val="20"/>
        </w:rPr>
        <w:t>Secondary data is usually faster and less expensive to collect and can provide reliable national evidence. Its limitation is that different sources may use different definitions, populations and time periods. Therefore, the researcher should compare sources carefully and explain these differences. Combining primary and secondary data would create a more balanced investigation, linking local staff experiences with wider evidence while avoiding reliance on one source alone.</w:t>
      </w:r>
    </w:p>
    <w:p>
      <w:pPr>
        <w:spacing w:line="360" w:lineRule="auto"/>
        <w:rPr>
          <w:rFonts w:hint="default" w:ascii="Arial" w:hAnsi="Arial" w:eastAsia="Arial" w:cs="Arial"/>
          <w:sz w:val="20"/>
          <w:szCs w:val="20"/>
        </w:rPr>
      </w:pPr>
    </w:p>
    <w:p>
      <w:pPr>
        <w:spacing w:line="360" w:lineRule="auto"/>
        <w:rPr>
          <w:rFonts w:hint="default" w:ascii="Arial" w:hAnsi="Arial" w:eastAsia="Arial" w:cs="Arial"/>
          <w:sz w:val="20"/>
          <w:szCs w:val="20"/>
        </w:rPr>
      </w:pPr>
      <w:r>
        <w:rPr>
          <w:rFonts w:hint="default" w:ascii="Arial" w:hAnsi="Arial" w:eastAsia="Arial" w:cs="Arial"/>
          <w:b/>
          <w:bCs/>
          <w:sz w:val="20"/>
          <w:szCs w:val="20"/>
        </w:rPr>
        <w:t>Conclusion</w:t>
      </w:r>
    </w:p>
    <w:p>
      <w:pPr>
        <w:spacing w:line="360" w:lineRule="auto"/>
        <w:rPr>
          <w:rFonts w:hint="default" w:ascii="Arial" w:hAnsi="Arial" w:eastAsia="Arial" w:cs="Arial"/>
          <w:sz w:val="20"/>
          <w:szCs w:val="20"/>
        </w:rPr>
      </w:pPr>
    </w:p>
    <w:p>
      <w:pPr>
        <w:spacing w:line="360" w:lineRule="auto"/>
        <w:rPr>
          <w:rFonts w:ascii="Arial" w:hAnsi="Arial" w:cs="Arial"/>
          <w:sz w:val="22"/>
          <w:szCs w:val="22"/>
        </w:rPr>
      </w:pPr>
      <w:r>
        <w:rPr>
          <w:rFonts w:hint="default" w:ascii="Arial" w:hAnsi="Arial" w:eastAsia="Arial" w:cs="Arial"/>
          <w:sz w:val="20"/>
          <w:szCs w:val="20"/>
        </w:rPr>
        <w:t>Staff exhaustion is an important issue because it affects worker wellbeing, retention, service quality and patient safety. National and policy sources show that workload, staffing shortages, limited support and organisational conditions are connected with staff exhaustion (NHS England, 2023; NHS England, 2025). However, more local evidence is needed about the experiences of specific teams and adult social care workers. A mixed-methods study using questionnaires and interviews would provide numerical patterns as well as detailed staff perspectives. Ethical data collection and careful use of secondary sources would help produce trustworthy findings that could support healthier workplaces and safer, more person-centred care.</w:t>
      </w:r>
    </w:p>
    <w:p>
      <w:pPr>
        <w:spacing w:line="360" w:lineRule="auto"/>
        <w:rPr>
          <w:rFonts w:ascii="Arial" w:hAnsi="Arial" w:cs="Arial"/>
          <w:b/>
          <w:bCs/>
          <w:sz w:val="22"/>
          <w:szCs w:val="22"/>
        </w:rPr>
      </w:pPr>
      <w:r>
        <w:rPr>
          <w:rFonts w:ascii="Arial" w:hAnsi="Arial" w:cs="Arial"/>
          <w:sz w:val="22"/>
          <w:szCs w:val="22"/>
        </w:rPr>
        <w:br w:type="textWrapping"/>
      </w:r>
    </w:p>
    <w:p>
      <w:pPr>
        <w:spacing w:line="360" w:lineRule="auto"/>
        <w:rPr>
          <w:rFonts w:ascii="Arial" w:hAnsi="Arial" w:cs="Arial"/>
          <w:b/>
          <w:bCs/>
          <w:sz w:val="22"/>
          <w:szCs w:val="22"/>
        </w:rPr>
      </w:pPr>
      <w:r>
        <w:rPr>
          <w:rFonts w:ascii="Arial" w:hAnsi="Arial" w:cs="Arial"/>
          <w:b/>
          <w:bCs/>
          <w:sz w:val="22"/>
          <w:szCs w:val="22"/>
        </w:rPr>
        <w:t xml:space="preserve">References </w:t>
      </w:r>
      <w:r>
        <w:rPr>
          <w:rFonts w:ascii="Arial" w:hAnsi="Arial" w:cs="Arial"/>
          <w:sz w:val="22"/>
          <w:szCs w:val="22"/>
        </w:rPr>
        <w:br w:type="textWrapping"/>
      </w:r>
      <w:r>
        <w:rPr>
          <w:rFonts w:ascii="Arial" w:hAnsi="Arial" w:cs="Arial"/>
          <w:sz w:val="22"/>
          <w:szCs w:val="22"/>
        </w:rPr>
        <w:t>Care Quality Commission (2025) The state of health care and adult social care in England 2024/25. Available at: </w:t>
      </w:r>
      <w:r>
        <w:fldChar w:fldCharType="begin"/>
      </w:r>
      <w:r>
        <w:instrText xml:space="preserve"> HYPERLINK "https://www.cqc.org.uk/publications/major-report/state-care" \t "_blank" </w:instrText>
      </w:r>
      <w:r>
        <w:fldChar w:fldCharType="separate"/>
      </w:r>
      <w:r>
        <w:rPr>
          <w:rStyle w:val="14"/>
          <w:rFonts w:ascii="Arial" w:hAnsi="Arial" w:cs="Arial"/>
          <w:sz w:val="22"/>
          <w:szCs w:val="22"/>
        </w:rPr>
        <w:t>https://www.cqc.org.uk/publications/major-report/state-care</w:t>
      </w:r>
      <w:r>
        <w:rPr>
          <w:rStyle w:val="14"/>
          <w:rFonts w:ascii="Arial" w:hAnsi="Arial" w:cs="Arial"/>
          <w:sz w:val="22"/>
          <w:szCs w:val="22"/>
        </w:rPr>
        <w:fldChar w:fldCharType="end"/>
      </w:r>
      <w:r>
        <w:rPr>
          <w:rFonts w:ascii="Arial" w:hAnsi="Arial" w:cs="Arial"/>
          <w:sz w:val="22"/>
          <w:szCs w:val="22"/>
        </w:rPr>
        <w:t> (Accessed: 10 August 2026).</w:t>
      </w:r>
      <w:r>
        <w:rPr>
          <w:rFonts w:ascii="Arial" w:hAnsi="Arial" w:cs="Arial"/>
          <w:sz w:val="22"/>
          <w:szCs w:val="22"/>
        </w:rPr>
        <w:br w:type="textWrapping"/>
      </w:r>
      <w:r>
        <w:rPr>
          <w:rFonts w:ascii="Arial" w:hAnsi="Arial" w:cs="Arial"/>
          <w:sz w:val="22"/>
          <w:szCs w:val="22"/>
        </w:rPr>
        <w:t>Department of Health and Social Care (2025) Adult social care workforce survey: April 2025 report. Available at: </w:t>
      </w:r>
      <w:r>
        <w:fldChar w:fldCharType="begin"/>
      </w:r>
      <w:r>
        <w:instrText xml:space="preserve"> HYPERLINK "https://www.gov.uk/government/statistics/adult-social-care-workforce-survey-april-2025" \t "_blank" </w:instrText>
      </w:r>
      <w:r>
        <w:fldChar w:fldCharType="separate"/>
      </w:r>
      <w:r>
        <w:rPr>
          <w:rStyle w:val="14"/>
          <w:rFonts w:ascii="Arial" w:hAnsi="Arial" w:cs="Arial"/>
          <w:sz w:val="22"/>
          <w:szCs w:val="22"/>
        </w:rPr>
        <w:t>https://www.gov.uk/government/statistics/adult-social-care-workforce-survey-april-2025</w:t>
      </w:r>
      <w:r>
        <w:rPr>
          <w:rStyle w:val="14"/>
          <w:rFonts w:ascii="Arial" w:hAnsi="Arial" w:cs="Arial"/>
          <w:sz w:val="22"/>
          <w:szCs w:val="22"/>
        </w:rPr>
        <w:fldChar w:fldCharType="end"/>
      </w:r>
      <w:r>
        <w:rPr>
          <w:rFonts w:ascii="Arial" w:hAnsi="Arial" w:cs="Arial"/>
          <w:sz w:val="22"/>
          <w:szCs w:val="22"/>
        </w:rPr>
        <w:t> (Accessed: 10 August 2026).</w:t>
      </w:r>
      <w:r>
        <w:rPr>
          <w:rFonts w:ascii="Arial" w:hAnsi="Arial" w:cs="Arial"/>
          <w:sz w:val="22"/>
          <w:szCs w:val="22"/>
        </w:rPr>
        <w:br w:type="textWrapping"/>
      </w:r>
      <w:r>
        <w:rPr>
          <w:rFonts w:ascii="Arial" w:hAnsi="Arial" w:cs="Arial"/>
          <w:sz w:val="22"/>
          <w:szCs w:val="22"/>
        </w:rPr>
        <w:t>Hall, L.H., Johnson, J., Watt, I., Tsipa, A. and O’Connor, D.B. (2016) ‘Healthcare staff wellbeing, burnout, and patient safety: a systematic review’, PLoS ONE, 11(7), e0159015. Available at: </w:t>
      </w:r>
      <w:r>
        <w:fldChar w:fldCharType="begin"/>
      </w:r>
      <w:r>
        <w:instrText xml:space="preserve"> HYPERLINK "https://doi.org/10.1371/journal.pone.0159015" \t "_blank" </w:instrText>
      </w:r>
      <w:r>
        <w:fldChar w:fldCharType="separate"/>
      </w:r>
      <w:r>
        <w:rPr>
          <w:rStyle w:val="14"/>
          <w:rFonts w:ascii="Arial" w:hAnsi="Arial" w:cs="Arial"/>
          <w:sz w:val="22"/>
          <w:szCs w:val="22"/>
        </w:rPr>
        <w:t>https://doi.org/10.1371/journal.pone.0159015</w:t>
      </w:r>
      <w:r>
        <w:rPr>
          <w:rStyle w:val="14"/>
          <w:rFonts w:ascii="Arial" w:hAnsi="Arial" w:cs="Arial"/>
          <w:sz w:val="22"/>
          <w:szCs w:val="22"/>
        </w:rPr>
        <w:fldChar w:fldCharType="end"/>
      </w:r>
      <w:r>
        <w:rPr>
          <w:rFonts w:ascii="Arial" w:hAnsi="Arial" w:cs="Arial"/>
          <w:sz w:val="22"/>
          <w:szCs w:val="22"/>
        </w:rPr>
        <w:t> (Accessed: 11 August 2026).</w:t>
      </w:r>
      <w:r>
        <w:rPr>
          <w:rFonts w:ascii="Arial" w:hAnsi="Arial" w:cs="Arial"/>
          <w:sz w:val="22"/>
          <w:szCs w:val="22"/>
        </w:rPr>
        <w:br w:type="textWrapping"/>
      </w:r>
      <w:r>
        <w:rPr>
          <w:rFonts w:ascii="Arial" w:hAnsi="Arial" w:cs="Arial"/>
          <w:sz w:val="22"/>
          <w:szCs w:val="22"/>
        </w:rPr>
        <w:t>NHS England (2023) NHS Long Term Workforce Plan. Available at: </w:t>
      </w:r>
      <w:r>
        <w:fldChar w:fldCharType="begin"/>
      </w:r>
      <w:r>
        <w:instrText xml:space="preserve"> HYPERLINK "https://www.england.nhs.uk/long-read/nhs-long-term-workforce-plan-2/" \t "_blank" </w:instrText>
      </w:r>
      <w:r>
        <w:fldChar w:fldCharType="separate"/>
      </w:r>
      <w:r>
        <w:rPr>
          <w:rStyle w:val="14"/>
          <w:rFonts w:ascii="Arial" w:hAnsi="Arial" w:cs="Arial"/>
          <w:sz w:val="22"/>
          <w:szCs w:val="22"/>
        </w:rPr>
        <w:t>https://www.england.nhs.uk/long-read/nhs-long-term-workforce-plan-2/</w:t>
      </w:r>
      <w:r>
        <w:rPr>
          <w:rStyle w:val="14"/>
          <w:rFonts w:ascii="Arial" w:hAnsi="Arial" w:cs="Arial"/>
          <w:sz w:val="22"/>
          <w:szCs w:val="22"/>
        </w:rPr>
        <w:fldChar w:fldCharType="end"/>
      </w:r>
      <w:r>
        <w:rPr>
          <w:rFonts w:ascii="Arial" w:hAnsi="Arial" w:cs="Arial"/>
          <w:sz w:val="22"/>
          <w:szCs w:val="22"/>
        </w:rPr>
        <w:t> (Accessed: 10 August 2026).</w:t>
      </w:r>
      <w:r>
        <w:rPr>
          <w:rFonts w:ascii="Arial" w:hAnsi="Arial" w:cs="Arial"/>
          <w:sz w:val="22"/>
          <w:szCs w:val="22"/>
        </w:rPr>
        <w:br w:type="textWrapping"/>
      </w:r>
      <w:r>
        <w:rPr>
          <w:rFonts w:ascii="Arial" w:hAnsi="Arial" w:cs="Arial"/>
          <w:sz w:val="22"/>
          <w:szCs w:val="22"/>
        </w:rPr>
        <w:t>NHS England (2025) 2024 National NHS Staff Survey results. Available at: </w:t>
      </w:r>
      <w:r>
        <w:fldChar w:fldCharType="begin"/>
      </w:r>
      <w:r>
        <w:instrText xml:space="preserve"> HYPERLINK "https://www.gov.uk/government/statistics/2024-national-nhs-staff-survey-results" \t "_blank" </w:instrText>
      </w:r>
      <w:r>
        <w:fldChar w:fldCharType="separate"/>
      </w:r>
      <w:r>
        <w:rPr>
          <w:rStyle w:val="14"/>
          <w:rFonts w:ascii="Arial" w:hAnsi="Arial" w:cs="Arial"/>
          <w:sz w:val="22"/>
          <w:szCs w:val="22"/>
        </w:rPr>
        <w:t>https://www.gov.uk/government/statistics/2024-national-nhs-staff-survey-results</w:t>
      </w:r>
      <w:r>
        <w:rPr>
          <w:rStyle w:val="14"/>
          <w:rFonts w:ascii="Arial" w:hAnsi="Arial" w:cs="Arial"/>
          <w:sz w:val="22"/>
          <w:szCs w:val="22"/>
        </w:rPr>
        <w:fldChar w:fldCharType="end"/>
      </w:r>
      <w:r>
        <w:rPr>
          <w:rFonts w:ascii="Arial" w:hAnsi="Arial" w:cs="Arial"/>
          <w:sz w:val="22"/>
          <w:szCs w:val="22"/>
        </w:rPr>
        <w:t> (Accessed: 10 August 2026).</w:t>
      </w:r>
      <w:r>
        <w:rPr>
          <w:rFonts w:ascii="Arial" w:hAnsi="Arial" w:cs="Arial"/>
          <w:sz w:val="22"/>
          <w:szCs w:val="22"/>
        </w:rPr>
        <w:br w:type="textWrapping"/>
      </w:r>
      <w:r>
        <w:rPr>
          <w:rFonts w:ascii="Arial" w:hAnsi="Arial" w:cs="Arial"/>
          <w:sz w:val="22"/>
          <w:szCs w:val="22"/>
        </w:rPr>
        <w:t>NHS Providers (2025) NHS staff survey 2024: key findings. Available at: </w:t>
      </w:r>
      <w:r>
        <w:fldChar w:fldCharType="begin"/>
      </w:r>
      <w:r>
        <w:instrText xml:space="preserve"> HYPERLINK "https://nhsproviders.org/" \t "_blank" </w:instrText>
      </w:r>
      <w:r>
        <w:fldChar w:fldCharType="separate"/>
      </w:r>
      <w:r>
        <w:rPr>
          <w:rStyle w:val="14"/>
          <w:rFonts w:ascii="Arial" w:hAnsi="Arial" w:cs="Arial"/>
          <w:sz w:val="22"/>
          <w:szCs w:val="22"/>
        </w:rPr>
        <w:t>https://nhsproviders.org/</w:t>
      </w:r>
      <w:r>
        <w:rPr>
          <w:rStyle w:val="14"/>
          <w:rFonts w:ascii="Arial" w:hAnsi="Arial" w:cs="Arial"/>
          <w:sz w:val="22"/>
          <w:szCs w:val="22"/>
        </w:rPr>
        <w:fldChar w:fldCharType="end"/>
      </w:r>
      <w:r>
        <w:rPr>
          <w:rFonts w:ascii="Arial" w:hAnsi="Arial" w:cs="Arial"/>
          <w:sz w:val="22"/>
          <w:szCs w:val="22"/>
        </w:rPr>
        <w:t> (Accessed: 10 August 2026).</w:t>
      </w:r>
    </w:p>
    <w:p>
      <w:pPr>
        <w:spacing w:line="360" w:lineRule="auto"/>
        <w:rPr>
          <w:rFonts w:ascii="Arial" w:hAnsi="Arial" w:cs="Arial"/>
          <w:sz w:val="22"/>
          <w:szCs w:val="22"/>
        </w:rPr>
      </w:pPr>
    </w:p>
    <w:p>
      <w:pPr>
        <w:spacing w:line="360" w:lineRule="auto"/>
        <w:rPr>
          <w:rFonts w:ascii="Arial" w:hAnsi="Arial" w:cs="Arial"/>
          <w:sz w:val="22"/>
          <w:szCs w:val="22"/>
        </w:rPr>
      </w:pP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Calibri Light">
    <w:panose1 w:val="020F0302020204030204"/>
    <w:charset w:val="00"/>
    <w:family w:val="swiss"/>
    <w:pitch w:val="default"/>
    <w:sig w:usb0="00000000" w:usb1="00000000"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US" w:eastAsia="en-US" w:bidi="ar-SA"/>
      <w14:ligatures w14:val="none"/>
    </w:rPr>
  </w:style>
  <w:style w:type="paragraph" w:styleId="2">
    <w:name w:val="heading 1"/>
    <w:basedOn w:val="1"/>
    <w:next w:val="1"/>
    <w:link w:val="16"/>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17"/>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18"/>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19"/>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0"/>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1"/>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2"/>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3"/>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4"/>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3">
    <w:name w:val="Default Paragraph Font"/>
    <w:unhideWhenUsed/>
    <w:uiPriority w:val="1"/>
  </w:style>
  <w:style w:type="table" w:default="1" w:styleId="15">
    <w:name w:val="Normal Table"/>
    <w:unhideWhenUsed/>
    <w:uiPriority w:val="99"/>
    <w:tblPr>
      <w:tblLayout w:type="fixed"/>
      <w:tblCellMar>
        <w:top w:w="0" w:type="dxa"/>
        <w:left w:w="108" w:type="dxa"/>
        <w:bottom w:w="0" w:type="dxa"/>
        <w:right w:w="108" w:type="dxa"/>
      </w:tblCellMar>
    </w:tblPr>
  </w:style>
  <w:style w:type="paragraph" w:styleId="11">
    <w:name w:val="Subtitle"/>
    <w:basedOn w:val="1"/>
    <w:next w:val="1"/>
    <w:link w:val="2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2">
    <w:name w:val="Title"/>
    <w:basedOn w:val="1"/>
    <w:next w:val="1"/>
    <w:link w:val="25"/>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styleId="14">
    <w:name w:val="Hyperlink"/>
    <w:basedOn w:val="13"/>
    <w:unhideWhenUsed/>
    <w:uiPriority w:val="99"/>
    <w:rPr>
      <w:color w:val="0563C1" w:themeColor="hyperlink"/>
      <w:u w:val="single"/>
      <w14:textFill>
        <w14:solidFill>
          <w14:schemeClr w14:val="hlink"/>
        </w14:solidFill>
      </w14:textFill>
    </w:rPr>
  </w:style>
  <w:style w:type="character" w:customStyle="1" w:styleId="16">
    <w:name w:val="Heading 1 Char"/>
    <w:basedOn w:val="13"/>
    <w:link w:val="2"/>
    <w:uiPriority w:val="9"/>
    <w:rPr>
      <w:rFonts w:asciiTheme="majorHAnsi" w:hAnsiTheme="majorHAnsi" w:eastAsiaTheme="majorEastAsia" w:cstheme="majorBidi"/>
      <w:color w:val="2F5597" w:themeColor="accent1" w:themeShade="BF"/>
      <w:sz w:val="40"/>
      <w:szCs w:val="40"/>
    </w:rPr>
  </w:style>
  <w:style w:type="character" w:customStyle="1" w:styleId="17">
    <w:name w:val="Heading 2 Char"/>
    <w:basedOn w:val="13"/>
    <w:link w:val="3"/>
    <w:semiHidden/>
    <w:uiPriority w:val="9"/>
    <w:rPr>
      <w:rFonts w:asciiTheme="majorHAnsi" w:hAnsiTheme="majorHAnsi" w:eastAsiaTheme="majorEastAsia" w:cstheme="majorBidi"/>
      <w:color w:val="2F5597" w:themeColor="accent1" w:themeShade="BF"/>
      <w:sz w:val="32"/>
      <w:szCs w:val="32"/>
    </w:rPr>
  </w:style>
  <w:style w:type="character" w:customStyle="1" w:styleId="18">
    <w:name w:val="Heading 3 Char"/>
    <w:basedOn w:val="13"/>
    <w:link w:val="4"/>
    <w:semiHidden/>
    <w:uiPriority w:val="9"/>
    <w:rPr>
      <w:rFonts w:eastAsiaTheme="majorEastAsia" w:cstheme="majorBidi"/>
      <w:color w:val="2F5597" w:themeColor="accent1" w:themeShade="BF"/>
      <w:sz w:val="28"/>
      <w:szCs w:val="28"/>
    </w:rPr>
  </w:style>
  <w:style w:type="character" w:customStyle="1" w:styleId="19">
    <w:name w:val="Heading 4 Char"/>
    <w:basedOn w:val="13"/>
    <w:link w:val="5"/>
    <w:semiHidden/>
    <w:uiPriority w:val="9"/>
    <w:rPr>
      <w:rFonts w:eastAsiaTheme="majorEastAsia" w:cstheme="majorBidi"/>
      <w:i/>
      <w:iCs/>
      <w:color w:val="2F5597" w:themeColor="accent1" w:themeShade="BF"/>
    </w:rPr>
  </w:style>
  <w:style w:type="character" w:customStyle="1" w:styleId="20">
    <w:name w:val="Heading 5 Char"/>
    <w:basedOn w:val="13"/>
    <w:link w:val="6"/>
    <w:semiHidden/>
    <w:uiPriority w:val="9"/>
    <w:rPr>
      <w:rFonts w:eastAsiaTheme="majorEastAsia" w:cstheme="majorBidi"/>
      <w:color w:val="2F5597" w:themeColor="accent1" w:themeShade="BF"/>
    </w:rPr>
  </w:style>
  <w:style w:type="character" w:customStyle="1" w:styleId="21">
    <w:name w:val="Heading 6 Char"/>
    <w:basedOn w:val="13"/>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2">
    <w:name w:val="Heading 7 Char"/>
    <w:basedOn w:val="13"/>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3">
    <w:name w:val="Heading 8 Char"/>
    <w:basedOn w:val="13"/>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4">
    <w:name w:val="Heading 9 Char"/>
    <w:basedOn w:val="13"/>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5">
    <w:name w:val="Title Char"/>
    <w:basedOn w:val="13"/>
    <w:link w:val="12"/>
    <w:uiPriority w:val="10"/>
    <w:rPr>
      <w:rFonts w:asciiTheme="majorHAnsi" w:hAnsiTheme="majorHAnsi" w:eastAsiaTheme="majorEastAsia" w:cstheme="majorBidi"/>
      <w:spacing w:val="-10"/>
      <w:kern w:val="28"/>
      <w:sz w:val="56"/>
      <w:szCs w:val="56"/>
    </w:rPr>
  </w:style>
  <w:style w:type="character" w:customStyle="1" w:styleId="26">
    <w:name w:val="Subtitle Char"/>
    <w:basedOn w:val="13"/>
    <w:link w:val="11"/>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27">
    <w:name w:val="Quote"/>
    <w:basedOn w:val="1"/>
    <w:next w:val="1"/>
    <w:link w:val="28"/>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28">
    <w:name w:val="Quote Char"/>
    <w:basedOn w:val="13"/>
    <w:link w:val="27"/>
    <w:uiPriority w:val="29"/>
    <w:rPr>
      <w:i/>
      <w:iCs/>
      <w:color w:val="404040" w:themeColor="text1" w:themeTint="BF"/>
      <w14:textFill>
        <w14:solidFill>
          <w14:schemeClr w14:val="tx1">
            <w14:lumMod w14:val="75000"/>
            <w14:lumOff w14:val="25000"/>
          </w14:schemeClr>
        </w14:solidFill>
      </w14:textFill>
    </w:rPr>
  </w:style>
  <w:style w:type="paragraph" w:customStyle="1" w:styleId="29">
    <w:name w:val="List Paragraph"/>
    <w:basedOn w:val="1"/>
    <w:qFormat/>
    <w:uiPriority w:val="34"/>
    <w:pPr>
      <w:ind w:left="720"/>
      <w:contextualSpacing/>
    </w:pPr>
  </w:style>
  <w:style w:type="character" w:customStyle="1" w:styleId="30">
    <w:name w:val="Intense Emphasis"/>
    <w:basedOn w:val="13"/>
    <w:qFormat/>
    <w:uiPriority w:val="21"/>
    <w:rPr>
      <w:i/>
      <w:iCs/>
      <w:color w:val="2F5597" w:themeColor="accent1" w:themeShade="BF"/>
    </w:rPr>
  </w:style>
  <w:style w:type="paragraph" w:customStyle="1" w:styleId="31">
    <w:name w:val="Intense Quote"/>
    <w:basedOn w:val="1"/>
    <w:next w:val="1"/>
    <w:link w:val="32"/>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2">
    <w:name w:val="Intense Quote Char"/>
    <w:basedOn w:val="13"/>
    <w:link w:val="31"/>
    <w:uiPriority w:val="30"/>
    <w:rPr>
      <w:i/>
      <w:iCs/>
      <w:color w:val="2F5597" w:themeColor="accent1" w:themeShade="BF"/>
    </w:rPr>
  </w:style>
  <w:style w:type="character" w:customStyle="1" w:styleId="33">
    <w:name w:val="Intense Reference"/>
    <w:basedOn w:val="13"/>
    <w:qFormat/>
    <w:uiPriority w:val="32"/>
    <w:rPr>
      <w:b/>
      <w:bCs/>
      <w:smallCaps/>
      <w:color w:val="2F5597" w:themeColor="accent1" w:themeShade="BF"/>
      <w:spacing w:val="5"/>
    </w:rPr>
  </w:style>
  <w:style w:type="character" w:customStyle="1" w:styleId="34">
    <w:name w:val="Unresolved Mention"/>
    <w:basedOn w:val="13"/>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6</Pages>
  <Words>1963</Words>
  <Characters>11193</Characters>
  <Lines>93</Lines>
  <Paragraphs>26</Paragraphs>
  <TotalTime>0</TotalTime>
  <ScaleCrop>false</ScaleCrop>
  <LinksUpToDate>false</LinksUpToDate>
  <CharactersWithSpaces>13130</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2026-08-11T09:39:00Z</dcterms:created>
  <dc:creator>abiodun adenuga</dc:creator>
  <cp:lastModifiedBy>iPhone</cp:lastModifiedBy>
  <dcterms:modified xsi:type="dcterms:W3CDTF">2026-08-11T18:45:08Z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20A722D440AE3E2A935F7B6AAF52EB7C_32</vt:lpwstr>
  </property>
  <property fmtid="{D5CDD505-2E9C-101B-9397-08002B2CF9AE}" pid="3" name="KSOProductBuildVer">
    <vt:lpwstr>1033-11.34.01</vt:lpwstr>
  </property>
</Properties>
</file>