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75C033" w14:textId="3FCDDB42" w:rsidR="006E114E" w:rsidRPr="00FD69C1" w:rsidRDefault="008F6D17" w:rsidP="00FD69C1">
      <w:pPr>
        <w:spacing w:line="360" w:lineRule="auto"/>
        <w:jc w:val="both"/>
        <w:rPr>
          <w:rFonts w:asciiTheme="minorHAnsi" w:hAnsiTheme="minorHAnsi" w:cstheme="minorHAnsi"/>
          <w:u w:val="single"/>
        </w:rPr>
      </w:pPr>
      <w:r w:rsidRPr="00FD69C1">
        <w:rPr>
          <w:rFonts w:asciiTheme="minorHAnsi" w:hAnsiTheme="minorHAnsi" w:cstheme="minorHAnsi"/>
          <w:u w:val="single"/>
        </w:rPr>
        <w:t>Introduction</w:t>
      </w:r>
    </w:p>
    <w:p w14:paraId="39498ACA" w14:textId="658C6D45" w:rsidR="0098350B" w:rsidRPr="00FD69C1" w:rsidRDefault="00CE4978" w:rsidP="00FD69C1">
      <w:pPr>
        <w:spacing w:line="360" w:lineRule="auto"/>
        <w:jc w:val="both"/>
        <w:rPr>
          <w:rFonts w:asciiTheme="minorHAnsi" w:hAnsiTheme="minorHAnsi" w:cstheme="minorHAnsi"/>
        </w:rPr>
      </w:pPr>
      <w:r w:rsidRPr="00FD69C1">
        <w:rPr>
          <w:rFonts w:asciiTheme="minorHAnsi" w:hAnsiTheme="minorHAnsi" w:cstheme="minorHAnsi"/>
        </w:rPr>
        <w:t xml:space="preserve">Schools in Wales engage in ongoing self-evaluation and improvement through </w:t>
      </w:r>
      <w:r w:rsidR="00B27AA8" w:rsidRPr="00FD69C1">
        <w:rPr>
          <w:rFonts w:asciiTheme="minorHAnsi" w:hAnsiTheme="minorHAnsi" w:cstheme="minorHAnsi"/>
        </w:rPr>
        <w:t xml:space="preserve">the use of strategic </w:t>
      </w:r>
      <w:r w:rsidRPr="00FD69C1">
        <w:rPr>
          <w:rFonts w:asciiTheme="minorHAnsi" w:hAnsiTheme="minorHAnsi" w:cstheme="minorHAnsi"/>
        </w:rPr>
        <w:t xml:space="preserve">School Development Plans (SDPs). </w:t>
      </w:r>
      <w:r w:rsidR="0098350B" w:rsidRPr="00FD69C1">
        <w:rPr>
          <w:rFonts w:asciiTheme="minorHAnsi" w:hAnsiTheme="minorHAnsi" w:cstheme="minorHAnsi"/>
        </w:rPr>
        <w:t xml:space="preserve">This report delves into the case of School A, a large primary school in South Wales, to explore how they identified the need to </w:t>
      </w:r>
      <w:r w:rsidRPr="00FD69C1">
        <w:rPr>
          <w:rFonts w:asciiTheme="minorHAnsi" w:hAnsiTheme="minorHAnsi" w:cstheme="minorHAnsi"/>
        </w:rPr>
        <w:t>improve</w:t>
      </w:r>
      <w:r w:rsidR="0098350B" w:rsidRPr="00FD69C1">
        <w:rPr>
          <w:rFonts w:asciiTheme="minorHAnsi" w:hAnsiTheme="minorHAnsi" w:cstheme="minorHAnsi"/>
        </w:rPr>
        <w:t xml:space="preserve"> their provision for learners with social, emotional, and behavioural difficulties (SEBD).</w:t>
      </w:r>
      <w:r w:rsidRPr="00FD69C1">
        <w:rPr>
          <w:rFonts w:asciiTheme="minorHAnsi" w:hAnsiTheme="minorHAnsi" w:cstheme="minorHAnsi"/>
        </w:rPr>
        <w:t xml:space="preserve"> </w:t>
      </w:r>
      <w:r w:rsidR="0098350B" w:rsidRPr="00FD69C1">
        <w:rPr>
          <w:rFonts w:asciiTheme="minorHAnsi" w:hAnsiTheme="minorHAnsi" w:cstheme="minorHAnsi"/>
        </w:rPr>
        <w:t>Th</w:t>
      </w:r>
      <w:r w:rsidRPr="00FD69C1">
        <w:rPr>
          <w:rFonts w:asciiTheme="minorHAnsi" w:hAnsiTheme="minorHAnsi" w:cstheme="minorHAnsi"/>
        </w:rPr>
        <w:t>eir</w:t>
      </w:r>
      <w:r w:rsidR="0098350B" w:rsidRPr="00FD69C1">
        <w:rPr>
          <w:rFonts w:asciiTheme="minorHAnsi" w:hAnsiTheme="minorHAnsi" w:cstheme="minorHAnsi"/>
        </w:rPr>
        <w:t xml:space="preserve"> investigation aligns with the ongoing evaluation and improvement process mandated by the Welsh Government's school improvement guidelines (2022), ultimately aiming to improve learner progression, outcomes and experiences</w:t>
      </w:r>
      <w:r w:rsidR="00A843A8" w:rsidRPr="00FD69C1">
        <w:rPr>
          <w:rFonts w:asciiTheme="minorHAnsi" w:hAnsiTheme="minorHAnsi" w:cstheme="minorHAnsi"/>
        </w:rPr>
        <w:t xml:space="preserve"> for all</w:t>
      </w:r>
      <w:r w:rsidR="0098350B" w:rsidRPr="00FD69C1">
        <w:rPr>
          <w:rFonts w:asciiTheme="minorHAnsi" w:hAnsiTheme="minorHAnsi" w:cstheme="minorHAnsi"/>
        </w:rPr>
        <w:t>.</w:t>
      </w:r>
    </w:p>
    <w:p w14:paraId="555C1289" w14:textId="77777777" w:rsidR="00FD69C1" w:rsidRDefault="00FD69C1" w:rsidP="00FD69C1">
      <w:pPr>
        <w:spacing w:line="360" w:lineRule="auto"/>
        <w:jc w:val="both"/>
        <w:rPr>
          <w:rFonts w:asciiTheme="minorHAnsi" w:hAnsiTheme="minorHAnsi" w:cstheme="minorHAnsi"/>
        </w:rPr>
      </w:pPr>
    </w:p>
    <w:p w14:paraId="404FCD4C" w14:textId="77777777" w:rsidR="00FD69C1" w:rsidRDefault="0098350B" w:rsidP="00FD69C1">
      <w:pPr>
        <w:spacing w:line="360" w:lineRule="auto"/>
        <w:jc w:val="both"/>
        <w:rPr>
          <w:rFonts w:asciiTheme="minorHAnsi" w:hAnsiTheme="minorHAnsi" w:cstheme="minorHAnsi"/>
        </w:rPr>
      </w:pPr>
      <w:r w:rsidRPr="00FD69C1">
        <w:rPr>
          <w:rFonts w:asciiTheme="minorHAnsi" w:hAnsiTheme="minorHAnsi" w:cstheme="minorHAnsi"/>
        </w:rPr>
        <w:t>To ensure anonymity and adherence to ethical research principles, in accordance with the British Educational Research Association (BERA) guidelines, the school will be referred to as "School A" throughout this report.</w:t>
      </w:r>
    </w:p>
    <w:p w14:paraId="68EF8074" w14:textId="77777777" w:rsidR="00FD69C1" w:rsidRDefault="00FD69C1" w:rsidP="00FD69C1">
      <w:pPr>
        <w:spacing w:line="360" w:lineRule="auto"/>
        <w:jc w:val="both"/>
        <w:rPr>
          <w:rFonts w:asciiTheme="minorHAnsi" w:hAnsiTheme="minorHAnsi" w:cstheme="minorHAnsi"/>
        </w:rPr>
      </w:pPr>
    </w:p>
    <w:p w14:paraId="6CD82061" w14:textId="5083BCD1" w:rsidR="007B0952" w:rsidRPr="00FD69C1" w:rsidRDefault="007B0952" w:rsidP="00FD69C1">
      <w:pPr>
        <w:spacing w:line="360" w:lineRule="auto"/>
        <w:jc w:val="both"/>
        <w:rPr>
          <w:rFonts w:asciiTheme="minorHAnsi" w:hAnsiTheme="minorHAnsi" w:cstheme="minorHAnsi"/>
        </w:rPr>
      </w:pPr>
      <w:r w:rsidRPr="00FD69C1">
        <w:rPr>
          <w:rFonts w:asciiTheme="minorHAnsi" w:hAnsiTheme="minorHAnsi" w:cstheme="minorHAnsi"/>
        </w:rPr>
        <w:t xml:space="preserve">According to the Welsh Government (2024) and Estyn (2016), School A is a large primary school </w:t>
      </w:r>
      <w:r w:rsidR="0098350B" w:rsidRPr="00FD69C1">
        <w:rPr>
          <w:rFonts w:asciiTheme="minorHAnsi" w:hAnsiTheme="minorHAnsi" w:cstheme="minorHAnsi"/>
        </w:rPr>
        <w:t>catering to approximately 398 pupils aged 3-11</w:t>
      </w:r>
      <w:r w:rsidR="00A236E1" w:rsidRPr="00FD69C1">
        <w:rPr>
          <w:rFonts w:asciiTheme="minorHAnsi" w:hAnsiTheme="minorHAnsi" w:cstheme="minorHAnsi"/>
          <w:b/>
          <w:bCs/>
        </w:rPr>
        <w:t xml:space="preserve">. </w:t>
      </w:r>
      <w:r w:rsidRPr="00FD69C1">
        <w:rPr>
          <w:rFonts w:asciiTheme="minorHAnsi" w:hAnsiTheme="minorHAnsi" w:cstheme="minorHAnsi"/>
        </w:rPr>
        <w:t xml:space="preserve">Approximately 20.1% of pupils qualify for free school meals, </w:t>
      </w:r>
      <w:r w:rsidR="00A236E1" w:rsidRPr="00FD69C1">
        <w:rPr>
          <w:rFonts w:asciiTheme="minorHAnsi" w:hAnsiTheme="minorHAnsi" w:cstheme="minorHAnsi"/>
        </w:rPr>
        <w:t xml:space="preserve">indicating a demographic reflecting a </w:t>
      </w:r>
      <w:r w:rsidRPr="00FD69C1">
        <w:rPr>
          <w:rFonts w:asciiTheme="minorHAnsi" w:hAnsiTheme="minorHAnsi" w:cstheme="minorHAnsi"/>
        </w:rPr>
        <w:t xml:space="preserve">slightly </w:t>
      </w:r>
      <w:r w:rsidR="00B534A9" w:rsidRPr="00FD69C1">
        <w:rPr>
          <w:rFonts w:asciiTheme="minorHAnsi" w:hAnsiTheme="minorHAnsi" w:cstheme="minorHAnsi"/>
        </w:rPr>
        <w:t>above</w:t>
      </w:r>
      <w:r w:rsidR="00A236E1" w:rsidRPr="00FD69C1">
        <w:rPr>
          <w:rFonts w:asciiTheme="minorHAnsi" w:hAnsiTheme="minorHAnsi" w:cstheme="minorHAnsi"/>
        </w:rPr>
        <w:t>-average</w:t>
      </w:r>
      <w:r w:rsidRPr="00FD69C1">
        <w:rPr>
          <w:rFonts w:asciiTheme="minorHAnsi" w:hAnsiTheme="minorHAnsi" w:cstheme="minorHAnsi"/>
        </w:rPr>
        <w:t xml:space="preserve"> </w:t>
      </w:r>
      <w:r w:rsidR="00A236E1" w:rsidRPr="00FD69C1">
        <w:rPr>
          <w:rFonts w:asciiTheme="minorHAnsi" w:hAnsiTheme="minorHAnsi" w:cstheme="minorHAnsi"/>
        </w:rPr>
        <w:t>level of socio-economic disadvantage compared to the local authority</w:t>
      </w:r>
      <w:r w:rsidR="00243C26" w:rsidRPr="00FD69C1">
        <w:rPr>
          <w:rFonts w:asciiTheme="minorHAnsi" w:hAnsiTheme="minorHAnsi" w:cstheme="minorHAnsi"/>
        </w:rPr>
        <w:t>.</w:t>
      </w:r>
      <w:r w:rsidRPr="00FD69C1">
        <w:rPr>
          <w:rFonts w:asciiTheme="minorHAnsi" w:hAnsiTheme="minorHAnsi" w:cstheme="minorHAnsi"/>
        </w:rPr>
        <w:t xml:space="preserve"> </w:t>
      </w:r>
      <w:r w:rsidR="00A236E1" w:rsidRPr="00FD69C1">
        <w:rPr>
          <w:rFonts w:asciiTheme="minorHAnsi" w:hAnsiTheme="minorHAnsi" w:cstheme="minorHAnsi"/>
        </w:rPr>
        <w:t>A slightly higher prevalence of pupils with individual development plans (IDPs) compared to the national average has also been noted, with the number of pupils with IDPs standing at</w:t>
      </w:r>
      <w:r w:rsidRPr="00FD69C1">
        <w:rPr>
          <w:rFonts w:asciiTheme="minorHAnsi" w:hAnsiTheme="minorHAnsi" w:cstheme="minorHAnsi"/>
        </w:rPr>
        <w:t xml:space="preserve"> 2.4%</w:t>
      </w:r>
      <w:r w:rsidR="00A236E1" w:rsidRPr="00FD69C1">
        <w:rPr>
          <w:rFonts w:asciiTheme="minorHAnsi" w:hAnsiTheme="minorHAnsi" w:cstheme="minorHAnsi"/>
        </w:rPr>
        <w:t>.</w:t>
      </w:r>
      <w:r w:rsidRPr="00FD69C1">
        <w:rPr>
          <w:rFonts w:asciiTheme="minorHAnsi" w:hAnsiTheme="minorHAnsi" w:cstheme="minorHAnsi"/>
        </w:rPr>
        <w:t xml:space="preserve"> </w:t>
      </w:r>
    </w:p>
    <w:p w14:paraId="45DD38F7" w14:textId="77777777" w:rsidR="00FD69C1" w:rsidRDefault="00FD69C1" w:rsidP="00FD69C1">
      <w:pPr>
        <w:spacing w:line="360" w:lineRule="auto"/>
        <w:jc w:val="both"/>
        <w:rPr>
          <w:rFonts w:asciiTheme="minorHAnsi" w:hAnsiTheme="minorHAnsi" w:cstheme="minorHAnsi"/>
        </w:rPr>
      </w:pPr>
      <w:bookmarkStart w:id="0" w:name="OLE_LINK1"/>
    </w:p>
    <w:p w14:paraId="3346B6DC" w14:textId="77777777" w:rsidR="00FD69C1" w:rsidRDefault="008F6D17" w:rsidP="00FD69C1">
      <w:pPr>
        <w:spacing w:line="360" w:lineRule="auto"/>
        <w:jc w:val="both"/>
        <w:rPr>
          <w:rFonts w:asciiTheme="minorHAnsi" w:hAnsiTheme="minorHAnsi" w:cstheme="minorHAnsi"/>
          <w:u w:val="single"/>
        </w:rPr>
      </w:pPr>
      <w:r w:rsidRPr="00FD69C1">
        <w:rPr>
          <w:rFonts w:asciiTheme="minorHAnsi" w:hAnsiTheme="minorHAnsi" w:cstheme="minorHAnsi"/>
          <w:u w:val="single"/>
        </w:rPr>
        <w:t>Literature Review</w:t>
      </w:r>
    </w:p>
    <w:p w14:paraId="257FA183" w14:textId="556232E1" w:rsidR="008F6D17" w:rsidRPr="00FD69C1" w:rsidRDefault="008F6D17" w:rsidP="00FD69C1">
      <w:pPr>
        <w:spacing w:line="360" w:lineRule="auto"/>
        <w:jc w:val="both"/>
        <w:rPr>
          <w:rFonts w:asciiTheme="minorHAnsi" w:hAnsiTheme="minorHAnsi" w:cstheme="minorHAnsi"/>
          <w:u w:val="single"/>
        </w:rPr>
      </w:pPr>
      <w:r w:rsidRPr="00FD69C1">
        <w:rPr>
          <w:rFonts w:asciiTheme="minorHAnsi" w:hAnsiTheme="minorHAnsi" w:cstheme="minorHAnsi"/>
          <w:color w:val="000000" w:themeColor="text1"/>
        </w:rPr>
        <w:t>As outlined by the Welsh Government (202</w:t>
      </w:r>
      <w:r w:rsidR="001C31EA" w:rsidRPr="00FD69C1">
        <w:rPr>
          <w:rFonts w:asciiTheme="minorHAnsi" w:hAnsiTheme="minorHAnsi" w:cstheme="minorHAnsi"/>
          <w:color w:val="000000" w:themeColor="text1"/>
        </w:rPr>
        <w:t>2</w:t>
      </w:r>
      <w:r w:rsidRPr="00FD69C1">
        <w:rPr>
          <w:rFonts w:asciiTheme="minorHAnsi" w:hAnsiTheme="minorHAnsi" w:cstheme="minorHAnsi"/>
          <w:color w:val="000000" w:themeColor="text1"/>
        </w:rPr>
        <w:t>), the School Development Plan (SDP) is a continuous 3-year strategic plan that identifies key areas for improvement based on self-evaluation</w:t>
      </w:r>
      <w:r w:rsidR="00471854" w:rsidRPr="00FD69C1">
        <w:rPr>
          <w:rFonts w:asciiTheme="minorHAnsi" w:hAnsiTheme="minorHAnsi" w:cstheme="minorHAnsi"/>
          <w:color w:val="000000" w:themeColor="text1"/>
        </w:rPr>
        <w:t xml:space="preserve"> with the ultimate goal of empowering all learners regardless of background or circumstance to reach their full potential.</w:t>
      </w:r>
      <w:r w:rsidRPr="00FD69C1">
        <w:rPr>
          <w:rFonts w:asciiTheme="minorHAnsi" w:hAnsiTheme="minorHAnsi" w:cstheme="minorHAnsi"/>
          <w:color w:val="000000" w:themeColor="text1"/>
        </w:rPr>
        <w:t xml:space="preserve"> It establishes a cyclical process </w:t>
      </w:r>
      <w:r w:rsidR="001C31EA" w:rsidRPr="00FD69C1">
        <w:rPr>
          <w:rFonts w:asciiTheme="minorHAnsi" w:hAnsiTheme="minorHAnsi" w:cstheme="minorHAnsi"/>
          <w:color w:val="000000" w:themeColor="text1"/>
        </w:rPr>
        <w:t>encompassing</w:t>
      </w:r>
      <w:r w:rsidRPr="00FD69C1">
        <w:rPr>
          <w:rFonts w:asciiTheme="minorHAnsi" w:hAnsiTheme="minorHAnsi" w:cstheme="minorHAnsi"/>
          <w:color w:val="000000" w:themeColor="text1"/>
        </w:rPr>
        <w:t xml:space="preserve"> several key stages:</w:t>
      </w:r>
      <w:r w:rsidR="00B27AA8" w:rsidRPr="00FD69C1">
        <w:rPr>
          <w:rFonts w:asciiTheme="minorHAnsi" w:hAnsiTheme="minorHAnsi" w:cstheme="minorHAnsi"/>
          <w:color w:val="000000" w:themeColor="text1"/>
        </w:rPr>
        <w:t xml:space="preserve"> Evaluation, improvement and accountability.</w:t>
      </w:r>
    </w:p>
    <w:p w14:paraId="7F407130" w14:textId="77777777" w:rsidR="00FD69C1" w:rsidRDefault="00FD69C1" w:rsidP="00FD69C1">
      <w:pPr>
        <w:spacing w:line="360" w:lineRule="auto"/>
        <w:jc w:val="both"/>
        <w:rPr>
          <w:rFonts w:asciiTheme="minorHAnsi" w:hAnsiTheme="minorHAnsi" w:cstheme="minorHAnsi"/>
        </w:rPr>
      </w:pPr>
    </w:p>
    <w:p w14:paraId="105E5B3C" w14:textId="4663D71E" w:rsidR="008F6D17" w:rsidRPr="00FD69C1" w:rsidRDefault="008F6D17" w:rsidP="00FD69C1">
      <w:pPr>
        <w:spacing w:line="360" w:lineRule="auto"/>
        <w:jc w:val="both"/>
        <w:rPr>
          <w:rFonts w:asciiTheme="minorHAnsi" w:hAnsiTheme="minorHAnsi" w:cstheme="minorHAnsi"/>
        </w:rPr>
      </w:pPr>
      <w:r w:rsidRPr="00FD69C1">
        <w:rPr>
          <w:rFonts w:asciiTheme="minorHAnsi" w:hAnsiTheme="minorHAnsi" w:cstheme="minorHAnsi"/>
        </w:rPr>
        <w:t xml:space="preserve">Schools must first gather diverse, high-quality evidence to achieve learner-centred school improvement. This aligns with the Welsh Government guidance (2022a), which emphasises the need for relevant data in areas such as vision and leadership; curriculum, learning and teaching; and well-being, equity and inclusion. Such evidence is key for effective self-evaluation, creating context-specific improvement plans that target to address national </w:t>
      </w:r>
      <w:r w:rsidRPr="00FD69C1">
        <w:rPr>
          <w:rFonts w:asciiTheme="minorHAnsi" w:hAnsiTheme="minorHAnsi" w:cstheme="minorHAnsi"/>
        </w:rPr>
        <w:lastRenderedPageBreak/>
        <w:t xml:space="preserve">priorities. However, as the Education Endowment Foundation (EEF, 2019) stresses, schools must go beyond mere data collection and carefully analyse their findings to ensure priorities are authentic and significant. This comprehensive approach empowers schools to make informed decisions that benefit learner outcomes and progression. </w:t>
      </w:r>
    </w:p>
    <w:p w14:paraId="0EDEBD81" w14:textId="77777777" w:rsidR="008F6D17" w:rsidRPr="00FD69C1" w:rsidRDefault="008F6D17" w:rsidP="00FD69C1">
      <w:pPr>
        <w:spacing w:line="360" w:lineRule="auto"/>
        <w:jc w:val="both"/>
        <w:rPr>
          <w:rFonts w:asciiTheme="minorHAnsi" w:hAnsiTheme="minorHAnsi" w:cstheme="minorHAnsi"/>
          <w:color w:val="000000" w:themeColor="text1"/>
        </w:rPr>
      </w:pPr>
    </w:p>
    <w:p w14:paraId="1218B3E4" w14:textId="3526524B" w:rsidR="008F6D17" w:rsidRPr="00FD69C1" w:rsidRDefault="008F6D17" w:rsidP="00FD69C1">
      <w:pPr>
        <w:spacing w:line="360" w:lineRule="auto"/>
        <w:jc w:val="both"/>
        <w:rPr>
          <w:rFonts w:asciiTheme="minorHAnsi" w:hAnsiTheme="minorHAnsi" w:cstheme="minorHAnsi"/>
        </w:rPr>
      </w:pPr>
      <w:r w:rsidRPr="00FD69C1">
        <w:rPr>
          <w:rFonts w:asciiTheme="minorHAnsi" w:hAnsiTheme="minorHAnsi" w:cstheme="minorHAnsi"/>
          <w:color w:val="000000" w:themeColor="text1"/>
        </w:rPr>
        <w:t>Self-evaluation</w:t>
      </w:r>
      <w:r w:rsidRPr="00FD69C1">
        <w:rPr>
          <w:rFonts w:asciiTheme="minorHAnsi" w:hAnsiTheme="minorHAnsi" w:cstheme="minorHAnsi"/>
          <w:color w:val="1F1F1F"/>
        </w:rPr>
        <w:t xml:space="preserve"> informs improvement priorities through data-driven reflection and stakeholder collaboration and later developed into a singular strategic plan. Welsh Government guidance (2022) encourages stakeholder engagement, including learners, parents and the school community. Goldstone (2018), Chapman and Sammons (2013) emphasise the importance of extending engagement to directly involve teachers, learners, and parents, recognising that the collective effort of every individual in the school can contribute towards improvement. Adopting an inclusive approach aligns with the "Schools as Learning Organisations" model (Welsh Government, 2018) and focuses on enhancing learner outcomes. The improvement process can be further strengthened by fostering a culture of shared responsibility and diverse perspectives, enabling all learners to reach their full potential.</w:t>
      </w:r>
    </w:p>
    <w:p w14:paraId="58B9E3E1" w14:textId="3D104B52" w:rsidR="008F6D17" w:rsidRPr="00FD69C1" w:rsidRDefault="008F6D17" w:rsidP="00FD69C1">
      <w:pPr>
        <w:pStyle w:val="NormalWeb"/>
        <w:tabs>
          <w:tab w:val="left" w:pos="1850"/>
        </w:tabs>
        <w:spacing w:before="360" w:beforeAutospacing="0" w:after="360" w:afterAutospacing="0" w:line="360" w:lineRule="auto"/>
        <w:jc w:val="both"/>
        <w:rPr>
          <w:rFonts w:asciiTheme="minorHAnsi" w:hAnsiTheme="minorHAnsi" w:cstheme="minorHAnsi"/>
          <w:color w:val="000000" w:themeColor="text1"/>
        </w:rPr>
      </w:pPr>
      <w:r w:rsidRPr="00FD69C1">
        <w:rPr>
          <w:rFonts w:asciiTheme="minorHAnsi" w:hAnsiTheme="minorHAnsi" w:cstheme="minorHAnsi"/>
          <w:color w:val="000000" w:themeColor="text1"/>
        </w:rPr>
        <w:t xml:space="preserve">The SDP holds schools and their governing bodies accountable for their progress towards established goals. </w:t>
      </w:r>
      <w:r w:rsidRPr="00FD69C1">
        <w:rPr>
          <w:rFonts w:asciiTheme="minorHAnsi" w:hAnsiTheme="minorHAnsi" w:cstheme="minorHAnsi"/>
          <w:color w:val="1F1F1F"/>
        </w:rPr>
        <w:t>The evaluation, improvement and accountability framework (Welsh Government, 2022) balances accountability with autonomy, empowering schools to set specific targets relevant to their context and maximise learner progression. This aligns with the “Achieving the New Curriculum for Wales” (OECD, 2020) report recommendations adopted by the Welsh government, prioritising accountability in the evaluation and assessment framework. Local authorities and regional consortia retain intervention power while Estyn provides improvement feedback. However, while this system emphasises accountability towards governing bodies and authorities, it's worth considering Gove’s (2012) and Earley and Weindling’s (2004) argument for the equal importance of downward accountability to staff, communities, parents, and pupils. This perspective raises the question of whether the Welsh school improvement model could further strengthen its approach by incorporating measures for more direct community and learner engagement.</w:t>
      </w:r>
    </w:p>
    <w:p w14:paraId="08D11BFF" w14:textId="5E3020E1" w:rsidR="005E51A4" w:rsidRPr="00FD69C1" w:rsidRDefault="005E51A4" w:rsidP="00FD69C1">
      <w:pPr>
        <w:pStyle w:val="NormalWeb"/>
        <w:spacing w:before="360" w:beforeAutospacing="0" w:after="360" w:afterAutospacing="0" w:line="360" w:lineRule="auto"/>
        <w:jc w:val="both"/>
        <w:rPr>
          <w:rFonts w:asciiTheme="minorHAnsi" w:hAnsiTheme="minorHAnsi" w:cstheme="minorHAnsi"/>
          <w:color w:val="000000" w:themeColor="text1"/>
        </w:rPr>
      </w:pPr>
      <w:r w:rsidRPr="00FD69C1">
        <w:rPr>
          <w:rFonts w:asciiTheme="minorHAnsi" w:hAnsiTheme="minorHAnsi" w:cstheme="minorHAnsi"/>
          <w:color w:val="000000" w:themeColor="text1"/>
        </w:rPr>
        <w:lastRenderedPageBreak/>
        <w:t>Social, Emotional and Behavioural Difficulties</w:t>
      </w:r>
      <w:r w:rsidR="00193B9B" w:rsidRPr="00FD69C1">
        <w:rPr>
          <w:rFonts w:asciiTheme="minorHAnsi" w:hAnsiTheme="minorHAnsi" w:cstheme="minorHAnsi"/>
          <w:color w:val="000000" w:themeColor="text1"/>
        </w:rPr>
        <w:t xml:space="preserve"> (SEBD)</w:t>
      </w:r>
      <w:r w:rsidR="00D56403" w:rsidRPr="00FD69C1">
        <w:rPr>
          <w:rFonts w:asciiTheme="minorHAnsi" w:hAnsiTheme="minorHAnsi" w:cstheme="minorHAnsi"/>
          <w:color w:val="000000" w:themeColor="text1"/>
        </w:rPr>
        <w:t xml:space="preserve"> are classed as an area of need under the ALN code (Welsh Government, 2021). SEBD </w:t>
      </w:r>
      <w:r w:rsidRPr="00FD69C1">
        <w:rPr>
          <w:rFonts w:asciiTheme="minorHAnsi" w:hAnsiTheme="minorHAnsi" w:cstheme="minorHAnsi"/>
          <w:color w:val="000000" w:themeColor="text1"/>
        </w:rPr>
        <w:t xml:space="preserve">encompass various presentations, including withdrawal, disruptive behaviour, hyperactivity, underdeveloped social skills, and challenging behaviours (Welsh Government, 2021; Goodman and Burton, 2010). Estyn (2022) further clarifies that the definition includes children who have or are prone to mental health problems or disorders. These diverse presentations necessitate a flexible and supportive school approach that caters to individual </w:t>
      </w:r>
      <w:r w:rsidR="00D56403" w:rsidRPr="00FD69C1">
        <w:rPr>
          <w:rFonts w:asciiTheme="minorHAnsi" w:hAnsiTheme="minorHAnsi" w:cstheme="minorHAnsi"/>
          <w:color w:val="000000" w:themeColor="text1"/>
        </w:rPr>
        <w:t xml:space="preserve">learner </w:t>
      </w:r>
      <w:r w:rsidRPr="00FD69C1">
        <w:rPr>
          <w:rFonts w:asciiTheme="minorHAnsi" w:hAnsiTheme="minorHAnsi" w:cstheme="minorHAnsi"/>
          <w:color w:val="000000" w:themeColor="text1"/>
        </w:rPr>
        <w:t>needs.</w:t>
      </w:r>
    </w:p>
    <w:p w14:paraId="16CBE544" w14:textId="17427B84" w:rsidR="00804CEF" w:rsidRPr="00FD69C1" w:rsidRDefault="007E36C4" w:rsidP="00FD69C1">
      <w:pPr>
        <w:pStyle w:val="NormalWeb"/>
        <w:spacing w:before="360" w:beforeAutospacing="0" w:after="360" w:afterAutospacing="0" w:line="360" w:lineRule="auto"/>
        <w:jc w:val="both"/>
        <w:rPr>
          <w:rFonts w:asciiTheme="minorHAnsi" w:hAnsiTheme="minorHAnsi" w:cstheme="minorHAnsi"/>
          <w:color w:val="000000" w:themeColor="text1"/>
        </w:rPr>
      </w:pPr>
      <w:r w:rsidRPr="00FD69C1">
        <w:rPr>
          <w:rFonts w:asciiTheme="minorHAnsi" w:hAnsiTheme="minorHAnsi" w:cstheme="minorHAnsi"/>
          <w:color w:val="000000" w:themeColor="text1"/>
        </w:rPr>
        <w:t xml:space="preserve">Learners with SEBD </w:t>
      </w:r>
      <w:r w:rsidR="003D1F8E" w:rsidRPr="00FD69C1">
        <w:rPr>
          <w:rFonts w:asciiTheme="minorHAnsi" w:hAnsiTheme="minorHAnsi" w:cstheme="minorHAnsi"/>
          <w:color w:val="000000" w:themeColor="text1"/>
        </w:rPr>
        <w:t>face</w:t>
      </w:r>
      <w:r w:rsidRPr="00FD69C1">
        <w:rPr>
          <w:rFonts w:asciiTheme="minorHAnsi" w:hAnsiTheme="minorHAnsi" w:cstheme="minorHAnsi"/>
          <w:color w:val="000000" w:themeColor="text1"/>
        </w:rPr>
        <w:t xml:space="preserve"> significant </w:t>
      </w:r>
      <w:r w:rsidR="003D1F8E" w:rsidRPr="00FD69C1">
        <w:rPr>
          <w:rFonts w:asciiTheme="minorHAnsi" w:hAnsiTheme="minorHAnsi" w:cstheme="minorHAnsi"/>
          <w:color w:val="000000" w:themeColor="text1"/>
        </w:rPr>
        <w:t>barriers to learning</w:t>
      </w:r>
      <w:r w:rsidRPr="00FD69C1">
        <w:rPr>
          <w:rFonts w:asciiTheme="minorHAnsi" w:hAnsiTheme="minorHAnsi" w:cstheme="minorHAnsi"/>
          <w:color w:val="000000" w:themeColor="text1"/>
        </w:rPr>
        <w:t xml:space="preserve"> in mainstream education due to disruptive behaviours that can</w:t>
      </w:r>
      <w:r w:rsidR="003D1F8E" w:rsidRPr="00FD69C1">
        <w:rPr>
          <w:rFonts w:asciiTheme="minorHAnsi" w:hAnsiTheme="minorHAnsi" w:cstheme="minorHAnsi"/>
          <w:color w:val="000000" w:themeColor="text1"/>
        </w:rPr>
        <w:t xml:space="preserve"> </w:t>
      </w:r>
      <w:r w:rsidRPr="00FD69C1">
        <w:rPr>
          <w:rFonts w:asciiTheme="minorHAnsi" w:hAnsiTheme="minorHAnsi" w:cstheme="minorHAnsi"/>
          <w:color w:val="000000" w:themeColor="text1"/>
        </w:rPr>
        <w:t>hinder learning</w:t>
      </w:r>
      <w:r w:rsidR="003D1F8E" w:rsidRPr="00FD69C1">
        <w:rPr>
          <w:rFonts w:asciiTheme="minorHAnsi" w:hAnsiTheme="minorHAnsi" w:cstheme="minorHAnsi"/>
          <w:color w:val="000000" w:themeColor="text1"/>
        </w:rPr>
        <w:t xml:space="preserve"> </w:t>
      </w:r>
      <w:r w:rsidRPr="00FD69C1">
        <w:rPr>
          <w:rFonts w:asciiTheme="minorHAnsi" w:hAnsiTheme="minorHAnsi" w:cstheme="minorHAnsi"/>
          <w:color w:val="000000" w:themeColor="text1"/>
        </w:rPr>
        <w:t xml:space="preserve">(Thompson &amp; Webber, 2010; Nunns, 2017). </w:t>
      </w:r>
      <w:r w:rsidR="00804CEF" w:rsidRPr="00FD69C1">
        <w:rPr>
          <w:rFonts w:asciiTheme="minorHAnsi" w:hAnsiTheme="minorHAnsi" w:cstheme="minorHAnsi"/>
          <w:color w:val="000000" w:themeColor="text1"/>
        </w:rPr>
        <w:t>Lengthy wait times for neurodevelopmental assessments leave these learners without proper support during crucial developmental stages, potentially exacerbating behavioural issues (Children’s Commissioner for Wales, 2020). This highlights the need for effective support strategies, such as smaller class sizes or specialised training for teachers, to prevent further disadvantage, including a widening attainment gap and exclusionary practices (a growing concern with 393.9 fixed-term exclusions per 1000 pupils with SEBD in 2021/22, according to the Welsh Government, 2023). Excluding learners with SEBD, as Jull (2008) argues, is detrimental as it removes them from their support systems due to the nature of their needs. Therefore, it could be suggested that schools adopt a more proactive approach to supporting learners with SEBD, mitigating the risk of further learning disadvantages through exclusion.</w:t>
      </w:r>
    </w:p>
    <w:p w14:paraId="553B7884" w14:textId="6F97DDED" w:rsidR="0037082A" w:rsidRPr="00FD69C1" w:rsidRDefault="008D68FD" w:rsidP="00FD69C1">
      <w:pPr>
        <w:pStyle w:val="NormalWeb"/>
        <w:spacing w:before="360" w:beforeAutospacing="0" w:after="360" w:afterAutospacing="0" w:line="360" w:lineRule="auto"/>
        <w:jc w:val="both"/>
        <w:rPr>
          <w:rFonts w:asciiTheme="minorHAnsi" w:hAnsiTheme="minorHAnsi" w:cstheme="minorHAnsi"/>
          <w:color w:val="000000" w:themeColor="text1"/>
        </w:rPr>
      </w:pPr>
      <w:r w:rsidRPr="00FD69C1">
        <w:rPr>
          <w:rFonts w:asciiTheme="minorHAnsi" w:hAnsiTheme="minorHAnsi" w:cstheme="minorHAnsi"/>
          <w:color w:val="000000" w:themeColor="text1"/>
        </w:rPr>
        <w:t xml:space="preserve">While the diverse needs of SEBD learners can present challenges, inclusive schools prioritise creating supportive environments that remove barriers and maximise potential for all students (EEF, 2021). Empowering teachers through targeted training in social-emotional learning, behaviour management, and differentiated instruction significantly improves their confidence in supporting SEBD students within mainstream classrooms (Caslin, 2021). This aligns with the </w:t>
      </w:r>
      <w:r w:rsidR="00130CC5">
        <w:rPr>
          <w:rFonts w:asciiTheme="minorHAnsi" w:hAnsiTheme="minorHAnsi" w:cstheme="minorHAnsi"/>
          <w:color w:val="000000" w:themeColor="text1"/>
        </w:rPr>
        <w:t>Schools as Learning Organisations model which emhasies the importance of</w:t>
      </w:r>
      <w:r w:rsidRPr="00FD69C1">
        <w:rPr>
          <w:rFonts w:asciiTheme="minorHAnsi" w:hAnsiTheme="minorHAnsi" w:cstheme="minorHAnsi"/>
          <w:color w:val="000000" w:themeColor="text1"/>
        </w:rPr>
        <w:t xml:space="preserve"> professional learning (</w:t>
      </w:r>
      <w:r w:rsidR="00130CC5">
        <w:rPr>
          <w:rFonts w:asciiTheme="minorHAnsi" w:hAnsiTheme="minorHAnsi" w:cstheme="minorHAnsi"/>
          <w:color w:val="000000" w:themeColor="text1"/>
        </w:rPr>
        <w:t xml:space="preserve">Welsh Government, </w:t>
      </w:r>
      <w:r w:rsidRPr="00FD69C1">
        <w:rPr>
          <w:rFonts w:asciiTheme="minorHAnsi" w:hAnsiTheme="minorHAnsi" w:cstheme="minorHAnsi"/>
          <w:color w:val="000000" w:themeColor="text1"/>
        </w:rPr>
        <w:t xml:space="preserve">2022) and ultimately </w:t>
      </w:r>
      <w:r w:rsidR="00130CC5">
        <w:rPr>
          <w:rFonts w:asciiTheme="minorHAnsi" w:hAnsiTheme="minorHAnsi" w:cstheme="minorHAnsi"/>
          <w:color w:val="000000" w:themeColor="text1"/>
        </w:rPr>
        <w:t>contribute to the high quality teaching and learning for life goals set out in</w:t>
      </w:r>
      <w:r w:rsidRPr="00FD69C1">
        <w:rPr>
          <w:rFonts w:asciiTheme="minorHAnsi" w:hAnsiTheme="minorHAnsi" w:cstheme="minorHAnsi"/>
          <w:color w:val="000000" w:themeColor="text1"/>
        </w:rPr>
        <w:t xml:space="preserve"> Our National Mission</w:t>
      </w:r>
      <w:r w:rsidR="00130CC5">
        <w:rPr>
          <w:rFonts w:asciiTheme="minorHAnsi" w:hAnsiTheme="minorHAnsi" w:cstheme="minorHAnsi"/>
          <w:color w:val="000000" w:themeColor="text1"/>
        </w:rPr>
        <w:t xml:space="preserve">, in attaining high standards and aspirations for all </w:t>
      </w:r>
      <w:r w:rsidRPr="00FD69C1">
        <w:rPr>
          <w:rFonts w:asciiTheme="minorHAnsi" w:hAnsiTheme="minorHAnsi" w:cstheme="minorHAnsi"/>
          <w:color w:val="000000" w:themeColor="text1"/>
        </w:rPr>
        <w:t xml:space="preserve">(Welsh Government, 2023). Training equips teachers with the skills to foster positive relationships, a key element in a supportive environment. Furthermore, evidence-based approaches like Nurture and Thrive programs allow SEBD learners to develop </w:t>
      </w:r>
      <w:r w:rsidRPr="00FD69C1">
        <w:rPr>
          <w:rFonts w:asciiTheme="minorHAnsi" w:hAnsiTheme="minorHAnsi" w:cstheme="minorHAnsi"/>
          <w:color w:val="000000" w:themeColor="text1"/>
        </w:rPr>
        <w:lastRenderedPageBreak/>
        <w:t>social, emotional, and cognitive skills in group settings while building trust and respect with peers (Syrnyk, 2014). Additionally, appropriate staffing with consistent 1:1 support allows for personalised attention and proactive intervention to manage behavioural triggers (Peatson, 2011).</w:t>
      </w:r>
      <w:bookmarkEnd w:id="0"/>
    </w:p>
    <w:p w14:paraId="7E8E9D8E" w14:textId="58913217" w:rsidR="00471854" w:rsidRPr="00FD69C1" w:rsidRDefault="00471854" w:rsidP="00FD69C1">
      <w:pPr>
        <w:pStyle w:val="NormalWeb"/>
        <w:spacing w:before="360" w:beforeAutospacing="0" w:after="360" w:afterAutospacing="0" w:line="360" w:lineRule="auto"/>
        <w:jc w:val="both"/>
        <w:rPr>
          <w:rFonts w:asciiTheme="minorHAnsi" w:hAnsiTheme="minorHAnsi" w:cstheme="minorHAnsi"/>
          <w:color w:val="000000" w:themeColor="text1"/>
        </w:rPr>
      </w:pPr>
      <w:r w:rsidRPr="00FD69C1">
        <w:rPr>
          <w:rFonts w:asciiTheme="minorHAnsi" w:hAnsiTheme="minorHAnsi" w:cstheme="minorHAnsi"/>
          <w:color w:val="000000" w:themeColor="text1"/>
        </w:rPr>
        <w:t xml:space="preserve">In conclusion, the SDP is a valuable tool for schools to </w:t>
      </w:r>
      <w:r w:rsidR="001C31EA" w:rsidRPr="00FD69C1">
        <w:rPr>
          <w:rFonts w:asciiTheme="minorHAnsi" w:hAnsiTheme="minorHAnsi" w:cstheme="minorHAnsi"/>
          <w:color w:val="000000" w:themeColor="text1"/>
        </w:rPr>
        <w:t>improve and ensure all learners thrive continuously</w:t>
      </w:r>
      <w:r w:rsidRPr="00FD69C1">
        <w:rPr>
          <w:rFonts w:asciiTheme="minorHAnsi" w:hAnsiTheme="minorHAnsi" w:cstheme="minorHAnsi"/>
          <w:color w:val="000000" w:themeColor="text1"/>
        </w:rPr>
        <w:t>. By effectively utilising the self-evaluation and improvement stages of the SDP, schools can identify the specific needs of learners with SEBD and implement targeted strategies to promote their inclusion and success within the mainstream classroom.</w:t>
      </w:r>
    </w:p>
    <w:p w14:paraId="7AA42E4D" w14:textId="29E730B1" w:rsidR="006E114E" w:rsidRPr="00FD69C1" w:rsidRDefault="006E114E" w:rsidP="00FD69C1">
      <w:pPr>
        <w:spacing w:line="360" w:lineRule="auto"/>
        <w:jc w:val="both"/>
        <w:rPr>
          <w:rFonts w:asciiTheme="minorHAnsi" w:hAnsiTheme="minorHAnsi" w:cstheme="minorHAnsi"/>
          <w:u w:val="single"/>
        </w:rPr>
      </w:pPr>
      <w:r w:rsidRPr="00FD69C1">
        <w:rPr>
          <w:rFonts w:asciiTheme="minorHAnsi" w:hAnsiTheme="minorHAnsi" w:cstheme="minorHAnsi"/>
          <w:u w:val="single"/>
        </w:rPr>
        <w:t>Developing an Action Point</w:t>
      </w:r>
    </w:p>
    <w:p w14:paraId="5A96E91D" w14:textId="576CB546" w:rsidR="00F47D87" w:rsidRPr="00FD69C1" w:rsidRDefault="00A41830" w:rsidP="00FD69C1">
      <w:pPr>
        <w:pStyle w:val="ListParagraph"/>
        <w:spacing w:line="360" w:lineRule="auto"/>
        <w:ind w:left="0"/>
        <w:jc w:val="both"/>
        <w:rPr>
          <w:rFonts w:asciiTheme="minorHAnsi" w:hAnsiTheme="minorHAnsi" w:cstheme="minorHAnsi"/>
        </w:rPr>
      </w:pPr>
      <w:r w:rsidRPr="00FD69C1">
        <w:rPr>
          <w:rFonts w:asciiTheme="minorHAnsi" w:hAnsiTheme="minorHAnsi" w:cstheme="minorHAnsi"/>
        </w:rPr>
        <w:t xml:space="preserve">During their self-evaluation process, School A recognised an increase in the number of </w:t>
      </w:r>
      <w:r w:rsidR="00546093" w:rsidRPr="00FD69C1">
        <w:rPr>
          <w:rFonts w:asciiTheme="minorHAnsi" w:hAnsiTheme="minorHAnsi" w:cstheme="minorHAnsi"/>
        </w:rPr>
        <w:t xml:space="preserve">behavioural incidents involving </w:t>
      </w:r>
      <w:r w:rsidRPr="00FD69C1">
        <w:rPr>
          <w:rFonts w:asciiTheme="minorHAnsi" w:hAnsiTheme="minorHAnsi" w:cstheme="minorHAnsi"/>
        </w:rPr>
        <w:t xml:space="preserve">learners with Social, Emotional and Behavioural Difficulties (SEBD). </w:t>
      </w:r>
      <w:r w:rsidR="00953D05" w:rsidRPr="00FD69C1">
        <w:rPr>
          <w:rFonts w:asciiTheme="minorHAnsi" w:hAnsiTheme="minorHAnsi" w:cstheme="minorHAnsi"/>
        </w:rPr>
        <w:t>This could potentially relate to the slight increase of learners with IDPs identified within the school context</w:t>
      </w:r>
      <w:r w:rsidR="00546093" w:rsidRPr="00FD69C1">
        <w:rPr>
          <w:rFonts w:asciiTheme="minorHAnsi" w:hAnsiTheme="minorHAnsi" w:cstheme="minorHAnsi"/>
        </w:rPr>
        <w:t xml:space="preserve"> over 2022/2023</w:t>
      </w:r>
      <w:r w:rsidR="00953D05" w:rsidRPr="00FD69C1">
        <w:rPr>
          <w:rFonts w:asciiTheme="minorHAnsi" w:hAnsiTheme="minorHAnsi" w:cstheme="minorHAnsi"/>
        </w:rPr>
        <w:t xml:space="preserve">. </w:t>
      </w:r>
      <w:r w:rsidRPr="00FD69C1">
        <w:rPr>
          <w:rFonts w:asciiTheme="minorHAnsi" w:hAnsiTheme="minorHAnsi" w:cstheme="minorHAnsi"/>
        </w:rPr>
        <w:t xml:space="preserve">While their </w:t>
      </w:r>
      <w:r w:rsidR="00546093" w:rsidRPr="00FD69C1">
        <w:rPr>
          <w:rFonts w:asciiTheme="minorHAnsi" w:hAnsiTheme="minorHAnsi" w:cstheme="minorHAnsi"/>
        </w:rPr>
        <w:t xml:space="preserve">restorative </w:t>
      </w:r>
      <w:r w:rsidRPr="00FD69C1">
        <w:rPr>
          <w:rFonts w:asciiTheme="minorHAnsi" w:hAnsiTheme="minorHAnsi" w:cstheme="minorHAnsi"/>
        </w:rPr>
        <w:t>behaviour approach</w:t>
      </w:r>
      <w:r w:rsidR="00546093" w:rsidRPr="00FD69C1">
        <w:rPr>
          <w:rFonts w:asciiTheme="minorHAnsi" w:hAnsiTheme="minorHAnsi" w:cstheme="minorHAnsi"/>
        </w:rPr>
        <w:t>, implemented the previous academic year,</w:t>
      </w:r>
      <w:r w:rsidRPr="00FD69C1">
        <w:rPr>
          <w:rFonts w:asciiTheme="minorHAnsi" w:hAnsiTheme="minorHAnsi" w:cstheme="minorHAnsi"/>
        </w:rPr>
        <w:t xml:space="preserve"> had yielded positive results regarding improved emotional regulation, the leadership team acknowledged the significant time investment required</w:t>
      </w:r>
      <w:r w:rsidR="00546093" w:rsidRPr="00FD69C1">
        <w:rPr>
          <w:rFonts w:asciiTheme="minorHAnsi" w:hAnsiTheme="minorHAnsi" w:cstheme="minorHAnsi"/>
        </w:rPr>
        <w:t xml:space="preserve"> to attend</w:t>
      </w:r>
      <w:r w:rsidRPr="00FD69C1">
        <w:rPr>
          <w:rFonts w:asciiTheme="minorHAnsi" w:hAnsiTheme="minorHAnsi" w:cstheme="minorHAnsi"/>
        </w:rPr>
        <w:t xml:space="preserve"> to escalated behaviour outbursts and dysregulation of learners with SEBD</w:t>
      </w:r>
      <w:r w:rsidR="00546093" w:rsidRPr="00FD69C1">
        <w:rPr>
          <w:rFonts w:asciiTheme="minorHAnsi" w:hAnsiTheme="minorHAnsi" w:cstheme="minorHAnsi"/>
        </w:rPr>
        <w:t>. This</w:t>
      </w:r>
      <w:r w:rsidRPr="00FD69C1">
        <w:rPr>
          <w:rFonts w:asciiTheme="minorHAnsi" w:hAnsiTheme="minorHAnsi" w:cstheme="minorHAnsi"/>
        </w:rPr>
        <w:t xml:space="preserve"> led to </w:t>
      </w:r>
      <w:r w:rsidR="00546093" w:rsidRPr="00FD69C1">
        <w:rPr>
          <w:rFonts w:asciiTheme="minorHAnsi" w:hAnsiTheme="minorHAnsi" w:cstheme="minorHAnsi"/>
        </w:rPr>
        <w:t>identifying</w:t>
      </w:r>
      <w:r w:rsidRPr="00FD69C1">
        <w:rPr>
          <w:rFonts w:asciiTheme="minorHAnsi" w:hAnsiTheme="minorHAnsi" w:cstheme="minorHAnsi"/>
        </w:rPr>
        <w:t xml:space="preserve"> the need for a more consistent, proactive, and comprehensive support system. </w:t>
      </w:r>
      <w:r w:rsidR="00546093" w:rsidRPr="00FD69C1">
        <w:rPr>
          <w:rFonts w:asciiTheme="minorHAnsi" w:hAnsiTheme="minorHAnsi" w:cstheme="minorHAnsi"/>
        </w:rPr>
        <w:t>It is important to note that the</w:t>
      </w:r>
      <w:r w:rsidRPr="00FD69C1">
        <w:rPr>
          <w:rFonts w:asciiTheme="minorHAnsi" w:hAnsiTheme="minorHAnsi" w:cstheme="minorHAnsi"/>
        </w:rPr>
        <w:t xml:space="preserve"> behaviour triage approach had only been implemented the previous year</w:t>
      </w:r>
      <w:r w:rsidR="00546093" w:rsidRPr="00FD69C1">
        <w:rPr>
          <w:rFonts w:asciiTheme="minorHAnsi" w:hAnsiTheme="minorHAnsi" w:cstheme="minorHAnsi"/>
        </w:rPr>
        <w:t>. At the same time,</w:t>
      </w:r>
      <w:r w:rsidRPr="00FD69C1">
        <w:rPr>
          <w:rFonts w:asciiTheme="minorHAnsi" w:hAnsiTheme="minorHAnsi" w:cstheme="minorHAnsi"/>
        </w:rPr>
        <w:t xml:space="preserve"> </w:t>
      </w:r>
      <w:r w:rsidR="00546093" w:rsidRPr="00FD69C1">
        <w:rPr>
          <w:rFonts w:asciiTheme="minorHAnsi" w:hAnsiTheme="minorHAnsi" w:cstheme="minorHAnsi"/>
        </w:rPr>
        <w:t>extending the trial period could uncover a sustainable change in effectiveness long term.</w:t>
      </w:r>
    </w:p>
    <w:p w14:paraId="2D91A4E8" w14:textId="77777777" w:rsidR="00A41830" w:rsidRPr="00FD69C1" w:rsidRDefault="00A41830" w:rsidP="00FD69C1">
      <w:pPr>
        <w:pStyle w:val="ListParagraph"/>
        <w:spacing w:line="360" w:lineRule="auto"/>
        <w:ind w:left="0"/>
        <w:jc w:val="both"/>
        <w:rPr>
          <w:rFonts w:asciiTheme="minorHAnsi" w:hAnsiTheme="minorHAnsi" w:cstheme="minorHAnsi"/>
          <w:u w:val="single"/>
        </w:rPr>
      </w:pPr>
    </w:p>
    <w:p w14:paraId="6C89442A" w14:textId="66624A43" w:rsidR="00F47D87" w:rsidRPr="00FD69C1" w:rsidRDefault="00B576C9" w:rsidP="00FD69C1">
      <w:pPr>
        <w:pStyle w:val="ListParagraph"/>
        <w:spacing w:line="360" w:lineRule="auto"/>
        <w:ind w:left="0"/>
        <w:jc w:val="both"/>
        <w:rPr>
          <w:rFonts w:asciiTheme="minorHAnsi" w:hAnsiTheme="minorHAnsi" w:cstheme="minorHAnsi"/>
        </w:rPr>
      </w:pPr>
      <w:r w:rsidRPr="00FD69C1">
        <w:rPr>
          <w:rFonts w:asciiTheme="minorHAnsi" w:hAnsiTheme="minorHAnsi" w:cstheme="minorHAnsi"/>
        </w:rPr>
        <w:t>The need for improvement was informed by a comprehensive data collection approach using qualitative (teacher, ALNCO and parent observations, person-centred planning meetings) and quantitative methods (emotional well-being and mental health assessments, attendance records). While qualitative data offers valuable insights into individual experiences, its reliance on subjective interpretations can raise concerns about reliability and validity. Triangulation</w:t>
      </w:r>
      <w:r w:rsidR="000706D3" w:rsidRPr="00FD69C1">
        <w:rPr>
          <w:rFonts w:asciiTheme="minorHAnsi" w:hAnsiTheme="minorHAnsi" w:cstheme="minorHAnsi"/>
        </w:rPr>
        <w:t xml:space="preserve"> refers to the practice of using two or more data sources in combination (Thurmond, 2001. This</w:t>
      </w:r>
      <w:r w:rsidRPr="00FD69C1">
        <w:rPr>
          <w:rFonts w:asciiTheme="minorHAnsi" w:hAnsiTheme="minorHAnsi" w:cstheme="minorHAnsi"/>
        </w:rPr>
        <w:t xml:space="preserve"> could strengthen the </w:t>
      </w:r>
      <w:r w:rsidR="000706D3" w:rsidRPr="00FD69C1">
        <w:rPr>
          <w:rFonts w:asciiTheme="minorHAnsi" w:hAnsiTheme="minorHAnsi" w:cstheme="minorHAnsi"/>
        </w:rPr>
        <w:t>reliability of School A’s data,</w:t>
      </w:r>
      <w:r w:rsidRPr="00FD69C1">
        <w:rPr>
          <w:rFonts w:asciiTheme="minorHAnsi" w:hAnsiTheme="minorHAnsi" w:cstheme="minorHAnsi"/>
        </w:rPr>
        <w:t xml:space="preserve"> inform</w:t>
      </w:r>
      <w:r w:rsidR="000706D3" w:rsidRPr="00FD69C1">
        <w:rPr>
          <w:rFonts w:asciiTheme="minorHAnsi" w:hAnsiTheme="minorHAnsi" w:cstheme="minorHAnsi"/>
        </w:rPr>
        <w:t xml:space="preserve">ing </w:t>
      </w:r>
      <w:r w:rsidRPr="00FD69C1">
        <w:rPr>
          <w:rFonts w:asciiTheme="minorHAnsi" w:hAnsiTheme="minorHAnsi" w:cstheme="minorHAnsi"/>
        </w:rPr>
        <w:t xml:space="preserve">decision-making with greater confidence. Furthermore, the inherent challenge of capturing well-being data objectively can be addressed by incorporating validated quantitative tools, such as the </w:t>
      </w:r>
      <w:r w:rsidRPr="00FD69C1">
        <w:rPr>
          <w:rFonts w:asciiTheme="minorHAnsi" w:hAnsiTheme="minorHAnsi" w:cstheme="minorHAnsi"/>
        </w:rPr>
        <w:lastRenderedPageBreak/>
        <w:t xml:space="preserve">Good Childhood Index </w:t>
      </w:r>
      <w:r w:rsidR="00E837F3" w:rsidRPr="00FD69C1">
        <w:rPr>
          <w:rFonts w:asciiTheme="minorHAnsi" w:hAnsiTheme="minorHAnsi" w:cstheme="minorHAnsi"/>
        </w:rPr>
        <w:t xml:space="preserve">(The Children’s Society, 2010) </w:t>
      </w:r>
      <w:r w:rsidRPr="00FD69C1">
        <w:rPr>
          <w:rFonts w:asciiTheme="minorHAnsi" w:hAnsiTheme="minorHAnsi" w:cstheme="minorHAnsi"/>
        </w:rPr>
        <w:t>and the Short Warwick Edinburgh Mental Well-being Scale</w:t>
      </w:r>
      <w:r w:rsidR="00E837F3" w:rsidRPr="00FD69C1">
        <w:rPr>
          <w:rFonts w:asciiTheme="minorHAnsi" w:hAnsiTheme="minorHAnsi" w:cstheme="minorHAnsi"/>
        </w:rPr>
        <w:t xml:space="preserve"> (SWEMWBS) (Warwick Medical School, 2007)</w:t>
      </w:r>
      <w:r w:rsidRPr="00FD69C1">
        <w:rPr>
          <w:rFonts w:asciiTheme="minorHAnsi" w:hAnsiTheme="minorHAnsi" w:cstheme="minorHAnsi"/>
        </w:rPr>
        <w:t xml:space="preserve">, alongside </w:t>
      </w:r>
      <w:r w:rsidR="00E837F3" w:rsidRPr="00FD69C1">
        <w:rPr>
          <w:rFonts w:asciiTheme="minorHAnsi" w:hAnsiTheme="minorHAnsi" w:cstheme="minorHAnsi"/>
        </w:rPr>
        <w:t xml:space="preserve">other </w:t>
      </w:r>
      <w:r w:rsidRPr="00FD69C1">
        <w:rPr>
          <w:rFonts w:asciiTheme="minorHAnsi" w:hAnsiTheme="minorHAnsi" w:cstheme="minorHAnsi"/>
        </w:rPr>
        <w:t>qualitative methods.</w:t>
      </w:r>
    </w:p>
    <w:p w14:paraId="21003842" w14:textId="77777777" w:rsidR="00B576C9" w:rsidRPr="00FD69C1" w:rsidRDefault="00B576C9" w:rsidP="00FD69C1">
      <w:pPr>
        <w:spacing w:line="360" w:lineRule="auto"/>
        <w:jc w:val="both"/>
        <w:rPr>
          <w:rFonts w:asciiTheme="minorHAnsi" w:hAnsiTheme="minorHAnsi" w:cstheme="minorHAnsi"/>
          <w:u w:val="single"/>
        </w:rPr>
      </w:pPr>
    </w:p>
    <w:p w14:paraId="676A05B3" w14:textId="7F525CDE" w:rsidR="00DF1C80" w:rsidRPr="00FD69C1" w:rsidRDefault="00DF1C80" w:rsidP="00FD69C1">
      <w:pPr>
        <w:spacing w:line="360" w:lineRule="auto"/>
        <w:jc w:val="both"/>
        <w:rPr>
          <w:rFonts w:asciiTheme="minorHAnsi" w:hAnsiTheme="minorHAnsi" w:cstheme="minorHAnsi"/>
        </w:rPr>
      </w:pPr>
      <w:r w:rsidRPr="00FD69C1">
        <w:rPr>
          <w:rFonts w:asciiTheme="minorHAnsi" w:hAnsiTheme="minorHAnsi" w:cstheme="minorHAnsi"/>
        </w:rPr>
        <w:t>School A recognised the need to adapt its approach to learning provision</w:t>
      </w:r>
      <w:r w:rsidR="0042003C" w:rsidRPr="00FD69C1">
        <w:rPr>
          <w:rFonts w:asciiTheme="minorHAnsi" w:hAnsiTheme="minorHAnsi" w:cstheme="minorHAnsi"/>
        </w:rPr>
        <w:t xml:space="preserve"> to better support</w:t>
      </w:r>
      <w:r w:rsidRPr="00FD69C1">
        <w:rPr>
          <w:rFonts w:asciiTheme="minorHAnsi" w:hAnsiTheme="minorHAnsi" w:cstheme="minorHAnsi"/>
        </w:rPr>
        <w:t xml:space="preserve"> those with the most significant SEBD due to lengthy wait times for neurodevelopmental assessments (Children’s Commissioner for Wales, 2020). Whilst waiting on external assessments for its most vulnerable learners, the school proactively involved the outreach team from a local special school in developing an alternative provision inherently linked to the school's existing curriculum.</w:t>
      </w:r>
      <w:r w:rsidR="00100D2B" w:rsidRPr="00FD69C1">
        <w:rPr>
          <w:rFonts w:asciiTheme="minorHAnsi" w:hAnsiTheme="minorHAnsi" w:cstheme="minorHAnsi"/>
        </w:rPr>
        <w:t xml:space="preserve"> </w:t>
      </w:r>
      <w:r w:rsidRPr="00FD69C1">
        <w:rPr>
          <w:rFonts w:asciiTheme="minorHAnsi" w:hAnsiTheme="minorHAnsi" w:cstheme="minorHAnsi"/>
        </w:rPr>
        <w:t xml:space="preserve">To support this new approach, School A restructured staffing to create a well-being team, including a well-being coordinator, support staff, and two additional 1:1 staff members. </w:t>
      </w:r>
      <w:r w:rsidR="00130CC5" w:rsidRPr="00FD69C1">
        <w:rPr>
          <w:rFonts w:asciiTheme="minorHAnsi" w:hAnsiTheme="minorHAnsi" w:cstheme="minorHAnsi"/>
        </w:rPr>
        <w:t>Additionally</w:t>
      </w:r>
      <w:r w:rsidRPr="00FD69C1">
        <w:rPr>
          <w:rFonts w:asciiTheme="minorHAnsi" w:hAnsiTheme="minorHAnsi" w:cstheme="minorHAnsi"/>
        </w:rPr>
        <w:t>, School A consulted learners, staff, and parents in their plans. Thi</w:t>
      </w:r>
      <w:r w:rsidR="0042003C" w:rsidRPr="00FD69C1">
        <w:rPr>
          <w:rFonts w:asciiTheme="minorHAnsi" w:hAnsiTheme="minorHAnsi" w:cstheme="minorHAnsi"/>
        </w:rPr>
        <w:t>s</w:t>
      </w:r>
      <w:r w:rsidRPr="00FD69C1">
        <w:rPr>
          <w:rFonts w:asciiTheme="minorHAnsi" w:hAnsiTheme="minorHAnsi" w:cstheme="minorHAnsi"/>
        </w:rPr>
        <w:t xml:space="preserve"> broad stakeholder involvement fosters a sense of ownership and aligns with the </w:t>
      </w:r>
      <w:r w:rsidR="0042003C" w:rsidRPr="00FD69C1">
        <w:rPr>
          <w:rFonts w:asciiTheme="minorHAnsi" w:hAnsiTheme="minorHAnsi" w:cstheme="minorHAnsi"/>
        </w:rPr>
        <w:t xml:space="preserve">school improvement guidance and the </w:t>
      </w:r>
      <w:r w:rsidRPr="00FD69C1">
        <w:rPr>
          <w:rFonts w:asciiTheme="minorHAnsi" w:hAnsiTheme="minorHAnsi" w:cstheme="minorHAnsi"/>
        </w:rPr>
        <w:t xml:space="preserve">School as a Learning Organisation Model (Welsh Government, </w:t>
      </w:r>
      <w:r w:rsidR="0042003C" w:rsidRPr="00FD69C1">
        <w:rPr>
          <w:rFonts w:asciiTheme="minorHAnsi" w:hAnsiTheme="minorHAnsi" w:cstheme="minorHAnsi"/>
        </w:rPr>
        <w:t>2022;</w:t>
      </w:r>
      <w:r w:rsidR="0037082A" w:rsidRPr="00FD69C1">
        <w:rPr>
          <w:rFonts w:asciiTheme="minorHAnsi" w:hAnsiTheme="minorHAnsi" w:cstheme="minorHAnsi"/>
        </w:rPr>
        <w:t xml:space="preserve"> </w:t>
      </w:r>
      <w:r w:rsidRPr="00FD69C1">
        <w:rPr>
          <w:rFonts w:asciiTheme="minorHAnsi" w:hAnsiTheme="minorHAnsi" w:cstheme="minorHAnsi"/>
        </w:rPr>
        <w:t xml:space="preserve">2021). </w:t>
      </w:r>
    </w:p>
    <w:p w14:paraId="354818EE" w14:textId="77777777" w:rsidR="00DF1C80" w:rsidRPr="00FD69C1" w:rsidRDefault="00DF1C80" w:rsidP="00FD69C1">
      <w:pPr>
        <w:spacing w:line="360" w:lineRule="auto"/>
        <w:jc w:val="both"/>
        <w:rPr>
          <w:rFonts w:asciiTheme="minorHAnsi" w:hAnsiTheme="minorHAnsi" w:cstheme="minorHAnsi"/>
        </w:rPr>
      </w:pPr>
    </w:p>
    <w:p w14:paraId="6E9F5733" w14:textId="43E69EB7" w:rsidR="00C37C56" w:rsidRPr="00FD69C1" w:rsidRDefault="00BF42FD" w:rsidP="00FD69C1">
      <w:pPr>
        <w:spacing w:line="360" w:lineRule="auto"/>
        <w:jc w:val="both"/>
        <w:rPr>
          <w:rFonts w:asciiTheme="minorHAnsi" w:hAnsiTheme="minorHAnsi" w:cstheme="minorHAnsi"/>
        </w:rPr>
      </w:pPr>
      <w:r w:rsidRPr="00FD69C1">
        <w:rPr>
          <w:rFonts w:asciiTheme="minorHAnsi" w:hAnsiTheme="minorHAnsi" w:cstheme="minorHAnsi"/>
        </w:rPr>
        <w:t>In line with School A's long-term strategic plan to better support learners with Social, Emotional, and Behavioural Difficulties (SEBD), the School Development Plan (SDP) targeted the development of a new specialist provision and in-reach service. The success criteria involved creating a flexible learning approach</w:t>
      </w:r>
      <w:r w:rsidR="00D63E88" w:rsidRPr="00FD69C1">
        <w:rPr>
          <w:rFonts w:asciiTheme="minorHAnsi" w:hAnsiTheme="minorHAnsi" w:cstheme="minorHAnsi"/>
        </w:rPr>
        <w:t>, offering a safe space for children with SEBD to develop important skills whilst allowing them as much opportunity as possible to learn with their peers in class</w:t>
      </w:r>
      <w:r w:rsidR="009761BA" w:rsidRPr="00FD69C1">
        <w:rPr>
          <w:rFonts w:asciiTheme="minorHAnsi" w:hAnsiTheme="minorHAnsi" w:cstheme="minorHAnsi"/>
        </w:rPr>
        <w:t xml:space="preserve"> supported by 1:1 staff</w:t>
      </w:r>
      <w:r w:rsidR="00D63E88" w:rsidRPr="00FD69C1">
        <w:rPr>
          <w:rFonts w:asciiTheme="minorHAnsi" w:hAnsiTheme="minorHAnsi" w:cstheme="minorHAnsi"/>
        </w:rPr>
        <w:t xml:space="preserve">. The alternative provision sought to offer activities that develop self-esteem, collaboration, </w:t>
      </w:r>
      <w:r w:rsidR="00BB78B2" w:rsidRPr="00FD69C1">
        <w:rPr>
          <w:rFonts w:asciiTheme="minorHAnsi" w:hAnsiTheme="minorHAnsi" w:cstheme="minorHAnsi"/>
        </w:rPr>
        <w:t>resilience,</w:t>
      </w:r>
      <w:r w:rsidR="00D63E88" w:rsidRPr="00FD69C1">
        <w:rPr>
          <w:rFonts w:asciiTheme="minorHAnsi" w:hAnsiTheme="minorHAnsi" w:cstheme="minorHAnsi"/>
        </w:rPr>
        <w:t xml:space="preserve"> and problem-solving skills and foster an understanding of positive well-being. </w:t>
      </w:r>
      <w:r w:rsidR="00BB78B2" w:rsidRPr="00FD69C1">
        <w:rPr>
          <w:rFonts w:asciiTheme="minorHAnsi" w:hAnsiTheme="minorHAnsi" w:cstheme="minorHAnsi"/>
        </w:rPr>
        <w:t xml:space="preserve">To make this happen, School A set actions that included developing the alternative provision to allow learners with specific SEBD to access relevant activities during afternoon sessions when needed. The in-reach service also utilises staff from this provision to work with identified learners in their class settings to enable them to be included as often as possible. </w:t>
      </w:r>
      <w:r w:rsidRPr="00FD69C1">
        <w:rPr>
          <w:rFonts w:asciiTheme="minorHAnsi" w:hAnsiTheme="minorHAnsi" w:cstheme="minorHAnsi"/>
        </w:rPr>
        <w:t>The a</w:t>
      </w:r>
      <w:r w:rsidR="00B56D53" w:rsidRPr="00FD69C1">
        <w:rPr>
          <w:rFonts w:asciiTheme="minorHAnsi" w:hAnsiTheme="minorHAnsi" w:cstheme="minorHAnsi"/>
        </w:rPr>
        <w:t>ctions outlined</w:t>
      </w:r>
      <w:r w:rsidR="00BB78B2" w:rsidRPr="00FD69C1">
        <w:rPr>
          <w:rFonts w:asciiTheme="minorHAnsi" w:hAnsiTheme="minorHAnsi" w:cstheme="minorHAnsi"/>
        </w:rPr>
        <w:t xml:space="preserve"> also involved the designing of a</w:t>
      </w:r>
      <w:r w:rsidR="00B56D53" w:rsidRPr="00FD69C1">
        <w:rPr>
          <w:rFonts w:asciiTheme="minorHAnsi" w:hAnsiTheme="minorHAnsi" w:cstheme="minorHAnsi"/>
        </w:rPr>
        <w:t xml:space="preserve">n </w:t>
      </w:r>
      <w:r w:rsidR="00BB78B2" w:rsidRPr="00FD69C1">
        <w:rPr>
          <w:rFonts w:asciiTheme="minorHAnsi" w:hAnsiTheme="minorHAnsi" w:cstheme="minorHAnsi"/>
        </w:rPr>
        <w:t>alternative curriculum</w:t>
      </w:r>
      <w:r w:rsidR="00B56D53" w:rsidRPr="00FD69C1">
        <w:rPr>
          <w:rFonts w:asciiTheme="minorHAnsi" w:hAnsiTheme="minorHAnsi" w:cstheme="minorHAnsi"/>
        </w:rPr>
        <w:t xml:space="preserve"> based on the ‘what matters statements’ and ‘descriptions of learning’ from the Curriculum for Wales (Welsh Government, 2022).</w:t>
      </w:r>
      <w:r w:rsidR="00BB78B2" w:rsidRPr="00FD69C1">
        <w:rPr>
          <w:rFonts w:asciiTheme="minorHAnsi" w:hAnsiTheme="minorHAnsi" w:cstheme="minorHAnsi"/>
        </w:rPr>
        <w:t xml:space="preserve"> </w:t>
      </w:r>
      <w:r w:rsidR="00B56D53" w:rsidRPr="00FD69C1">
        <w:rPr>
          <w:rFonts w:asciiTheme="minorHAnsi" w:hAnsiTheme="minorHAnsi" w:cstheme="minorHAnsi"/>
        </w:rPr>
        <w:t>Both</w:t>
      </w:r>
      <w:r w:rsidR="009069D0" w:rsidRPr="00FD69C1">
        <w:rPr>
          <w:rFonts w:asciiTheme="minorHAnsi" w:hAnsiTheme="minorHAnsi" w:cstheme="minorHAnsi"/>
        </w:rPr>
        <w:t xml:space="preserve"> actions were set for completion at the end of the autumn term of 2023, with funding for additional staff from the school budget and learner-funded hours. </w:t>
      </w:r>
      <w:r w:rsidR="00130CC5" w:rsidRPr="00FD69C1">
        <w:rPr>
          <w:rFonts w:asciiTheme="minorHAnsi" w:hAnsiTheme="minorHAnsi" w:cstheme="minorHAnsi"/>
        </w:rPr>
        <w:t>Furthermore</w:t>
      </w:r>
      <w:r w:rsidRPr="00FD69C1">
        <w:rPr>
          <w:rFonts w:asciiTheme="minorHAnsi" w:hAnsiTheme="minorHAnsi" w:cstheme="minorHAnsi"/>
        </w:rPr>
        <w:t xml:space="preserve">, the long-term sustainability of the </w:t>
      </w:r>
      <w:r w:rsidRPr="00FD69C1">
        <w:rPr>
          <w:rFonts w:asciiTheme="minorHAnsi" w:hAnsiTheme="minorHAnsi" w:cstheme="minorHAnsi"/>
        </w:rPr>
        <w:lastRenderedPageBreak/>
        <w:t>approach requires careful consideration, particularly considering potential budget cuts due to inflation (NAHT, 2024). Monitoring and evaluation will be crucial to demonstrate the program's effectiveness and secure continued funding.</w:t>
      </w:r>
    </w:p>
    <w:p w14:paraId="67F52A83" w14:textId="77777777" w:rsidR="00C37C56" w:rsidRPr="00FD69C1" w:rsidRDefault="00C37C56" w:rsidP="00FD69C1">
      <w:pPr>
        <w:spacing w:line="360" w:lineRule="auto"/>
        <w:jc w:val="both"/>
        <w:rPr>
          <w:rFonts w:asciiTheme="minorHAnsi" w:hAnsiTheme="minorHAnsi" w:cstheme="minorHAnsi"/>
          <w:u w:val="single"/>
        </w:rPr>
      </w:pPr>
    </w:p>
    <w:p w14:paraId="5EA0AAD5" w14:textId="26464178" w:rsidR="00356C8B" w:rsidRPr="00FD69C1" w:rsidRDefault="00356C8B" w:rsidP="00FD69C1">
      <w:pPr>
        <w:spacing w:line="360" w:lineRule="auto"/>
        <w:jc w:val="both"/>
        <w:rPr>
          <w:rFonts w:asciiTheme="minorHAnsi" w:hAnsiTheme="minorHAnsi" w:cstheme="minorHAnsi"/>
        </w:rPr>
      </w:pPr>
      <w:r w:rsidRPr="00FD69C1">
        <w:rPr>
          <w:rFonts w:asciiTheme="minorHAnsi" w:hAnsiTheme="minorHAnsi" w:cstheme="minorHAnsi"/>
        </w:rPr>
        <w:t xml:space="preserve">School A utilises a </w:t>
      </w:r>
      <w:r w:rsidR="00130CC5" w:rsidRPr="00FD69C1">
        <w:rPr>
          <w:rFonts w:asciiTheme="minorHAnsi" w:hAnsiTheme="minorHAnsi" w:cstheme="minorHAnsi"/>
        </w:rPr>
        <w:t>vigorous</w:t>
      </w:r>
      <w:r w:rsidRPr="00FD69C1">
        <w:rPr>
          <w:rFonts w:asciiTheme="minorHAnsi" w:hAnsiTheme="minorHAnsi" w:cstheme="minorHAnsi"/>
        </w:rPr>
        <w:t xml:space="preserve"> monitoring, evaluation, and review (MER) model to ensure improvement priorities are </w:t>
      </w:r>
      <w:r w:rsidR="00E37B04" w:rsidRPr="00FD69C1">
        <w:rPr>
          <w:rFonts w:asciiTheme="minorHAnsi" w:hAnsiTheme="minorHAnsi" w:cstheme="minorHAnsi"/>
        </w:rPr>
        <w:t>evidently</w:t>
      </w:r>
      <w:r w:rsidRPr="00FD69C1">
        <w:rPr>
          <w:rFonts w:asciiTheme="minorHAnsi" w:hAnsiTheme="minorHAnsi" w:cstheme="minorHAnsi"/>
        </w:rPr>
        <w:t xml:space="preserve"> effective. MER activities encompass learning walks, pupil consultations, progress meetings, assessment analysis, teacher observations, and trend identification. Live MER documents are maintained, with improvement priorities undergoing termly and biannual reviews by the SLT, whil</w:t>
      </w:r>
      <w:r w:rsidR="00E37B04" w:rsidRPr="00FD69C1">
        <w:rPr>
          <w:rFonts w:asciiTheme="minorHAnsi" w:hAnsiTheme="minorHAnsi" w:cstheme="minorHAnsi"/>
        </w:rPr>
        <w:t>e</w:t>
      </w:r>
      <w:r w:rsidRPr="00FD69C1">
        <w:rPr>
          <w:rFonts w:asciiTheme="minorHAnsi" w:hAnsiTheme="minorHAnsi" w:cstheme="minorHAnsi"/>
        </w:rPr>
        <w:t xml:space="preserve"> annual reviews by the SLT and governing body ensure continuous improvement. Completed actions, commentary, MER activities (including learning walks and </w:t>
      </w:r>
      <w:r w:rsidR="00656B50" w:rsidRPr="00FD69C1">
        <w:rPr>
          <w:rFonts w:asciiTheme="minorHAnsi" w:hAnsiTheme="minorHAnsi" w:cstheme="minorHAnsi"/>
        </w:rPr>
        <w:t>learner</w:t>
      </w:r>
      <w:r w:rsidR="008D68FD" w:rsidRPr="00FD69C1">
        <w:rPr>
          <w:rFonts w:asciiTheme="minorHAnsi" w:hAnsiTheme="minorHAnsi" w:cstheme="minorHAnsi"/>
        </w:rPr>
        <w:t>’s</w:t>
      </w:r>
      <w:r w:rsidRPr="00FD69C1">
        <w:rPr>
          <w:rFonts w:asciiTheme="minorHAnsi" w:hAnsiTheme="minorHAnsi" w:cstheme="minorHAnsi"/>
        </w:rPr>
        <w:t xml:space="preserve"> voice), and evaluative judgements are meticulously documented. </w:t>
      </w:r>
    </w:p>
    <w:p w14:paraId="7E59899E" w14:textId="77777777" w:rsidR="00356C8B" w:rsidRPr="00FD69C1" w:rsidRDefault="00356C8B" w:rsidP="00FD69C1">
      <w:pPr>
        <w:spacing w:line="360" w:lineRule="auto"/>
        <w:jc w:val="both"/>
        <w:rPr>
          <w:rFonts w:asciiTheme="minorHAnsi" w:hAnsiTheme="minorHAnsi" w:cstheme="minorHAnsi"/>
        </w:rPr>
      </w:pPr>
    </w:p>
    <w:p w14:paraId="6FD84134" w14:textId="66F18896" w:rsidR="00356C8B" w:rsidRPr="00FD69C1" w:rsidRDefault="00356C8B" w:rsidP="00FD69C1">
      <w:pPr>
        <w:spacing w:line="360" w:lineRule="auto"/>
        <w:jc w:val="both"/>
        <w:rPr>
          <w:rFonts w:asciiTheme="minorHAnsi" w:hAnsiTheme="minorHAnsi" w:cstheme="minorHAnsi"/>
        </w:rPr>
      </w:pPr>
      <w:r w:rsidRPr="00FD69C1">
        <w:rPr>
          <w:rFonts w:asciiTheme="minorHAnsi" w:hAnsiTheme="minorHAnsi" w:cstheme="minorHAnsi"/>
        </w:rPr>
        <w:t xml:space="preserve">Early indications </w:t>
      </w:r>
      <w:r w:rsidR="00130CC5">
        <w:rPr>
          <w:rFonts w:asciiTheme="minorHAnsi" w:hAnsiTheme="minorHAnsi" w:cstheme="minorHAnsi"/>
        </w:rPr>
        <w:t xml:space="preserve">acknowledged on the MER documents </w:t>
      </w:r>
      <w:r w:rsidRPr="00FD69C1">
        <w:rPr>
          <w:rFonts w:asciiTheme="minorHAnsi" w:hAnsiTheme="minorHAnsi" w:cstheme="minorHAnsi"/>
        </w:rPr>
        <w:t xml:space="preserve">suggest School A's specialist provision and in-reach service are highly effective. Identified learners show exceptional progress. </w:t>
      </w:r>
      <w:r w:rsidR="00E37B04" w:rsidRPr="00FD69C1">
        <w:rPr>
          <w:rFonts w:asciiTheme="minorHAnsi" w:hAnsiTheme="minorHAnsi" w:cstheme="minorHAnsi"/>
        </w:rPr>
        <w:t xml:space="preserve">External validation comes from visiting outreach specialists, with one commending it as best practice in a mainstream setting. While further data analysis is pending, it will include attendance monitoring in alternative provision sessions, progress tracking using baseline assessments, and data from SELFIE and Motional assessments. </w:t>
      </w:r>
      <w:r w:rsidRPr="00FD69C1">
        <w:rPr>
          <w:rFonts w:asciiTheme="minorHAnsi" w:hAnsiTheme="minorHAnsi" w:cstheme="minorHAnsi"/>
        </w:rPr>
        <w:t xml:space="preserve">However, critical data analysis is required to determine if this progress is directly </w:t>
      </w:r>
      <w:r w:rsidR="00E37B04" w:rsidRPr="00FD69C1">
        <w:rPr>
          <w:rFonts w:asciiTheme="minorHAnsi" w:hAnsiTheme="minorHAnsi" w:cstheme="minorHAnsi"/>
        </w:rPr>
        <w:t xml:space="preserve">associated </w:t>
      </w:r>
      <w:r w:rsidRPr="00FD69C1">
        <w:rPr>
          <w:rFonts w:asciiTheme="minorHAnsi" w:hAnsiTheme="minorHAnsi" w:cstheme="minorHAnsi"/>
        </w:rPr>
        <w:t xml:space="preserve">to the specialist provision and in-reach service, or if other factors are contributing such as improved support from parents at home. </w:t>
      </w:r>
      <w:r w:rsidR="00E37B04" w:rsidRPr="00FD69C1">
        <w:rPr>
          <w:rFonts w:asciiTheme="minorHAnsi" w:hAnsiTheme="minorHAnsi" w:cstheme="minorHAnsi"/>
        </w:rPr>
        <w:t xml:space="preserve">The school could evaluate the cost-effectiveness of implemented strategies using the MER process to ensure optimal results within resource constraints. </w:t>
      </w:r>
      <w:r w:rsidRPr="00FD69C1">
        <w:rPr>
          <w:rFonts w:asciiTheme="minorHAnsi" w:hAnsiTheme="minorHAnsi" w:cstheme="minorHAnsi"/>
        </w:rPr>
        <w:t xml:space="preserve">This comprehensive data </w:t>
      </w:r>
      <w:r w:rsidR="00E37B04" w:rsidRPr="00FD69C1">
        <w:rPr>
          <w:rFonts w:asciiTheme="minorHAnsi" w:hAnsiTheme="minorHAnsi" w:cstheme="minorHAnsi"/>
        </w:rPr>
        <w:t>collection</w:t>
      </w:r>
      <w:r w:rsidRPr="00FD69C1">
        <w:rPr>
          <w:rFonts w:asciiTheme="minorHAnsi" w:hAnsiTheme="minorHAnsi" w:cstheme="minorHAnsi"/>
        </w:rPr>
        <w:t xml:space="preserve"> </w:t>
      </w:r>
      <w:r w:rsidR="00E37B04" w:rsidRPr="00FD69C1">
        <w:rPr>
          <w:rFonts w:asciiTheme="minorHAnsi" w:hAnsiTheme="minorHAnsi" w:cstheme="minorHAnsi"/>
        </w:rPr>
        <w:t>could</w:t>
      </w:r>
      <w:r w:rsidRPr="00FD69C1">
        <w:rPr>
          <w:rFonts w:asciiTheme="minorHAnsi" w:hAnsiTheme="minorHAnsi" w:cstheme="minorHAnsi"/>
        </w:rPr>
        <w:t xml:space="preserve"> be instrumental in measuring the impact of support for SEBD learners, informing subsequent SDP reviews and future planning.</w:t>
      </w:r>
    </w:p>
    <w:p w14:paraId="3ED6E92F" w14:textId="77777777" w:rsidR="00C37C56" w:rsidRPr="00FD69C1" w:rsidRDefault="00C37C56" w:rsidP="00FD69C1">
      <w:pPr>
        <w:spacing w:line="360" w:lineRule="auto"/>
        <w:jc w:val="both"/>
        <w:rPr>
          <w:rFonts w:asciiTheme="minorHAnsi" w:hAnsiTheme="minorHAnsi" w:cstheme="minorHAnsi"/>
        </w:rPr>
      </w:pPr>
    </w:p>
    <w:p w14:paraId="3CE14EB1" w14:textId="0F85DE1F" w:rsidR="006E114E" w:rsidRPr="00FD69C1" w:rsidRDefault="006E114E" w:rsidP="00FD69C1">
      <w:pPr>
        <w:spacing w:line="360" w:lineRule="auto"/>
        <w:jc w:val="both"/>
        <w:rPr>
          <w:rFonts w:asciiTheme="minorHAnsi" w:hAnsiTheme="minorHAnsi" w:cstheme="minorHAnsi"/>
          <w:u w:val="single"/>
        </w:rPr>
      </w:pPr>
      <w:r w:rsidRPr="00FD69C1">
        <w:rPr>
          <w:rFonts w:asciiTheme="minorHAnsi" w:hAnsiTheme="minorHAnsi" w:cstheme="minorHAnsi"/>
          <w:u w:val="single"/>
        </w:rPr>
        <w:t xml:space="preserve">Reflection and Evaluation </w:t>
      </w:r>
    </w:p>
    <w:p w14:paraId="40DD853F" w14:textId="0E75D37D" w:rsidR="00A122FB" w:rsidRPr="00FD69C1" w:rsidRDefault="00A122FB" w:rsidP="00FD69C1">
      <w:pPr>
        <w:spacing w:line="360" w:lineRule="auto"/>
        <w:jc w:val="both"/>
        <w:rPr>
          <w:rFonts w:asciiTheme="minorHAnsi" w:hAnsiTheme="minorHAnsi" w:cstheme="minorHAnsi"/>
          <w:color w:val="000000" w:themeColor="text1"/>
        </w:rPr>
      </w:pPr>
      <w:r w:rsidRPr="00FD69C1">
        <w:rPr>
          <w:rFonts w:asciiTheme="minorHAnsi" w:hAnsiTheme="minorHAnsi" w:cstheme="minorHAnsi"/>
          <w:color w:val="000000" w:themeColor="text1"/>
        </w:rPr>
        <w:t>Using assessment data alongside teacher observations in School A provided a valuable, well-rounded view of students needing support. However, the well-being assessment methods had limitations. SELFIE</w:t>
      </w:r>
      <w:r w:rsidR="00FD69C1">
        <w:rPr>
          <w:rFonts w:asciiTheme="minorHAnsi" w:hAnsiTheme="minorHAnsi" w:cstheme="minorHAnsi"/>
          <w:color w:val="000000" w:themeColor="text1"/>
        </w:rPr>
        <w:t xml:space="preserve"> well-being</w:t>
      </w:r>
      <w:r w:rsidRPr="00FD69C1">
        <w:rPr>
          <w:rFonts w:asciiTheme="minorHAnsi" w:hAnsiTheme="minorHAnsi" w:cstheme="minorHAnsi"/>
          <w:color w:val="000000" w:themeColor="text1"/>
        </w:rPr>
        <w:t xml:space="preserve"> assessments, completed </w:t>
      </w:r>
      <w:r w:rsidR="00FD69C1">
        <w:rPr>
          <w:rFonts w:asciiTheme="minorHAnsi" w:hAnsiTheme="minorHAnsi" w:cstheme="minorHAnsi"/>
          <w:color w:val="000000" w:themeColor="text1"/>
        </w:rPr>
        <w:t>biannually</w:t>
      </w:r>
      <w:r w:rsidRPr="00FD69C1">
        <w:rPr>
          <w:rFonts w:asciiTheme="minorHAnsi" w:hAnsiTheme="minorHAnsi" w:cstheme="minorHAnsi"/>
          <w:color w:val="000000" w:themeColor="text1"/>
        </w:rPr>
        <w:t>, offered a limited snapshot, potentially missing crucial changes in student well-being. Similarly, Motion</w:t>
      </w:r>
      <w:r w:rsidR="00195135" w:rsidRPr="00FD69C1">
        <w:rPr>
          <w:rFonts w:asciiTheme="minorHAnsi" w:hAnsiTheme="minorHAnsi" w:cstheme="minorHAnsi"/>
          <w:color w:val="000000" w:themeColor="text1"/>
        </w:rPr>
        <w:t>al assessments primarily focus</w:t>
      </w:r>
      <w:r w:rsidRPr="00FD69C1">
        <w:rPr>
          <w:rFonts w:asciiTheme="minorHAnsi" w:hAnsiTheme="minorHAnsi" w:cstheme="minorHAnsi"/>
          <w:color w:val="000000" w:themeColor="text1"/>
        </w:rPr>
        <w:t xml:space="preserve"> on students with existing concerns, potentially overlooking those who internalise their struggles (Leeuw et al., 2018). These limitations may have resulted in </w:t>
      </w:r>
      <w:r w:rsidRPr="00FD69C1">
        <w:rPr>
          <w:rFonts w:asciiTheme="minorHAnsi" w:hAnsiTheme="minorHAnsi" w:cstheme="minorHAnsi"/>
          <w:color w:val="000000" w:themeColor="text1"/>
        </w:rPr>
        <w:lastRenderedPageBreak/>
        <w:t>missed opportunities for early intervention and support. To address these issues, School A could consider implementing more frequent well-being screenings for all learners.</w:t>
      </w:r>
      <w:r w:rsidR="00195135" w:rsidRPr="00FD69C1">
        <w:rPr>
          <w:rFonts w:asciiTheme="minorHAnsi" w:hAnsiTheme="minorHAnsi" w:cstheme="minorHAnsi"/>
          <w:color w:val="000000" w:themeColor="text1"/>
        </w:rPr>
        <w:t xml:space="preserve"> </w:t>
      </w:r>
      <w:r w:rsidRPr="00FD69C1">
        <w:rPr>
          <w:rFonts w:asciiTheme="minorHAnsi" w:hAnsiTheme="minorHAnsi" w:cstheme="minorHAnsi"/>
          <w:color w:val="000000" w:themeColor="text1"/>
        </w:rPr>
        <w:t xml:space="preserve">Additionally, utilising multidimensional assessment tools such as the Good Childhood Index (The Children’s Society, 2010) or the </w:t>
      </w:r>
      <w:r w:rsidR="00130CC5" w:rsidRPr="00FD69C1">
        <w:rPr>
          <w:rFonts w:asciiTheme="minorHAnsi" w:hAnsiTheme="minorHAnsi" w:cstheme="minorHAnsi"/>
        </w:rPr>
        <w:t>SWEMWBS</w:t>
      </w:r>
      <w:r w:rsidRPr="00FD69C1">
        <w:rPr>
          <w:rFonts w:asciiTheme="minorHAnsi" w:hAnsiTheme="minorHAnsi" w:cstheme="minorHAnsi"/>
          <w:color w:val="000000" w:themeColor="text1"/>
        </w:rPr>
        <w:t xml:space="preserve"> (Warwick Medical School, 2007), would provide a broader and more reliable data. set to identify student needs and develop targeted support plans. This would allow School A to identify a wider range of student needs and develop more targeted support.</w:t>
      </w:r>
    </w:p>
    <w:p w14:paraId="617F7694" w14:textId="77777777" w:rsidR="007B6355" w:rsidRPr="00FD69C1" w:rsidRDefault="007B6355" w:rsidP="00FD69C1">
      <w:pPr>
        <w:spacing w:line="360" w:lineRule="auto"/>
        <w:jc w:val="both"/>
        <w:rPr>
          <w:rFonts w:asciiTheme="minorHAnsi" w:hAnsiTheme="minorHAnsi" w:cstheme="minorHAnsi"/>
          <w:color w:val="000000" w:themeColor="text1"/>
        </w:rPr>
      </w:pPr>
    </w:p>
    <w:p w14:paraId="7946A2E6" w14:textId="4CE1DA70" w:rsidR="00110001" w:rsidRPr="00FD69C1" w:rsidRDefault="008C1FE3" w:rsidP="00FD69C1">
      <w:pPr>
        <w:spacing w:line="360" w:lineRule="auto"/>
        <w:jc w:val="both"/>
        <w:rPr>
          <w:rFonts w:asciiTheme="minorHAnsi" w:hAnsiTheme="minorHAnsi" w:cstheme="minorHAnsi"/>
          <w:color w:val="000000" w:themeColor="text1"/>
        </w:rPr>
      </w:pPr>
      <w:r w:rsidRPr="00FD69C1">
        <w:rPr>
          <w:rFonts w:asciiTheme="minorHAnsi" w:hAnsiTheme="minorHAnsi" w:cstheme="minorHAnsi"/>
          <w:color w:val="000000" w:themeColor="text1"/>
        </w:rPr>
        <w:t xml:space="preserve">School A's consultation process with learners, staff, and parents </w:t>
      </w:r>
      <w:r w:rsidR="00FD69C1" w:rsidRPr="00FD69C1">
        <w:rPr>
          <w:rFonts w:asciiTheme="minorHAnsi" w:hAnsiTheme="minorHAnsi" w:cstheme="minorHAnsi"/>
          <w:color w:val="000000" w:themeColor="text1"/>
        </w:rPr>
        <w:t>embodies</w:t>
      </w:r>
      <w:r w:rsidRPr="00FD69C1">
        <w:rPr>
          <w:rFonts w:asciiTheme="minorHAnsi" w:hAnsiTheme="minorHAnsi" w:cstheme="minorHAnsi"/>
          <w:color w:val="000000" w:themeColor="text1"/>
        </w:rPr>
        <w:t xml:space="preserve"> Bronfenbrenner's Ecological Systems Theory (1977). Within the microsystem (school environment), this collaboration fosters a sense of shared ownership and strengthens positive relationships. By working together on a common goal, staff, students, and parents develop a shared vision for supporting learners with SEBD. This collaborative approach aligns with Bronfenbrenner's emphasis on positive interactions within the immediate setting. Furthermore, School A’s consultation process extends beyond the school (mesosystem)</w:t>
      </w:r>
      <w:r w:rsidR="00FD69C1" w:rsidRPr="00FD69C1">
        <w:rPr>
          <w:rFonts w:asciiTheme="minorHAnsi" w:hAnsiTheme="minorHAnsi" w:cstheme="minorHAnsi"/>
          <w:color w:val="000000" w:themeColor="text1"/>
        </w:rPr>
        <w:t xml:space="preserve"> by contacting a local special school for assistance</w:t>
      </w:r>
      <w:r w:rsidRPr="00FD69C1">
        <w:rPr>
          <w:rFonts w:asciiTheme="minorHAnsi" w:hAnsiTheme="minorHAnsi" w:cstheme="minorHAnsi"/>
          <w:color w:val="000000" w:themeColor="text1"/>
        </w:rPr>
        <w:t>.</w:t>
      </w:r>
      <w:r w:rsidR="00B9766B" w:rsidRPr="00FD69C1">
        <w:rPr>
          <w:rFonts w:asciiTheme="minorHAnsi" w:hAnsiTheme="minorHAnsi" w:cstheme="minorHAnsi"/>
          <w:color w:val="000000" w:themeColor="text1"/>
        </w:rPr>
        <w:t xml:space="preserve"> </w:t>
      </w:r>
      <w:r w:rsidR="00110001" w:rsidRPr="00FD69C1">
        <w:rPr>
          <w:rFonts w:asciiTheme="minorHAnsi" w:hAnsiTheme="minorHAnsi" w:cstheme="minorHAnsi"/>
          <w:color w:val="000000" w:themeColor="text1"/>
        </w:rPr>
        <w:t xml:space="preserve">According to Hornby (2011), </w:t>
      </w:r>
      <w:r w:rsidR="00B9766B" w:rsidRPr="00FD69C1">
        <w:rPr>
          <w:rFonts w:asciiTheme="minorHAnsi" w:hAnsiTheme="minorHAnsi" w:cstheme="minorHAnsi"/>
          <w:color w:val="000000" w:themeColor="text1"/>
        </w:rPr>
        <w:t>School A has the potential to strengthen the connection between home and school, creating opportunities for parental involvement that can positively influence the academic outcomes of learners whilst modelling positive relationships</w:t>
      </w:r>
      <w:r w:rsidR="00110001" w:rsidRPr="00FD69C1">
        <w:rPr>
          <w:rFonts w:asciiTheme="minorHAnsi" w:hAnsiTheme="minorHAnsi" w:cstheme="minorHAnsi"/>
          <w:color w:val="000000" w:themeColor="text1"/>
        </w:rPr>
        <w:t xml:space="preserve">. However, Goodall and Montgomery (2014) recognise that there may be various reasons why parents may not be highly involved with the school, but this does not mean they are disinterested in their child’s learning. To further enhance parental involvement, School A could consider creating opportunities for flexible participation. Offering evening meetings or weekend events can better accommodate parents with busy schedules. By acknowledging these challenges and implementing strategies to address them, School A can ensure all stakeholders feel valued and empowered to contribute to the success </w:t>
      </w:r>
      <w:r w:rsidR="00733011" w:rsidRPr="00FD69C1">
        <w:rPr>
          <w:rFonts w:asciiTheme="minorHAnsi" w:hAnsiTheme="minorHAnsi" w:cstheme="minorHAnsi"/>
          <w:color w:val="000000" w:themeColor="text1"/>
        </w:rPr>
        <w:t>of learners.</w:t>
      </w:r>
    </w:p>
    <w:p w14:paraId="3E0F436D" w14:textId="77777777" w:rsidR="008C1FE3" w:rsidRPr="00FD69C1" w:rsidRDefault="008C1FE3" w:rsidP="00FD69C1">
      <w:pPr>
        <w:spacing w:line="360" w:lineRule="auto"/>
        <w:jc w:val="both"/>
        <w:rPr>
          <w:rFonts w:asciiTheme="minorHAnsi" w:hAnsiTheme="minorHAnsi" w:cstheme="minorHAnsi"/>
          <w:color w:val="000000" w:themeColor="text1"/>
        </w:rPr>
      </w:pPr>
    </w:p>
    <w:p w14:paraId="70D4F061" w14:textId="77777777" w:rsidR="0037082A" w:rsidRPr="00FD69C1" w:rsidRDefault="006D0AE3" w:rsidP="00FD69C1">
      <w:pPr>
        <w:spacing w:line="360" w:lineRule="auto"/>
        <w:jc w:val="both"/>
        <w:rPr>
          <w:rFonts w:asciiTheme="minorHAnsi" w:hAnsiTheme="minorHAnsi" w:cstheme="minorHAnsi"/>
          <w:color w:val="000000" w:themeColor="text1"/>
        </w:rPr>
      </w:pPr>
      <w:r w:rsidRPr="00FD69C1">
        <w:rPr>
          <w:rFonts w:asciiTheme="minorHAnsi" w:hAnsiTheme="minorHAnsi" w:cstheme="minorHAnsi"/>
          <w:color w:val="000000" w:themeColor="text1"/>
        </w:rPr>
        <w:t xml:space="preserve">The </w:t>
      </w:r>
      <w:r w:rsidR="00100D2B" w:rsidRPr="00FD69C1">
        <w:rPr>
          <w:rFonts w:asciiTheme="minorHAnsi" w:hAnsiTheme="minorHAnsi" w:cstheme="minorHAnsi"/>
          <w:color w:val="000000" w:themeColor="text1"/>
        </w:rPr>
        <w:t>length</w:t>
      </w:r>
      <w:r w:rsidRPr="00FD69C1">
        <w:rPr>
          <w:rFonts w:asciiTheme="minorHAnsi" w:hAnsiTheme="minorHAnsi" w:cstheme="minorHAnsi"/>
          <w:color w:val="000000" w:themeColor="text1"/>
        </w:rPr>
        <w:t>y</w:t>
      </w:r>
      <w:r w:rsidR="00100D2B" w:rsidRPr="00FD69C1">
        <w:rPr>
          <w:rFonts w:asciiTheme="minorHAnsi" w:hAnsiTheme="minorHAnsi" w:cstheme="minorHAnsi"/>
          <w:color w:val="000000" w:themeColor="text1"/>
        </w:rPr>
        <w:t xml:space="preserve"> wait times for neurodevelopmental assessments</w:t>
      </w:r>
      <w:r w:rsidRPr="00FD69C1">
        <w:rPr>
          <w:rFonts w:asciiTheme="minorHAnsi" w:hAnsiTheme="minorHAnsi" w:cstheme="minorHAnsi"/>
          <w:color w:val="000000" w:themeColor="text1"/>
        </w:rPr>
        <w:t xml:space="preserve"> highlight a national challenge. School A has sought a creative solution </w:t>
      </w:r>
      <w:r w:rsidR="00733011" w:rsidRPr="00FD69C1">
        <w:rPr>
          <w:rFonts w:asciiTheme="minorHAnsi" w:hAnsiTheme="minorHAnsi" w:cstheme="minorHAnsi"/>
          <w:color w:val="000000" w:themeColor="text1"/>
        </w:rPr>
        <w:t>to</w:t>
      </w:r>
      <w:r w:rsidRPr="00FD69C1">
        <w:rPr>
          <w:rFonts w:asciiTheme="minorHAnsi" w:hAnsiTheme="minorHAnsi" w:cstheme="minorHAnsi"/>
          <w:color w:val="000000" w:themeColor="text1"/>
        </w:rPr>
        <w:t xml:space="preserve"> supporting its most vulnerable learners by involving the outreach team and engagement service from a local special school. </w:t>
      </w:r>
      <w:r w:rsidR="00733011" w:rsidRPr="00FD69C1">
        <w:rPr>
          <w:rFonts w:asciiTheme="minorHAnsi" w:hAnsiTheme="minorHAnsi" w:cstheme="minorHAnsi"/>
          <w:color w:val="000000" w:themeColor="text1"/>
        </w:rPr>
        <w:t>B</w:t>
      </w:r>
      <w:r w:rsidR="00100D2B" w:rsidRPr="00FD69C1">
        <w:rPr>
          <w:rFonts w:asciiTheme="minorHAnsi" w:hAnsiTheme="minorHAnsi" w:cstheme="minorHAnsi"/>
          <w:color w:val="000000" w:themeColor="text1"/>
        </w:rPr>
        <w:t xml:space="preserve">y creating an alternative provision that aims to support the needs </w:t>
      </w:r>
      <w:r w:rsidR="0037082A" w:rsidRPr="00FD69C1">
        <w:rPr>
          <w:rFonts w:asciiTheme="minorHAnsi" w:hAnsiTheme="minorHAnsi" w:cstheme="minorHAnsi"/>
          <w:color w:val="000000" w:themeColor="text1"/>
        </w:rPr>
        <w:t xml:space="preserve">of learners </w:t>
      </w:r>
      <w:r w:rsidR="00100D2B" w:rsidRPr="00FD69C1">
        <w:rPr>
          <w:rFonts w:asciiTheme="minorHAnsi" w:hAnsiTheme="minorHAnsi" w:cstheme="minorHAnsi"/>
          <w:color w:val="000000" w:themeColor="text1"/>
        </w:rPr>
        <w:t xml:space="preserve">while awaiting an IDP. This proactive approach will enable learners to cope better in school and </w:t>
      </w:r>
      <w:r w:rsidR="0037082A" w:rsidRPr="00FD69C1">
        <w:rPr>
          <w:rFonts w:asciiTheme="minorHAnsi" w:hAnsiTheme="minorHAnsi" w:cstheme="minorHAnsi"/>
          <w:color w:val="000000" w:themeColor="text1"/>
        </w:rPr>
        <w:t xml:space="preserve">develop social skills, emotional regulation and behaviour management strategies. </w:t>
      </w:r>
      <w:r w:rsidR="00E9435E" w:rsidRPr="00FD69C1">
        <w:rPr>
          <w:rFonts w:asciiTheme="minorHAnsi" w:hAnsiTheme="minorHAnsi" w:cstheme="minorHAnsi"/>
        </w:rPr>
        <w:t xml:space="preserve">Early </w:t>
      </w:r>
      <w:r w:rsidR="00953D05" w:rsidRPr="00FD69C1">
        <w:rPr>
          <w:rFonts w:asciiTheme="minorHAnsi" w:hAnsiTheme="minorHAnsi" w:cstheme="minorHAnsi"/>
        </w:rPr>
        <w:t xml:space="preserve">indications show School </w:t>
      </w:r>
      <w:r w:rsidR="00953D05" w:rsidRPr="00FD69C1">
        <w:rPr>
          <w:rFonts w:asciiTheme="minorHAnsi" w:hAnsiTheme="minorHAnsi" w:cstheme="minorHAnsi"/>
        </w:rPr>
        <w:lastRenderedPageBreak/>
        <w:t>A’s alternative provision approach to be effective</w:t>
      </w:r>
      <w:r w:rsidR="00406BAB" w:rsidRPr="00FD69C1">
        <w:rPr>
          <w:rFonts w:asciiTheme="minorHAnsi" w:hAnsiTheme="minorHAnsi" w:cstheme="minorHAnsi"/>
        </w:rPr>
        <w:t xml:space="preserve"> through improved class attendance</w:t>
      </w:r>
      <w:r w:rsidR="00E9435E" w:rsidRPr="00FD69C1">
        <w:rPr>
          <w:rFonts w:asciiTheme="minorHAnsi" w:hAnsiTheme="minorHAnsi" w:cstheme="minorHAnsi"/>
        </w:rPr>
        <w:t xml:space="preserve"> during morning sessions</w:t>
      </w:r>
      <w:r w:rsidR="00406BAB" w:rsidRPr="00FD69C1">
        <w:rPr>
          <w:rFonts w:asciiTheme="minorHAnsi" w:hAnsiTheme="minorHAnsi" w:cstheme="minorHAnsi"/>
        </w:rPr>
        <w:t xml:space="preserve"> and </w:t>
      </w:r>
      <w:r w:rsidR="00953D05" w:rsidRPr="00FD69C1">
        <w:rPr>
          <w:rFonts w:asciiTheme="minorHAnsi" w:hAnsiTheme="minorHAnsi" w:cstheme="minorHAnsi"/>
        </w:rPr>
        <w:t>declined behaviour incidents of learners with SEBD</w:t>
      </w:r>
      <w:r w:rsidR="00E9435E" w:rsidRPr="00FD69C1">
        <w:rPr>
          <w:rFonts w:asciiTheme="minorHAnsi" w:hAnsiTheme="minorHAnsi" w:cstheme="minorHAnsi"/>
        </w:rPr>
        <w:t xml:space="preserve">, subsequently </w:t>
      </w:r>
      <w:r w:rsidR="007115E0" w:rsidRPr="00FD69C1">
        <w:rPr>
          <w:rFonts w:asciiTheme="minorHAnsi" w:hAnsiTheme="minorHAnsi" w:cstheme="minorHAnsi"/>
        </w:rPr>
        <w:t xml:space="preserve">allowing for a more focused learning environment for all learners. </w:t>
      </w:r>
    </w:p>
    <w:p w14:paraId="27CE26F8" w14:textId="64D96D33" w:rsidR="00A064AB" w:rsidRPr="00FD69C1" w:rsidRDefault="00A064AB" w:rsidP="00FD69C1">
      <w:pPr>
        <w:pStyle w:val="NormalWeb"/>
        <w:spacing w:line="360" w:lineRule="auto"/>
        <w:jc w:val="both"/>
        <w:rPr>
          <w:rFonts w:asciiTheme="minorHAnsi" w:hAnsiTheme="minorHAnsi" w:cstheme="minorHAnsi"/>
        </w:rPr>
      </w:pPr>
      <w:r w:rsidRPr="00FD69C1">
        <w:rPr>
          <w:rFonts w:asciiTheme="minorHAnsi" w:hAnsiTheme="minorHAnsi" w:cstheme="minorHAnsi"/>
        </w:rPr>
        <w:t xml:space="preserve">The development of School A’s alternative provision stemmed from the ongoing time requirements of dealing with incidents of dysregulated behaviour from pupils with significant SEBD. Since implementing the provision School A has noticed a decline in incidents and time required by leadership staff. Consequently, the provision might contribute to a decrease in disruptive behaviours and class disturbances, allowing for a more focused learning environment for all learners. It could be argued, however, </w:t>
      </w:r>
      <w:r w:rsidR="002C622A" w:rsidRPr="00FD69C1">
        <w:rPr>
          <w:rFonts w:asciiTheme="minorHAnsi" w:hAnsiTheme="minorHAnsi" w:cstheme="minorHAnsi"/>
        </w:rPr>
        <w:t xml:space="preserve">that this development priority only focused on </w:t>
      </w:r>
      <w:r w:rsidR="00200D44" w:rsidRPr="00FD69C1">
        <w:rPr>
          <w:rFonts w:asciiTheme="minorHAnsi" w:hAnsiTheme="minorHAnsi" w:cstheme="minorHAnsi"/>
        </w:rPr>
        <w:t xml:space="preserve">learners with </w:t>
      </w:r>
      <w:r w:rsidR="002C622A" w:rsidRPr="00FD69C1">
        <w:rPr>
          <w:rFonts w:asciiTheme="minorHAnsi" w:hAnsiTheme="minorHAnsi" w:cstheme="minorHAnsi"/>
        </w:rPr>
        <w:t xml:space="preserve">significant </w:t>
      </w:r>
      <w:r w:rsidR="00200D44" w:rsidRPr="00FD69C1">
        <w:rPr>
          <w:rFonts w:asciiTheme="minorHAnsi" w:hAnsiTheme="minorHAnsi" w:cstheme="minorHAnsi"/>
        </w:rPr>
        <w:t>SEBD</w:t>
      </w:r>
      <w:r w:rsidR="00130CC5">
        <w:rPr>
          <w:rFonts w:asciiTheme="minorHAnsi" w:hAnsiTheme="minorHAnsi" w:cstheme="minorHAnsi"/>
        </w:rPr>
        <w:t>, whilst individuals</w:t>
      </w:r>
      <w:r w:rsidR="00200D44" w:rsidRPr="00FD69C1">
        <w:rPr>
          <w:rFonts w:asciiTheme="minorHAnsi" w:hAnsiTheme="minorHAnsi" w:cstheme="minorHAnsi"/>
        </w:rPr>
        <w:t xml:space="preserve"> vary grea</w:t>
      </w:r>
      <w:r w:rsidR="002C622A" w:rsidRPr="00FD69C1">
        <w:rPr>
          <w:rFonts w:asciiTheme="minorHAnsi" w:hAnsiTheme="minorHAnsi" w:cstheme="minorHAnsi"/>
        </w:rPr>
        <w:t>tl</w:t>
      </w:r>
      <w:r w:rsidR="00200D44" w:rsidRPr="00FD69C1">
        <w:rPr>
          <w:rFonts w:asciiTheme="minorHAnsi" w:hAnsiTheme="minorHAnsi" w:cstheme="minorHAnsi"/>
        </w:rPr>
        <w:t>y in their</w:t>
      </w:r>
      <w:r w:rsidR="002C622A" w:rsidRPr="00FD69C1">
        <w:rPr>
          <w:rFonts w:asciiTheme="minorHAnsi" w:hAnsiTheme="minorHAnsi" w:cstheme="minorHAnsi"/>
        </w:rPr>
        <w:t xml:space="preserve"> presentation </w:t>
      </w:r>
      <w:r w:rsidRPr="00FD69C1">
        <w:rPr>
          <w:rFonts w:asciiTheme="minorHAnsi" w:hAnsiTheme="minorHAnsi" w:cstheme="minorHAnsi"/>
        </w:rPr>
        <w:t xml:space="preserve">(Leeuw et al., 2018). Therefore, </w:t>
      </w:r>
      <w:r w:rsidR="00200D44" w:rsidRPr="00FD69C1">
        <w:rPr>
          <w:rFonts w:asciiTheme="minorHAnsi" w:hAnsiTheme="minorHAnsi" w:cstheme="minorHAnsi"/>
        </w:rPr>
        <w:t xml:space="preserve">a staggered or staged approach to recognising the needs </w:t>
      </w:r>
      <w:r w:rsidR="00FD69C1">
        <w:rPr>
          <w:rFonts w:asciiTheme="minorHAnsi" w:hAnsiTheme="minorHAnsi" w:cstheme="minorHAnsi"/>
        </w:rPr>
        <w:t>of</w:t>
      </w:r>
      <w:r w:rsidR="00200D44" w:rsidRPr="00FD69C1">
        <w:rPr>
          <w:rFonts w:asciiTheme="minorHAnsi" w:hAnsiTheme="minorHAnsi" w:cstheme="minorHAnsi"/>
        </w:rPr>
        <w:t xml:space="preserve"> all learners with SEBD may be a possible alternative. </w:t>
      </w:r>
    </w:p>
    <w:p w14:paraId="29B70535" w14:textId="5DD11B21" w:rsidR="006E114E" w:rsidRPr="00130CC5" w:rsidRDefault="006E114E" w:rsidP="00FD69C1">
      <w:pPr>
        <w:spacing w:line="360" w:lineRule="auto"/>
        <w:jc w:val="both"/>
        <w:rPr>
          <w:rFonts w:asciiTheme="minorHAnsi" w:hAnsiTheme="minorHAnsi" w:cstheme="minorHAnsi"/>
          <w:u w:val="single"/>
        </w:rPr>
      </w:pPr>
      <w:r w:rsidRPr="00130CC5">
        <w:rPr>
          <w:rFonts w:asciiTheme="minorHAnsi" w:hAnsiTheme="minorHAnsi" w:cstheme="minorHAnsi"/>
          <w:u w:val="single"/>
        </w:rPr>
        <w:t>Conclusion</w:t>
      </w:r>
    </w:p>
    <w:p w14:paraId="78DBAA83" w14:textId="0B96E557" w:rsidR="00144183" w:rsidRPr="00144183" w:rsidRDefault="00144183" w:rsidP="00144183">
      <w:pPr>
        <w:spacing w:line="360" w:lineRule="auto"/>
        <w:jc w:val="both"/>
        <w:rPr>
          <w:rFonts w:asciiTheme="minorHAnsi" w:hAnsiTheme="minorHAnsi" w:cstheme="minorHAnsi"/>
        </w:rPr>
      </w:pPr>
      <w:r w:rsidRPr="00144183">
        <w:rPr>
          <w:rFonts w:asciiTheme="minorHAnsi" w:hAnsiTheme="minorHAnsi" w:cstheme="minorHAnsi"/>
        </w:rPr>
        <w:t xml:space="preserve">This report </w:t>
      </w:r>
      <w:r>
        <w:rPr>
          <w:rFonts w:asciiTheme="minorHAnsi" w:hAnsiTheme="minorHAnsi" w:cstheme="minorHAnsi"/>
        </w:rPr>
        <w:t xml:space="preserve">has </w:t>
      </w:r>
      <w:r w:rsidRPr="00144183">
        <w:rPr>
          <w:rFonts w:asciiTheme="minorHAnsi" w:hAnsiTheme="minorHAnsi" w:cstheme="minorHAnsi"/>
        </w:rPr>
        <w:t>explored how School A</w:t>
      </w:r>
      <w:r>
        <w:rPr>
          <w:rFonts w:asciiTheme="minorHAnsi" w:hAnsiTheme="minorHAnsi" w:cstheme="minorHAnsi"/>
        </w:rPr>
        <w:t xml:space="preserve"> </w:t>
      </w:r>
      <w:r w:rsidRPr="00144183">
        <w:rPr>
          <w:rFonts w:asciiTheme="minorHAnsi" w:hAnsiTheme="minorHAnsi" w:cstheme="minorHAnsi"/>
        </w:rPr>
        <w:t>identified the need to improve their support for learners with SEBD. Their approach aligns with the Welsh Government's School Development Plan (SDP) framework, emphasizing ongoing self-evaluation and improvement for all learners.</w:t>
      </w:r>
      <w:r>
        <w:rPr>
          <w:rFonts w:asciiTheme="minorHAnsi" w:hAnsiTheme="minorHAnsi" w:cstheme="minorHAnsi"/>
        </w:rPr>
        <w:t xml:space="preserve"> </w:t>
      </w:r>
      <w:r w:rsidRPr="00144183">
        <w:rPr>
          <w:rFonts w:asciiTheme="minorHAnsi" w:hAnsiTheme="minorHAnsi" w:cstheme="minorHAnsi"/>
        </w:rPr>
        <w:t>This assignment has deepened my understanding of the importance of a data-driven approach to school improvement, particularly in identifying and supporting learners with specific needs. The emphasis on stakeholder engagement resonates with my belief in fostering collaborative school communities.</w:t>
      </w:r>
    </w:p>
    <w:p w14:paraId="203EF619" w14:textId="77777777" w:rsidR="00144183" w:rsidRDefault="00144183" w:rsidP="00144183">
      <w:pPr>
        <w:spacing w:line="360" w:lineRule="auto"/>
        <w:jc w:val="both"/>
        <w:rPr>
          <w:rFonts w:asciiTheme="minorHAnsi" w:hAnsiTheme="minorHAnsi" w:cstheme="minorHAnsi"/>
        </w:rPr>
      </w:pPr>
    </w:p>
    <w:p w14:paraId="1561F0FE" w14:textId="02BDD454" w:rsidR="00162064" w:rsidRPr="00144183" w:rsidRDefault="00132D7A" w:rsidP="00144183">
      <w:pPr>
        <w:spacing w:line="360" w:lineRule="auto"/>
        <w:jc w:val="both"/>
        <w:rPr>
          <w:rFonts w:asciiTheme="minorHAnsi" w:hAnsiTheme="minorHAnsi" w:cstheme="minorHAnsi"/>
        </w:rPr>
      </w:pPr>
      <w:r>
        <w:rPr>
          <w:rFonts w:asciiTheme="minorHAnsi" w:hAnsiTheme="minorHAnsi" w:cstheme="minorHAnsi"/>
        </w:rPr>
        <w:t xml:space="preserve">I have gained critical experience in understanding how schools collaborate to enhance their students' outcomes. Through conducting the investigation and research presented in this report, I have developed more confidence in my knowledge and ability to support my future school in implementing effective self-evaluation processes. As an educator and fellow stakeholder, I plan to facilitate collaboration among school staff, parents, and the wider community to enable continuous improvement. The learning experiences from this report have developed my understanding and contributions towards the “supporting formal leadership roles” strand within the leadership standard and “supporting and developing </w:t>
      </w:r>
      <w:r>
        <w:rPr>
          <w:rFonts w:asciiTheme="minorHAnsi" w:hAnsiTheme="minorHAnsi" w:cstheme="minorHAnsi"/>
        </w:rPr>
        <w:lastRenderedPageBreak/>
        <w:t>others” in the collaboration standard as outlined in the Professional Standards for Teaching and Leaderhsip (Welsh Governement, 2019).</w:t>
      </w:r>
    </w:p>
    <w:p w14:paraId="2D71009F" w14:textId="77777777" w:rsidR="00162064" w:rsidRPr="00FD69C1" w:rsidRDefault="00162064" w:rsidP="00FD69C1">
      <w:pPr>
        <w:spacing w:line="360" w:lineRule="auto"/>
        <w:rPr>
          <w:rFonts w:asciiTheme="minorHAnsi" w:hAnsiTheme="minorHAnsi" w:cstheme="minorHAnsi"/>
          <w:color w:val="FF0000"/>
        </w:rPr>
      </w:pPr>
    </w:p>
    <w:p w14:paraId="4DC69AF4" w14:textId="636AC1AD" w:rsidR="00CC6E4E" w:rsidRPr="00CC6E4E" w:rsidRDefault="00CC6E4E" w:rsidP="00CC6E4E">
      <w:pPr>
        <w:spacing w:line="360" w:lineRule="auto"/>
        <w:jc w:val="both"/>
        <w:rPr>
          <w:rFonts w:asciiTheme="minorHAnsi" w:hAnsiTheme="minorHAnsi" w:cstheme="minorHAnsi"/>
          <w:u w:val="single"/>
        </w:rPr>
      </w:pPr>
      <w:r w:rsidRPr="00CC6E4E">
        <w:rPr>
          <w:rFonts w:asciiTheme="minorHAnsi" w:hAnsiTheme="minorHAnsi" w:cstheme="minorHAnsi"/>
          <w:u w:val="single"/>
        </w:rPr>
        <w:t>References</w:t>
      </w:r>
    </w:p>
    <w:p w14:paraId="6A9D5344" w14:textId="77777777" w:rsidR="00CC6E4E" w:rsidRDefault="00CC6E4E" w:rsidP="00CC6E4E">
      <w:pPr>
        <w:spacing w:line="360" w:lineRule="auto"/>
        <w:jc w:val="both"/>
        <w:rPr>
          <w:rFonts w:asciiTheme="minorHAnsi" w:hAnsiTheme="minorHAnsi" w:cstheme="minorHAnsi"/>
        </w:rPr>
      </w:pPr>
    </w:p>
    <w:p w14:paraId="457A5BA5" w14:textId="57336B04" w:rsidR="00CC6E4E" w:rsidRPr="00CC6E4E" w:rsidRDefault="00CC6E4E" w:rsidP="00CC6E4E">
      <w:pPr>
        <w:spacing w:line="360" w:lineRule="auto"/>
        <w:jc w:val="both"/>
        <w:rPr>
          <w:rFonts w:asciiTheme="minorHAnsi" w:hAnsiTheme="minorHAnsi" w:cstheme="minorHAnsi"/>
        </w:rPr>
      </w:pPr>
      <w:r w:rsidRPr="00CC6E4E">
        <w:rPr>
          <w:rFonts w:asciiTheme="minorHAnsi" w:hAnsiTheme="minorHAnsi" w:cstheme="minorHAnsi"/>
        </w:rPr>
        <w:t xml:space="preserve">BERA (2018) </w:t>
      </w:r>
      <w:r w:rsidRPr="00CC6E4E">
        <w:rPr>
          <w:rFonts w:asciiTheme="minorHAnsi" w:hAnsiTheme="minorHAnsi" w:cstheme="minorHAnsi"/>
          <w:i/>
          <w:iCs/>
        </w:rPr>
        <w:t xml:space="preserve">Ethical Guidelines for Educational Research. </w:t>
      </w:r>
      <w:r w:rsidRPr="00CC6E4E">
        <w:rPr>
          <w:rFonts w:asciiTheme="minorHAnsi" w:hAnsiTheme="minorHAnsi" w:cstheme="minorHAnsi"/>
        </w:rPr>
        <w:t>(4edn)</w:t>
      </w:r>
      <w:r w:rsidRPr="00CC6E4E">
        <w:rPr>
          <w:rFonts w:asciiTheme="minorHAnsi" w:hAnsiTheme="minorHAnsi" w:cstheme="minorHAnsi"/>
          <w:i/>
          <w:iCs/>
        </w:rPr>
        <w:t xml:space="preserve"> </w:t>
      </w:r>
      <w:r w:rsidRPr="00CC6E4E">
        <w:rPr>
          <w:rFonts w:asciiTheme="minorHAnsi" w:hAnsiTheme="minorHAnsi" w:cstheme="minorHAnsi"/>
        </w:rPr>
        <w:t>London: BERA</w:t>
      </w:r>
    </w:p>
    <w:p w14:paraId="021AA8C7" w14:textId="77777777" w:rsidR="00CC6E4E" w:rsidRPr="00CC6E4E" w:rsidRDefault="00CC6E4E" w:rsidP="00CC6E4E">
      <w:pPr>
        <w:pStyle w:val="Heading1"/>
        <w:rPr>
          <w:rFonts w:ascii="Open Sans" w:hAnsi="Open Sans" w:cs="Open Sans"/>
          <w:color w:val="auto"/>
        </w:rPr>
      </w:pPr>
      <w:r w:rsidRPr="00CC6E4E">
        <w:rPr>
          <w:rFonts w:asciiTheme="minorHAnsi" w:hAnsiTheme="minorHAnsi" w:cstheme="minorHAnsi"/>
          <w:color w:val="auto"/>
          <w:sz w:val="24"/>
          <w:szCs w:val="24"/>
        </w:rPr>
        <w:t xml:space="preserve">Caslin, M (2021)‘They have just given up on me’ How pupils labelled with social, emotional and behavioural difficulties (SEBD) experience the process of exclusion from school’. Support for Learning. V36:1 pp.116-132. </w:t>
      </w:r>
    </w:p>
    <w:p w14:paraId="53C999FB" w14:textId="77777777" w:rsidR="00CC6E4E" w:rsidRPr="00CC6E4E" w:rsidRDefault="00CC6E4E" w:rsidP="00CC6E4E">
      <w:pPr>
        <w:spacing w:line="360" w:lineRule="auto"/>
        <w:jc w:val="both"/>
        <w:rPr>
          <w:rFonts w:asciiTheme="minorHAnsi" w:hAnsiTheme="minorHAnsi" w:cstheme="minorHAnsi"/>
        </w:rPr>
      </w:pPr>
      <w:r w:rsidRPr="00CC6E4E">
        <w:rPr>
          <w:rFonts w:asciiTheme="minorHAnsi" w:hAnsiTheme="minorHAnsi" w:cstheme="minorHAnsi"/>
        </w:rPr>
        <w:t xml:space="preserve">Chapman, C. and Sammons, P. (2013) </w:t>
      </w:r>
      <w:r w:rsidRPr="00CC6E4E">
        <w:rPr>
          <w:rFonts w:asciiTheme="minorHAnsi" w:hAnsiTheme="minorHAnsi" w:cstheme="minorHAnsi"/>
          <w:i/>
          <w:iCs/>
        </w:rPr>
        <w:t xml:space="preserve">School Self-Evaluation for School Improvement: What Works and Why? </w:t>
      </w:r>
      <w:r w:rsidRPr="00CC6E4E">
        <w:rPr>
          <w:rFonts w:asciiTheme="minorHAnsi" w:hAnsiTheme="minorHAnsi" w:cstheme="minorHAnsi"/>
        </w:rPr>
        <w:t>Berkshire: CfBT Education Trust</w:t>
      </w:r>
    </w:p>
    <w:p w14:paraId="78251B28" w14:textId="77777777" w:rsidR="00CC6E4E" w:rsidRPr="00CC6E4E" w:rsidRDefault="00CC6E4E" w:rsidP="00CC6E4E">
      <w:pPr>
        <w:spacing w:line="360" w:lineRule="auto"/>
        <w:jc w:val="both"/>
        <w:rPr>
          <w:rFonts w:asciiTheme="minorHAnsi" w:hAnsiTheme="minorHAnsi" w:cstheme="minorHAnsi"/>
        </w:rPr>
      </w:pPr>
    </w:p>
    <w:p w14:paraId="428FD0BB" w14:textId="77777777" w:rsidR="00CC6E4E" w:rsidRPr="00CC6E4E" w:rsidRDefault="00CC6E4E" w:rsidP="00CC6E4E">
      <w:pPr>
        <w:spacing w:line="360" w:lineRule="auto"/>
        <w:jc w:val="both"/>
        <w:rPr>
          <w:rFonts w:asciiTheme="minorHAnsi" w:hAnsiTheme="minorHAnsi" w:cstheme="minorHAnsi"/>
        </w:rPr>
      </w:pPr>
      <w:r w:rsidRPr="00CC6E4E">
        <w:rPr>
          <w:rFonts w:asciiTheme="minorHAnsi" w:hAnsiTheme="minorHAnsi" w:cstheme="minorHAnsi"/>
        </w:rPr>
        <w:t xml:space="preserve">Children’s Commissioner for Wales (2020) </w:t>
      </w:r>
      <w:r w:rsidRPr="00CC6E4E">
        <w:rPr>
          <w:rFonts w:asciiTheme="minorHAnsi" w:hAnsiTheme="minorHAnsi" w:cstheme="minorHAnsi"/>
          <w:i/>
          <w:iCs/>
        </w:rPr>
        <w:t xml:space="preserve">No Wrong Door Approach to Neurodiversity: a Book of Experiences. </w:t>
      </w:r>
      <w:r w:rsidRPr="00CC6E4E">
        <w:rPr>
          <w:rFonts w:asciiTheme="minorHAnsi" w:hAnsiTheme="minorHAnsi" w:cstheme="minorHAnsi"/>
        </w:rPr>
        <w:t xml:space="preserve">Available at: </w:t>
      </w:r>
      <w:hyperlink r:id="rId5" w:history="1">
        <w:r w:rsidRPr="00CC6E4E">
          <w:rPr>
            <w:rStyle w:val="Hyperlink"/>
            <w:rFonts w:asciiTheme="minorHAnsi" w:hAnsiTheme="minorHAnsi" w:cstheme="minorHAnsi"/>
            <w:color w:val="auto"/>
          </w:rPr>
          <w:t>https://www.childcomwales.org.uk/wp-content/uploads/2023/03/A-No-Wrong-Door-Approach-to-Neurodiversity-.pdf</w:t>
        </w:r>
      </w:hyperlink>
      <w:r w:rsidRPr="00CC6E4E">
        <w:rPr>
          <w:rFonts w:asciiTheme="minorHAnsi" w:hAnsiTheme="minorHAnsi" w:cstheme="minorHAnsi"/>
        </w:rPr>
        <w:t xml:space="preserve"> (Accessed on: 2 March 2024)</w:t>
      </w:r>
    </w:p>
    <w:p w14:paraId="224771DF" w14:textId="77777777" w:rsidR="00CC6E4E" w:rsidRPr="00CC6E4E" w:rsidRDefault="00CC6E4E" w:rsidP="00CC6E4E">
      <w:pPr>
        <w:pStyle w:val="NormalWeb"/>
        <w:spacing w:before="360" w:beforeAutospacing="0" w:after="360" w:afterAutospacing="0" w:line="360" w:lineRule="auto"/>
        <w:jc w:val="both"/>
        <w:rPr>
          <w:rFonts w:asciiTheme="minorHAnsi" w:hAnsiTheme="minorHAnsi" w:cstheme="minorHAnsi"/>
        </w:rPr>
      </w:pPr>
      <w:r w:rsidRPr="00CC6E4E">
        <w:rPr>
          <w:rFonts w:asciiTheme="minorHAnsi" w:hAnsiTheme="minorHAnsi" w:cstheme="minorHAnsi"/>
        </w:rPr>
        <w:t xml:space="preserve">Cooper, P. (2010) ‘Social, Emotional and Behavioural Difficulties in Young People: The Challenge for Policy Makers’. </w:t>
      </w:r>
      <w:r w:rsidRPr="00CC6E4E">
        <w:rPr>
          <w:rFonts w:asciiTheme="minorHAnsi" w:hAnsiTheme="minorHAnsi" w:cstheme="minorHAnsi"/>
          <w:i/>
          <w:iCs/>
        </w:rPr>
        <w:t>The International Journal of Emotional Education</w:t>
      </w:r>
      <w:r w:rsidRPr="00CC6E4E">
        <w:rPr>
          <w:rFonts w:asciiTheme="minorHAnsi" w:hAnsiTheme="minorHAnsi" w:cstheme="minorHAnsi"/>
        </w:rPr>
        <w:t>. V2:1 pp.4-16 https://www.um.edu.mt/library/oar/bitstream/123456789/6103/1/ENSECV2I1P1.pdf</w:t>
      </w:r>
    </w:p>
    <w:p w14:paraId="29E84CFB" w14:textId="77777777" w:rsidR="00CC6E4E" w:rsidRPr="00CC6E4E" w:rsidRDefault="00CC6E4E" w:rsidP="00CC6E4E">
      <w:pPr>
        <w:spacing w:line="360" w:lineRule="auto"/>
        <w:jc w:val="both"/>
        <w:rPr>
          <w:rFonts w:asciiTheme="minorHAnsi" w:hAnsiTheme="minorHAnsi" w:cstheme="minorHAnsi"/>
        </w:rPr>
      </w:pPr>
      <w:r w:rsidRPr="00CC6E4E">
        <w:rPr>
          <w:rFonts w:asciiTheme="minorHAnsi" w:hAnsiTheme="minorHAnsi" w:cstheme="minorHAnsi"/>
        </w:rPr>
        <w:t xml:space="preserve">Earley, P. and Weindling, D (2004) </w:t>
      </w:r>
      <w:r w:rsidRPr="00CC6E4E">
        <w:rPr>
          <w:rFonts w:asciiTheme="minorHAnsi" w:hAnsiTheme="minorHAnsi" w:cstheme="minorHAnsi"/>
          <w:i/>
          <w:iCs/>
        </w:rPr>
        <w:t xml:space="preserve">Understanding School Leadership. </w:t>
      </w:r>
      <w:r w:rsidRPr="00CC6E4E">
        <w:rPr>
          <w:rFonts w:asciiTheme="minorHAnsi" w:hAnsiTheme="minorHAnsi" w:cstheme="minorHAnsi"/>
        </w:rPr>
        <w:t>London: Paul Chapman Publishing</w:t>
      </w:r>
    </w:p>
    <w:p w14:paraId="4FDE1246" w14:textId="77777777" w:rsidR="00CC6E4E" w:rsidRPr="00CC6E4E" w:rsidRDefault="00CC6E4E" w:rsidP="00CC6E4E">
      <w:pPr>
        <w:spacing w:line="360" w:lineRule="auto"/>
        <w:jc w:val="both"/>
        <w:rPr>
          <w:rFonts w:asciiTheme="minorHAnsi" w:hAnsiTheme="minorHAnsi" w:cstheme="minorHAnsi"/>
        </w:rPr>
      </w:pPr>
    </w:p>
    <w:p w14:paraId="156FE026" w14:textId="77777777" w:rsidR="00CC6E4E" w:rsidRPr="00CC6E4E" w:rsidRDefault="00CC6E4E" w:rsidP="00CC6E4E">
      <w:pPr>
        <w:spacing w:line="360" w:lineRule="auto"/>
        <w:jc w:val="both"/>
        <w:rPr>
          <w:rFonts w:asciiTheme="minorHAnsi" w:hAnsiTheme="minorHAnsi" w:cstheme="minorHAnsi"/>
        </w:rPr>
      </w:pPr>
      <w:r w:rsidRPr="00CC6E4E">
        <w:rPr>
          <w:rFonts w:asciiTheme="minorHAnsi" w:hAnsiTheme="minorHAnsi" w:cstheme="minorHAnsi"/>
        </w:rPr>
        <w:t xml:space="preserve">EEF (2019) </w:t>
      </w:r>
      <w:r w:rsidRPr="00CC6E4E">
        <w:rPr>
          <w:rFonts w:asciiTheme="minorHAnsi" w:hAnsiTheme="minorHAnsi" w:cstheme="minorHAnsi"/>
          <w:i/>
          <w:iCs/>
        </w:rPr>
        <w:t>Putting Evidence to Work: A School’s Guide to Implementation: Guidance Report.</w:t>
      </w:r>
      <w:r w:rsidRPr="00CC6E4E">
        <w:rPr>
          <w:rFonts w:asciiTheme="minorHAnsi" w:hAnsiTheme="minorHAnsi" w:cstheme="minorHAnsi"/>
        </w:rPr>
        <w:t xml:space="preserve"> London: EEF</w:t>
      </w:r>
    </w:p>
    <w:p w14:paraId="7FF6C7AD" w14:textId="77777777" w:rsidR="00CC6E4E" w:rsidRPr="00CC6E4E" w:rsidRDefault="00CC6E4E" w:rsidP="00CC6E4E">
      <w:pPr>
        <w:spacing w:line="360" w:lineRule="auto"/>
        <w:jc w:val="both"/>
        <w:rPr>
          <w:rFonts w:asciiTheme="minorHAnsi" w:hAnsiTheme="minorHAnsi" w:cstheme="minorHAnsi"/>
        </w:rPr>
      </w:pPr>
    </w:p>
    <w:p w14:paraId="395728B1" w14:textId="77777777" w:rsidR="00CC6E4E" w:rsidRPr="00CC6E4E" w:rsidRDefault="00CC6E4E" w:rsidP="00CC6E4E">
      <w:pPr>
        <w:spacing w:line="360" w:lineRule="auto"/>
        <w:jc w:val="both"/>
        <w:rPr>
          <w:rFonts w:asciiTheme="minorHAnsi" w:hAnsiTheme="minorHAnsi" w:cstheme="minorHAnsi"/>
        </w:rPr>
      </w:pPr>
      <w:r w:rsidRPr="00CC6E4E">
        <w:rPr>
          <w:rFonts w:asciiTheme="minorHAnsi" w:hAnsiTheme="minorHAnsi" w:cstheme="minorHAnsi"/>
        </w:rPr>
        <w:t xml:space="preserve">EEF (2021) </w:t>
      </w:r>
      <w:r w:rsidRPr="00CC6E4E">
        <w:rPr>
          <w:rFonts w:asciiTheme="minorHAnsi" w:hAnsiTheme="minorHAnsi" w:cstheme="minorHAnsi"/>
          <w:i/>
          <w:iCs/>
        </w:rPr>
        <w:t xml:space="preserve">Special Educational Needs in Mainstream Schools: Guidance Report. </w:t>
      </w:r>
      <w:r w:rsidRPr="00CC6E4E">
        <w:rPr>
          <w:rFonts w:asciiTheme="minorHAnsi" w:hAnsiTheme="minorHAnsi" w:cstheme="minorHAnsi"/>
        </w:rPr>
        <w:t xml:space="preserve">Available at: </w:t>
      </w:r>
      <w:hyperlink r:id="rId6" w:history="1">
        <w:r w:rsidRPr="00CC6E4E">
          <w:rPr>
            <w:rStyle w:val="Hyperlink"/>
            <w:rFonts w:asciiTheme="minorHAnsi" w:hAnsiTheme="minorHAnsi" w:cstheme="minorHAnsi"/>
            <w:color w:val="auto"/>
          </w:rPr>
          <w:t>https://d2tic4wvo1iusb.cloudfront.net/production/eef-guidance-reports/send/EEF_Special_Educational_Needs_in_Mainstream_Schools_Guidance_Report.pdf?v=1709502418</w:t>
        </w:r>
      </w:hyperlink>
      <w:r w:rsidRPr="00CC6E4E">
        <w:rPr>
          <w:rFonts w:asciiTheme="minorHAnsi" w:hAnsiTheme="minorHAnsi" w:cstheme="minorHAnsi"/>
        </w:rPr>
        <w:t xml:space="preserve"> (Accessed on: 3 March 2024)</w:t>
      </w:r>
    </w:p>
    <w:p w14:paraId="5FC0D70E" w14:textId="77777777" w:rsidR="00CC6E4E" w:rsidRPr="00CC6E4E" w:rsidRDefault="00CC6E4E" w:rsidP="00CC6E4E">
      <w:pPr>
        <w:spacing w:line="360" w:lineRule="auto"/>
        <w:jc w:val="both"/>
        <w:rPr>
          <w:rFonts w:asciiTheme="minorHAnsi" w:hAnsiTheme="minorHAnsi" w:cstheme="minorHAnsi"/>
        </w:rPr>
      </w:pPr>
    </w:p>
    <w:p w14:paraId="04071C3E" w14:textId="77777777" w:rsidR="00CC6E4E" w:rsidRPr="00CC6E4E" w:rsidRDefault="00CC6E4E" w:rsidP="00CC6E4E">
      <w:pPr>
        <w:spacing w:line="360" w:lineRule="auto"/>
        <w:jc w:val="both"/>
        <w:rPr>
          <w:rFonts w:asciiTheme="minorHAnsi" w:hAnsiTheme="minorHAnsi" w:cstheme="minorHAnsi"/>
        </w:rPr>
      </w:pPr>
      <w:r w:rsidRPr="00CC6E4E">
        <w:rPr>
          <w:rFonts w:asciiTheme="minorHAnsi" w:hAnsiTheme="minorHAnsi" w:cstheme="minorHAnsi"/>
        </w:rPr>
        <w:lastRenderedPageBreak/>
        <w:t xml:space="preserve">EEF (2021) </w:t>
      </w:r>
      <w:r w:rsidRPr="00CC6E4E">
        <w:rPr>
          <w:rFonts w:asciiTheme="minorHAnsi" w:hAnsiTheme="minorHAnsi" w:cstheme="minorHAnsi"/>
          <w:i/>
          <w:iCs/>
        </w:rPr>
        <w:t>Social and Emotional Learning</w:t>
      </w:r>
      <w:r w:rsidRPr="00CC6E4E">
        <w:rPr>
          <w:rFonts w:asciiTheme="minorHAnsi" w:hAnsiTheme="minorHAnsi" w:cstheme="minorHAnsi"/>
        </w:rPr>
        <w:t xml:space="preserve">. Available at: </w:t>
      </w:r>
      <w:hyperlink r:id="rId7" w:history="1">
        <w:r w:rsidRPr="00CC6E4E">
          <w:rPr>
            <w:rStyle w:val="Hyperlink"/>
            <w:rFonts w:asciiTheme="minorHAnsi" w:hAnsiTheme="minorHAnsi" w:cstheme="minorHAnsi"/>
            <w:color w:val="auto"/>
          </w:rPr>
          <w:t>https://educationendowmentfoundation.org.uk/education-evidence/teaching-learning-toolkit/social-and-emotional-l</w:t>
        </w:r>
        <w:r w:rsidRPr="00CC6E4E">
          <w:rPr>
            <w:rStyle w:val="Hyperlink"/>
            <w:rFonts w:asciiTheme="minorHAnsi" w:hAnsiTheme="minorHAnsi" w:cstheme="minorHAnsi"/>
            <w:color w:val="auto"/>
          </w:rPr>
          <w:t>e</w:t>
        </w:r>
        <w:r w:rsidRPr="00CC6E4E">
          <w:rPr>
            <w:rStyle w:val="Hyperlink"/>
            <w:rFonts w:asciiTheme="minorHAnsi" w:hAnsiTheme="minorHAnsi" w:cstheme="minorHAnsi"/>
            <w:color w:val="auto"/>
          </w:rPr>
          <w:t>arning</w:t>
        </w:r>
      </w:hyperlink>
      <w:r w:rsidRPr="00CC6E4E">
        <w:rPr>
          <w:rFonts w:asciiTheme="minorHAnsi" w:hAnsiTheme="minorHAnsi" w:cstheme="minorHAnsi"/>
        </w:rPr>
        <w:t xml:space="preserve"> (Accessed on: 3 March 2024)</w:t>
      </w:r>
    </w:p>
    <w:p w14:paraId="1FD31612" w14:textId="77777777" w:rsidR="00CC6E4E" w:rsidRPr="00CC6E4E" w:rsidRDefault="00CC6E4E" w:rsidP="00CC6E4E">
      <w:pPr>
        <w:spacing w:line="360" w:lineRule="auto"/>
        <w:jc w:val="both"/>
        <w:rPr>
          <w:rFonts w:asciiTheme="minorHAnsi" w:hAnsiTheme="minorHAnsi" w:cstheme="minorHAnsi"/>
        </w:rPr>
      </w:pPr>
    </w:p>
    <w:p w14:paraId="00027614" w14:textId="77777777" w:rsidR="00CC6E4E" w:rsidRPr="00CC6E4E" w:rsidRDefault="00CC6E4E" w:rsidP="00CC6E4E">
      <w:pPr>
        <w:spacing w:line="360" w:lineRule="auto"/>
        <w:jc w:val="both"/>
        <w:rPr>
          <w:rFonts w:asciiTheme="minorHAnsi" w:hAnsiTheme="minorHAnsi" w:cstheme="minorHAnsi"/>
        </w:rPr>
      </w:pPr>
    </w:p>
    <w:p w14:paraId="79787FF4" w14:textId="77777777" w:rsidR="00CC6E4E" w:rsidRPr="00CC6E4E" w:rsidRDefault="00CC6E4E" w:rsidP="00CC6E4E">
      <w:pPr>
        <w:spacing w:line="360" w:lineRule="auto"/>
        <w:jc w:val="both"/>
        <w:rPr>
          <w:rFonts w:asciiTheme="minorHAnsi" w:hAnsiTheme="minorHAnsi" w:cstheme="minorHAnsi"/>
        </w:rPr>
      </w:pPr>
      <w:r w:rsidRPr="00CC6E4E">
        <w:rPr>
          <w:rFonts w:asciiTheme="minorHAnsi" w:hAnsiTheme="minorHAnsi" w:cstheme="minorHAnsi"/>
        </w:rPr>
        <w:t xml:space="preserve">Estyn (2016) </w:t>
      </w:r>
      <w:r w:rsidRPr="00CC6E4E">
        <w:rPr>
          <w:rFonts w:asciiTheme="minorHAnsi" w:hAnsiTheme="minorHAnsi" w:cstheme="minorHAnsi"/>
          <w:i/>
          <w:iCs/>
        </w:rPr>
        <w:t xml:space="preserve">A Report on </w:t>
      </w:r>
      <w:r w:rsidRPr="00CC6E4E">
        <w:rPr>
          <w:rFonts w:asciiTheme="minorHAnsi" w:hAnsiTheme="minorHAnsi" w:cstheme="minorHAnsi"/>
          <w:i/>
          <w:iCs/>
          <w:highlight w:val="black"/>
        </w:rPr>
        <w:t>Rhws Primary School</w:t>
      </w:r>
      <w:r w:rsidRPr="00CC6E4E">
        <w:rPr>
          <w:rFonts w:asciiTheme="minorHAnsi" w:hAnsiTheme="minorHAnsi" w:cstheme="minorHAnsi"/>
          <w:i/>
          <w:iCs/>
        </w:rPr>
        <w:t xml:space="preserve">. </w:t>
      </w:r>
      <w:r w:rsidRPr="00CC6E4E">
        <w:rPr>
          <w:rFonts w:asciiTheme="minorHAnsi" w:hAnsiTheme="minorHAnsi" w:cstheme="minorHAnsi"/>
        </w:rPr>
        <w:t>Available at: https://www.estyn.gov.wales/system/files/2020-08/</w:t>
      </w:r>
      <w:r w:rsidRPr="00CC6E4E">
        <w:rPr>
          <w:rFonts w:asciiTheme="minorHAnsi" w:hAnsiTheme="minorHAnsi" w:cstheme="minorHAnsi"/>
          <w:highlight w:val="black"/>
        </w:rPr>
        <w:t>Rhws%2520Primary</w:t>
      </w:r>
      <w:r w:rsidRPr="00CC6E4E">
        <w:rPr>
          <w:rFonts w:asciiTheme="minorHAnsi" w:hAnsiTheme="minorHAnsi" w:cstheme="minorHAnsi"/>
        </w:rPr>
        <w:t>%2520School.pdf (Accessed on: 7 February 2024)</w:t>
      </w:r>
    </w:p>
    <w:p w14:paraId="1ED1B7AB" w14:textId="77777777" w:rsidR="00CC6E4E" w:rsidRPr="00CC6E4E" w:rsidRDefault="00CC6E4E" w:rsidP="00CC6E4E">
      <w:pPr>
        <w:pStyle w:val="NormalWeb"/>
        <w:rPr>
          <w:rStyle w:val="Hyperlink"/>
          <w:rFonts w:asciiTheme="minorHAnsi" w:hAnsiTheme="minorHAnsi" w:cstheme="minorHAnsi"/>
          <w:color w:val="auto"/>
          <w:u w:val="none"/>
        </w:rPr>
      </w:pPr>
      <w:r w:rsidRPr="00CC6E4E">
        <w:rPr>
          <w:rFonts w:asciiTheme="minorHAnsi" w:hAnsiTheme="minorHAnsi" w:cstheme="minorHAnsi"/>
        </w:rPr>
        <w:t xml:space="preserve">Estyn (2022) Supplementary guidance: Social, emotional and mental health (SEMH) difficulties. Available at: </w:t>
      </w:r>
      <w:hyperlink r:id="rId8" w:history="1">
        <w:r w:rsidRPr="00CC6E4E">
          <w:rPr>
            <w:rStyle w:val="Hyperlink"/>
            <w:rFonts w:asciiTheme="minorHAnsi" w:hAnsiTheme="minorHAnsi" w:cstheme="minorHAnsi"/>
            <w:color w:val="auto"/>
          </w:rPr>
          <w:t>https://www.estyn.gov.wales/system/files/2022-10/Supplementary%20guidance%20-%20Social%2C%20emotional</w:t>
        </w:r>
        <w:r w:rsidRPr="00CC6E4E">
          <w:rPr>
            <w:rStyle w:val="Hyperlink"/>
            <w:rFonts w:asciiTheme="minorHAnsi" w:hAnsiTheme="minorHAnsi" w:cstheme="minorHAnsi"/>
            <w:color w:val="auto"/>
          </w:rPr>
          <w:t>%</w:t>
        </w:r>
        <w:r w:rsidRPr="00CC6E4E">
          <w:rPr>
            <w:rStyle w:val="Hyperlink"/>
            <w:rFonts w:asciiTheme="minorHAnsi" w:hAnsiTheme="minorHAnsi" w:cstheme="minorHAnsi"/>
            <w:color w:val="auto"/>
          </w:rPr>
          <w:t>20and%20mental%20health%20%28SEMH%29%20difficulties_0.pdf</w:t>
        </w:r>
      </w:hyperlink>
      <w:r w:rsidRPr="00CC6E4E">
        <w:rPr>
          <w:rStyle w:val="Hyperlink"/>
          <w:rFonts w:asciiTheme="minorHAnsi" w:hAnsiTheme="minorHAnsi" w:cstheme="minorHAnsi"/>
          <w:color w:val="auto"/>
        </w:rPr>
        <w:t xml:space="preserve"> </w:t>
      </w:r>
      <w:r w:rsidRPr="00CC6E4E">
        <w:rPr>
          <w:rStyle w:val="Hyperlink"/>
          <w:rFonts w:asciiTheme="minorHAnsi" w:hAnsiTheme="minorHAnsi" w:cstheme="minorHAnsi"/>
          <w:color w:val="auto"/>
          <w:u w:val="none"/>
        </w:rPr>
        <w:t>(Accessed on: 3 March 2024)</w:t>
      </w:r>
    </w:p>
    <w:p w14:paraId="6E7FDE7B" w14:textId="77777777" w:rsidR="00CC6E4E" w:rsidRPr="00CC6E4E" w:rsidRDefault="00CC6E4E" w:rsidP="00CC6E4E">
      <w:pPr>
        <w:spacing w:line="360" w:lineRule="auto"/>
        <w:jc w:val="both"/>
        <w:rPr>
          <w:rFonts w:asciiTheme="minorHAnsi" w:hAnsiTheme="minorHAnsi" w:cstheme="minorHAnsi"/>
        </w:rPr>
      </w:pPr>
      <w:r w:rsidRPr="00CC6E4E">
        <w:rPr>
          <w:rFonts w:asciiTheme="minorHAnsi" w:hAnsiTheme="minorHAnsi" w:cstheme="minorHAnsi"/>
        </w:rPr>
        <w:t xml:space="preserve">Goldstone, R (2022) </w:t>
      </w:r>
      <w:r w:rsidRPr="00CC6E4E">
        <w:rPr>
          <w:rFonts w:asciiTheme="minorHAnsi" w:hAnsiTheme="minorHAnsi" w:cstheme="minorHAnsi"/>
          <w:i/>
          <w:iCs/>
        </w:rPr>
        <w:t xml:space="preserve">School Self-Evaluation for School Improvement: Principles of Effective Practice. </w:t>
      </w:r>
      <w:r w:rsidRPr="00CC6E4E">
        <w:rPr>
          <w:rFonts w:asciiTheme="minorHAnsi" w:hAnsiTheme="minorHAnsi" w:cstheme="minorHAnsi"/>
        </w:rPr>
        <w:t xml:space="preserve">Available at: </w:t>
      </w:r>
      <w:hyperlink r:id="rId9" w:history="1">
        <w:r w:rsidRPr="00CC6E4E">
          <w:rPr>
            <w:rStyle w:val="Hyperlink"/>
            <w:rFonts w:asciiTheme="minorHAnsi" w:hAnsiTheme="minorHAnsi" w:cstheme="minorHAnsi"/>
            <w:color w:val="auto"/>
          </w:rPr>
          <w:t>https://www.bera.ac.uk</w:t>
        </w:r>
        <w:r w:rsidRPr="00CC6E4E">
          <w:rPr>
            <w:rStyle w:val="Hyperlink"/>
            <w:rFonts w:asciiTheme="minorHAnsi" w:hAnsiTheme="minorHAnsi" w:cstheme="minorHAnsi"/>
            <w:color w:val="auto"/>
          </w:rPr>
          <w:t>/</w:t>
        </w:r>
        <w:r w:rsidRPr="00CC6E4E">
          <w:rPr>
            <w:rStyle w:val="Hyperlink"/>
            <w:rFonts w:asciiTheme="minorHAnsi" w:hAnsiTheme="minorHAnsi" w:cstheme="minorHAnsi"/>
            <w:color w:val="auto"/>
          </w:rPr>
          <w:t>blog/school-self-evaluation-for-school-improvement-principles-of-effective-practice</w:t>
        </w:r>
      </w:hyperlink>
      <w:r w:rsidRPr="00CC6E4E">
        <w:rPr>
          <w:rFonts w:asciiTheme="minorHAnsi" w:hAnsiTheme="minorHAnsi" w:cstheme="minorHAnsi"/>
        </w:rPr>
        <w:t xml:space="preserve"> (Accessed on: 29 February 2024)</w:t>
      </w:r>
    </w:p>
    <w:p w14:paraId="3A86F9D6" w14:textId="77777777" w:rsidR="00CC6E4E" w:rsidRPr="00CC6E4E" w:rsidRDefault="00CC6E4E" w:rsidP="00CC6E4E">
      <w:pPr>
        <w:shd w:val="clear" w:color="auto" w:fill="FFFFFF"/>
        <w:spacing w:afterAutospacing="1" w:line="360" w:lineRule="auto"/>
        <w:jc w:val="both"/>
        <w:rPr>
          <w:rFonts w:asciiTheme="minorHAnsi" w:hAnsiTheme="minorHAnsi" w:cstheme="minorHAnsi"/>
        </w:rPr>
      </w:pPr>
      <w:r w:rsidRPr="00CC6E4E">
        <w:rPr>
          <w:rFonts w:asciiTheme="minorHAnsi" w:hAnsiTheme="minorHAnsi" w:cstheme="minorHAnsi"/>
        </w:rPr>
        <w:br/>
      </w:r>
      <w:r w:rsidRPr="00CC6E4E">
        <w:rPr>
          <w:rFonts w:asciiTheme="minorHAnsi" w:hAnsiTheme="minorHAnsi" w:cstheme="minorHAnsi"/>
          <w:shd w:val="clear" w:color="auto" w:fill="FFFFFF"/>
        </w:rPr>
        <w:t>Goodall, J. and Montgomery, C. (2014) “Parental involvement to parental engagement: a continuum,”</w:t>
      </w:r>
      <w:r w:rsidRPr="00CC6E4E">
        <w:rPr>
          <w:rStyle w:val="apple-converted-space"/>
          <w:rFonts w:asciiTheme="minorHAnsi" w:hAnsiTheme="minorHAnsi" w:cstheme="minorHAnsi"/>
          <w:shd w:val="clear" w:color="auto" w:fill="FFFFFF"/>
        </w:rPr>
        <w:t> </w:t>
      </w:r>
      <w:r w:rsidRPr="00CC6E4E">
        <w:rPr>
          <w:rFonts w:asciiTheme="minorHAnsi" w:hAnsiTheme="minorHAnsi" w:cstheme="minorHAnsi"/>
          <w:i/>
          <w:iCs/>
        </w:rPr>
        <w:t>Educational review (Birmingham)</w:t>
      </w:r>
      <w:r w:rsidRPr="00CC6E4E">
        <w:rPr>
          <w:rFonts w:asciiTheme="minorHAnsi" w:hAnsiTheme="minorHAnsi" w:cstheme="minorHAnsi"/>
          <w:shd w:val="clear" w:color="auto" w:fill="FFFFFF"/>
        </w:rPr>
        <w:t>, 66(4), pp. 399–410. Available at: https://doi.org/10.1080/00131911.2013.781576.</w:t>
      </w:r>
    </w:p>
    <w:p w14:paraId="672B68F9" w14:textId="77777777" w:rsidR="00CC6E4E" w:rsidRPr="00CC6E4E" w:rsidRDefault="00CC6E4E" w:rsidP="00CC6E4E">
      <w:pPr>
        <w:pStyle w:val="NormalWeb"/>
        <w:spacing w:line="360" w:lineRule="auto"/>
        <w:jc w:val="both"/>
        <w:rPr>
          <w:rFonts w:asciiTheme="minorHAnsi" w:hAnsiTheme="minorHAnsi" w:cstheme="minorHAnsi"/>
        </w:rPr>
      </w:pPr>
      <w:r w:rsidRPr="00CC6E4E">
        <w:rPr>
          <w:rFonts w:asciiTheme="minorHAnsi" w:hAnsiTheme="minorHAnsi" w:cstheme="minorHAnsi"/>
        </w:rPr>
        <w:t>Goodman RL and Burton DM (2010) ‘The inclusion of students with BESD in mainstream schools: teachers’ experiences of and recommendations for creating a successful inclusive environment’, </w:t>
      </w:r>
      <w:r w:rsidRPr="00CC6E4E">
        <w:rPr>
          <w:rFonts w:asciiTheme="minorHAnsi" w:hAnsiTheme="minorHAnsi" w:cstheme="minorHAnsi"/>
          <w:i/>
          <w:iCs/>
        </w:rPr>
        <w:t>Emotional &amp; Behavioural Difficulties</w:t>
      </w:r>
      <w:r w:rsidRPr="00CC6E4E">
        <w:rPr>
          <w:rFonts w:asciiTheme="minorHAnsi" w:hAnsiTheme="minorHAnsi" w:cstheme="minorHAnsi"/>
        </w:rPr>
        <w:t>, 15(3), pp. 223–237. doi:10.1080/13632752.2010.497662.</w:t>
      </w:r>
    </w:p>
    <w:p w14:paraId="0766F752" w14:textId="77777777" w:rsidR="00CC6E4E" w:rsidRPr="00CC6E4E" w:rsidRDefault="00CC6E4E" w:rsidP="00CC6E4E">
      <w:pPr>
        <w:spacing w:line="360" w:lineRule="auto"/>
        <w:jc w:val="both"/>
        <w:rPr>
          <w:rFonts w:asciiTheme="minorHAnsi" w:hAnsiTheme="minorHAnsi" w:cstheme="minorHAnsi"/>
        </w:rPr>
      </w:pPr>
      <w:r w:rsidRPr="00CC6E4E">
        <w:rPr>
          <w:rFonts w:asciiTheme="minorHAnsi" w:hAnsiTheme="minorHAnsi" w:cstheme="minorHAnsi"/>
        </w:rPr>
        <w:t>Gove, M. (2012) Oral Evidence to the Education Select Committee, 31 January.</w:t>
      </w:r>
    </w:p>
    <w:p w14:paraId="142AB69F" w14:textId="77777777" w:rsidR="00CC6E4E" w:rsidRPr="00CC6E4E" w:rsidRDefault="00CC6E4E" w:rsidP="00CC6E4E">
      <w:pPr>
        <w:spacing w:line="360" w:lineRule="auto"/>
        <w:jc w:val="both"/>
        <w:rPr>
          <w:rFonts w:asciiTheme="minorHAnsi" w:hAnsiTheme="minorHAnsi" w:cstheme="minorHAnsi"/>
        </w:rPr>
      </w:pPr>
    </w:p>
    <w:p w14:paraId="45AC9D38" w14:textId="77777777" w:rsidR="00CC6E4E" w:rsidRPr="00CC6E4E" w:rsidRDefault="00CC6E4E" w:rsidP="00CC6E4E">
      <w:pPr>
        <w:spacing w:line="360" w:lineRule="auto"/>
        <w:jc w:val="both"/>
        <w:rPr>
          <w:rFonts w:asciiTheme="minorHAnsi" w:hAnsiTheme="minorHAnsi" w:cstheme="minorHAnsi"/>
        </w:rPr>
      </w:pPr>
      <w:r w:rsidRPr="00CC6E4E">
        <w:rPr>
          <w:rFonts w:asciiTheme="minorHAnsi" w:hAnsiTheme="minorHAnsi" w:cstheme="minorHAnsi"/>
          <w:shd w:val="clear" w:color="auto" w:fill="FFFFFF"/>
        </w:rPr>
        <w:t>Hornby, Garry. (2011)</w:t>
      </w:r>
      <w:r w:rsidRPr="00CC6E4E">
        <w:rPr>
          <w:rStyle w:val="apple-converted-space"/>
          <w:rFonts w:asciiTheme="minorHAnsi" w:hAnsiTheme="minorHAnsi" w:cstheme="minorHAnsi"/>
          <w:shd w:val="clear" w:color="auto" w:fill="FFFFFF"/>
        </w:rPr>
        <w:t> </w:t>
      </w:r>
      <w:r w:rsidRPr="00CC6E4E">
        <w:rPr>
          <w:rFonts w:asciiTheme="minorHAnsi" w:hAnsiTheme="minorHAnsi" w:cstheme="minorHAnsi"/>
          <w:i/>
          <w:iCs/>
        </w:rPr>
        <w:t>Parental Involvement in Childhood Education Building Effective School-Family Partnerships</w:t>
      </w:r>
      <w:r w:rsidRPr="00CC6E4E">
        <w:rPr>
          <w:rFonts w:asciiTheme="minorHAnsi" w:hAnsiTheme="minorHAnsi" w:cstheme="minorHAnsi"/>
          <w:shd w:val="clear" w:color="auto" w:fill="FFFFFF"/>
        </w:rPr>
        <w:t>. 1st ed. 2011. New York, NY: Springer New York. Available at: https://doi.org/10.1007/978-1-4419-8379-4.</w:t>
      </w:r>
    </w:p>
    <w:p w14:paraId="0A1854AC" w14:textId="77777777" w:rsidR="00CC6E4E" w:rsidRPr="00CC6E4E" w:rsidRDefault="00CC6E4E" w:rsidP="00CC6E4E">
      <w:pPr>
        <w:spacing w:line="360" w:lineRule="auto"/>
        <w:jc w:val="both"/>
        <w:rPr>
          <w:rFonts w:asciiTheme="minorHAnsi" w:hAnsiTheme="minorHAnsi" w:cstheme="minorHAnsi"/>
        </w:rPr>
      </w:pPr>
    </w:p>
    <w:p w14:paraId="62751077" w14:textId="77777777" w:rsidR="00CC6E4E" w:rsidRPr="00CC6E4E" w:rsidRDefault="00CC6E4E" w:rsidP="00CC6E4E">
      <w:pPr>
        <w:spacing w:line="360" w:lineRule="auto"/>
        <w:jc w:val="both"/>
        <w:rPr>
          <w:rFonts w:asciiTheme="minorHAnsi" w:hAnsiTheme="minorHAnsi" w:cstheme="minorHAnsi"/>
        </w:rPr>
      </w:pPr>
      <w:r w:rsidRPr="00CC6E4E">
        <w:rPr>
          <w:rFonts w:asciiTheme="minorHAnsi" w:hAnsiTheme="minorHAnsi" w:cstheme="minorHAnsi"/>
        </w:rPr>
        <w:lastRenderedPageBreak/>
        <w:t xml:space="preserve">Howard C., Burton, M. and Levermore, D. (2020) </w:t>
      </w:r>
      <w:r w:rsidRPr="00CC6E4E">
        <w:rPr>
          <w:rFonts w:asciiTheme="minorHAnsi" w:hAnsiTheme="minorHAnsi" w:cstheme="minorHAnsi"/>
          <w:i/>
          <w:iCs/>
        </w:rPr>
        <w:t xml:space="preserve">Children’s Mental Health and Emotional Well-being in Primary Schools. </w:t>
      </w:r>
      <w:r w:rsidRPr="00CC6E4E">
        <w:rPr>
          <w:rFonts w:asciiTheme="minorHAnsi" w:hAnsiTheme="minorHAnsi" w:cstheme="minorHAnsi"/>
        </w:rPr>
        <w:t>London: Sage Publications Ltd</w:t>
      </w:r>
    </w:p>
    <w:p w14:paraId="40059819" w14:textId="77777777" w:rsidR="00CC6E4E" w:rsidRPr="00CC6E4E" w:rsidRDefault="00CC6E4E" w:rsidP="00CC6E4E">
      <w:pPr>
        <w:pStyle w:val="NormalWeb"/>
        <w:spacing w:before="360" w:beforeAutospacing="0" w:after="360" w:afterAutospacing="0" w:line="360" w:lineRule="auto"/>
        <w:jc w:val="both"/>
        <w:rPr>
          <w:rFonts w:asciiTheme="minorHAnsi" w:hAnsiTheme="minorHAnsi" w:cstheme="minorHAnsi"/>
        </w:rPr>
      </w:pPr>
      <w:r w:rsidRPr="00CC6E4E">
        <w:rPr>
          <w:rFonts w:asciiTheme="minorHAnsi" w:hAnsiTheme="minorHAnsi" w:cstheme="minorHAnsi"/>
        </w:rPr>
        <w:t xml:space="preserve">Jace Pillay, Helen Dunbar-Krige &amp; Jacques Mostert (2013) ‘Learners with behavioural, emotional and social difficulties’ experiences of reintegration into mainstream education’. </w:t>
      </w:r>
      <w:r w:rsidRPr="00CC6E4E">
        <w:rPr>
          <w:rFonts w:asciiTheme="minorHAnsi" w:hAnsiTheme="minorHAnsi" w:cstheme="minorHAnsi"/>
          <w:i/>
          <w:iCs/>
        </w:rPr>
        <w:t>Emotional and Behavioural Difficulties</w:t>
      </w:r>
      <w:r w:rsidRPr="00CC6E4E">
        <w:rPr>
          <w:rFonts w:asciiTheme="minorHAnsi" w:hAnsiTheme="minorHAnsi" w:cstheme="minorHAnsi"/>
        </w:rPr>
        <w:t>, 18:3, 310-326, DOI: </w:t>
      </w:r>
      <w:hyperlink r:id="rId10" w:history="1">
        <w:r w:rsidRPr="00CC6E4E">
          <w:rPr>
            <w:rStyle w:val="Hyperlink"/>
            <w:rFonts w:asciiTheme="minorHAnsi" w:hAnsiTheme="minorHAnsi" w:cstheme="minorHAnsi"/>
            <w:color w:val="auto"/>
          </w:rPr>
          <w:t>10.1080/13632752.2013.769709</w:t>
        </w:r>
      </w:hyperlink>
    </w:p>
    <w:p w14:paraId="31A8BC04" w14:textId="77777777" w:rsidR="00CC6E4E" w:rsidRPr="00CC6E4E" w:rsidRDefault="00CC6E4E" w:rsidP="00CC6E4E">
      <w:pPr>
        <w:spacing w:line="360" w:lineRule="auto"/>
        <w:jc w:val="both"/>
        <w:rPr>
          <w:rFonts w:asciiTheme="minorHAnsi" w:hAnsiTheme="minorHAnsi" w:cstheme="minorHAnsi"/>
        </w:rPr>
      </w:pPr>
      <w:r w:rsidRPr="00CC6E4E">
        <w:rPr>
          <w:rFonts w:asciiTheme="minorHAnsi" w:hAnsiTheme="minorHAnsi" w:cstheme="minorHAnsi"/>
        </w:rPr>
        <w:t xml:space="preserve">NAHT (2024) ‘School Leaders in Wales Sound Alarm Over Budget Cuts’. Available at: </w:t>
      </w:r>
      <w:hyperlink r:id="rId11" w:anchor=":~:text=NAHT%20Cymru%20says%20the%20issues,£114m%20in%202024%2D25" w:history="1">
        <w:r w:rsidRPr="00CC6E4E">
          <w:rPr>
            <w:rStyle w:val="Hyperlink"/>
            <w:rFonts w:asciiTheme="minorHAnsi" w:hAnsiTheme="minorHAnsi" w:cstheme="minorHAnsi"/>
            <w:color w:val="auto"/>
          </w:rPr>
          <w:t>https://www.naht.org.uk/About-Us/NAHT-Cymru/ArtMID/606/ArticleID/2301/School-leaders-in-Wales-sound-alarm-over-budget-cuts#:~:text=NAHT%20Cymru%20says%20the%20issues,£114m%20in%202024%2D25</w:t>
        </w:r>
      </w:hyperlink>
      <w:r w:rsidRPr="00CC6E4E">
        <w:rPr>
          <w:rFonts w:asciiTheme="minorHAnsi" w:hAnsiTheme="minorHAnsi" w:cstheme="minorHAnsi"/>
        </w:rPr>
        <w:t>. (Accessed on 2 March 2024)</w:t>
      </w:r>
    </w:p>
    <w:p w14:paraId="3141C37D" w14:textId="77777777" w:rsidR="00CC6E4E" w:rsidRPr="00CC6E4E" w:rsidRDefault="00CC6E4E" w:rsidP="00CC6E4E">
      <w:pPr>
        <w:spacing w:line="360" w:lineRule="auto"/>
        <w:jc w:val="both"/>
        <w:rPr>
          <w:rFonts w:asciiTheme="minorHAnsi" w:hAnsiTheme="minorHAnsi" w:cstheme="minorHAnsi"/>
        </w:rPr>
      </w:pPr>
    </w:p>
    <w:p w14:paraId="42F56AAD" w14:textId="77777777" w:rsidR="00CC6E4E" w:rsidRPr="00CC6E4E" w:rsidRDefault="00CC6E4E" w:rsidP="00CC6E4E">
      <w:pPr>
        <w:spacing w:line="360" w:lineRule="auto"/>
        <w:jc w:val="both"/>
        <w:rPr>
          <w:rFonts w:asciiTheme="minorHAnsi" w:hAnsiTheme="minorHAnsi" w:cstheme="minorHAnsi"/>
        </w:rPr>
      </w:pPr>
      <w:r w:rsidRPr="00CC6E4E">
        <w:rPr>
          <w:rFonts w:asciiTheme="minorHAnsi" w:hAnsiTheme="minorHAnsi" w:cstheme="minorHAnsi"/>
        </w:rPr>
        <w:t>OECD (2020), </w:t>
      </w:r>
      <w:r w:rsidRPr="00CC6E4E">
        <w:rPr>
          <w:rFonts w:asciiTheme="minorHAnsi" w:hAnsiTheme="minorHAnsi" w:cstheme="minorHAnsi"/>
          <w:i/>
          <w:iCs/>
        </w:rPr>
        <w:t>Achieving the New Curriculum for Wales</w:t>
      </w:r>
      <w:r w:rsidRPr="00CC6E4E">
        <w:rPr>
          <w:rFonts w:asciiTheme="minorHAnsi" w:hAnsiTheme="minorHAnsi" w:cstheme="minorHAnsi"/>
        </w:rPr>
        <w:t>, Implementing Education Policies, OECD Publishing, Paris, </w:t>
      </w:r>
      <w:hyperlink r:id="rId12" w:history="1">
        <w:r w:rsidRPr="00CC6E4E">
          <w:rPr>
            <w:rStyle w:val="Hyperlink"/>
            <w:rFonts w:asciiTheme="minorHAnsi" w:hAnsiTheme="minorHAnsi" w:cstheme="minorHAnsi"/>
            <w:color w:val="auto"/>
          </w:rPr>
          <w:t>https://doi.org/10.1787/4b483953-en</w:t>
        </w:r>
      </w:hyperlink>
      <w:r w:rsidRPr="00CC6E4E">
        <w:rPr>
          <w:rFonts w:asciiTheme="minorHAnsi" w:hAnsiTheme="minorHAnsi" w:cstheme="minorHAnsi"/>
        </w:rPr>
        <w:t>.</w:t>
      </w:r>
    </w:p>
    <w:p w14:paraId="5C0A47A3" w14:textId="77777777" w:rsidR="00CC6E4E" w:rsidRPr="00CC6E4E" w:rsidRDefault="00CC6E4E" w:rsidP="00CC6E4E">
      <w:pPr>
        <w:spacing w:line="360" w:lineRule="auto"/>
        <w:jc w:val="both"/>
        <w:rPr>
          <w:rFonts w:asciiTheme="minorHAnsi" w:hAnsiTheme="minorHAnsi" w:cstheme="minorHAnsi"/>
        </w:rPr>
      </w:pPr>
    </w:p>
    <w:p w14:paraId="116B1B6C" w14:textId="77777777" w:rsidR="00CC6E4E" w:rsidRPr="00CC6E4E" w:rsidRDefault="00CC6E4E" w:rsidP="00CC6E4E">
      <w:pPr>
        <w:spacing w:line="360" w:lineRule="auto"/>
        <w:jc w:val="both"/>
        <w:rPr>
          <w:rFonts w:asciiTheme="minorHAnsi" w:hAnsiTheme="minorHAnsi" w:cstheme="minorHAnsi"/>
        </w:rPr>
      </w:pPr>
      <w:r w:rsidRPr="00CC6E4E">
        <w:rPr>
          <w:rFonts w:asciiTheme="minorHAnsi" w:hAnsiTheme="minorHAnsi" w:cstheme="minorHAnsi"/>
          <w:shd w:val="clear" w:color="auto" w:fill="FFFFFF"/>
        </w:rPr>
        <w:t>OECD (2021),</w:t>
      </w:r>
      <w:r w:rsidRPr="00CC6E4E">
        <w:rPr>
          <w:rStyle w:val="apple-converted-space"/>
          <w:rFonts w:asciiTheme="minorHAnsi" w:hAnsiTheme="minorHAnsi" w:cstheme="minorHAnsi"/>
          <w:shd w:val="clear" w:color="auto" w:fill="FFFFFF"/>
        </w:rPr>
        <w:t> </w:t>
      </w:r>
      <w:r w:rsidRPr="00CC6E4E">
        <w:rPr>
          <w:rFonts w:asciiTheme="minorHAnsi" w:hAnsiTheme="minorHAnsi" w:cstheme="minorHAnsi"/>
          <w:i/>
          <w:iCs/>
        </w:rPr>
        <w:t>Measuring What Matters for Child Well-being and Policies</w:t>
      </w:r>
      <w:r w:rsidRPr="00CC6E4E">
        <w:rPr>
          <w:rFonts w:asciiTheme="minorHAnsi" w:hAnsiTheme="minorHAnsi" w:cstheme="minorHAnsi"/>
          <w:shd w:val="clear" w:color="auto" w:fill="FFFFFF"/>
        </w:rPr>
        <w:t>, OECD Publishing, Paris,</w:t>
      </w:r>
      <w:hyperlink r:id="rId13" w:history="1">
        <w:r w:rsidRPr="00CC6E4E">
          <w:rPr>
            <w:rStyle w:val="Hyperlink"/>
            <w:rFonts w:asciiTheme="minorHAnsi" w:hAnsiTheme="minorHAnsi" w:cstheme="minorHAnsi"/>
            <w:color w:val="auto"/>
          </w:rPr>
          <w:t>https://doi.org/10.1787/e82fded1-en</w:t>
        </w:r>
      </w:hyperlink>
      <w:r w:rsidRPr="00CC6E4E">
        <w:rPr>
          <w:rFonts w:asciiTheme="minorHAnsi" w:hAnsiTheme="minorHAnsi" w:cstheme="minorHAnsi"/>
          <w:shd w:val="clear" w:color="auto" w:fill="FFFFFF"/>
        </w:rPr>
        <w:t>.</w:t>
      </w:r>
    </w:p>
    <w:p w14:paraId="5507C497" w14:textId="77777777" w:rsidR="00CC6E4E" w:rsidRPr="00CC6E4E" w:rsidRDefault="00CC6E4E" w:rsidP="00CC6E4E">
      <w:pPr>
        <w:spacing w:line="360" w:lineRule="auto"/>
        <w:jc w:val="both"/>
        <w:rPr>
          <w:rFonts w:asciiTheme="minorHAnsi" w:hAnsiTheme="minorHAnsi" w:cstheme="minorHAnsi"/>
        </w:rPr>
      </w:pPr>
    </w:p>
    <w:p w14:paraId="260DC433" w14:textId="77777777" w:rsidR="00CC6E4E" w:rsidRPr="00CC6E4E" w:rsidRDefault="00CC6E4E" w:rsidP="00CC6E4E">
      <w:pPr>
        <w:spacing w:line="360" w:lineRule="auto"/>
        <w:jc w:val="both"/>
        <w:rPr>
          <w:rFonts w:asciiTheme="minorHAnsi" w:hAnsiTheme="minorHAnsi" w:cstheme="minorHAnsi"/>
        </w:rPr>
      </w:pPr>
      <w:r w:rsidRPr="00CC6E4E">
        <w:rPr>
          <w:rFonts w:asciiTheme="minorHAnsi" w:hAnsiTheme="minorHAnsi" w:cstheme="minorHAnsi"/>
        </w:rPr>
        <w:t>Peatson (2011) Mainstream Inclusion, Special Challenges: Strategies for Children with BESD. https://assets.publishing.service.gov.uk/media/5a7d958040f0b65084e7613b/mainstream-inclusion-special-challenges-strategies-for-children-with-besd-full-report.pdf</w:t>
      </w:r>
    </w:p>
    <w:p w14:paraId="792CAF37" w14:textId="77777777" w:rsidR="00CC6E4E" w:rsidRPr="00CC6E4E" w:rsidRDefault="00CC6E4E" w:rsidP="00CC6E4E">
      <w:pPr>
        <w:spacing w:line="360" w:lineRule="auto"/>
        <w:jc w:val="both"/>
        <w:rPr>
          <w:rFonts w:asciiTheme="minorHAnsi" w:hAnsiTheme="minorHAnsi" w:cstheme="minorHAnsi"/>
          <w:shd w:val="clear" w:color="auto" w:fill="FFFFFF"/>
        </w:rPr>
      </w:pPr>
    </w:p>
    <w:p w14:paraId="424AD741" w14:textId="77777777" w:rsidR="00CC6E4E" w:rsidRPr="00CC6E4E" w:rsidRDefault="00CC6E4E" w:rsidP="00CC6E4E">
      <w:pPr>
        <w:spacing w:line="360" w:lineRule="auto"/>
        <w:jc w:val="both"/>
        <w:rPr>
          <w:rFonts w:asciiTheme="minorHAnsi" w:hAnsiTheme="minorHAnsi" w:cstheme="minorHAnsi"/>
        </w:rPr>
      </w:pPr>
      <w:r w:rsidRPr="00CC6E4E">
        <w:rPr>
          <w:rFonts w:asciiTheme="minorHAnsi" w:hAnsiTheme="minorHAnsi" w:cstheme="minorHAnsi"/>
          <w:shd w:val="clear" w:color="auto" w:fill="FFFFFF"/>
        </w:rPr>
        <w:t xml:space="preserve">Pirrie A, Hockings E (2012) </w:t>
      </w:r>
      <w:r w:rsidRPr="00CC6E4E">
        <w:rPr>
          <w:rFonts w:asciiTheme="minorHAnsi" w:hAnsiTheme="minorHAnsi" w:cstheme="minorHAnsi"/>
          <w:i/>
          <w:iCs/>
          <w:shd w:val="clear" w:color="auto" w:fill="FFFFFF"/>
        </w:rPr>
        <w:t>Poverty, educational attainment and achievement</w:t>
      </w:r>
      <w:r w:rsidRPr="00CC6E4E">
        <w:rPr>
          <w:rFonts w:asciiTheme="minorHAnsi" w:hAnsiTheme="minorHAnsi" w:cstheme="minorHAnsi"/>
          <w:shd w:val="clear" w:color="auto" w:fill="FFFFFF"/>
        </w:rPr>
        <w:t>. Report, Scotland’s Commissioner for Children and Young People, July.</w:t>
      </w:r>
    </w:p>
    <w:p w14:paraId="4C309F45" w14:textId="77777777" w:rsidR="00CC6E4E" w:rsidRPr="00CC6E4E" w:rsidRDefault="00CC6E4E" w:rsidP="00CC6E4E">
      <w:pPr>
        <w:spacing w:line="360" w:lineRule="auto"/>
        <w:jc w:val="both"/>
        <w:rPr>
          <w:rFonts w:asciiTheme="minorHAnsi" w:hAnsiTheme="minorHAnsi" w:cstheme="minorHAnsi"/>
        </w:rPr>
      </w:pPr>
    </w:p>
    <w:p w14:paraId="005AFEED" w14:textId="77777777" w:rsidR="00CC6E4E" w:rsidRPr="00CC6E4E" w:rsidRDefault="00CC6E4E" w:rsidP="00CC6E4E">
      <w:pPr>
        <w:shd w:val="clear" w:color="auto" w:fill="FFFFFF"/>
        <w:spacing w:afterAutospacing="1" w:line="360" w:lineRule="auto"/>
        <w:jc w:val="both"/>
        <w:rPr>
          <w:rStyle w:val="Hyperlink"/>
          <w:rFonts w:asciiTheme="minorHAnsi" w:hAnsiTheme="minorHAnsi" w:cstheme="minorHAnsi"/>
          <w:color w:val="auto"/>
        </w:rPr>
      </w:pPr>
      <w:r w:rsidRPr="00CC6E4E">
        <w:rPr>
          <w:rStyle w:val="authorname"/>
          <w:rFonts w:asciiTheme="minorHAnsi" w:hAnsiTheme="minorHAnsi" w:cstheme="minorHAnsi"/>
        </w:rPr>
        <w:t>R. R.</w:t>
      </w:r>
      <w:r w:rsidRPr="00CC6E4E">
        <w:rPr>
          <w:rStyle w:val="apple-converted-space"/>
          <w:rFonts w:asciiTheme="minorHAnsi" w:hAnsiTheme="minorHAnsi" w:cstheme="minorHAnsi"/>
        </w:rPr>
        <w:t> </w:t>
      </w:r>
      <w:r w:rsidRPr="00CC6E4E">
        <w:rPr>
          <w:rStyle w:val="authorname"/>
          <w:rFonts w:asciiTheme="minorHAnsi" w:hAnsiTheme="minorHAnsi" w:cstheme="minorHAnsi"/>
        </w:rPr>
        <w:t>de Leeuw</w:t>
      </w:r>
      <w:r w:rsidRPr="00CC6E4E">
        <w:rPr>
          <w:rStyle w:val="separator"/>
          <w:rFonts w:asciiTheme="minorHAnsi" w:hAnsiTheme="minorHAnsi" w:cstheme="minorHAnsi"/>
        </w:rPr>
        <w:t>,</w:t>
      </w:r>
      <w:r w:rsidRPr="00CC6E4E">
        <w:rPr>
          <w:rStyle w:val="apple-converted-space"/>
          <w:rFonts w:asciiTheme="minorHAnsi" w:hAnsiTheme="minorHAnsi" w:cstheme="minorHAnsi"/>
        </w:rPr>
        <w:t> </w:t>
      </w:r>
      <w:r w:rsidRPr="00CC6E4E">
        <w:rPr>
          <w:rStyle w:val="authorname"/>
          <w:rFonts w:asciiTheme="minorHAnsi" w:hAnsiTheme="minorHAnsi" w:cstheme="minorHAnsi"/>
        </w:rPr>
        <w:t>A. A.</w:t>
      </w:r>
      <w:r w:rsidRPr="00CC6E4E">
        <w:rPr>
          <w:rStyle w:val="apple-converted-space"/>
          <w:rFonts w:asciiTheme="minorHAnsi" w:hAnsiTheme="minorHAnsi" w:cstheme="minorHAnsi"/>
        </w:rPr>
        <w:t> </w:t>
      </w:r>
      <w:r w:rsidRPr="00CC6E4E">
        <w:rPr>
          <w:rStyle w:val="authorname"/>
          <w:rFonts w:asciiTheme="minorHAnsi" w:hAnsiTheme="minorHAnsi" w:cstheme="minorHAnsi"/>
        </w:rPr>
        <w:t>de Boer</w:t>
      </w:r>
      <w:r w:rsidRPr="00CC6E4E">
        <w:rPr>
          <w:rStyle w:val="separator"/>
          <w:rFonts w:asciiTheme="minorHAnsi" w:hAnsiTheme="minorHAnsi" w:cstheme="minorHAnsi"/>
        </w:rPr>
        <w:t>,</w:t>
      </w:r>
      <w:r w:rsidRPr="00CC6E4E">
        <w:rPr>
          <w:rStyle w:val="apple-converted-space"/>
          <w:rFonts w:asciiTheme="minorHAnsi" w:hAnsiTheme="minorHAnsi" w:cstheme="minorHAnsi"/>
        </w:rPr>
        <w:t> </w:t>
      </w:r>
      <w:r w:rsidRPr="00CC6E4E">
        <w:rPr>
          <w:rStyle w:val="authorname"/>
          <w:rFonts w:asciiTheme="minorHAnsi" w:hAnsiTheme="minorHAnsi" w:cstheme="minorHAnsi"/>
        </w:rPr>
        <w:t>J.</w:t>
      </w:r>
      <w:r w:rsidRPr="00CC6E4E">
        <w:rPr>
          <w:rStyle w:val="apple-converted-space"/>
          <w:rFonts w:asciiTheme="minorHAnsi" w:hAnsiTheme="minorHAnsi" w:cstheme="minorHAnsi"/>
        </w:rPr>
        <w:t> </w:t>
      </w:r>
      <w:r w:rsidRPr="00CC6E4E">
        <w:rPr>
          <w:rStyle w:val="authorname"/>
          <w:rFonts w:asciiTheme="minorHAnsi" w:hAnsiTheme="minorHAnsi" w:cstheme="minorHAnsi"/>
        </w:rPr>
        <w:t>Bijstra</w:t>
      </w:r>
      <w:r w:rsidRPr="00CC6E4E">
        <w:rPr>
          <w:rStyle w:val="apple-converted-space"/>
          <w:rFonts w:asciiTheme="minorHAnsi" w:hAnsiTheme="minorHAnsi" w:cstheme="minorHAnsi"/>
        </w:rPr>
        <w:t> </w:t>
      </w:r>
      <w:r w:rsidRPr="00CC6E4E">
        <w:rPr>
          <w:rStyle w:val="separator"/>
          <w:rFonts w:asciiTheme="minorHAnsi" w:hAnsiTheme="minorHAnsi" w:cstheme="minorHAnsi"/>
        </w:rPr>
        <w:t>&amp;</w:t>
      </w:r>
      <w:r w:rsidRPr="00CC6E4E">
        <w:rPr>
          <w:rStyle w:val="apple-converted-space"/>
          <w:rFonts w:asciiTheme="minorHAnsi" w:hAnsiTheme="minorHAnsi" w:cstheme="minorHAnsi"/>
        </w:rPr>
        <w:t> </w:t>
      </w:r>
      <w:r w:rsidRPr="00CC6E4E">
        <w:rPr>
          <w:rStyle w:val="authorname"/>
          <w:rFonts w:asciiTheme="minorHAnsi" w:hAnsiTheme="minorHAnsi" w:cstheme="minorHAnsi"/>
        </w:rPr>
        <w:t>A. E. M. G.</w:t>
      </w:r>
      <w:r w:rsidRPr="00CC6E4E">
        <w:rPr>
          <w:rStyle w:val="apple-converted-space"/>
          <w:rFonts w:asciiTheme="minorHAnsi" w:hAnsiTheme="minorHAnsi" w:cstheme="minorHAnsi"/>
        </w:rPr>
        <w:t> </w:t>
      </w:r>
      <w:r w:rsidRPr="00CC6E4E">
        <w:rPr>
          <w:rStyle w:val="authorname"/>
          <w:rFonts w:asciiTheme="minorHAnsi" w:hAnsiTheme="minorHAnsi" w:cstheme="minorHAnsi"/>
        </w:rPr>
        <w:t>Minnaert</w:t>
      </w:r>
      <w:r w:rsidRPr="00CC6E4E">
        <w:rPr>
          <w:rStyle w:val="apple-converted-space"/>
          <w:rFonts w:asciiTheme="minorHAnsi" w:hAnsiTheme="minorHAnsi" w:cstheme="minorHAnsi"/>
        </w:rPr>
        <w:t> </w:t>
      </w:r>
      <w:r w:rsidRPr="00CC6E4E">
        <w:rPr>
          <w:rStyle w:val="Date1"/>
          <w:rFonts w:asciiTheme="minorHAnsi" w:hAnsiTheme="minorHAnsi" w:cstheme="minorHAnsi"/>
        </w:rPr>
        <w:t>(2018)</w:t>
      </w:r>
      <w:r w:rsidRPr="00CC6E4E">
        <w:rPr>
          <w:rStyle w:val="apple-converted-space"/>
          <w:rFonts w:asciiTheme="minorHAnsi" w:hAnsiTheme="minorHAnsi" w:cstheme="minorHAnsi"/>
        </w:rPr>
        <w:t> </w:t>
      </w:r>
      <w:r w:rsidRPr="00CC6E4E">
        <w:rPr>
          <w:rStyle w:val="arttitle"/>
          <w:rFonts w:asciiTheme="minorHAnsi" w:hAnsiTheme="minorHAnsi" w:cstheme="minorHAnsi"/>
        </w:rPr>
        <w:t>Teacher strategies to support the social participation of students with SEBD in the regular classroom,</w:t>
      </w:r>
      <w:r w:rsidRPr="00CC6E4E">
        <w:rPr>
          <w:rStyle w:val="apple-converted-space"/>
          <w:rFonts w:asciiTheme="minorHAnsi" w:hAnsiTheme="minorHAnsi" w:cstheme="minorHAnsi"/>
        </w:rPr>
        <w:t> </w:t>
      </w:r>
      <w:r w:rsidRPr="00CC6E4E">
        <w:rPr>
          <w:rStyle w:val="serialtitle"/>
          <w:rFonts w:asciiTheme="minorHAnsi" w:hAnsiTheme="minorHAnsi" w:cstheme="minorHAnsi"/>
          <w:i/>
          <w:iCs/>
        </w:rPr>
        <w:t>European Journal of Special Needs Educatio.</w:t>
      </w:r>
      <w:r w:rsidRPr="00CC6E4E">
        <w:rPr>
          <w:rStyle w:val="apple-converted-space"/>
          <w:rFonts w:asciiTheme="minorHAnsi" w:hAnsiTheme="minorHAnsi" w:cstheme="minorHAnsi"/>
        </w:rPr>
        <w:t> V</w:t>
      </w:r>
      <w:r w:rsidRPr="00CC6E4E">
        <w:rPr>
          <w:rStyle w:val="volumeissue"/>
          <w:rFonts w:asciiTheme="minorHAnsi" w:hAnsiTheme="minorHAnsi" w:cstheme="minorHAnsi"/>
        </w:rPr>
        <w:t>33:3,</w:t>
      </w:r>
      <w:r w:rsidRPr="00CC6E4E">
        <w:rPr>
          <w:rStyle w:val="apple-converted-space"/>
          <w:rFonts w:asciiTheme="minorHAnsi" w:hAnsiTheme="minorHAnsi" w:cstheme="minorHAnsi"/>
        </w:rPr>
        <w:t> </w:t>
      </w:r>
      <w:r w:rsidRPr="00CC6E4E">
        <w:rPr>
          <w:rStyle w:val="pagerange"/>
          <w:rFonts w:asciiTheme="minorHAnsi" w:hAnsiTheme="minorHAnsi" w:cstheme="minorHAnsi"/>
        </w:rPr>
        <w:t>412-426,</w:t>
      </w:r>
      <w:r w:rsidRPr="00CC6E4E">
        <w:rPr>
          <w:rStyle w:val="apple-converted-space"/>
          <w:rFonts w:asciiTheme="minorHAnsi" w:hAnsiTheme="minorHAnsi" w:cstheme="minorHAnsi"/>
        </w:rPr>
        <w:t> </w:t>
      </w:r>
      <w:r w:rsidRPr="00CC6E4E">
        <w:rPr>
          <w:rStyle w:val="doilink"/>
          <w:rFonts w:asciiTheme="minorHAnsi" w:hAnsiTheme="minorHAnsi" w:cstheme="minorHAnsi"/>
        </w:rPr>
        <w:t>DOI:</w:t>
      </w:r>
      <w:r w:rsidRPr="00CC6E4E">
        <w:rPr>
          <w:rStyle w:val="apple-converted-space"/>
          <w:rFonts w:asciiTheme="minorHAnsi" w:hAnsiTheme="minorHAnsi" w:cstheme="minorHAnsi"/>
        </w:rPr>
        <w:t> </w:t>
      </w:r>
      <w:hyperlink r:id="rId14" w:history="1">
        <w:r w:rsidRPr="00CC6E4E">
          <w:rPr>
            <w:rStyle w:val="Hyperlink"/>
            <w:rFonts w:asciiTheme="minorHAnsi" w:hAnsiTheme="minorHAnsi" w:cstheme="minorHAnsi"/>
            <w:color w:val="auto"/>
          </w:rPr>
          <w:t>10.1080/08856257.2017.1334433</w:t>
        </w:r>
      </w:hyperlink>
    </w:p>
    <w:p w14:paraId="3DF269F1" w14:textId="77777777" w:rsidR="00CC6E4E" w:rsidRPr="00CC6E4E" w:rsidRDefault="00CC6E4E" w:rsidP="00CC6E4E">
      <w:pPr>
        <w:pStyle w:val="NormalWeb"/>
        <w:spacing w:line="360" w:lineRule="auto"/>
        <w:jc w:val="both"/>
        <w:rPr>
          <w:rFonts w:asciiTheme="minorHAnsi" w:hAnsiTheme="minorHAnsi" w:cstheme="minorHAnsi"/>
        </w:rPr>
      </w:pPr>
      <w:r w:rsidRPr="00CC6E4E">
        <w:rPr>
          <w:rFonts w:asciiTheme="minorHAnsi" w:hAnsiTheme="minorHAnsi" w:cstheme="minorHAnsi"/>
        </w:rPr>
        <w:lastRenderedPageBreak/>
        <w:t>Syrnyk, C. (2014) ‘Capturing the Nurture approach: experiences of young pupils with SEBD’, </w:t>
      </w:r>
      <w:r w:rsidRPr="00CC6E4E">
        <w:rPr>
          <w:rFonts w:asciiTheme="minorHAnsi" w:hAnsiTheme="minorHAnsi" w:cstheme="minorHAnsi"/>
          <w:i/>
          <w:iCs/>
        </w:rPr>
        <w:t>Emotional &amp; Behavioural Difficulties</w:t>
      </w:r>
      <w:r w:rsidRPr="00CC6E4E">
        <w:rPr>
          <w:rFonts w:asciiTheme="minorHAnsi" w:hAnsiTheme="minorHAnsi" w:cstheme="minorHAnsi"/>
        </w:rPr>
        <w:t>, 19(2), pp. 154–175. doi:10.1080/13632752.2013.821266.</w:t>
      </w:r>
    </w:p>
    <w:p w14:paraId="17D723F6" w14:textId="77777777" w:rsidR="00CC6E4E" w:rsidRPr="00CC6E4E" w:rsidRDefault="00CC6E4E" w:rsidP="00CC6E4E">
      <w:pPr>
        <w:spacing w:line="360" w:lineRule="auto"/>
        <w:jc w:val="both"/>
        <w:rPr>
          <w:rFonts w:asciiTheme="minorHAnsi" w:eastAsiaTheme="minorHAnsi" w:hAnsiTheme="minorHAnsi" w:cstheme="minorHAnsi"/>
          <w:kern w:val="2"/>
          <w:lang w:eastAsia="en-US"/>
          <w14:ligatures w14:val="standardContextual"/>
        </w:rPr>
      </w:pPr>
      <w:r w:rsidRPr="00CC6E4E">
        <w:rPr>
          <w:rFonts w:asciiTheme="minorHAnsi" w:hAnsiTheme="minorHAnsi" w:cstheme="minorHAnsi"/>
        </w:rPr>
        <w:t xml:space="preserve">Thurmond, V. (2001) The Point of Triangulation. </w:t>
      </w:r>
      <w:r w:rsidRPr="00CC6E4E">
        <w:rPr>
          <w:rFonts w:asciiTheme="minorHAnsi" w:eastAsiaTheme="minorHAnsi" w:hAnsiTheme="minorHAnsi" w:cstheme="minorHAnsi"/>
          <w:kern w:val="2"/>
          <w:lang w:eastAsia="en-US"/>
          <w14:ligatures w14:val="standardContextual"/>
        </w:rPr>
        <w:t xml:space="preserve">JOURNAL OF NURSING SCHOLARSHIP, 2001; 33:3, 253-258 </w:t>
      </w:r>
      <w:r w:rsidRPr="00CC6E4E">
        <w:rPr>
          <w:rFonts w:asciiTheme="minorHAnsi" w:hAnsiTheme="minorHAnsi" w:cstheme="minorHAnsi"/>
        </w:rPr>
        <w:t>http://msessd.ioe.edu.np/wp-content/uploads/2017/04/the-point-of-triangulation.pdf</w:t>
      </w:r>
    </w:p>
    <w:p w14:paraId="338B5B53" w14:textId="77777777" w:rsidR="00CC6E4E" w:rsidRPr="00CC6E4E" w:rsidRDefault="00CC6E4E" w:rsidP="00CC6E4E">
      <w:pPr>
        <w:spacing w:line="360" w:lineRule="auto"/>
        <w:jc w:val="both"/>
        <w:rPr>
          <w:rFonts w:asciiTheme="minorHAnsi" w:hAnsiTheme="minorHAnsi" w:cstheme="minorHAnsi"/>
        </w:rPr>
      </w:pPr>
    </w:p>
    <w:p w14:paraId="043B5985" w14:textId="77777777" w:rsidR="00CC6E4E" w:rsidRPr="00CC6E4E" w:rsidRDefault="00CC6E4E" w:rsidP="00CC6E4E">
      <w:pPr>
        <w:spacing w:line="360" w:lineRule="auto"/>
        <w:jc w:val="both"/>
        <w:rPr>
          <w:rFonts w:asciiTheme="minorHAnsi" w:hAnsiTheme="minorHAnsi" w:cstheme="minorHAnsi"/>
        </w:rPr>
      </w:pPr>
      <w:r w:rsidRPr="00CC6E4E">
        <w:rPr>
          <w:rFonts w:asciiTheme="minorHAnsi" w:hAnsiTheme="minorHAnsi" w:cstheme="minorHAnsi"/>
        </w:rPr>
        <w:t xml:space="preserve">Warwick Medical Shool (2007) Short Warwick Edinburgh Mental Well-being Scale. Available at: </w:t>
      </w:r>
      <w:hyperlink r:id="rId15" w:history="1">
        <w:r w:rsidRPr="00CC6E4E">
          <w:rPr>
            <w:rStyle w:val="Hyperlink"/>
            <w:rFonts w:asciiTheme="minorHAnsi" w:hAnsiTheme="minorHAnsi" w:cstheme="minorHAnsi"/>
            <w:color w:val="auto"/>
          </w:rPr>
          <w:t>https://warwick.ac.uk/fac/sci/med/research/platform/wemwbs/about/</w:t>
        </w:r>
      </w:hyperlink>
      <w:r w:rsidRPr="00CC6E4E">
        <w:rPr>
          <w:rFonts w:asciiTheme="minorHAnsi" w:hAnsiTheme="minorHAnsi" w:cstheme="minorHAnsi"/>
        </w:rPr>
        <w:t xml:space="preserve"> (Accessed on: 2 March 2024)</w:t>
      </w:r>
    </w:p>
    <w:p w14:paraId="73E5F90A" w14:textId="77777777" w:rsidR="00CC6E4E" w:rsidRPr="00CC6E4E" w:rsidRDefault="00CC6E4E" w:rsidP="00CC6E4E">
      <w:pPr>
        <w:pStyle w:val="NormalWeb"/>
        <w:spacing w:line="360" w:lineRule="auto"/>
        <w:jc w:val="both"/>
        <w:rPr>
          <w:rFonts w:asciiTheme="minorHAnsi" w:hAnsiTheme="minorHAnsi" w:cstheme="minorHAnsi"/>
        </w:rPr>
      </w:pPr>
    </w:p>
    <w:p w14:paraId="588FD789" w14:textId="77777777" w:rsidR="00CC6E4E" w:rsidRPr="00CC6E4E" w:rsidRDefault="00CC6E4E" w:rsidP="00CC6E4E">
      <w:pPr>
        <w:spacing w:line="360" w:lineRule="auto"/>
        <w:jc w:val="both"/>
        <w:rPr>
          <w:rFonts w:asciiTheme="minorHAnsi" w:hAnsiTheme="minorHAnsi" w:cstheme="minorHAnsi"/>
        </w:rPr>
      </w:pPr>
      <w:r w:rsidRPr="00CC6E4E">
        <w:rPr>
          <w:rFonts w:asciiTheme="minorHAnsi" w:hAnsiTheme="minorHAnsi" w:cstheme="minorHAnsi"/>
        </w:rPr>
        <w:t xml:space="preserve">Welsh Government (2018) </w:t>
      </w:r>
      <w:r w:rsidRPr="00CC6E4E">
        <w:rPr>
          <w:rFonts w:asciiTheme="minorHAnsi" w:hAnsiTheme="minorHAnsi" w:cstheme="minorHAnsi"/>
          <w:i/>
          <w:iCs/>
        </w:rPr>
        <w:t xml:space="preserve">Schools as Learning Organisations. </w:t>
      </w:r>
      <w:r w:rsidRPr="00CC6E4E">
        <w:rPr>
          <w:rFonts w:asciiTheme="minorHAnsi" w:hAnsiTheme="minorHAnsi" w:cstheme="minorHAnsi"/>
        </w:rPr>
        <w:t xml:space="preserve">Available at: </w:t>
      </w:r>
      <w:hyperlink r:id="rId16" w:history="1">
        <w:r w:rsidRPr="00CC6E4E">
          <w:rPr>
            <w:rStyle w:val="Hyperlink"/>
            <w:rFonts w:asciiTheme="minorHAnsi" w:hAnsiTheme="minorHAnsi" w:cstheme="minorHAnsi"/>
            <w:color w:val="auto"/>
          </w:rPr>
          <w:t>https://hwb.gov.wales/api/storage/f87e720f-8568-4a60-9383-55e20b9a1bb7/schools-in-wales-as-learning-organisations.pdf</w:t>
        </w:r>
      </w:hyperlink>
      <w:r w:rsidRPr="00CC6E4E">
        <w:rPr>
          <w:rFonts w:asciiTheme="minorHAnsi" w:hAnsiTheme="minorHAnsi" w:cstheme="minorHAnsi"/>
        </w:rPr>
        <w:t xml:space="preserve"> (Accessed on: 29 February 2024)</w:t>
      </w:r>
    </w:p>
    <w:p w14:paraId="214C99FC" w14:textId="77777777" w:rsidR="00CC6E4E" w:rsidRPr="00CC6E4E" w:rsidRDefault="00CC6E4E" w:rsidP="00CC6E4E">
      <w:pPr>
        <w:spacing w:line="360" w:lineRule="auto"/>
        <w:jc w:val="both"/>
        <w:rPr>
          <w:rFonts w:asciiTheme="minorHAnsi" w:hAnsiTheme="minorHAnsi" w:cstheme="minorHAnsi"/>
        </w:rPr>
      </w:pPr>
    </w:p>
    <w:p w14:paraId="12BC0BA7" w14:textId="77777777" w:rsidR="00CC6E4E" w:rsidRPr="00CC6E4E" w:rsidRDefault="00CC6E4E" w:rsidP="00CC6E4E">
      <w:pPr>
        <w:pStyle w:val="NormalWeb"/>
        <w:spacing w:line="360" w:lineRule="auto"/>
        <w:jc w:val="both"/>
        <w:rPr>
          <w:rFonts w:asciiTheme="minorHAnsi" w:hAnsiTheme="minorHAnsi" w:cstheme="minorHAnsi"/>
        </w:rPr>
      </w:pPr>
      <w:r w:rsidRPr="00CC6E4E">
        <w:rPr>
          <w:rFonts w:asciiTheme="minorHAnsi" w:hAnsiTheme="minorHAnsi" w:cstheme="minorHAnsi"/>
        </w:rPr>
        <w:t>Welsh Government (2021)</w:t>
      </w:r>
      <w:hyperlink r:id="rId17" w:history="1">
        <w:r w:rsidRPr="00CC6E4E">
          <w:rPr>
            <w:rStyle w:val="Hyperlink"/>
            <w:rFonts w:asciiTheme="minorHAnsi" w:hAnsiTheme="minorHAnsi" w:cstheme="minorHAnsi"/>
            <w:color w:val="auto"/>
          </w:rPr>
          <w:t>https://www.gov.wales/sites/default/files/publications/2022-06/220622-the-additional-learning-needs-code-for-wales-2021.pdf</w:t>
        </w:r>
      </w:hyperlink>
    </w:p>
    <w:p w14:paraId="5317B47F" w14:textId="77777777" w:rsidR="00CC6E4E" w:rsidRPr="00CC6E4E" w:rsidRDefault="00CC6E4E" w:rsidP="00CC6E4E">
      <w:pPr>
        <w:spacing w:line="360" w:lineRule="auto"/>
        <w:jc w:val="both"/>
        <w:rPr>
          <w:rFonts w:asciiTheme="minorHAnsi" w:hAnsiTheme="minorHAnsi" w:cstheme="minorHAnsi"/>
        </w:rPr>
      </w:pPr>
    </w:p>
    <w:p w14:paraId="4F745A21" w14:textId="77777777" w:rsidR="00CC6E4E" w:rsidRPr="00CC6E4E" w:rsidRDefault="00CC6E4E" w:rsidP="00CC6E4E">
      <w:pPr>
        <w:spacing w:line="360" w:lineRule="auto"/>
        <w:jc w:val="both"/>
        <w:rPr>
          <w:rFonts w:asciiTheme="minorHAnsi" w:hAnsiTheme="minorHAnsi" w:cstheme="minorHAnsi"/>
        </w:rPr>
      </w:pPr>
      <w:r w:rsidRPr="00CC6E4E">
        <w:rPr>
          <w:rFonts w:asciiTheme="minorHAnsi" w:hAnsiTheme="minorHAnsi" w:cstheme="minorHAnsi"/>
        </w:rPr>
        <w:t>Welsh Government (2022)</w:t>
      </w:r>
      <w:r w:rsidRPr="00CC6E4E">
        <w:rPr>
          <w:rFonts w:asciiTheme="minorHAnsi" w:hAnsiTheme="minorHAnsi" w:cstheme="minorHAnsi"/>
          <w:i/>
          <w:iCs/>
        </w:rPr>
        <w:t xml:space="preserve"> School Improvement Guidance: Framework for Evaluation, Improvement and Accountability. </w:t>
      </w:r>
      <w:r w:rsidRPr="00CC6E4E">
        <w:rPr>
          <w:rFonts w:asciiTheme="minorHAnsi" w:hAnsiTheme="minorHAnsi" w:cstheme="minorHAnsi"/>
        </w:rPr>
        <w:t xml:space="preserve">Available at: </w:t>
      </w:r>
      <w:hyperlink r:id="rId18" w:history="1">
        <w:r w:rsidRPr="00CC6E4E">
          <w:rPr>
            <w:rStyle w:val="Hyperlink"/>
            <w:rFonts w:asciiTheme="minorHAnsi" w:hAnsiTheme="minorHAnsi" w:cstheme="minorHAnsi"/>
            <w:color w:val="auto"/>
          </w:rPr>
          <w:t>https://hwb.gov.wales/evaluation-improvement-and-accountability/school-improvement-guidance-framework-for-evaluation-improvement-and-accountability/</w:t>
        </w:r>
      </w:hyperlink>
      <w:r w:rsidRPr="00CC6E4E">
        <w:rPr>
          <w:rFonts w:asciiTheme="minorHAnsi" w:hAnsiTheme="minorHAnsi" w:cstheme="minorHAnsi"/>
        </w:rPr>
        <w:t xml:space="preserve"> (Accessed on: 29 February 2024)</w:t>
      </w:r>
    </w:p>
    <w:p w14:paraId="3DB296B4" w14:textId="77777777" w:rsidR="00CC6E4E" w:rsidRPr="00CC6E4E" w:rsidRDefault="00CC6E4E" w:rsidP="00CC6E4E">
      <w:pPr>
        <w:spacing w:line="360" w:lineRule="auto"/>
        <w:jc w:val="both"/>
        <w:rPr>
          <w:rFonts w:asciiTheme="minorHAnsi" w:hAnsiTheme="minorHAnsi" w:cstheme="minorHAnsi"/>
        </w:rPr>
      </w:pPr>
    </w:p>
    <w:p w14:paraId="074C54C1" w14:textId="77777777" w:rsidR="00CC6E4E" w:rsidRPr="00CC6E4E" w:rsidRDefault="00CC6E4E" w:rsidP="00CC6E4E">
      <w:pPr>
        <w:pStyle w:val="NormalWeb"/>
        <w:spacing w:before="360" w:after="360" w:line="360" w:lineRule="auto"/>
        <w:jc w:val="both"/>
        <w:rPr>
          <w:rFonts w:asciiTheme="minorHAnsi" w:hAnsiTheme="minorHAnsi" w:cstheme="minorHAnsi"/>
        </w:rPr>
      </w:pPr>
      <w:r w:rsidRPr="00CC6E4E">
        <w:rPr>
          <w:rFonts w:asciiTheme="minorHAnsi" w:hAnsiTheme="minorHAnsi" w:cstheme="minorHAnsi"/>
        </w:rPr>
        <w:t xml:space="preserve">Welsh Government (2022) </w:t>
      </w:r>
      <w:r w:rsidRPr="00CC6E4E">
        <w:rPr>
          <w:rFonts w:asciiTheme="minorHAnsi" w:hAnsiTheme="minorHAnsi" w:cstheme="minorHAnsi"/>
          <w:i/>
          <w:iCs/>
        </w:rPr>
        <w:t>Developing a vision for curriculum design.</w:t>
      </w:r>
      <w:r w:rsidRPr="00CC6E4E">
        <w:rPr>
          <w:rFonts w:asciiTheme="minorHAnsi" w:hAnsiTheme="minorHAnsi" w:cstheme="minorHAnsi"/>
        </w:rPr>
        <w:t xml:space="preserve"> Available at: </w:t>
      </w:r>
      <w:r w:rsidRPr="00CC6E4E">
        <w:rPr>
          <w:rFonts w:asciiTheme="minorHAnsi" w:hAnsiTheme="minorHAnsi" w:cstheme="minorHAnsi"/>
        </w:rPr>
        <w:fldChar w:fldCharType="begin"/>
      </w:r>
      <w:r w:rsidRPr="00CC6E4E">
        <w:rPr>
          <w:rFonts w:asciiTheme="minorHAnsi" w:hAnsiTheme="minorHAnsi" w:cstheme="minorHAnsi"/>
        </w:rPr>
        <w:instrText>HYPERLINK "https://hwb.gov.wales/curriculum-for-wales/designing-your-curriculum/developing-a-vision-for-curriculum-design/"</w:instrText>
      </w:r>
      <w:r w:rsidRPr="00CC6E4E">
        <w:rPr>
          <w:rFonts w:asciiTheme="minorHAnsi" w:hAnsiTheme="minorHAnsi" w:cstheme="minorHAnsi"/>
        </w:rPr>
      </w:r>
      <w:r w:rsidRPr="00CC6E4E">
        <w:rPr>
          <w:rFonts w:asciiTheme="minorHAnsi" w:hAnsiTheme="minorHAnsi" w:cstheme="minorHAnsi"/>
        </w:rPr>
        <w:fldChar w:fldCharType="separate"/>
      </w:r>
      <w:r w:rsidRPr="00CC6E4E">
        <w:rPr>
          <w:rStyle w:val="Hyperlink"/>
          <w:rFonts w:asciiTheme="minorHAnsi" w:hAnsiTheme="minorHAnsi" w:cstheme="minorHAnsi"/>
          <w:color w:val="auto"/>
        </w:rPr>
        <w:t>https://hwb.gov.wales/curriculum-for-wales/designing-your-curriculum/developing-a-vision-for-curriculum-design/</w:t>
      </w:r>
      <w:r w:rsidRPr="00CC6E4E">
        <w:rPr>
          <w:rStyle w:val="Hyperlink"/>
          <w:rFonts w:asciiTheme="minorHAnsi" w:hAnsiTheme="minorHAnsi" w:cstheme="minorHAnsi"/>
          <w:color w:val="auto"/>
        </w:rPr>
        <w:fldChar w:fldCharType="end"/>
      </w:r>
      <w:r w:rsidRPr="00CC6E4E">
        <w:rPr>
          <w:rFonts w:asciiTheme="minorHAnsi" w:hAnsiTheme="minorHAnsi" w:cstheme="minorHAnsi"/>
        </w:rPr>
        <w:t>(Accessed on: 29 February 2024)</w:t>
      </w:r>
    </w:p>
    <w:p w14:paraId="165C3008" w14:textId="77777777" w:rsidR="00CC6E4E" w:rsidRPr="00CC6E4E" w:rsidRDefault="00CC6E4E" w:rsidP="00CC6E4E">
      <w:pPr>
        <w:pStyle w:val="Heading1"/>
        <w:spacing w:before="0" w:after="375"/>
        <w:rPr>
          <w:rFonts w:asciiTheme="minorHAnsi" w:hAnsiTheme="minorHAnsi" w:cstheme="minorHAnsi"/>
          <w:color w:val="auto"/>
          <w:sz w:val="24"/>
          <w:szCs w:val="24"/>
        </w:rPr>
      </w:pPr>
      <w:r w:rsidRPr="00CC6E4E">
        <w:rPr>
          <w:rFonts w:asciiTheme="minorHAnsi" w:hAnsiTheme="minorHAnsi" w:cstheme="minorHAnsi"/>
          <w:color w:val="auto"/>
          <w:sz w:val="24"/>
          <w:szCs w:val="24"/>
        </w:rPr>
        <w:lastRenderedPageBreak/>
        <w:t xml:space="preserve">Welsh Government (2023) Exclusions from Maintained Schools: September 2021 to August 2022. Available at: </w:t>
      </w:r>
      <w:hyperlink r:id="rId19" w:history="1">
        <w:r w:rsidRPr="00CC6E4E">
          <w:rPr>
            <w:rStyle w:val="Hyperlink"/>
            <w:rFonts w:asciiTheme="minorHAnsi" w:hAnsiTheme="minorHAnsi" w:cstheme="minorHAnsi"/>
            <w:color w:val="auto"/>
            <w:sz w:val="24"/>
            <w:szCs w:val="24"/>
          </w:rPr>
          <w:t>https://w</w:t>
        </w:r>
        <w:r w:rsidRPr="00CC6E4E">
          <w:rPr>
            <w:rStyle w:val="Hyperlink"/>
            <w:rFonts w:asciiTheme="minorHAnsi" w:hAnsiTheme="minorHAnsi" w:cstheme="minorHAnsi"/>
            <w:color w:val="auto"/>
            <w:sz w:val="24"/>
            <w:szCs w:val="24"/>
          </w:rPr>
          <w:t>w</w:t>
        </w:r>
        <w:r w:rsidRPr="00CC6E4E">
          <w:rPr>
            <w:rStyle w:val="Hyperlink"/>
            <w:rFonts w:asciiTheme="minorHAnsi" w:hAnsiTheme="minorHAnsi" w:cstheme="minorHAnsi"/>
            <w:color w:val="auto"/>
            <w:sz w:val="24"/>
            <w:szCs w:val="24"/>
          </w:rPr>
          <w:t>w.g</w:t>
        </w:r>
        <w:r w:rsidRPr="00CC6E4E">
          <w:rPr>
            <w:rStyle w:val="Hyperlink"/>
            <w:rFonts w:asciiTheme="minorHAnsi" w:hAnsiTheme="minorHAnsi" w:cstheme="minorHAnsi"/>
            <w:color w:val="auto"/>
            <w:sz w:val="24"/>
            <w:szCs w:val="24"/>
          </w:rPr>
          <w:t>o</w:t>
        </w:r>
        <w:r w:rsidRPr="00CC6E4E">
          <w:rPr>
            <w:rStyle w:val="Hyperlink"/>
            <w:rFonts w:asciiTheme="minorHAnsi" w:hAnsiTheme="minorHAnsi" w:cstheme="minorHAnsi"/>
            <w:color w:val="auto"/>
            <w:sz w:val="24"/>
            <w:szCs w:val="24"/>
          </w:rPr>
          <w:t>v.wales/exclusions-maintained-schools-september-2021-august-2022-html#133805</w:t>
        </w:r>
      </w:hyperlink>
      <w:r w:rsidRPr="00CC6E4E">
        <w:rPr>
          <w:rFonts w:asciiTheme="minorHAnsi" w:hAnsiTheme="minorHAnsi" w:cstheme="minorHAnsi"/>
          <w:color w:val="auto"/>
          <w:sz w:val="24"/>
          <w:szCs w:val="24"/>
        </w:rPr>
        <w:t xml:space="preserve"> (Accessed on 3 march 2024)</w:t>
      </w:r>
    </w:p>
    <w:p w14:paraId="69AB540F" w14:textId="77777777" w:rsidR="00CC6E4E" w:rsidRPr="00CC6E4E" w:rsidRDefault="00CC6E4E" w:rsidP="00CC6E4E">
      <w:pPr>
        <w:spacing w:line="360" w:lineRule="auto"/>
        <w:jc w:val="both"/>
        <w:rPr>
          <w:rFonts w:asciiTheme="minorHAnsi" w:hAnsiTheme="minorHAnsi" w:cstheme="minorHAnsi"/>
        </w:rPr>
      </w:pPr>
      <w:r w:rsidRPr="00CC6E4E">
        <w:rPr>
          <w:rFonts w:asciiTheme="minorHAnsi" w:hAnsiTheme="minorHAnsi" w:cstheme="minorHAnsi"/>
        </w:rPr>
        <w:t xml:space="preserve">Welsh Government (2023) Our National Mission </w:t>
      </w:r>
      <w:r w:rsidRPr="00CC6E4E">
        <w:rPr>
          <w:rFonts w:asciiTheme="minorHAnsi" w:hAnsiTheme="minorHAnsi" w:cstheme="minorHAnsi"/>
        </w:rPr>
        <w:t xml:space="preserve">Available at: </w:t>
      </w:r>
      <w:hyperlink r:id="rId20" w:history="1">
        <w:r w:rsidRPr="00CC6E4E">
          <w:rPr>
            <w:rStyle w:val="Hyperlink"/>
            <w:rFonts w:asciiTheme="minorHAnsi" w:hAnsiTheme="minorHAnsi" w:cstheme="minorHAnsi"/>
            <w:color w:val="auto"/>
          </w:rPr>
          <w:t>https://www.gov.wales/sites/default/files/publications/2023-03/our-national-mission-high-standards-and-aspirations-for-all_0.pdf</w:t>
        </w:r>
      </w:hyperlink>
      <w:r w:rsidRPr="00CC6E4E">
        <w:rPr>
          <w:rStyle w:val="Hyperlink"/>
          <w:rFonts w:asciiTheme="minorHAnsi" w:hAnsiTheme="minorHAnsi" w:cstheme="minorHAnsi"/>
          <w:color w:val="auto"/>
        </w:rPr>
        <w:t xml:space="preserve"> </w:t>
      </w:r>
      <w:r w:rsidRPr="00CC6E4E">
        <w:rPr>
          <w:rFonts w:asciiTheme="minorHAnsi" w:hAnsiTheme="minorHAnsi" w:cstheme="minorHAnsi"/>
        </w:rPr>
        <w:t>(Accessed on 3 march 2024)</w:t>
      </w:r>
    </w:p>
    <w:p w14:paraId="6CC4A348" w14:textId="77777777" w:rsidR="00CC6E4E" w:rsidRPr="00CC6E4E" w:rsidRDefault="00CC6E4E" w:rsidP="00CC6E4E">
      <w:pPr>
        <w:spacing w:line="360" w:lineRule="auto"/>
        <w:jc w:val="both"/>
        <w:rPr>
          <w:rFonts w:asciiTheme="minorHAnsi" w:hAnsiTheme="minorHAnsi" w:cstheme="minorHAnsi"/>
        </w:rPr>
      </w:pPr>
    </w:p>
    <w:p w14:paraId="4EB8E735" w14:textId="77777777" w:rsidR="00CC6E4E" w:rsidRPr="00CC6E4E" w:rsidRDefault="00CC6E4E" w:rsidP="00CC6E4E">
      <w:pPr>
        <w:spacing w:line="360" w:lineRule="auto"/>
        <w:jc w:val="both"/>
        <w:rPr>
          <w:rFonts w:asciiTheme="minorHAnsi" w:hAnsiTheme="minorHAnsi" w:cstheme="minorHAnsi"/>
        </w:rPr>
      </w:pPr>
      <w:r w:rsidRPr="00CC6E4E">
        <w:rPr>
          <w:rFonts w:asciiTheme="minorHAnsi" w:hAnsiTheme="minorHAnsi" w:cstheme="minorHAnsi"/>
        </w:rPr>
        <w:t xml:space="preserve">Welsh Government (2024) </w:t>
      </w:r>
      <w:r w:rsidRPr="00CC6E4E">
        <w:rPr>
          <w:rFonts w:asciiTheme="minorHAnsi" w:hAnsiTheme="minorHAnsi" w:cstheme="minorHAnsi"/>
          <w:i/>
          <w:iCs/>
        </w:rPr>
        <w:t xml:space="preserve">My Local School: Sharing Information About Local Schools: </w:t>
      </w:r>
      <w:r w:rsidRPr="00CC6E4E">
        <w:rPr>
          <w:rFonts w:asciiTheme="minorHAnsi" w:hAnsiTheme="minorHAnsi" w:cstheme="minorHAnsi"/>
          <w:i/>
          <w:iCs/>
          <w:highlight w:val="black"/>
        </w:rPr>
        <w:t>Rhws County Primary School</w:t>
      </w:r>
      <w:r w:rsidRPr="00CC6E4E">
        <w:rPr>
          <w:rFonts w:asciiTheme="minorHAnsi" w:hAnsiTheme="minorHAnsi" w:cstheme="minorHAnsi"/>
          <w:i/>
          <w:iCs/>
        </w:rPr>
        <w:t>.</w:t>
      </w:r>
      <w:r w:rsidRPr="00CC6E4E">
        <w:rPr>
          <w:rFonts w:asciiTheme="minorHAnsi" w:hAnsiTheme="minorHAnsi" w:cstheme="minorHAnsi"/>
        </w:rPr>
        <w:t xml:space="preserve"> Available at: https://mylocalschool.gov.wales/School/</w:t>
      </w:r>
      <w:r w:rsidRPr="00CC6E4E">
        <w:rPr>
          <w:rFonts w:asciiTheme="minorHAnsi" w:hAnsiTheme="minorHAnsi" w:cstheme="minorHAnsi"/>
          <w:highlight w:val="black"/>
        </w:rPr>
        <w:t>6732133</w:t>
      </w:r>
      <w:r w:rsidRPr="00CC6E4E">
        <w:rPr>
          <w:rFonts w:asciiTheme="minorHAnsi" w:hAnsiTheme="minorHAnsi" w:cstheme="minorHAnsi"/>
        </w:rPr>
        <w:t>?lang=en (Accessed on: 7 February 2024)</w:t>
      </w:r>
    </w:p>
    <w:p w14:paraId="268AC561" w14:textId="77777777" w:rsidR="00CC6E4E" w:rsidRPr="002A2F9D" w:rsidRDefault="00CC6E4E" w:rsidP="00CC6E4E">
      <w:pPr>
        <w:spacing w:line="360" w:lineRule="auto"/>
        <w:jc w:val="both"/>
        <w:rPr>
          <w:rFonts w:asciiTheme="minorHAnsi" w:hAnsiTheme="minorHAnsi" w:cstheme="minorHAnsi"/>
        </w:rPr>
      </w:pPr>
    </w:p>
    <w:p w14:paraId="34C2EE02" w14:textId="77777777" w:rsidR="00CC6E4E" w:rsidRPr="002A2F9D" w:rsidRDefault="00CC6E4E" w:rsidP="00CC6E4E">
      <w:pPr>
        <w:spacing w:line="360" w:lineRule="auto"/>
        <w:jc w:val="both"/>
        <w:rPr>
          <w:rFonts w:asciiTheme="minorHAnsi" w:hAnsiTheme="minorHAnsi" w:cstheme="minorHAnsi"/>
        </w:rPr>
      </w:pPr>
    </w:p>
    <w:p w14:paraId="35319F6A" w14:textId="77777777" w:rsidR="00CC6E4E" w:rsidRPr="002A2F9D" w:rsidRDefault="00CC6E4E" w:rsidP="00CC6E4E">
      <w:pPr>
        <w:spacing w:line="360" w:lineRule="auto"/>
        <w:jc w:val="both"/>
        <w:rPr>
          <w:rFonts w:asciiTheme="minorHAnsi" w:hAnsiTheme="minorHAnsi" w:cstheme="minorHAnsi"/>
        </w:rPr>
      </w:pPr>
    </w:p>
    <w:p w14:paraId="4BBD736F" w14:textId="77777777" w:rsidR="00CC6E4E" w:rsidRPr="002A2F9D" w:rsidRDefault="00CC6E4E" w:rsidP="00CC6E4E">
      <w:pPr>
        <w:spacing w:line="360" w:lineRule="auto"/>
        <w:jc w:val="both"/>
        <w:rPr>
          <w:rFonts w:asciiTheme="minorHAnsi" w:hAnsiTheme="minorHAnsi" w:cstheme="minorHAnsi"/>
        </w:rPr>
      </w:pPr>
    </w:p>
    <w:p w14:paraId="3E023F91" w14:textId="77777777" w:rsidR="00CC6E4E" w:rsidRPr="002A2F9D" w:rsidRDefault="00CC6E4E" w:rsidP="00CC6E4E">
      <w:pPr>
        <w:spacing w:line="360" w:lineRule="auto"/>
        <w:jc w:val="both"/>
        <w:rPr>
          <w:rFonts w:asciiTheme="minorHAnsi" w:hAnsiTheme="minorHAnsi" w:cstheme="minorHAnsi"/>
        </w:rPr>
      </w:pPr>
    </w:p>
    <w:p w14:paraId="1E8062BF" w14:textId="77777777" w:rsidR="00B03114" w:rsidRDefault="00B03114" w:rsidP="00FD69C1">
      <w:pPr>
        <w:spacing w:line="360" w:lineRule="auto"/>
        <w:rPr>
          <w:color w:val="FF0000"/>
        </w:rPr>
      </w:pPr>
    </w:p>
    <w:p w14:paraId="786EDED2" w14:textId="77777777" w:rsidR="00B03114" w:rsidRDefault="00B03114" w:rsidP="00FD69C1">
      <w:pPr>
        <w:spacing w:line="360" w:lineRule="auto"/>
        <w:rPr>
          <w:color w:val="FF0000"/>
        </w:rPr>
      </w:pPr>
    </w:p>
    <w:p w14:paraId="1C26DAD6" w14:textId="77777777" w:rsidR="00B03114" w:rsidRDefault="00B03114" w:rsidP="00FD69C1">
      <w:pPr>
        <w:spacing w:line="360" w:lineRule="auto"/>
        <w:rPr>
          <w:color w:val="FF0000"/>
        </w:rPr>
      </w:pPr>
    </w:p>
    <w:p w14:paraId="0BDDBA6F" w14:textId="77777777" w:rsidR="00B03114" w:rsidRDefault="00B03114" w:rsidP="00FD69C1">
      <w:pPr>
        <w:spacing w:line="360" w:lineRule="auto"/>
        <w:rPr>
          <w:color w:val="FF0000"/>
        </w:rPr>
      </w:pPr>
    </w:p>
    <w:p w14:paraId="16AFAE1B" w14:textId="77777777" w:rsidR="00B03114" w:rsidRDefault="00B03114" w:rsidP="00FD69C1">
      <w:pPr>
        <w:spacing w:line="360" w:lineRule="auto"/>
        <w:rPr>
          <w:color w:val="FF0000"/>
        </w:rPr>
      </w:pPr>
    </w:p>
    <w:p w14:paraId="46117378" w14:textId="77777777" w:rsidR="00B03114" w:rsidRDefault="00B03114" w:rsidP="00FD69C1">
      <w:pPr>
        <w:spacing w:line="360" w:lineRule="auto"/>
        <w:rPr>
          <w:color w:val="FF0000"/>
        </w:rPr>
      </w:pPr>
    </w:p>
    <w:p w14:paraId="3D8E88B8" w14:textId="77777777" w:rsidR="00B03114" w:rsidRDefault="00B03114" w:rsidP="00FD69C1">
      <w:pPr>
        <w:spacing w:line="360" w:lineRule="auto"/>
        <w:rPr>
          <w:color w:val="FF0000"/>
        </w:rPr>
      </w:pPr>
    </w:p>
    <w:p w14:paraId="7E2F6643" w14:textId="77777777" w:rsidR="00B03114" w:rsidRDefault="00B03114" w:rsidP="00FD69C1">
      <w:pPr>
        <w:spacing w:line="360" w:lineRule="auto"/>
        <w:rPr>
          <w:color w:val="FF0000"/>
        </w:rPr>
      </w:pPr>
    </w:p>
    <w:p w14:paraId="0A225701" w14:textId="77777777" w:rsidR="00B03114" w:rsidRDefault="00B03114" w:rsidP="00FD69C1">
      <w:pPr>
        <w:spacing w:line="360" w:lineRule="auto"/>
        <w:rPr>
          <w:color w:val="FF0000"/>
        </w:rPr>
      </w:pPr>
    </w:p>
    <w:p w14:paraId="1025236F" w14:textId="77777777" w:rsidR="00B03114" w:rsidRDefault="00B03114" w:rsidP="00FD69C1">
      <w:pPr>
        <w:spacing w:line="360" w:lineRule="auto"/>
        <w:rPr>
          <w:color w:val="FF0000"/>
        </w:rPr>
      </w:pPr>
    </w:p>
    <w:p w14:paraId="365CEC90" w14:textId="77777777" w:rsidR="00B03114" w:rsidRDefault="00B03114" w:rsidP="00FD69C1">
      <w:pPr>
        <w:spacing w:line="360" w:lineRule="auto"/>
        <w:rPr>
          <w:color w:val="FF0000"/>
        </w:rPr>
      </w:pPr>
    </w:p>
    <w:p w14:paraId="083F665E" w14:textId="77777777" w:rsidR="00B03114" w:rsidRDefault="00B03114" w:rsidP="00FD69C1">
      <w:pPr>
        <w:spacing w:line="360" w:lineRule="auto"/>
        <w:rPr>
          <w:color w:val="FF0000"/>
        </w:rPr>
      </w:pPr>
    </w:p>
    <w:p w14:paraId="4F242E4C" w14:textId="77777777" w:rsidR="00B03114" w:rsidRDefault="00B03114" w:rsidP="00FD69C1">
      <w:pPr>
        <w:spacing w:line="360" w:lineRule="auto"/>
        <w:rPr>
          <w:color w:val="FF0000"/>
        </w:rPr>
      </w:pPr>
    </w:p>
    <w:p w14:paraId="389A5CF8" w14:textId="77777777" w:rsidR="00B03114" w:rsidRDefault="00B03114" w:rsidP="00FD69C1">
      <w:pPr>
        <w:spacing w:line="360" w:lineRule="auto"/>
        <w:rPr>
          <w:color w:val="FF0000"/>
        </w:rPr>
      </w:pPr>
    </w:p>
    <w:p w14:paraId="0ECD93BC" w14:textId="77777777" w:rsidR="00B03114" w:rsidRDefault="00B03114" w:rsidP="00FD69C1">
      <w:pPr>
        <w:spacing w:line="360" w:lineRule="auto"/>
        <w:rPr>
          <w:color w:val="FF0000"/>
        </w:rPr>
      </w:pPr>
    </w:p>
    <w:p w14:paraId="1D743B70" w14:textId="77777777" w:rsidR="00B03114" w:rsidRDefault="00B03114" w:rsidP="00FD69C1">
      <w:pPr>
        <w:spacing w:line="360" w:lineRule="auto"/>
        <w:rPr>
          <w:color w:val="FF0000"/>
        </w:rPr>
      </w:pPr>
    </w:p>
    <w:p w14:paraId="5FEFF3CE" w14:textId="77777777" w:rsidR="00B54D89" w:rsidRPr="00B03114" w:rsidRDefault="00B54D89" w:rsidP="00FD69C1">
      <w:pPr>
        <w:pStyle w:val="NormalWeb"/>
        <w:spacing w:line="360" w:lineRule="auto"/>
        <w:jc w:val="both"/>
        <w:rPr>
          <w:rFonts w:asciiTheme="minorHAnsi" w:hAnsiTheme="minorHAnsi" w:cstheme="minorHAnsi"/>
          <w:color w:val="70AD47" w:themeColor="accent6"/>
          <w:u w:val="single"/>
        </w:rPr>
      </w:pPr>
    </w:p>
    <w:sectPr w:rsidR="00B54D89" w:rsidRPr="00B031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31CC6"/>
    <w:multiLevelType w:val="multilevel"/>
    <w:tmpl w:val="18C0E3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6773D8"/>
    <w:multiLevelType w:val="multilevel"/>
    <w:tmpl w:val="C6E6F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B545413"/>
    <w:multiLevelType w:val="multilevel"/>
    <w:tmpl w:val="4D6C9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EF0ECB"/>
    <w:multiLevelType w:val="hybridMultilevel"/>
    <w:tmpl w:val="7CECF2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8A4597"/>
    <w:multiLevelType w:val="multilevel"/>
    <w:tmpl w:val="F24E61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C21377"/>
    <w:multiLevelType w:val="multilevel"/>
    <w:tmpl w:val="C17C5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672291"/>
    <w:multiLevelType w:val="multilevel"/>
    <w:tmpl w:val="99EC836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0C72A0"/>
    <w:multiLevelType w:val="hybridMultilevel"/>
    <w:tmpl w:val="71B83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862F57"/>
    <w:multiLevelType w:val="multilevel"/>
    <w:tmpl w:val="A16E7B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C7F7C16"/>
    <w:multiLevelType w:val="multilevel"/>
    <w:tmpl w:val="7026F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48B21BA"/>
    <w:multiLevelType w:val="hybridMultilevel"/>
    <w:tmpl w:val="1A78D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271411"/>
    <w:multiLevelType w:val="multilevel"/>
    <w:tmpl w:val="F83013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DA715E4"/>
    <w:multiLevelType w:val="multilevel"/>
    <w:tmpl w:val="DE6C8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05E4BD2"/>
    <w:multiLevelType w:val="multilevel"/>
    <w:tmpl w:val="EBFA6F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4346D6D"/>
    <w:multiLevelType w:val="multilevel"/>
    <w:tmpl w:val="9768E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8090167"/>
    <w:multiLevelType w:val="multilevel"/>
    <w:tmpl w:val="0C5EB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C012A5B"/>
    <w:multiLevelType w:val="multilevel"/>
    <w:tmpl w:val="212C0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C570D28"/>
    <w:multiLevelType w:val="multilevel"/>
    <w:tmpl w:val="D73E1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1DD7DCE"/>
    <w:multiLevelType w:val="hybridMultilevel"/>
    <w:tmpl w:val="A4C2385E"/>
    <w:lvl w:ilvl="0" w:tplc="B336A44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A892A65"/>
    <w:multiLevelType w:val="multilevel"/>
    <w:tmpl w:val="4D786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B802734"/>
    <w:multiLevelType w:val="multilevel"/>
    <w:tmpl w:val="8384B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F1853BF"/>
    <w:multiLevelType w:val="multilevel"/>
    <w:tmpl w:val="1B5CE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1513A19"/>
    <w:multiLevelType w:val="multilevel"/>
    <w:tmpl w:val="1EC49F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1D423D8"/>
    <w:multiLevelType w:val="multilevel"/>
    <w:tmpl w:val="C25010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A5F6724"/>
    <w:multiLevelType w:val="multilevel"/>
    <w:tmpl w:val="3D149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ADC14B1"/>
    <w:multiLevelType w:val="multilevel"/>
    <w:tmpl w:val="DB82B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0399696">
    <w:abstractNumId w:val="6"/>
  </w:num>
  <w:num w:numId="2" w16cid:durableId="824400698">
    <w:abstractNumId w:val="7"/>
  </w:num>
  <w:num w:numId="3" w16cid:durableId="762342190">
    <w:abstractNumId w:val="1"/>
  </w:num>
  <w:num w:numId="4" w16cid:durableId="974486340">
    <w:abstractNumId w:val="0"/>
  </w:num>
  <w:num w:numId="5" w16cid:durableId="2042977049">
    <w:abstractNumId w:val="10"/>
  </w:num>
  <w:num w:numId="6" w16cid:durableId="966549448">
    <w:abstractNumId w:val="18"/>
  </w:num>
  <w:num w:numId="7" w16cid:durableId="1027756910">
    <w:abstractNumId w:val="8"/>
  </w:num>
  <w:num w:numId="8" w16cid:durableId="992754162">
    <w:abstractNumId w:val="17"/>
  </w:num>
  <w:num w:numId="9" w16cid:durableId="2094542501">
    <w:abstractNumId w:val="25"/>
  </w:num>
  <w:num w:numId="10" w16cid:durableId="1763260524">
    <w:abstractNumId w:val="11"/>
  </w:num>
  <w:num w:numId="11" w16cid:durableId="1421565895">
    <w:abstractNumId w:val="19"/>
  </w:num>
  <w:num w:numId="12" w16cid:durableId="1401175144">
    <w:abstractNumId w:val="21"/>
  </w:num>
  <w:num w:numId="13" w16cid:durableId="326135858">
    <w:abstractNumId w:val="9"/>
  </w:num>
  <w:num w:numId="14" w16cid:durableId="873418780">
    <w:abstractNumId w:val="5"/>
  </w:num>
  <w:num w:numId="15" w16cid:durableId="1323046209">
    <w:abstractNumId w:val="23"/>
  </w:num>
  <w:num w:numId="16" w16cid:durableId="289168677">
    <w:abstractNumId w:val="12"/>
  </w:num>
  <w:num w:numId="17" w16cid:durableId="20280580">
    <w:abstractNumId w:val="4"/>
  </w:num>
  <w:num w:numId="18" w16cid:durableId="140007673">
    <w:abstractNumId w:val="24"/>
  </w:num>
  <w:num w:numId="19" w16cid:durableId="1968706865">
    <w:abstractNumId w:val="2"/>
  </w:num>
  <w:num w:numId="20" w16cid:durableId="1976593958">
    <w:abstractNumId w:val="13"/>
  </w:num>
  <w:num w:numId="21" w16cid:durableId="448207721">
    <w:abstractNumId w:val="20"/>
  </w:num>
  <w:num w:numId="22" w16cid:durableId="2124424889">
    <w:abstractNumId w:val="14"/>
  </w:num>
  <w:num w:numId="23" w16cid:durableId="800343034">
    <w:abstractNumId w:val="15"/>
  </w:num>
  <w:num w:numId="24" w16cid:durableId="1894735987">
    <w:abstractNumId w:val="22"/>
  </w:num>
  <w:num w:numId="25" w16cid:durableId="583690987">
    <w:abstractNumId w:val="3"/>
  </w:num>
  <w:num w:numId="26" w16cid:durableId="180022046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114E"/>
    <w:rsid w:val="00013C6B"/>
    <w:rsid w:val="000172B5"/>
    <w:rsid w:val="00021E85"/>
    <w:rsid w:val="0003210C"/>
    <w:rsid w:val="000413EA"/>
    <w:rsid w:val="00042DC1"/>
    <w:rsid w:val="000432EE"/>
    <w:rsid w:val="00051518"/>
    <w:rsid w:val="000706D3"/>
    <w:rsid w:val="00087075"/>
    <w:rsid w:val="000939DF"/>
    <w:rsid w:val="00095206"/>
    <w:rsid w:val="000D49C4"/>
    <w:rsid w:val="000F0E49"/>
    <w:rsid w:val="00100D2B"/>
    <w:rsid w:val="00110001"/>
    <w:rsid w:val="00115886"/>
    <w:rsid w:val="0012095F"/>
    <w:rsid w:val="00126094"/>
    <w:rsid w:val="00130CC5"/>
    <w:rsid w:val="00132D7A"/>
    <w:rsid w:val="00136410"/>
    <w:rsid w:val="00144183"/>
    <w:rsid w:val="00162064"/>
    <w:rsid w:val="001739DE"/>
    <w:rsid w:val="00181CCB"/>
    <w:rsid w:val="00190018"/>
    <w:rsid w:val="00193B9B"/>
    <w:rsid w:val="00195135"/>
    <w:rsid w:val="001B0644"/>
    <w:rsid w:val="001B6B37"/>
    <w:rsid w:val="001C31EA"/>
    <w:rsid w:val="001D6146"/>
    <w:rsid w:val="001E08E5"/>
    <w:rsid w:val="001E0B78"/>
    <w:rsid w:val="001F0710"/>
    <w:rsid w:val="001F1DEF"/>
    <w:rsid w:val="001F7E61"/>
    <w:rsid w:val="00200D44"/>
    <w:rsid w:val="002248BC"/>
    <w:rsid w:val="00230C4B"/>
    <w:rsid w:val="00240CD9"/>
    <w:rsid w:val="00243C26"/>
    <w:rsid w:val="00252D17"/>
    <w:rsid w:val="00255B4A"/>
    <w:rsid w:val="00281FB8"/>
    <w:rsid w:val="002B17BD"/>
    <w:rsid w:val="002C622A"/>
    <w:rsid w:val="002E061E"/>
    <w:rsid w:val="002F5F1B"/>
    <w:rsid w:val="0033538B"/>
    <w:rsid w:val="003356AA"/>
    <w:rsid w:val="00356C8B"/>
    <w:rsid w:val="003652A4"/>
    <w:rsid w:val="003660D9"/>
    <w:rsid w:val="0037082A"/>
    <w:rsid w:val="00376B50"/>
    <w:rsid w:val="00382B03"/>
    <w:rsid w:val="003B42D3"/>
    <w:rsid w:val="003D1F8E"/>
    <w:rsid w:val="003D527A"/>
    <w:rsid w:val="00406201"/>
    <w:rsid w:val="00406BAB"/>
    <w:rsid w:val="0042003C"/>
    <w:rsid w:val="0042222A"/>
    <w:rsid w:val="00423475"/>
    <w:rsid w:val="00435F2F"/>
    <w:rsid w:val="0044608D"/>
    <w:rsid w:val="00454BB2"/>
    <w:rsid w:val="004616C1"/>
    <w:rsid w:val="004660AB"/>
    <w:rsid w:val="00470CD1"/>
    <w:rsid w:val="00471854"/>
    <w:rsid w:val="004836C6"/>
    <w:rsid w:val="00497EF8"/>
    <w:rsid w:val="004C5DE1"/>
    <w:rsid w:val="004D0693"/>
    <w:rsid w:val="004E3445"/>
    <w:rsid w:val="004F298B"/>
    <w:rsid w:val="004F592A"/>
    <w:rsid w:val="00522703"/>
    <w:rsid w:val="00525A12"/>
    <w:rsid w:val="0053166F"/>
    <w:rsid w:val="00545BCD"/>
    <w:rsid w:val="00546093"/>
    <w:rsid w:val="005722D9"/>
    <w:rsid w:val="00577A9D"/>
    <w:rsid w:val="005A7C78"/>
    <w:rsid w:val="005B301C"/>
    <w:rsid w:val="005D57AC"/>
    <w:rsid w:val="005E1E5A"/>
    <w:rsid w:val="005E51A4"/>
    <w:rsid w:val="005E60D9"/>
    <w:rsid w:val="00601DC3"/>
    <w:rsid w:val="00642F17"/>
    <w:rsid w:val="00654153"/>
    <w:rsid w:val="00656B50"/>
    <w:rsid w:val="0068615B"/>
    <w:rsid w:val="00691CF0"/>
    <w:rsid w:val="006B63C9"/>
    <w:rsid w:val="006D0AE3"/>
    <w:rsid w:val="006E114E"/>
    <w:rsid w:val="00702BF1"/>
    <w:rsid w:val="007115E0"/>
    <w:rsid w:val="00733011"/>
    <w:rsid w:val="00745E8A"/>
    <w:rsid w:val="00755937"/>
    <w:rsid w:val="00772A51"/>
    <w:rsid w:val="00781B54"/>
    <w:rsid w:val="007916B9"/>
    <w:rsid w:val="007B0952"/>
    <w:rsid w:val="007B4EE7"/>
    <w:rsid w:val="007B6355"/>
    <w:rsid w:val="007E36C4"/>
    <w:rsid w:val="007F4C9B"/>
    <w:rsid w:val="007F58D1"/>
    <w:rsid w:val="00804CEF"/>
    <w:rsid w:val="00805715"/>
    <w:rsid w:val="00836EC3"/>
    <w:rsid w:val="0085519A"/>
    <w:rsid w:val="00856961"/>
    <w:rsid w:val="00893806"/>
    <w:rsid w:val="008C1FE3"/>
    <w:rsid w:val="008C357F"/>
    <w:rsid w:val="008D68FD"/>
    <w:rsid w:val="008E1B68"/>
    <w:rsid w:val="008F10E9"/>
    <w:rsid w:val="008F4561"/>
    <w:rsid w:val="008F6D17"/>
    <w:rsid w:val="00901B40"/>
    <w:rsid w:val="00905D62"/>
    <w:rsid w:val="009069D0"/>
    <w:rsid w:val="00953D05"/>
    <w:rsid w:val="00964E3E"/>
    <w:rsid w:val="00965F3A"/>
    <w:rsid w:val="009761BA"/>
    <w:rsid w:val="0098350B"/>
    <w:rsid w:val="00991DD6"/>
    <w:rsid w:val="009A25B7"/>
    <w:rsid w:val="009B75D1"/>
    <w:rsid w:val="009C3AA8"/>
    <w:rsid w:val="009E5D78"/>
    <w:rsid w:val="009F0001"/>
    <w:rsid w:val="00A064AB"/>
    <w:rsid w:val="00A122FB"/>
    <w:rsid w:val="00A1373A"/>
    <w:rsid w:val="00A236E1"/>
    <w:rsid w:val="00A31ECF"/>
    <w:rsid w:val="00A41830"/>
    <w:rsid w:val="00A66D6F"/>
    <w:rsid w:val="00A82FF1"/>
    <w:rsid w:val="00A843A8"/>
    <w:rsid w:val="00AD7C4A"/>
    <w:rsid w:val="00AF0CF7"/>
    <w:rsid w:val="00B03114"/>
    <w:rsid w:val="00B043F1"/>
    <w:rsid w:val="00B067CD"/>
    <w:rsid w:val="00B115C5"/>
    <w:rsid w:val="00B225C7"/>
    <w:rsid w:val="00B27AA8"/>
    <w:rsid w:val="00B314EE"/>
    <w:rsid w:val="00B37ECF"/>
    <w:rsid w:val="00B4111B"/>
    <w:rsid w:val="00B534A9"/>
    <w:rsid w:val="00B54D89"/>
    <w:rsid w:val="00B56D53"/>
    <w:rsid w:val="00B576C9"/>
    <w:rsid w:val="00B577C6"/>
    <w:rsid w:val="00B6627A"/>
    <w:rsid w:val="00B77DFB"/>
    <w:rsid w:val="00B9766B"/>
    <w:rsid w:val="00BA0539"/>
    <w:rsid w:val="00BB06C9"/>
    <w:rsid w:val="00BB2814"/>
    <w:rsid w:val="00BB78B2"/>
    <w:rsid w:val="00BC01DA"/>
    <w:rsid w:val="00BC7971"/>
    <w:rsid w:val="00BD28CC"/>
    <w:rsid w:val="00BE0EDF"/>
    <w:rsid w:val="00BF33A7"/>
    <w:rsid w:val="00BF42FD"/>
    <w:rsid w:val="00BF5CA8"/>
    <w:rsid w:val="00C20DA8"/>
    <w:rsid w:val="00C26E18"/>
    <w:rsid w:val="00C32E11"/>
    <w:rsid w:val="00C37C56"/>
    <w:rsid w:val="00C415CE"/>
    <w:rsid w:val="00C560A9"/>
    <w:rsid w:val="00C71504"/>
    <w:rsid w:val="00C85387"/>
    <w:rsid w:val="00CB082D"/>
    <w:rsid w:val="00CB3242"/>
    <w:rsid w:val="00CB6E54"/>
    <w:rsid w:val="00CC245C"/>
    <w:rsid w:val="00CC6E4E"/>
    <w:rsid w:val="00CD270E"/>
    <w:rsid w:val="00CE4978"/>
    <w:rsid w:val="00CE7AEA"/>
    <w:rsid w:val="00D03000"/>
    <w:rsid w:val="00D032EF"/>
    <w:rsid w:val="00D1042F"/>
    <w:rsid w:val="00D14EAC"/>
    <w:rsid w:val="00D56403"/>
    <w:rsid w:val="00D63E88"/>
    <w:rsid w:val="00D910AE"/>
    <w:rsid w:val="00DA4D88"/>
    <w:rsid w:val="00DA7110"/>
    <w:rsid w:val="00DB467F"/>
    <w:rsid w:val="00DD027D"/>
    <w:rsid w:val="00DD1556"/>
    <w:rsid w:val="00DF1C80"/>
    <w:rsid w:val="00E10538"/>
    <w:rsid w:val="00E119EA"/>
    <w:rsid w:val="00E16EC7"/>
    <w:rsid w:val="00E20793"/>
    <w:rsid w:val="00E3581C"/>
    <w:rsid w:val="00E366D1"/>
    <w:rsid w:val="00E36788"/>
    <w:rsid w:val="00E37B04"/>
    <w:rsid w:val="00E44546"/>
    <w:rsid w:val="00E5278F"/>
    <w:rsid w:val="00E6320D"/>
    <w:rsid w:val="00E7006D"/>
    <w:rsid w:val="00E77932"/>
    <w:rsid w:val="00E837F3"/>
    <w:rsid w:val="00E86BEC"/>
    <w:rsid w:val="00E9435E"/>
    <w:rsid w:val="00EA521F"/>
    <w:rsid w:val="00EB5D9E"/>
    <w:rsid w:val="00ED5E0F"/>
    <w:rsid w:val="00F16617"/>
    <w:rsid w:val="00F224AF"/>
    <w:rsid w:val="00F47D87"/>
    <w:rsid w:val="00F56730"/>
    <w:rsid w:val="00F61384"/>
    <w:rsid w:val="00F66525"/>
    <w:rsid w:val="00F72E68"/>
    <w:rsid w:val="00FD0EE9"/>
    <w:rsid w:val="00FD69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6D7D8CC"/>
  <w15:chartTrackingRefBased/>
  <w15:docId w15:val="{C110ED1C-57CB-2946-8A8F-3019633D60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22FB"/>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CC6E4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D032EF"/>
    <w:pPr>
      <w:spacing w:before="100" w:beforeAutospacing="1" w:after="100" w:afterAutospacing="1"/>
      <w:outlineLvl w:val="1"/>
    </w:pPr>
    <w:rPr>
      <w:b/>
      <w:bCs/>
      <w:sz w:val="36"/>
      <w:szCs w:val="3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413EA"/>
    <w:pPr>
      <w:spacing w:before="100" w:beforeAutospacing="1" w:after="100" w:afterAutospacing="1"/>
    </w:pPr>
  </w:style>
  <w:style w:type="character" w:styleId="Hyperlink">
    <w:name w:val="Hyperlink"/>
    <w:basedOn w:val="DefaultParagraphFont"/>
    <w:uiPriority w:val="99"/>
    <w:unhideWhenUsed/>
    <w:rsid w:val="00C560A9"/>
    <w:rPr>
      <w:color w:val="0563C1" w:themeColor="hyperlink"/>
      <w:u w:val="single"/>
    </w:rPr>
  </w:style>
  <w:style w:type="character" w:styleId="UnresolvedMention">
    <w:name w:val="Unresolved Mention"/>
    <w:basedOn w:val="DefaultParagraphFont"/>
    <w:uiPriority w:val="99"/>
    <w:semiHidden/>
    <w:unhideWhenUsed/>
    <w:rsid w:val="00C560A9"/>
    <w:rPr>
      <w:color w:val="605E5C"/>
      <w:shd w:val="clear" w:color="auto" w:fill="E1DFDD"/>
    </w:rPr>
  </w:style>
  <w:style w:type="paragraph" w:styleId="ListParagraph">
    <w:name w:val="List Paragraph"/>
    <w:basedOn w:val="Normal"/>
    <w:uiPriority w:val="34"/>
    <w:qFormat/>
    <w:rsid w:val="00B577C6"/>
    <w:pPr>
      <w:ind w:left="720"/>
      <w:contextualSpacing/>
    </w:pPr>
  </w:style>
  <w:style w:type="character" w:customStyle="1" w:styleId="apple-converted-space">
    <w:name w:val="apple-converted-space"/>
    <w:basedOn w:val="DefaultParagraphFont"/>
    <w:rsid w:val="00D1042F"/>
  </w:style>
  <w:style w:type="character" w:styleId="Emphasis">
    <w:name w:val="Emphasis"/>
    <w:basedOn w:val="DefaultParagraphFont"/>
    <w:uiPriority w:val="20"/>
    <w:qFormat/>
    <w:rsid w:val="00D1042F"/>
    <w:rPr>
      <w:i/>
      <w:iCs/>
    </w:rPr>
  </w:style>
  <w:style w:type="character" w:styleId="Strong">
    <w:name w:val="Strong"/>
    <w:basedOn w:val="DefaultParagraphFont"/>
    <w:uiPriority w:val="22"/>
    <w:qFormat/>
    <w:rsid w:val="002F5F1B"/>
    <w:rPr>
      <w:b/>
      <w:bCs/>
    </w:rPr>
  </w:style>
  <w:style w:type="character" w:styleId="FollowedHyperlink">
    <w:name w:val="FollowedHyperlink"/>
    <w:basedOn w:val="DefaultParagraphFont"/>
    <w:uiPriority w:val="99"/>
    <w:semiHidden/>
    <w:unhideWhenUsed/>
    <w:rsid w:val="008F6D17"/>
    <w:rPr>
      <w:color w:val="954F72" w:themeColor="followedHyperlink"/>
      <w:u w:val="single"/>
    </w:rPr>
  </w:style>
  <w:style w:type="character" w:customStyle="1" w:styleId="authorname">
    <w:name w:val="authorname"/>
    <w:basedOn w:val="DefaultParagraphFont"/>
    <w:rsid w:val="004660AB"/>
  </w:style>
  <w:style w:type="character" w:customStyle="1" w:styleId="separator">
    <w:name w:val="separator"/>
    <w:basedOn w:val="DefaultParagraphFont"/>
    <w:rsid w:val="004660AB"/>
  </w:style>
  <w:style w:type="character" w:customStyle="1" w:styleId="Date1">
    <w:name w:val="Date1"/>
    <w:basedOn w:val="DefaultParagraphFont"/>
    <w:rsid w:val="004660AB"/>
  </w:style>
  <w:style w:type="character" w:customStyle="1" w:styleId="arttitle">
    <w:name w:val="art_title"/>
    <w:basedOn w:val="DefaultParagraphFont"/>
    <w:rsid w:val="004660AB"/>
  </w:style>
  <w:style w:type="character" w:customStyle="1" w:styleId="serialtitle">
    <w:name w:val="serial_title"/>
    <w:basedOn w:val="DefaultParagraphFont"/>
    <w:rsid w:val="004660AB"/>
  </w:style>
  <w:style w:type="character" w:customStyle="1" w:styleId="volumeissue">
    <w:name w:val="volume_issue"/>
    <w:basedOn w:val="DefaultParagraphFont"/>
    <w:rsid w:val="004660AB"/>
  </w:style>
  <w:style w:type="character" w:customStyle="1" w:styleId="pagerange">
    <w:name w:val="page_range"/>
    <w:basedOn w:val="DefaultParagraphFont"/>
    <w:rsid w:val="004660AB"/>
  </w:style>
  <w:style w:type="character" w:customStyle="1" w:styleId="doilink">
    <w:name w:val="doi_link"/>
    <w:basedOn w:val="DefaultParagraphFont"/>
    <w:rsid w:val="004660AB"/>
  </w:style>
  <w:style w:type="character" w:customStyle="1" w:styleId="Heading2Char">
    <w:name w:val="Heading 2 Char"/>
    <w:basedOn w:val="DefaultParagraphFont"/>
    <w:link w:val="Heading2"/>
    <w:uiPriority w:val="9"/>
    <w:rsid w:val="00D032EF"/>
    <w:rPr>
      <w:rFonts w:ascii="Times New Roman" w:eastAsia="Times New Roman" w:hAnsi="Times New Roman" w:cs="Times New Roman"/>
      <w:b/>
      <w:bCs/>
      <w:kern w:val="0"/>
      <w:sz w:val="36"/>
      <w:szCs w:val="36"/>
      <w:lang w:eastAsia="en-GB"/>
      <w14:ligatures w14:val="none"/>
    </w:rPr>
  </w:style>
  <w:style w:type="character" w:customStyle="1" w:styleId="Heading1Char">
    <w:name w:val="Heading 1 Char"/>
    <w:basedOn w:val="DefaultParagraphFont"/>
    <w:link w:val="Heading1"/>
    <w:uiPriority w:val="9"/>
    <w:rsid w:val="00CC6E4E"/>
    <w:rPr>
      <w:rFonts w:asciiTheme="majorHAnsi" w:eastAsiaTheme="majorEastAsia" w:hAnsiTheme="majorHAnsi" w:cstheme="majorBidi"/>
      <w:color w:val="2F5496" w:themeColor="accent1" w:themeShade="BF"/>
      <w:kern w:val="0"/>
      <w:sz w:val="32"/>
      <w:szCs w:val="3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22984">
      <w:bodyDiv w:val="1"/>
      <w:marLeft w:val="0"/>
      <w:marRight w:val="0"/>
      <w:marTop w:val="0"/>
      <w:marBottom w:val="0"/>
      <w:divBdr>
        <w:top w:val="none" w:sz="0" w:space="0" w:color="auto"/>
        <w:left w:val="none" w:sz="0" w:space="0" w:color="auto"/>
        <w:bottom w:val="none" w:sz="0" w:space="0" w:color="auto"/>
        <w:right w:val="none" w:sz="0" w:space="0" w:color="auto"/>
      </w:divBdr>
      <w:divsChild>
        <w:div w:id="1882863129">
          <w:marLeft w:val="0"/>
          <w:marRight w:val="0"/>
          <w:marTop w:val="0"/>
          <w:marBottom w:val="0"/>
          <w:divBdr>
            <w:top w:val="none" w:sz="0" w:space="0" w:color="auto"/>
            <w:left w:val="none" w:sz="0" w:space="0" w:color="auto"/>
            <w:bottom w:val="none" w:sz="0" w:space="0" w:color="auto"/>
            <w:right w:val="none" w:sz="0" w:space="0" w:color="auto"/>
          </w:divBdr>
          <w:divsChild>
            <w:div w:id="35085521">
              <w:marLeft w:val="0"/>
              <w:marRight w:val="0"/>
              <w:marTop w:val="0"/>
              <w:marBottom w:val="0"/>
              <w:divBdr>
                <w:top w:val="none" w:sz="0" w:space="0" w:color="auto"/>
                <w:left w:val="none" w:sz="0" w:space="0" w:color="auto"/>
                <w:bottom w:val="none" w:sz="0" w:space="0" w:color="auto"/>
                <w:right w:val="none" w:sz="0" w:space="0" w:color="auto"/>
              </w:divBdr>
              <w:divsChild>
                <w:div w:id="1894654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661989">
      <w:bodyDiv w:val="1"/>
      <w:marLeft w:val="0"/>
      <w:marRight w:val="0"/>
      <w:marTop w:val="0"/>
      <w:marBottom w:val="0"/>
      <w:divBdr>
        <w:top w:val="none" w:sz="0" w:space="0" w:color="auto"/>
        <w:left w:val="none" w:sz="0" w:space="0" w:color="auto"/>
        <w:bottom w:val="none" w:sz="0" w:space="0" w:color="auto"/>
        <w:right w:val="none" w:sz="0" w:space="0" w:color="auto"/>
      </w:divBdr>
      <w:divsChild>
        <w:div w:id="1418407692">
          <w:marLeft w:val="0"/>
          <w:marRight w:val="0"/>
          <w:marTop w:val="0"/>
          <w:marBottom w:val="0"/>
          <w:divBdr>
            <w:top w:val="none" w:sz="0" w:space="0" w:color="auto"/>
            <w:left w:val="none" w:sz="0" w:space="0" w:color="auto"/>
            <w:bottom w:val="none" w:sz="0" w:space="0" w:color="auto"/>
            <w:right w:val="none" w:sz="0" w:space="0" w:color="auto"/>
          </w:divBdr>
          <w:divsChild>
            <w:div w:id="1940025361">
              <w:marLeft w:val="0"/>
              <w:marRight w:val="0"/>
              <w:marTop w:val="0"/>
              <w:marBottom w:val="0"/>
              <w:divBdr>
                <w:top w:val="none" w:sz="0" w:space="0" w:color="auto"/>
                <w:left w:val="none" w:sz="0" w:space="0" w:color="auto"/>
                <w:bottom w:val="none" w:sz="0" w:space="0" w:color="auto"/>
                <w:right w:val="none" w:sz="0" w:space="0" w:color="auto"/>
              </w:divBdr>
              <w:divsChild>
                <w:div w:id="1193691678">
                  <w:marLeft w:val="0"/>
                  <w:marRight w:val="0"/>
                  <w:marTop w:val="0"/>
                  <w:marBottom w:val="0"/>
                  <w:divBdr>
                    <w:top w:val="none" w:sz="0" w:space="0" w:color="auto"/>
                    <w:left w:val="none" w:sz="0" w:space="0" w:color="auto"/>
                    <w:bottom w:val="none" w:sz="0" w:space="0" w:color="auto"/>
                    <w:right w:val="none" w:sz="0" w:space="0" w:color="auto"/>
                  </w:divBdr>
                  <w:divsChild>
                    <w:div w:id="370885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206358">
      <w:bodyDiv w:val="1"/>
      <w:marLeft w:val="0"/>
      <w:marRight w:val="0"/>
      <w:marTop w:val="0"/>
      <w:marBottom w:val="0"/>
      <w:divBdr>
        <w:top w:val="none" w:sz="0" w:space="0" w:color="auto"/>
        <w:left w:val="none" w:sz="0" w:space="0" w:color="auto"/>
        <w:bottom w:val="none" w:sz="0" w:space="0" w:color="auto"/>
        <w:right w:val="none" w:sz="0" w:space="0" w:color="auto"/>
      </w:divBdr>
    </w:div>
    <w:div w:id="222912026">
      <w:bodyDiv w:val="1"/>
      <w:marLeft w:val="0"/>
      <w:marRight w:val="0"/>
      <w:marTop w:val="0"/>
      <w:marBottom w:val="0"/>
      <w:divBdr>
        <w:top w:val="none" w:sz="0" w:space="0" w:color="auto"/>
        <w:left w:val="none" w:sz="0" w:space="0" w:color="auto"/>
        <w:bottom w:val="none" w:sz="0" w:space="0" w:color="auto"/>
        <w:right w:val="none" w:sz="0" w:space="0" w:color="auto"/>
      </w:divBdr>
    </w:div>
    <w:div w:id="246422703">
      <w:bodyDiv w:val="1"/>
      <w:marLeft w:val="0"/>
      <w:marRight w:val="0"/>
      <w:marTop w:val="0"/>
      <w:marBottom w:val="0"/>
      <w:divBdr>
        <w:top w:val="none" w:sz="0" w:space="0" w:color="auto"/>
        <w:left w:val="none" w:sz="0" w:space="0" w:color="auto"/>
        <w:bottom w:val="none" w:sz="0" w:space="0" w:color="auto"/>
        <w:right w:val="none" w:sz="0" w:space="0" w:color="auto"/>
      </w:divBdr>
    </w:div>
    <w:div w:id="246547738">
      <w:bodyDiv w:val="1"/>
      <w:marLeft w:val="0"/>
      <w:marRight w:val="0"/>
      <w:marTop w:val="0"/>
      <w:marBottom w:val="0"/>
      <w:divBdr>
        <w:top w:val="none" w:sz="0" w:space="0" w:color="auto"/>
        <w:left w:val="none" w:sz="0" w:space="0" w:color="auto"/>
        <w:bottom w:val="none" w:sz="0" w:space="0" w:color="auto"/>
        <w:right w:val="none" w:sz="0" w:space="0" w:color="auto"/>
      </w:divBdr>
    </w:div>
    <w:div w:id="254092818">
      <w:bodyDiv w:val="1"/>
      <w:marLeft w:val="0"/>
      <w:marRight w:val="0"/>
      <w:marTop w:val="0"/>
      <w:marBottom w:val="0"/>
      <w:divBdr>
        <w:top w:val="none" w:sz="0" w:space="0" w:color="auto"/>
        <w:left w:val="none" w:sz="0" w:space="0" w:color="auto"/>
        <w:bottom w:val="none" w:sz="0" w:space="0" w:color="auto"/>
        <w:right w:val="none" w:sz="0" w:space="0" w:color="auto"/>
      </w:divBdr>
      <w:divsChild>
        <w:div w:id="1370956222">
          <w:blockQuote w:val="1"/>
          <w:marLeft w:val="720"/>
          <w:marRight w:val="720"/>
          <w:marTop w:val="100"/>
          <w:marBottom w:val="100"/>
          <w:divBdr>
            <w:top w:val="none" w:sz="0" w:space="0" w:color="auto"/>
            <w:left w:val="none" w:sz="0" w:space="0" w:color="auto"/>
            <w:bottom w:val="none" w:sz="0" w:space="0" w:color="auto"/>
            <w:right w:val="none" w:sz="0" w:space="0" w:color="auto"/>
          </w:divBdr>
        </w:div>
        <w:div w:id="1411323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98190257">
      <w:bodyDiv w:val="1"/>
      <w:marLeft w:val="0"/>
      <w:marRight w:val="0"/>
      <w:marTop w:val="0"/>
      <w:marBottom w:val="0"/>
      <w:divBdr>
        <w:top w:val="none" w:sz="0" w:space="0" w:color="auto"/>
        <w:left w:val="none" w:sz="0" w:space="0" w:color="auto"/>
        <w:bottom w:val="none" w:sz="0" w:space="0" w:color="auto"/>
        <w:right w:val="none" w:sz="0" w:space="0" w:color="auto"/>
      </w:divBdr>
    </w:div>
    <w:div w:id="298806269">
      <w:bodyDiv w:val="1"/>
      <w:marLeft w:val="0"/>
      <w:marRight w:val="0"/>
      <w:marTop w:val="0"/>
      <w:marBottom w:val="0"/>
      <w:divBdr>
        <w:top w:val="none" w:sz="0" w:space="0" w:color="auto"/>
        <w:left w:val="none" w:sz="0" w:space="0" w:color="auto"/>
        <w:bottom w:val="none" w:sz="0" w:space="0" w:color="auto"/>
        <w:right w:val="none" w:sz="0" w:space="0" w:color="auto"/>
      </w:divBdr>
    </w:div>
    <w:div w:id="356320910">
      <w:bodyDiv w:val="1"/>
      <w:marLeft w:val="0"/>
      <w:marRight w:val="0"/>
      <w:marTop w:val="0"/>
      <w:marBottom w:val="0"/>
      <w:divBdr>
        <w:top w:val="none" w:sz="0" w:space="0" w:color="auto"/>
        <w:left w:val="none" w:sz="0" w:space="0" w:color="auto"/>
        <w:bottom w:val="none" w:sz="0" w:space="0" w:color="auto"/>
        <w:right w:val="none" w:sz="0" w:space="0" w:color="auto"/>
      </w:divBdr>
      <w:divsChild>
        <w:div w:id="901870591">
          <w:marLeft w:val="0"/>
          <w:marRight w:val="0"/>
          <w:marTop w:val="0"/>
          <w:marBottom w:val="0"/>
          <w:divBdr>
            <w:top w:val="none" w:sz="0" w:space="0" w:color="auto"/>
            <w:left w:val="none" w:sz="0" w:space="0" w:color="auto"/>
            <w:bottom w:val="none" w:sz="0" w:space="0" w:color="auto"/>
            <w:right w:val="none" w:sz="0" w:space="0" w:color="auto"/>
          </w:divBdr>
          <w:divsChild>
            <w:div w:id="658005023">
              <w:marLeft w:val="0"/>
              <w:marRight w:val="0"/>
              <w:marTop w:val="0"/>
              <w:marBottom w:val="0"/>
              <w:divBdr>
                <w:top w:val="none" w:sz="0" w:space="0" w:color="auto"/>
                <w:left w:val="none" w:sz="0" w:space="0" w:color="auto"/>
                <w:bottom w:val="none" w:sz="0" w:space="0" w:color="auto"/>
                <w:right w:val="none" w:sz="0" w:space="0" w:color="auto"/>
              </w:divBdr>
              <w:divsChild>
                <w:div w:id="1041587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6539165">
      <w:bodyDiv w:val="1"/>
      <w:marLeft w:val="0"/>
      <w:marRight w:val="0"/>
      <w:marTop w:val="0"/>
      <w:marBottom w:val="0"/>
      <w:divBdr>
        <w:top w:val="none" w:sz="0" w:space="0" w:color="auto"/>
        <w:left w:val="none" w:sz="0" w:space="0" w:color="auto"/>
        <w:bottom w:val="none" w:sz="0" w:space="0" w:color="auto"/>
        <w:right w:val="none" w:sz="0" w:space="0" w:color="auto"/>
      </w:divBdr>
    </w:div>
    <w:div w:id="413356355">
      <w:bodyDiv w:val="1"/>
      <w:marLeft w:val="0"/>
      <w:marRight w:val="0"/>
      <w:marTop w:val="0"/>
      <w:marBottom w:val="0"/>
      <w:divBdr>
        <w:top w:val="none" w:sz="0" w:space="0" w:color="auto"/>
        <w:left w:val="none" w:sz="0" w:space="0" w:color="auto"/>
        <w:bottom w:val="none" w:sz="0" w:space="0" w:color="auto"/>
        <w:right w:val="none" w:sz="0" w:space="0" w:color="auto"/>
      </w:divBdr>
    </w:div>
    <w:div w:id="422260260">
      <w:bodyDiv w:val="1"/>
      <w:marLeft w:val="0"/>
      <w:marRight w:val="0"/>
      <w:marTop w:val="0"/>
      <w:marBottom w:val="0"/>
      <w:divBdr>
        <w:top w:val="none" w:sz="0" w:space="0" w:color="auto"/>
        <w:left w:val="none" w:sz="0" w:space="0" w:color="auto"/>
        <w:bottom w:val="none" w:sz="0" w:space="0" w:color="auto"/>
        <w:right w:val="none" w:sz="0" w:space="0" w:color="auto"/>
      </w:divBdr>
      <w:divsChild>
        <w:div w:id="66539599">
          <w:marLeft w:val="0"/>
          <w:marRight w:val="0"/>
          <w:marTop w:val="0"/>
          <w:marBottom w:val="0"/>
          <w:divBdr>
            <w:top w:val="none" w:sz="0" w:space="0" w:color="auto"/>
            <w:left w:val="none" w:sz="0" w:space="0" w:color="auto"/>
            <w:bottom w:val="none" w:sz="0" w:space="0" w:color="auto"/>
            <w:right w:val="none" w:sz="0" w:space="0" w:color="auto"/>
          </w:divBdr>
          <w:divsChild>
            <w:div w:id="1026980035">
              <w:marLeft w:val="0"/>
              <w:marRight w:val="0"/>
              <w:marTop w:val="0"/>
              <w:marBottom w:val="0"/>
              <w:divBdr>
                <w:top w:val="none" w:sz="0" w:space="0" w:color="auto"/>
                <w:left w:val="none" w:sz="0" w:space="0" w:color="auto"/>
                <w:bottom w:val="none" w:sz="0" w:space="0" w:color="auto"/>
                <w:right w:val="none" w:sz="0" w:space="0" w:color="auto"/>
              </w:divBdr>
              <w:divsChild>
                <w:div w:id="444617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0199299">
      <w:bodyDiv w:val="1"/>
      <w:marLeft w:val="0"/>
      <w:marRight w:val="0"/>
      <w:marTop w:val="0"/>
      <w:marBottom w:val="0"/>
      <w:divBdr>
        <w:top w:val="none" w:sz="0" w:space="0" w:color="auto"/>
        <w:left w:val="none" w:sz="0" w:space="0" w:color="auto"/>
        <w:bottom w:val="none" w:sz="0" w:space="0" w:color="auto"/>
        <w:right w:val="none" w:sz="0" w:space="0" w:color="auto"/>
      </w:divBdr>
      <w:divsChild>
        <w:div w:id="1160775100">
          <w:marLeft w:val="0"/>
          <w:marRight w:val="0"/>
          <w:marTop w:val="0"/>
          <w:marBottom w:val="0"/>
          <w:divBdr>
            <w:top w:val="none" w:sz="0" w:space="0" w:color="auto"/>
            <w:left w:val="none" w:sz="0" w:space="0" w:color="auto"/>
            <w:bottom w:val="none" w:sz="0" w:space="0" w:color="auto"/>
            <w:right w:val="none" w:sz="0" w:space="0" w:color="auto"/>
          </w:divBdr>
          <w:divsChild>
            <w:div w:id="1759980422">
              <w:marLeft w:val="0"/>
              <w:marRight w:val="0"/>
              <w:marTop w:val="0"/>
              <w:marBottom w:val="0"/>
              <w:divBdr>
                <w:top w:val="none" w:sz="0" w:space="0" w:color="auto"/>
                <w:left w:val="none" w:sz="0" w:space="0" w:color="auto"/>
                <w:bottom w:val="none" w:sz="0" w:space="0" w:color="auto"/>
                <w:right w:val="none" w:sz="0" w:space="0" w:color="auto"/>
              </w:divBdr>
              <w:divsChild>
                <w:div w:id="1239055473">
                  <w:marLeft w:val="0"/>
                  <w:marRight w:val="0"/>
                  <w:marTop w:val="0"/>
                  <w:marBottom w:val="0"/>
                  <w:divBdr>
                    <w:top w:val="none" w:sz="0" w:space="0" w:color="auto"/>
                    <w:left w:val="none" w:sz="0" w:space="0" w:color="auto"/>
                    <w:bottom w:val="none" w:sz="0" w:space="0" w:color="auto"/>
                    <w:right w:val="none" w:sz="0" w:space="0" w:color="auto"/>
                  </w:divBdr>
                  <w:divsChild>
                    <w:div w:id="2006124633">
                      <w:marLeft w:val="0"/>
                      <w:marRight w:val="0"/>
                      <w:marTop w:val="0"/>
                      <w:marBottom w:val="0"/>
                      <w:divBdr>
                        <w:top w:val="none" w:sz="0" w:space="0" w:color="auto"/>
                        <w:left w:val="none" w:sz="0" w:space="0" w:color="auto"/>
                        <w:bottom w:val="none" w:sz="0" w:space="0" w:color="auto"/>
                        <w:right w:val="none" w:sz="0" w:space="0" w:color="auto"/>
                      </w:divBdr>
                    </w:div>
                  </w:divsChild>
                </w:div>
                <w:div w:id="156044299">
                  <w:marLeft w:val="0"/>
                  <w:marRight w:val="0"/>
                  <w:marTop w:val="0"/>
                  <w:marBottom w:val="0"/>
                  <w:divBdr>
                    <w:top w:val="none" w:sz="0" w:space="0" w:color="auto"/>
                    <w:left w:val="none" w:sz="0" w:space="0" w:color="auto"/>
                    <w:bottom w:val="none" w:sz="0" w:space="0" w:color="auto"/>
                    <w:right w:val="none" w:sz="0" w:space="0" w:color="auto"/>
                  </w:divBdr>
                  <w:divsChild>
                    <w:div w:id="986520395">
                      <w:marLeft w:val="0"/>
                      <w:marRight w:val="0"/>
                      <w:marTop w:val="0"/>
                      <w:marBottom w:val="0"/>
                      <w:divBdr>
                        <w:top w:val="none" w:sz="0" w:space="0" w:color="auto"/>
                        <w:left w:val="none" w:sz="0" w:space="0" w:color="auto"/>
                        <w:bottom w:val="none" w:sz="0" w:space="0" w:color="auto"/>
                        <w:right w:val="none" w:sz="0" w:space="0" w:color="auto"/>
                      </w:divBdr>
                    </w:div>
                  </w:divsChild>
                </w:div>
                <w:div w:id="2025016047">
                  <w:marLeft w:val="0"/>
                  <w:marRight w:val="0"/>
                  <w:marTop w:val="0"/>
                  <w:marBottom w:val="0"/>
                  <w:divBdr>
                    <w:top w:val="none" w:sz="0" w:space="0" w:color="auto"/>
                    <w:left w:val="none" w:sz="0" w:space="0" w:color="auto"/>
                    <w:bottom w:val="none" w:sz="0" w:space="0" w:color="auto"/>
                    <w:right w:val="none" w:sz="0" w:space="0" w:color="auto"/>
                  </w:divBdr>
                  <w:divsChild>
                    <w:div w:id="407046381">
                      <w:marLeft w:val="0"/>
                      <w:marRight w:val="0"/>
                      <w:marTop w:val="0"/>
                      <w:marBottom w:val="0"/>
                      <w:divBdr>
                        <w:top w:val="none" w:sz="0" w:space="0" w:color="auto"/>
                        <w:left w:val="none" w:sz="0" w:space="0" w:color="auto"/>
                        <w:bottom w:val="none" w:sz="0" w:space="0" w:color="auto"/>
                        <w:right w:val="none" w:sz="0" w:space="0" w:color="auto"/>
                      </w:divBdr>
                    </w:div>
                  </w:divsChild>
                </w:div>
                <w:div w:id="1804882332">
                  <w:marLeft w:val="0"/>
                  <w:marRight w:val="0"/>
                  <w:marTop w:val="0"/>
                  <w:marBottom w:val="0"/>
                  <w:divBdr>
                    <w:top w:val="none" w:sz="0" w:space="0" w:color="auto"/>
                    <w:left w:val="none" w:sz="0" w:space="0" w:color="auto"/>
                    <w:bottom w:val="none" w:sz="0" w:space="0" w:color="auto"/>
                    <w:right w:val="none" w:sz="0" w:space="0" w:color="auto"/>
                  </w:divBdr>
                  <w:divsChild>
                    <w:div w:id="1529565493">
                      <w:marLeft w:val="0"/>
                      <w:marRight w:val="0"/>
                      <w:marTop w:val="0"/>
                      <w:marBottom w:val="0"/>
                      <w:divBdr>
                        <w:top w:val="none" w:sz="0" w:space="0" w:color="auto"/>
                        <w:left w:val="none" w:sz="0" w:space="0" w:color="auto"/>
                        <w:bottom w:val="none" w:sz="0" w:space="0" w:color="auto"/>
                        <w:right w:val="none" w:sz="0" w:space="0" w:color="auto"/>
                      </w:divBdr>
                    </w:div>
                  </w:divsChild>
                </w:div>
                <w:div w:id="1297221819">
                  <w:marLeft w:val="0"/>
                  <w:marRight w:val="0"/>
                  <w:marTop w:val="0"/>
                  <w:marBottom w:val="0"/>
                  <w:divBdr>
                    <w:top w:val="none" w:sz="0" w:space="0" w:color="auto"/>
                    <w:left w:val="none" w:sz="0" w:space="0" w:color="auto"/>
                    <w:bottom w:val="none" w:sz="0" w:space="0" w:color="auto"/>
                    <w:right w:val="none" w:sz="0" w:space="0" w:color="auto"/>
                  </w:divBdr>
                  <w:divsChild>
                    <w:div w:id="14964777">
                      <w:marLeft w:val="0"/>
                      <w:marRight w:val="0"/>
                      <w:marTop w:val="0"/>
                      <w:marBottom w:val="0"/>
                      <w:divBdr>
                        <w:top w:val="none" w:sz="0" w:space="0" w:color="auto"/>
                        <w:left w:val="none" w:sz="0" w:space="0" w:color="auto"/>
                        <w:bottom w:val="none" w:sz="0" w:space="0" w:color="auto"/>
                        <w:right w:val="none" w:sz="0" w:space="0" w:color="auto"/>
                      </w:divBdr>
                    </w:div>
                  </w:divsChild>
                </w:div>
                <w:div w:id="441152567">
                  <w:marLeft w:val="0"/>
                  <w:marRight w:val="0"/>
                  <w:marTop w:val="0"/>
                  <w:marBottom w:val="0"/>
                  <w:divBdr>
                    <w:top w:val="none" w:sz="0" w:space="0" w:color="auto"/>
                    <w:left w:val="none" w:sz="0" w:space="0" w:color="auto"/>
                    <w:bottom w:val="none" w:sz="0" w:space="0" w:color="auto"/>
                    <w:right w:val="none" w:sz="0" w:space="0" w:color="auto"/>
                  </w:divBdr>
                  <w:divsChild>
                    <w:div w:id="1868056511">
                      <w:marLeft w:val="0"/>
                      <w:marRight w:val="0"/>
                      <w:marTop w:val="0"/>
                      <w:marBottom w:val="0"/>
                      <w:divBdr>
                        <w:top w:val="none" w:sz="0" w:space="0" w:color="auto"/>
                        <w:left w:val="none" w:sz="0" w:space="0" w:color="auto"/>
                        <w:bottom w:val="none" w:sz="0" w:space="0" w:color="auto"/>
                        <w:right w:val="none" w:sz="0" w:space="0" w:color="auto"/>
                      </w:divBdr>
                    </w:div>
                  </w:divsChild>
                </w:div>
                <w:div w:id="1933120141">
                  <w:marLeft w:val="0"/>
                  <w:marRight w:val="0"/>
                  <w:marTop w:val="0"/>
                  <w:marBottom w:val="0"/>
                  <w:divBdr>
                    <w:top w:val="none" w:sz="0" w:space="0" w:color="auto"/>
                    <w:left w:val="none" w:sz="0" w:space="0" w:color="auto"/>
                    <w:bottom w:val="none" w:sz="0" w:space="0" w:color="auto"/>
                    <w:right w:val="none" w:sz="0" w:space="0" w:color="auto"/>
                  </w:divBdr>
                  <w:divsChild>
                    <w:div w:id="360742146">
                      <w:marLeft w:val="0"/>
                      <w:marRight w:val="0"/>
                      <w:marTop w:val="0"/>
                      <w:marBottom w:val="0"/>
                      <w:divBdr>
                        <w:top w:val="none" w:sz="0" w:space="0" w:color="auto"/>
                        <w:left w:val="none" w:sz="0" w:space="0" w:color="auto"/>
                        <w:bottom w:val="none" w:sz="0" w:space="0" w:color="auto"/>
                        <w:right w:val="none" w:sz="0" w:space="0" w:color="auto"/>
                      </w:divBdr>
                    </w:div>
                  </w:divsChild>
                </w:div>
                <w:div w:id="1135757261">
                  <w:marLeft w:val="0"/>
                  <w:marRight w:val="0"/>
                  <w:marTop w:val="0"/>
                  <w:marBottom w:val="0"/>
                  <w:divBdr>
                    <w:top w:val="none" w:sz="0" w:space="0" w:color="auto"/>
                    <w:left w:val="none" w:sz="0" w:space="0" w:color="auto"/>
                    <w:bottom w:val="none" w:sz="0" w:space="0" w:color="auto"/>
                    <w:right w:val="none" w:sz="0" w:space="0" w:color="auto"/>
                  </w:divBdr>
                  <w:divsChild>
                    <w:div w:id="1153789581">
                      <w:marLeft w:val="0"/>
                      <w:marRight w:val="0"/>
                      <w:marTop w:val="0"/>
                      <w:marBottom w:val="0"/>
                      <w:divBdr>
                        <w:top w:val="none" w:sz="0" w:space="0" w:color="auto"/>
                        <w:left w:val="none" w:sz="0" w:space="0" w:color="auto"/>
                        <w:bottom w:val="none" w:sz="0" w:space="0" w:color="auto"/>
                        <w:right w:val="none" w:sz="0" w:space="0" w:color="auto"/>
                      </w:divBdr>
                    </w:div>
                  </w:divsChild>
                </w:div>
                <w:div w:id="1617757480">
                  <w:marLeft w:val="0"/>
                  <w:marRight w:val="0"/>
                  <w:marTop w:val="0"/>
                  <w:marBottom w:val="0"/>
                  <w:divBdr>
                    <w:top w:val="none" w:sz="0" w:space="0" w:color="auto"/>
                    <w:left w:val="none" w:sz="0" w:space="0" w:color="auto"/>
                    <w:bottom w:val="none" w:sz="0" w:space="0" w:color="auto"/>
                    <w:right w:val="none" w:sz="0" w:space="0" w:color="auto"/>
                  </w:divBdr>
                  <w:divsChild>
                    <w:div w:id="560680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4541020">
      <w:bodyDiv w:val="1"/>
      <w:marLeft w:val="0"/>
      <w:marRight w:val="0"/>
      <w:marTop w:val="0"/>
      <w:marBottom w:val="0"/>
      <w:divBdr>
        <w:top w:val="none" w:sz="0" w:space="0" w:color="auto"/>
        <w:left w:val="none" w:sz="0" w:space="0" w:color="auto"/>
        <w:bottom w:val="none" w:sz="0" w:space="0" w:color="auto"/>
        <w:right w:val="none" w:sz="0" w:space="0" w:color="auto"/>
      </w:divBdr>
      <w:divsChild>
        <w:div w:id="470246024">
          <w:marLeft w:val="0"/>
          <w:marRight w:val="0"/>
          <w:marTop w:val="0"/>
          <w:marBottom w:val="0"/>
          <w:divBdr>
            <w:top w:val="none" w:sz="0" w:space="0" w:color="auto"/>
            <w:left w:val="none" w:sz="0" w:space="0" w:color="auto"/>
            <w:bottom w:val="none" w:sz="0" w:space="0" w:color="auto"/>
            <w:right w:val="none" w:sz="0" w:space="0" w:color="auto"/>
          </w:divBdr>
          <w:divsChild>
            <w:div w:id="1798261516">
              <w:marLeft w:val="0"/>
              <w:marRight w:val="0"/>
              <w:marTop w:val="0"/>
              <w:marBottom w:val="0"/>
              <w:divBdr>
                <w:top w:val="none" w:sz="0" w:space="0" w:color="auto"/>
                <w:left w:val="none" w:sz="0" w:space="0" w:color="auto"/>
                <w:bottom w:val="none" w:sz="0" w:space="0" w:color="auto"/>
                <w:right w:val="none" w:sz="0" w:space="0" w:color="auto"/>
              </w:divBdr>
              <w:divsChild>
                <w:div w:id="386225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7329516">
      <w:bodyDiv w:val="1"/>
      <w:marLeft w:val="0"/>
      <w:marRight w:val="0"/>
      <w:marTop w:val="0"/>
      <w:marBottom w:val="0"/>
      <w:divBdr>
        <w:top w:val="none" w:sz="0" w:space="0" w:color="auto"/>
        <w:left w:val="none" w:sz="0" w:space="0" w:color="auto"/>
        <w:bottom w:val="none" w:sz="0" w:space="0" w:color="auto"/>
        <w:right w:val="none" w:sz="0" w:space="0" w:color="auto"/>
      </w:divBdr>
    </w:div>
    <w:div w:id="504396057">
      <w:bodyDiv w:val="1"/>
      <w:marLeft w:val="0"/>
      <w:marRight w:val="0"/>
      <w:marTop w:val="0"/>
      <w:marBottom w:val="0"/>
      <w:divBdr>
        <w:top w:val="none" w:sz="0" w:space="0" w:color="auto"/>
        <w:left w:val="none" w:sz="0" w:space="0" w:color="auto"/>
        <w:bottom w:val="none" w:sz="0" w:space="0" w:color="auto"/>
        <w:right w:val="none" w:sz="0" w:space="0" w:color="auto"/>
      </w:divBdr>
    </w:div>
    <w:div w:id="600334504">
      <w:bodyDiv w:val="1"/>
      <w:marLeft w:val="0"/>
      <w:marRight w:val="0"/>
      <w:marTop w:val="0"/>
      <w:marBottom w:val="0"/>
      <w:divBdr>
        <w:top w:val="none" w:sz="0" w:space="0" w:color="auto"/>
        <w:left w:val="none" w:sz="0" w:space="0" w:color="auto"/>
        <w:bottom w:val="none" w:sz="0" w:space="0" w:color="auto"/>
        <w:right w:val="none" w:sz="0" w:space="0" w:color="auto"/>
      </w:divBdr>
      <w:divsChild>
        <w:div w:id="905183253">
          <w:marLeft w:val="0"/>
          <w:marRight w:val="0"/>
          <w:marTop w:val="0"/>
          <w:marBottom w:val="0"/>
          <w:divBdr>
            <w:top w:val="none" w:sz="0" w:space="0" w:color="auto"/>
            <w:left w:val="none" w:sz="0" w:space="0" w:color="auto"/>
            <w:bottom w:val="none" w:sz="0" w:space="0" w:color="auto"/>
            <w:right w:val="none" w:sz="0" w:space="0" w:color="auto"/>
          </w:divBdr>
          <w:divsChild>
            <w:div w:id="540478596">
              <w:marLeft w:val="0"/>
              <w:marRight w:val="0"/>
              <w:marTop w:val="0"/>
              <w:marBottom w:val="0"/>
              <w:divBdr>
                <w:top w:val="none" w:sz="0" w:space="0" w:color="auto"/>
                <w:left w:val="none" w:sz="0" w:space="0" w:color="auto"/>
                <w:bottom w:val="none" w:sz="0" w:space="0" w:color="auto"/>
                <w:right w:val="none" w:sz="0" w:space="0" w:color="auto"/>
              </w:divBdr>
              <w:divsChild>
                <w:div w:id="1412460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5823234">
      <w:bodyDiv w:val="1"/>
      <w:marLeft w:val="0"/>
      <w:marRight w:val="0"/>
      <w:marTop w:val="0"/>
      <w:marBottom w:val="0"/>
      <w:divBdr>
        <w:top w:val="none" w:sz="0" w:space="0" w:color="auto"/>
        <w:left w:val="none" w:sz="0" w:space="0" w:color="auto"/>
        <w:bottom w:val="none" w:sz="0" w:space="0" w:color="auto"/>
        <w:right w:val="none" w:sz="0" w:space="0" w:color="auto"/>
      </w:divBdr>
      <w:divsChild>
        <w:div w:id="1642810648">
          <w:marLeft w:val="0"/>
          <w:marRight w:val="0"/>
          <w:marTop w:val="0"/>
          <w:marBottom w:val="0"/>
          <w:divBdr>
            <w:top w:val="none" w:sz="0" w:space="0" w:color="auto"/>
            <w:left w:val="none" w:sz="0" w:space="0" w:color="auto"/>
            <w:bottom w:val="none" w:sz="0" w:space="0" w:color="auto"/>
            <w:right w:val="none" w:sz="0" w:space="0" w:color="auto"/>
          </w:divBdr>
          <w:divsChild>
            <w:div w:id="1076247485">
              <w:marLeft w:val="0"/>
              <w:marRight w:val="0"/>
              <w:marTop w:val="0"/>
              <w:marBottom w:val="0"/>
              <w:divBdr>
                <w:top w:val="none" w:sz="0" w:space="0" w:color="auto"/>
                <w:left w:val="none" w:sz="0" w:space="0" w:color="auto"/>
                <w:bottom w:val="none" w:sz="0" w:space="0" w:color="auto"/>
                <w:right w:val="none" w:sz="0" w:space="0" w:color="auto"/>
              </w:divBdr>
              <w:divsChild>
                <w:div w:id="1962875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5345852">
      <w:bodyDiv w:val="1"/>
      <w:marLeft w:val="0"/>
      <w:marRight w:val="0"/>
      <w:marTop w:val="0"/>
      <w:marBottom w:val="0"/>
      <w:divBdr>
        <w:top w:val="none" w:sz="0" w:space="0" w:color="auto"/>
        <w:left w:val="none" w:sz="0" w:space="0" w:color="auto"/>
        <w:bottom w:val="none" w:sz="0" w:space="0" w:color="auto"/>
        <w:right w:val="none" w:sz="0" w:space="0" w:color="auto"/>
      </w:divBdr>
      <w:divsChild>
        <w:div w:id="759529011">
          <w:marLeft w:val="0"/>
          <w:marRight w:val="0"/>
          <w:marTop w:val="0"/>
          <w:marBottom w:val="0"/>
          <w:divBdr>
            <w:top w:val="none" w:sz="0" w:space="0" w:color="auto"/>
            <w:left w:val="none" w:sz="0" w:space="0" w:color="auto"/>
            <w:bottom w:val="none" w:sz="0" w:space="0" w:color="auto"/>
            <w:right w:val="none" w:sz="0" w:space="0" w:color="auto"/>
          </w:divBdr>
          <w:divsChild>
            <w:div w:id="623388302">
              <w:marLeft w:val="0"/>
              <w:marRight w:val="0"/>
              <w:marTop w:val="0"/>
              <w:marBottom w:val="0"/>
              <w:divBdr>
                <w:top w:val="none" w:sz="0" w:space="0" w:color="auto"/>
                <w:left w:val="none" w:sz="0" w:space="0" w:color="auto"/>
                <w:bottom w:val="none" w:sz="0" w:space="0" w:color="auto"/>
                <w:right w:val="none" w:sz="0" w:space="0" w:color="auto"/>
              </w:divBdr>
              <w:divsChild>
                <w:div w:id="375783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5635865">
      <w:bodyDiv w:val="1"/>
      <w:marLeft w:val="0"/>
      <w:marRight w:val="0"/>
      <w:marTop w:val="0"/>
      <w:marBottom w:val="0"/>
      <w:divBdr>
        <w:top w:val="none" w:sz="0" w:space="0" w:color="auto"/>
        <w:left w:val="none" w:sz="0" w:space="0" w:color="auto"/>
        <w:bottom w:val="none" w:sz="0" w:space="0" w:color="auto"/>
        <w:right w:val="none" w:sz="0" w:space="0" w:color="auto"/>
      </w:divBdr>
    </w:div>
    <w:div w:id="862478267">
      <w:bodyDiv w:val="1"/>
      <w:marLeft w:val="0"/>
      <w:marRight w:val="0"/>
      <w:marTop w:val="0"/>
      <w:marBottom w:val="0"/>
      <w:divBdr>
        <w:top w:val="none" w:sz="0" w:space="0" w:color="auto"/>
        <w:left w:val="none" w:sz="0" w:space="0" w:color="auto"/>
        <w:bottom w:val="none" w:sz="0" w:space="0" w:color="auto"/>
        <w:right w:val="none" w:sz="0" w:space="0" w:color="auto"/>
      </w:divBdr>
      <w:divsChild>
        <w:div w:id="169762657">
          <w:marLeft w:val="0"/>
          <w:marRight w:val="0"/>
          <w:marTop w:val="0"/>
          <w:marBottom w:val="0"/>
          <w:divBdr>
            <w:top w:val="none" w:sz="0" w:space="0" w:color="auto"/>
            <w:left w:val="none" w:sz="0" w:space="0" w:color="auto"/>
            <w:bottom w:val="none" w:sz="0" w:space="0" w:color="auto"/>
            <w:right w:val="none" w:sz="0" w:space="0" w:color="auto"/>
          </w:divBdr>
          <w:divsChild>
            <w:div w:id="1499419357">
              <w:marLeft w:val="0"/>
              <w:marRight w:val="0"/>
              <w:marTop w:val="0"/>
              <w:marBottom w:val="0"/>
              <w:divBdr>
                <w:top w:val="none" w:sz="0" w:space="0" w:color="auto"/>
                <w:left w:val="none" w:sz="0" w:space="0" w:color="auto"/>
                <w:bottom w:val="none" w:sz="0" w:space="0" w:color="auto"/>
                <w:right w:val="none" w:sz="0" w:space="0" w:color="auto"/>
              </w:divBdr>
              <w:divsChild>
                <w:div w:id="929654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5754204">
      <w:bodyDiv w:val="1"/>
      <w:marLeft w:val="0"/>
      <w:marRight w:val="0"/>
      <w:marTop w:val="0"/>
      <w:marBottom w:val="0"/>
      <w:divBdr>
        <w:top w:val="none" w:sz="0" w:space="0" w:color="auto"/>
        <w:left w:val="none" w:sz="0" w:space="0" w:color="auto"/>
        <w:bottom w:val="none" w:sz="0" w:space="0" w:color="auto"/>
        <w:right w:val="none" w:sz="0" w:space="0" w:color="auto"/>
      </w:divBdr>
      <w:divsChild>
        <w:div w:id="11679908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24650823">
      <w:bodyDiv w:val="1"/>
      <w:marLeft w:val="0"/>
      <w:marRight w:val="0"/>
      <w:marTop w:val="0"/>
      <w:marBottom w:val="0"/>
      <w:divBdr>
        <w:top w:val="none" w:sz="0" w:space="0" w:color="auto"/>
        <w:left w:val="none" w:sz="0" w:space="0" w:color="auto"/>
        <w:bottom w:val="none" w:sz="0" w:space="0" w:color="auto"/>
        <w:right w:val="none" w:sz="0" w:space="0" w:color="auto"/>
      </w:divBdr>
      <w:divsChild>
        <w:div w:id="1467432258">
          <w:marLeft w:val="0"/>
          <w:marRight w:val="0"/>
          <w:marTop w:val="0"/>
          <w:marBottom w:val="0"/>
          <w:divBdr>
            <w:top w:val="none" w:sz="0" w:space="0" w:color="auto"/>
            <w:left w:val="none" w:sz="0" w:space="0" w:color="auto"/>
            <w:bottom w:val="none" w:sz="0" w:space="0" w:color="auto"/>
            <w:right w:val="none" w:sz="0" w:space="0" w:color="auto"/>
          </w:divBdr>
          <w:divsChild>
            <w:div w:id="1143350353">
              <w:marLeft w:val="0"/>
              <w:marRight w:val="0"/>
              <w:marTop w:val="0"/>
              <w:marBottom w:val="0"/>
              <w:divBdr>
                <w:top w:val="none" w:sz="0" w:space="0" w:color="auto"/>
                <w:left w:val="none" w:sz="0" w:space="0" w:color="auto"/>
                <w:bottom w:val="none" w:sz="0" w:space="0" w:color="auto"/>
                <w:right w:val="none" w:sz="0" w:space="0" w:color="auto"/>
              </w:divBdr>
              <w:divsChild>
                <w:div w:id="627472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7761308">
      <w:bodyDiv w:val="1"/>
      <w:marLeft w:val="0"/>
      <w:marRight w:val="0"/>
      <w:marTop w:val="0"/>
      <w:marBottom w:val="0"/>
      <w:divBdr>
        <w:top w:val="none" w:sz="0" w:space="0" w:color="auto"/>
        <w:left w:val="none" w:sz="0" w:space="0" w:color="auto"/>
        <w:bottom w:val="none" w:sz="0" w:space="0" w:color="auto"/>
        <w:right w:val="none" w:sz="0" w:space="0" w:color="auto"/>
      </w:divBdr>
    </w:div>
    <w:div w:id="962231970">
      <w:bodyDiv w:val="1"/>
      <w:marLeft w:val="0"/>
      <w:marRight w:val="0"/>
      <w:marTop w:val="0"/>
      <w:marBottom w:val="0"/>
      <w:divBdr>
        <w:top w:val="none" w:sz="0" w:space="0" w:color="auto"/>
        <w:left w:val="none" w:sz="0" w:space="0" w:color="auto"/>
        <w:bottom w:val="none" w:sz="0" w:space="0" w:color="auto"/>
        <w:right w:val="none" w:sz="0" w:space="0" w:color="auto"/>
      </w:divBdr>
      <w:divsChild>
        <w:div w:id="1806852301">
          <w:marLeft w:val="0"/>
          <w:marRight w:val="0"/>
          <w:marTop w:val="0"/>
          <w:marBottom w:val="0"/>
          <w:divBdr>
            <w:top w:val="none" w:sz="0" w:space="0" w:color="auto"/>
            <w:left w:val="none" w:sz="0" w:space="0" w:color="auto"/>
            <w:bottom w:val="none" w:sz="0" w:space="0" w:color="auto"/>
            <w:right w:val="none" w:sz="0" w:space="0" w:color="auto"/>
          </w:divBdr>
          <w:divsChild>
            <w:div w:id="1136684673">
              <w:marLeft w:val="0"/>
              <w:marRight w:val="0"/>
              <w:marTop w:val="0"/>
              <w:marBottom w:val="0"/>
              <w:divBdr>
                <w:top w:val="none" w:sz="0" w:space="0" w:color="auto"/>
                <w:left w:val="none" w:sz="0" w:space="0" w:color="auto"/>
                <w:bottom w:val="none" w:sz="0" w:space="0" w:color="auto"/>
                <w:right w:val="none" w:sz="0" w:space="0" w:color="auto"/>
              </w:divBdr>
              <w:divsChild>
                <w:div w:id="1355764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5811842">
      <w:bodyDiv w:val="1"/>
      <w:marLeft w:val="0"/>
      <w:marRight w:val="0"/>
      <w:marTop w:val="0"/>
      <w:marBottom w:val="0"/>
      <w:divBdr>
        <w:top w:val="none" w:sz="0" w:space="0" w:color="auto"/>
        <w:left w:val="none" w:sz="0" w:space="0" w:color="auto"/>
        <w:bottom w:val="none" w:sz="0" w:space="0" w:color="auto"/>
        <w:right w:val="none" w:sz="0" w:space="0" w:color="auto"/>
      </w:divBdr>
    </w:div>
    <w:div w:id="1051879714">
      <w:bodyDiv w:val="1"/>
      <w:marLeft w:val="0"/>
      <w:marRight w:val="0"/>
      <w:marTop w:val="0"/>
      <w:marBottom w:val="0"/>
      <w:divBdr>
        <w:top w:val="none" w:sz="0" w:space="0" w:color="auto"/>
        <w:left w:val="none" w:sz="0" w:space="0" w:color="auto"/>
        <w:bottom w:val="none" w:sz="0" w:space="0" w:color="auto"/>
        <w:right w:val="none" w:sz="0" w:space="0" w:color="auto"/>
      </w:divBdr>
    </w:div>
    <w:div w:id="1084954182">
      <w:bodyDiv w:val="1"/>
      <w:marLeft w:val="0"/>
      <w:marRight w:val="0"/>
      <w:marTop w:val="0"/>
      <w:marBottom w:val="0"/>
      <w:divBdr>
        <w:top w:val="none" w:sz="0" w:space="0" w:color="auto"/>
        <w:left w:val="none" w:sz="0" w:space="0" w:color="auto"/>
        <w:bottom w:val="none" w:sz="0" w:space="0" w:color="auto"/>
        <w:right w:val="none" w:sz="0" w:space="0" w:color="auto"/>
      </w:divBdr>
      <w:divsChild>
        <w:div w:id="1622884999">
          <w:marLeft w:val="0"/>
          <w:marRight w:val="0"/>
          <w:marTop w:val="0"/>
          <w:marBottom w:val="0"/>
          <w:divBdr>
            <w:top w:val="none" w:sz="0" w:space="0" w:color="auto"/>
            <w:left w:val="none" w:sz="0" w:space="0" w:color="auto"/>
            <w:bottom w:val="none" w:sz="0" w:space="0" w:color="auto"/>
            <w:right w:val="none" w:sz="0" w:space="0" w:color="auto"/>
          </w:divBdr>
          <w:divsChild>
            <w:div w:id="2028560400">
              <w:marLeft w:val="0"/>
              <w:marRight w:val="0"/>
              <w:marTop w:val="0"/>
              <w:marBottom w:val="0"/>
              <w:divBdr>
                <w:top w:val="none" w:sz="0" w:space="0" w:color="auto"/>
                <w:left w:val="none" w:sz="0" w:space="0" w:color="auto"/>
                <w:bottom w:val="none" w:sz="0" w:space="0" w:color="auto"/>
                <w:right w:val="none" w:sz="0" w:space="0" w:color="auto"/>
              </w:divBdr>
              <w:divsChild>
                <w:div w:id="1508015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8549451">
      <w:bodyDiv w:val="1"/>
      <w:marLeft w:val="0"/>
      <w:marRight w:val="0"/>
      <w:marTop w:val="0"/>
      <w:marBottom w:val="0"/>
      <w:divBdr>
        <w:top w:val="none" w:sz="0" w:space="0" w:color="auto"/>
        <w:left w:val="none" w:sz="0" w:space="0" w:color="auto"/>
        <w:bottom w:val="none" w:sz="0" w:space="0" w:color="auto"/>
        <w:right w:val="none" w:sz="0" w:space="0" w:color="auto"/>
      </w:divBdr>
      <w:divsChild>
        <w:div w:id="303394956">
          <w:marLeft w:val="0"/>
          <w:marRight w:val="0"/>
          <w:marTop w:val="0"/>
          <w:marBottom w:val="0"/>
          <w:divBdr>
            <w:top w:val="none" w:sz="0" w:space="0" w:color="auto"/>
            <w:left w:val="none" w:sz="0" w:space="0" w:color="auto"/>
            <w:bottom w:val="none" w:sz="0" w:space="0" w:color="auto"/>
            <w:right w:val="none" w:sz="0" w:space="0" w:color="auto"/>
          </w:divBdr>
          <w:divsChild>
            <w:div w:id="1499809170">
              <w:marLeft w:val="0"/>
              <w:marRight w:val="0"/>
              <w:marTop w:val="0"/>
              <w:marBottom w:val="0"/>
              <w:divBdr>
                <w:top w:val="none" w:sz="0" w:space="0" w:color="auto"/>
                <w:left w:val="none" w:sz="0" w:space="0" w:color="auto"/>
                <w:bottom w:val="none" w:sz="0" w:space="0" w:color="auto"/>
                <w:right w:val="none" w:sz="0" w:space="0" w:color="auto"/>
              </w:divBdr>
              <w:divsChild>
                <w:div w:id="591092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2181925">
      <w:bodyDiv w:val="1"/>
      <w:marLeft w:val="0"/>
      <w:marRight w:val="0"/>
      <w:marTop w:val="0"/>
      <w:marBottom w:val="0"/>
      <w:divBdr>
        <w:top w:val="none" w:sz="0" w:space="0" w:color="auto"/>
        <w:left w:val="none" w:sz="0" w:space="0" w:color="auto"/>
        <w:bottom w:val="none" w:sz="0" w:space="0" w:color="auto"/>
        <w:right w:val="none" w:sz="0" w:space="0" w:color="auto"/>
      </w:divBdr>
      <w:divsChild>
        <w:div w:id="1345478001">
          <w:blockQuote w:val="1"/>
          <w:marLeft w:val="720"/>
          <w:marRight w:val="720"/>
          <w:marTop w:val="100"/>
          <w:marBottom w:val="100"/>
          <w:divBdr>
            <w:top w:val="none" w:sz="0" w:space="0" w:color="auto"/>
            <w:left w:val="none" w:sz="0" w:space="0" w:color="auto"/>
            <w:bottom w:val="none" w:sz="0" w:space="0" w:color="auto"/>
            <w:right w:val="none" w:sz="0" w:space="0" w:color="auto"/>
          </w:divBdr>
        </w:div>
        <w:div w:id="175636596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88368568">
      <w:bodyDiv w:val="1"/>
      <w:marLeft w:val="0"/>
      <w:marRight w:val="0"/>
      <w:marTop w:val="0"/>
      <w:marBottom w:val="0"/>
      <w:divBdr>
        <w:top w:val="none" w:sz="0" w:space="0" w:color="auto"/>
        <w:left w:val="none" w:sz="0" w:space="0" w:color="auto"/>
        <w:bottom w:val="none" w:sz="0" w:space="0" w:color="auto"/>
        <w:right w:val="none" w:sz="0" w:space="0" w:color="auto"/>
      </w:divBdr>
      <w:divsChild>
        <w:div w:id="936062619">
          <w:blockQuote w:val="1"/>
          <w:marLeft w:val="720"/>
          <w:marRight w:val="720"/>
          <w:marTop w:val="100"/>
          <w:marBottom w:val="100"/>
          <w:divBdr>
            <w:top w:val="none" w:sz="0" w:space="0" w:color="auto"/>
            <w:left w:val="none" w:sz="0" w:space="0" w:color="auto"/>
            <w:bottom w:val="none" w:sz="0" w:space="0" w:color="auto"/>
            <w:right w:val="none" w:sz="0" w:space="0" w:color="auto"/>
          </w:divBdr>
        </w:div>
        <w:div w:id="17492661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94465218">
      <w:bodyDiv w:val="1"/>
      <w:marLeft w:val="0"/>
      <w:marRight w:val="0"/>
      <w:marTop w:val="0"/>
      <w:marBottom w:val="0"/>
      <w:divBdr>
        <w:top w:val="none" w:sz="0" w:space="0" w:color="auto"/>
        <w:left w:val="none" w:sz="0" w:space="0" w:color="auto"/>
        <w:bottom w:val="none" w:sz="0" w:space="0" w:color="auto"/>
        <w:right w:val="none" w:sz="0" w:space="0" w:color="auto"/>
      </w:divBdr>
      <w:divsChild>
        <w:div w:id="125852120">
          <w:marLeft w:val="0"/>
          <w:marRight w:val="0"/>
          <w:marTop w:val="0"/>
          <w:marBottom w:val="0"/>
          <w:divBdr>
            <w:top w:val="none" w:sz="0" w:space="0" w:color="auto"/>
            <w:left w:val="none" w:sz="0" w:space="0" w:color="auto"/>
            <w:bottom w:val="none" w:sz="0" w:space="0" w:color="auto"/>
            <w:right w:val="none" w:sz="0" w:space="0" w:color="auto"/>
          </w:divBdr>
          <w:divsChild>
            <w:div w:id="1059404714">
              <w:marLeft w:val="0"/>
              <w:marRight w:val="0"/>
              <w:marTop w:val="0"/>
              <w:marBottom w:val="0"/>
              <w:divBdr>
                <w:top w:val="none" w:sz="0" w:space="0" w:color="auto"/>
                <w:left w:val="none" w:sz="0" w:space="0" w:color="auto"/>
                <w:bottom w:val="none" w:sz="0" w:space="0" w:color="auto"/>
                <w:right w:val="none" w:sz="0" w:space="0" w:color="auto"/>
              </w:divBdr>
              <w:divsChild>
                <w:div w:id="1251354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4919843">
      <w:bodyDiv w:val="1"/>
      <w:marLeft w:val="0"/>
      <w:marRight w:val="0"/>
      <w:marTop w:val="0"/>
      <w:marBottom w:val="0"/>
      <w:divBdr>
        <w:top w:val="none" w:sz="0" w:space="0" w:color="auto"/>
        <w:left w:val="none" w:sz="0" w:space="0" w:color="auto"/>
        <w:bottom w:val="none" w:sz="0" w:space="0" w:color="auto"/>
        <w:right w:val="none" w:sz="0" w:space="0" w:color="auto"/>
      </w:divBdr>
      <w:divsChild>
        <w:div w:id="1634364342">
          <w:marLeft w:val="0"/>
          <w:marRight w:val="0"/>
          <w:marTop w:val="0"/>
          <w:marBottom w:val="0"/>
          <w:divBdr>
            <w:top w:val="none" w:sz="0" w:space="0" w:color="auto"/>
            <w:left w:val="none" w:sz="0" w:space="0" w:color="auto"/>
            <w:bottom w:val="none" w:sz="0" w:space="0" w:color="auto"/>
            <w:right w:val="none" w:sz="0" w:space="0" w:color="auto"/>
          </w:divBdr>
          <w:divsChild>
            <w:div w:id="522742354">
              <w:marLeft w:val="0"/>
              <w:marRight w:val="0"/>
              <w:marTop w:val="0"/>
              <w:marBottom w:val="0"/>
              <w:divBdr>
                <w:top w:val="none" w:sz="0" w:space="0" w:color="auto"/>
                <w:left w:val="none" w:sz="0" w:space="0" w:color="auto"/>
                <w:bottom w:val="none" w:sz="0" w:space="0" w:color="auto"/>
                <w:right w:val="none" w:sz="0" w:space="0" w:color="auto"/>
              </w:divBdr>
              <w:divsChild>
                <w:div w:id="1530685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2904643">
      <w:bodyDiv w:val="1"/>
      <w:marLeft w:val="0"/>
      <w:marRight w:val="0"/>
      <w:marTop w:val="0"/>
      <w:marBottom w:val="0"/>
      <w:divBdr>
        <w:top w:val="none" w:sz="0" w:space="0" w:color="auto"/>
        <w:left w:val="none" w:sz="0" w:space="0" w:color="auto"/>
        <w:bottom w:val="none" w:sz="0" w:space="0" w:color="auto"/>
        <w:right w:val="none" w:sz="0" w:space="0" w:color="auto"/>
      </w:divBdr>
      <w:divsChild>
        <w:div w:id="1292243477">
          <w:marLeft w:val="0"/>
          <w:marRight w:val="0"/>
          <w:marTop w:val="0"/>
          <w:marBottom w:val="0"/>
          <w:divBdr>
            <w:top w:val="none" w:sz="0" w:space="0" w:color="auto"/>
            <w:left w:val="none" w:sz="0" w:space="0" w:color="auto"/>
            <w:bottom w:val="none" w:sz="0" w:space="0" w:color="auto"/>
            <w:right w:val="none" w:sz="0" w:space="0" w:color="auto"/>
          </w:divBdr>
          <w:divsChild>
            <w:div w:id="851605267">
              <w:marLeft w:val="0"/>
              <w:marRight w:val="0"/>
              <w:marTop w:val="0"/>
              <w:marBottom w:val="0"/>
              <w:divBdr>
                <w:top w:val="none" w:sz="0" w:space="0" w:color="auto"/>
                <w:left w:val="none" w:sz="0" w:space="0" w:color="auto"/>
                <w:bottom w:val="none" w:sz="0" w:space="0" w:color="auto"/>
                <w:right w:val="none" w:sz="0" w:space="0" w:color="auto"/>
              </w:divBdr>
              <w:divsChild>
                <w:div w:id="46607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7256378">
      <w:bodyDiv w:val="1"/>
      <w:marLeft w:val="0"/>
      <w:marRight w:val="0"/>
      <w:marTop w:val="0"/>
      <w:marBottom w:val="0"/>
      <w:divBdr>
        <w:top w:val="none" w:sz="0" w:space="0" w:color="auto"/>
        <w:left w:val="none" w:sz="0" w:space="0" w:color="auto"/>
        <w:bottom w:val="none" w:sz="0" w:space="0" w:color="auto"/>
        <w:right w:val="none" w:sz="0" w:space="0" w:color="auto"/>
      </w:divBdr>
      <w:divsChild>
        <w:div w:id="24715508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47497865">
      <w:bodyDiv w:val="1"/>
      <w:marLeft w:val="0"/>
      <w:marRight w:val="0"/>
      <w:marTop w:val="0"/>
      <w:marBottom w:val="0"/>
      <w:divBdr>
        <w:top w:val="none" w:sz="0" w:space="0" w:color="auto"/>
        <w:left w:val="none" w:sz="0" w:space="0" w:color="auto"/>
        <w:bottom w:val="none" w:sz="0" w:space="0" w:color="auto"/>
        <w:right w:val="none" w:sz="0" w:space="0" w:color="auto"/>
      </w:divBdr>
    </w:div>
    <w:div w:id="1311061620">
      <w:bodyDiv w:val="1"/>
      <w:marLeft w:val="0"/>
      <w:marRight w:val="0"/>
      <w:marTop w:val="0"/>
      <w:marBottom w:val="0"/>
      <w:divBdr>
        <w:top w:val="none" w:sz="0" w:space="0" w:color="auto"/>
        <w:left w:val="none" w:sz="0" w:space="0" w:color="auto"/>
        <w:bottom w:val="none" w:sz="0" w:space="0" w:color="auto"/>
        <w:right w:val="none" w:sz="0" w:space="0" w:color="auto"/>
      </w:divBdr>
      <w:divsChild>
        <w:div w:id="608589402">
          <w:marLeft w:val="0"/>
          <w:marRight w:val="0"/>
          <w:marTop w:val="0"/>
          <w:marBottom w:val="0"/>
          <w:divBdr>
            <w:top w:val="none" w:sz="0" w:space="0" w:color="auto"/>
            <w:left w:val="none" w:sz="0" w:space="0" w:color="auto"/>
            <w:bottom w:val="none" w:sz="0" w:space="0" w:color="auto"/>
            <w:right w:val="none" w:sz="0" w:space="0" w:color="auto"/>
          </w:divBdr>
          <w:divsChild>
            <w:div w:id="669984278">
              <w:marLeft w:val="0"/>
              <w:marRight w:val="0"/>
              <w:marTop w:val="0"/>
              <w:marBottom w:val="0"/>
              <w:divBdr>
                <w:top w:val="none" w:sz="0" w:space="0" w:color="auto"/>
                <w:left w:val="none" w:sz="0" w:space="0" w:color="auto"/>
                <w:bottom w:val="none" w:sz="0" w:space="0" w:color="auto"/>
                <w:right w:val="none" w:sz="0" w:space="0" w:color="auto"/>
              </w:divBdr>
              <w:divsChild>
                <w:div w:id="1292394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7881673">
      <w:bodyDiv w:val="1"/>
      <w:marLeft w:val="0"/>
      <w:marRight w:val="0"/>
      <w:marTop w:val="0"/>
      <w:marBottom w:val="0"/>
      <w:divBdr>
        <w:top w:val="none" w:sz="0" w:space="0" w:color="auto"/>
        <w:left w:val="none" w:sz="0" w:space="0" w:color="auto"/>
        <w:bottom w:val="none" w:sz="0" w:space="0" w:color="auto"/>
        <w:right w:val="none" w:sz="0" w:space="0" w:color="auto"/>
      </w:divBdr>
      <w:divsChild>
        <w:div w:id="13112423">
          <w:marLeft w:val="0"/>
          <w:marRight w:val="0"/>
          <w:marTop w:val="0"/>
          <w:marBottom w:val="0"/>
          <w:divBdr>
            <w:top w:val="none" w:sz="0" w:space="0" w:color="auto"/>
            <w:left w:val="none" w:sz="0" w:space="0" w:color="auto"/>
            <w:bottom w:val="none" w:sz="0" w:space="0" w:color="auto"/>
            <w:right w:val="none" w:sz="0" w:space="0" w:color="auto"/>
          </w:divBdr>
          <w:divsChild>
            <w:div w:id="728769091">
              <w:marLeft w:val="0"/>
              <w:marRight w:val="0"/>
              <w:marTop w:val="0"/>
              <w:marBottom w:val="0"/>
              <w:divBdr>
                <w:top w:val="none" w:sz="0" w:space="0" w:color="auto"/>
                <w:left w:val="none" w:sz="0" w:space="0" w:color="auto"/>
                <w:bottom w:val="none" w:sz="0" w:space="0" w:color="auto"/>
                <w:right w:val="none" w:sz="0" w:space="0" w:color="auto"/>
              </w:divBdr>
              <w:divsChild>
                <w:div w:id="1597595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6196950">
      <w:bodyDiv w:val="1"/>
      <w:marLeft w:val="0"/>
      <w:marRight w:val="0"/>
      <w:marTop w:val="0"/>
      <w:marBottom w:val="0"/>
      <w:divBdr>
        <w:top w:val="none" w:sz="0" w:space="0" w:color="auto"/>
        <w:left w:val="none" w:sz="0" w:space="0" w:color="auto"/>
        <w:bottom w:val="none" w:sz="0" w:space="0" w:color="auto"/>
        <w:right w:val="none" w:sz="0" w:space="0" w:color="auto"/>
      </w:divBdr>
      <w:divsChild>
        <w:div w:id="1758211471">
          <w:marLeft w:val="0"/>
          <w:marRight w:val="0"/>
          <w:marTop w:val="0"/>
          <w:marBottom w:val="0"/>
          <w:divBdr>
            <w:top w:val="none" w:sz="0" w:space="0" w:color="auto"/>
            <w:left w:val="none" w:sz="0" w:space="0" w:color="auto"/>
            <w:bottom w:val="none" w:sz="0" w:space="0" w:color="auto"/>
            <w:right w:val="none" w:sz="0" w:space="0" w:color="auto"/>
          </w:divBdr>
          <w:divsChild>
            <w:div w:id="788931426">
              <w:marLeft w:val="0"/>
              <w:marRight w:val="0"/>
              <w:marTop w:val="0"/>
              <w:marBottom w:val="0"/>
              <w:divBdr>
                <w:top w:val="none" w:sz="0" w:space="0" w:color="auto"/>
                <w:left w:val="none" w:sz="0" w:space="0" w:color="auto"/>
                <w:bottom w:val="none" w:sz="0" w:space="0" w:color="auto"/>
                <w:right w:val="none" w:sz="0" w:space="0" w:color="auto"/>
              </w:divBdr>
              <w:divsChild>
                <w:div w:id="1364598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1644669">
      <w:bodyDiv w:val="1"/>
      <w:marLeft w:val="0"/>
      <w:marRight w:val="0"/>
      <w:marTop w:val="0"/>
      <w:marBottom w:val="0"/>
      <w:divBdr>
        <w:top w:val="none" w:sz="0" w:space="0" w:color="auto"/>
        <w:left w:val="none" w:sz="0" w:space="0" w:color="auto"/>
        <w:bottom w:val="none" w:sz="0" w:space="0" w:color="auto"/>
        <w:right w:val="none" w:sz="0" w:space="0" w:color="auto"/>
      </w:divBdr>
      <w:divsChild>
        <w:div w:id="1281911581">
          <w:marLeft w:val="0"/>
          <w:marRight w:val="0"/>
          <w:marTop w:val="0"/>
          <w:marBottom w:val="0"/>
          <w:divBdr>
            <w:top w:val="none" w:sz="0" w:space="0" w:color="auto"/>
            <w:left w:val="none" w:sz="0" w:space="0" w:color="auto"/>
            <w:bottom w:val="none" w:sz="0" w:space="0" w:color="auto"/>
            <w:right w:val="none" w:sz="0" w:space="0" w:color="auto"/>
          </w:divBdr>
          <w:divsChild>
            <w:div w:id="361253198">
              <w:marLeft w:val="0"/>
              <w:marRight w:val="0"/>
              <w:marTop w:val="0"/>
              <w:marBottom w:val="0"/>
              <w:divBdr>
                <w:top w:val="none" w:sz="0" w:space="0" w:color="auto"/>
                <w:left w:val="none" w:sz="0" w:space="0" w:color="auto"/>
                <w:bottom w:val="none" w:sz="0" w:space="0" w:color="auto"/>
                <w:right w:val="none" w:sz="0" w:space="0" w:color="auto"/>
              </w:divBdr>
              <w:divsChild>
                <w:div w:id="1483079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3715211">
      <w:bodyDiv w:val="1"/>
      <w:marLeft w:val="0"/>
      <w:marRight w:val="0"/>
      <w:marTop w:val="0"/>
      <w:marBottom w:val="0"/>
      <w:divBdr>
        <w:top w:val="none" w:sz="0" w:space="0" w:color="auto"/>
        <w:left w:val="none" w:sz="0" w:space="0" w:color="auto"/>
        <w:bottom w:val="none" w:sz="0" w:space="0" w:color="auto"/>
        <w:right w:val="none" w:sz="0" w:space="0" w:color="auto"/>
      </w:divBdr>
    </w:div>
    <w:div w:id="1639535572">
      <w:bodyDiv w:val="1"/>
      <w:marLeft w:val="0"/>
      <w:marRight w:val="0"/>
      <w:marTop w:val="0"/>
      <w:marBottom w:val="0"/>
      <w:divBdr>
        <w:top w:val="none" w:sz="0" w:space="0" w:color="auto"/>
        <w:left w:val="none" w:sz="0" w:space="0" w:color="auto"/>
        <w:bottom w:val="none" w:sz="0" w:space="0" w:color="auto"/>
        <w:right w:val="none" w:sz="0" w:space="0" w:color="auto"/>
      </w:divBdr>
    </w:div>
    <w:div w:id="1694182712">
      <w:bodyDiv w:val="1"/>
      <w:marLeft w:val="0"/>
      <w:marRight w:val="0"/>
      <w:marTop w:val="0"/>
      <w:marBottom w:val="0"/>
      <w:divBdr>
        <w:top w:val="none" w:sz="0" w:space="0" w:color="auto"/>
        <w:left w:val="none" w:sz="0" w:space="0" w:color="auto"/>
        <w:bottom w:val="none" w:sz="0" w:space="0" w:color="auto"/>
        <w:right w:val="none" w:sz="0" w:space="0" w:color="auto"/>
      </w:divBdr>
    </w:div>
    <w:div w:id="1735856404">
      <w:bodyDiv w:val="1"/>
      <w:marLeft w:val="0"/>
      <w:marRight w:val="0"/>
      <w:marTop w:val="0"/>
      <w:marBottom w:val="0"/>
      <w:divBdr>
        <w:top w:val="none" w:sz="0" w:space="0" w:color="auto"/>
        <w:left w:val="none" w:sz="0" w:space="0" w:color="auto"/>
        <w:bottom w:val="none" w:sz="0" w:space="0" w:color="auto"/>
        <w:right w:val="none" w:sz="0" w:space="0" w:color="auto"/>
      </w:divBdr>
      <w:divsChild>
        <w:div w:id="802188777">
          <w:blockQuote w:val="1"/>
          <w:marLeft w:val="720"/>
          <w:marRight w:val="720"/>
          <w:marTop w:val="100"/>
          <w:marBottom w:val="100"/>
          <w:divBdr>
            <w:top w:val="none" w:sz="0" w:space="0" w:color="auto"/>
            <w:left w:val="none" w:sz="0" w:space="0" w:color="auto"/>
            <w:bottom w:val="none" w:sz="0" w:space="0" w:color="auto"/>
            <w:right w:val="none" w:sz="0" w:space="0" w:color="auto"/>
          </w:divBdr>
        </w:div>
        <w:div w:id="102100581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82653112">
      <w:bodyDiv w:val="1"/>
      <w:marLeft w:val="0"/>
      <w:marRight w:val="0"/>
      <w:marTop w:val="0"/>
      <w:marBottom w:val="0"/>
      <w:divBdr>
        <w:top w:val="none" w:sz="0" w:space="0" w:color="auto"/>
        <w:left w:val="none" w:sz="0" w:space="0" w:color="auto"/>
        <w:bottom w:val="none" w:sz="0" w:space="0" w:color="auto"/>
        <w:right w:val="none" w:sz="0" w:space="0" w:color="auto"/>
      </w:divBdr>
    </w:div>
    <w:div w:id="1856570832">
      <w:bodyDiv w:val="1"/>
      <w:marLeft w:val="0"/>
      <w:marRight w:val="0"/>
      <w:marTop w:val="0"/>
      <w:marBottom w:val="0"/>
      <w:divBdr>
        <w:top w:val="none" w:sz="0" w:space="0" w:color="auto"/>
        <w:left w:val="none" w:sz="0" w:space="0" w:color="auto"/>
        <w:bottom w:val="none" w:sz="0" w:space="0" w:color="auto"/>
        <w:right w:val="none" w:sz="0" w:space="0" w:color="auto"/>
      </w:divBdr>
      <w:divsChild>
        <w:div w:id="1081874039">
          <w:marLeft w:val="0"/>
          <w:marRight w:val="0"/>
          <w:marTop w:val="0"/>
          <w:marBottom w:val="0"/>
          <w:divBdr>
            <w:top w:val="none" w:sz="0" w:space="0" w:color="auto"/>
            <w:left w:val="none" w:sz="0" w:space="0" w:color="auto"/>
            <w:bottom w:val="none" w:sz="0" w:space="0" w:color="auto"/>
            <w:right w:val="none" w:sz="0" w:space="0" w:color="auto"/>
          </w:divBdr>
          <w:divsChild>
            <w:div w:id="1295672305">
              <w:marLeft w:val="0"/>
              <w:marRight w:val="0"/>
              <w:marTop w:val="0"/>
              <w:marBottom w:val="0"/>
              <w:divBdr>
                <w:top w:val="none" w:sz="0" w:space="0" w:color="auto"/>
                <w:left w:val="none" w:sz="0" w:space="0" w:color="auto"/>
                <w:bottom w:val="none" w:sz="0" w:space="0" w:color="auto"/>
                <w:right w:val="none" w:sz="0" w:space="0" w:color="auto"/>
              </w:divBdr>
              <w:divsChild>
                <w:div w:id="897396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8928922">
      <w:bodyDiv w:val="1"/>
      <w:marLeft w:val="0"/>
      <w:marRight w:val="0"/>
      <w:marTop w:val="0"/>
      <w:marBottom w:val="0"/>
      <w:divBdr>
        <w:top w:val="none" w:sz="0" w:space="0" w:color="auto"/>
        <w:left w:val="none" w:sz="0" w:space="0" w:color="auto"/>
        <w:bottom w:val="none" w:sz="0" w:space="0" w:color="auto"/>
        <w:right w:val="none" w:sz="0" w:space="0" w:color="auto"/>
      </w:divBdr>
      <w:divsChild>
        <w:div w:id="1163198530">
          <w:marLeft w:val="0"/>
          <w:marRight w:val="0"/>
          <w:marTop w:val="0"/>
          <w:marBottom w:val="0"/>
          <w:divBdr>
            <w:top w:val="none" w:sz="0" w:space="0" w:color="auto"/>
            <w:left w:val="none" w:sz="0" w:space="0" w:color="auto"/>
            <w:bottom w:val="none" w:sz="0" w:space="0" w:color="auto"/>
            <w:right w:val="none" w:sz="0" w:space="0" w:color="auto"/>
          </w:divBdr>
          <w:divsChild>
            <w:div w:id="460148947">
              <w:marLeft w:val="0"/>
              <w:marRight w:val="0"/>
              <w:marTop w:val="0"/>
              <w:marBottom w:val="0"/>
              <w:divBdr>
                <w:top w:val="none" w:sz="0" w:space="0" w:color="auto"/>
                <w:left w:val="none" w:sz="0" w:space="0" w:color="auto"/>
                <w:bottom w:val="none" w:sz="0" w:space="0" w:color="auto"/>
                <w:right w:val="none" w:sz="0" w:space="0" w:color="auto"/>
              </w:divBdr>
              <w:divsChild>
                <w:div w:id="1509369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3391742">
      <w:bodyDiv w:val="1"/>
      <w:marLeft w:val="0"/>
      <w:marRight w:val="0"/>
      <w:marTop w:val="0"/>
      <w:marBottom w:val="0"/>
      <w:divBdr>
        <w:top w:val="none" w:sz="0" w:space="0" w:color="auto"/>
        <w:left w:val="none" w:sz="0" w:space="0" w:color="auto"/>
        <w:bottom w:val="none" w:sz="0" w:space="0" w:color="auto"/>
        <w:right w:val="none" w:sz="0" w:space="0" w:color="auto"/>
      </w:divBdr>
    </w:div>
    <w:div w:id="1950889137">
      <w:bodyDiv w:val="1"/>
      <w:marLeft w:val="0"/>
      <w:marRight w:val="0"/>
      <w:marTop w:val="0"/>
      <w:marBottom w:val="0"/>
      <w:divBdr>
        <w:top w:val="none" w:sz="0" w:space="0" w:color="auto"/>
        <w:left w:val="none" w:sz="0" w:space="0" w:color="auto"/>
        <w:bottom w:val="none" w:sz="0" w:space="0" w:color="auto"/>
        <w:right w:val="none" w:sz="0" w:space="0" w:color="auto"/>
      </w:divBdr>
      <w:divsChild>
        <w:div w:id="909845303">
          <w:marLeft w:val="105"/>
          <w:marRight w:val="105"/>
          <w:marTop w:val="105"/>
          <w:marBottom w:val="105"/>
          <w:divBdr>
            <w:top w:val="none" w:sz="0" w:space="0" w:color="auto"/>
            <w:left w:val="none" w:sz="0" w:space="0" w:color="auto"/>
            <w:bottom w:val="none" w:sz="0" w:space="0" w:color="auto"/>
            <w:right w:val="none" w:sz="0" w:space="0" w:color="auto"/>
          </w:divBdr>
          <w:divsChild>
            <w:div w:id="1989476714">
              <w:marLeft w:val="0"/>
              <w:marRight w:val="0"/>
              <w:marTop w:val="0"/>
              <w:marBottom w:val="0"/>
              <w:divBdr>
                <w:top w:val="none" w:sz="0" w:space="0" w:color="auto"/>
                <w:left w:val="none" w:sz="0" w:space="0" w:color="auto"/>
                <w:bottom w:val="none" w:sz="0" w:space="0" w:color="auto"/>
                <w:right w:val="none" w:sz="0" w:space="0" w:color="auto"/>
              </w:divBdr>
              <w:divsChild>
                <w:div w:id="1033186213">
                  <w:marLeft w:val="0"/>
                  <w:marRight w:val="0"/>
                  <w:marTop w:val="0"/>
                  <w:marBottom w:val="0"/>
                  <w:divBdr>
                    <w:top w:val="none" w:sz="0" w:space="0" w:color="auto"/>
                    <w:left w:val="none" w:sz="0" w:space="0" w:color="auto"/>
                    <w:bottom w:val="none" w:sz="0" w:space="0" w:color="auto"/>
                    <w:right w:val="none" w:sz="0" w:space="0" w:color="auto"/>
                  </w:divBdr>
                  <w:divsChild>
                    <w:div w:id="357465859">
                      <w:marLeft w:val="0"/>
                      <w:marRight w:val="0"/>
                      <w:marTop w:val="0"/>
                      <w:marBottom w:val="0"/>
                      <w:divBdr>
                        <w:top w:val="none" w:sz="0" w:space="0" w:color="auto"/>
                        <w:left w:val="none" w:sz="0" w:space="0" w:color="auto"/>
                        <w:bottom w:val="none" w:sz="0" w:space="0" w:color="auto"/>
                        <w:right w:val="none" w:sz="0" w:space="0" w:color="auto"/>
                      </w:divBdr>
                      <w:divsChild>
                        <w:div w:id="610168760">
                          <w:marLeft w:val="87"/>
                          <w:marRight w:val="87"/>
                          <w:marTop w:val="0"/>
                          <w:marBottom w:val="0"/>
                          <w:divBdr>
                            <w:top w:val="none" w:sz="0" w:space="0" w:color="auto"/>
                            <w:left w:val="none" w:sz="0" w:space="0" w:color="auto"/>
                            <w:bottom w:val="none" w:sz="0" w:space="0" w:color="auto"/>
                            <w:right w:val="none" w:sz="0" w:space="0" w:color="auto"/>
                          </w:divBdr>
                          <w:divsChild>
                            <w:div w:id="1463310923">
                              <w:marLeft w:val="0"/>
                              <w:marRight w:val="0"/>
                              <w:marTop w:val="0"/>
                              <w:marBottom w:val="0"/>
                              <w:divBdr>
                                <w:top w:val="none" w:sz="0" w:space="0" w:color="auto"/>
                                <w:left w:val="none" w:sz="0" w:space="0" w:color="auto"/>
                                <w:bottom w:val="none" w:sz="0" w:space="0" w:color="auto"/>
                                <w:right w:val="none" w:sz="0" w:space="0" w:color="auto"/>
                              </w:divBdr>
                              <w:divsChild>
                                <w:div w:id="1765765897">
                                  <w:marLeft w:val="105"/>
                                  <w:marRight w:val="105"/>
                                  <w:marTop w:val="105"/>
                                  <w:marBottom w:val="105"/>
                                  <w:divBdr>
                                    <w:top w:val="none" w:sz="0" w:space="0" w:color="auto"/>
                                    <w:left w:val="none" w:sz="0" w:space="0" w:color="auto"/>
                                    <w:bottom w:val="none" w:sz="0" w:space="0" w:color="auto"/>
                                    <w:right w:val="none" w:sz="0" w:space="0" w:color="auto"/>
                                  </w:divBdr>
                                  <w:divsChild>
                                    <w:div w:id="1773016872">
                                      <w:marLeft w:val="0"/>
                                      <w:marRight w:val="0"/>
                                      <w:marTop w:val="0"/>
                                      <w:marBottom w:val="0"/>
                                      <w:divBdr>
                                        <w:top w:val="none" w:sz="0" w:space="0" w:color="auto"/>
                                        <w:left w:val="none" w:sz="0" w:space="0" w:color="auto"/>
                                        <w:bottom w:val="none" w:sz="0" w:space="0" w:color="auto"/>
                                        <w:right w:val="none" w:sz="0" w:space="0" w:color="auto"/>
                                      </w:divBdr>
                                      <w:divsChild>
                                        <w:div w:id="1492406060">
                                          <w:marLeft w:val="0"/>
                                          <w:marRight w:val="0"/>
                                          <w:marTop w:val="0"/>
                                          <w:marBottom w:val="0"/>
                                          <w:divBdr>
                                            <w:top w:val="none" w:sz="0" w:space="0" w:color="auto"/>
                                            <w:left w:val="none" w:sz="0" w:space="0" w:color="auto"/>
                                            <w:bottom w:val="none" w:sz="0" w:space="0" w:color="auto"/>
                                            <w:right w:val="none" w:sz="0" w:space="0" w:color="auto"/>
                                          </w:divBdr>
                                          <w:divsChild>
                                            <w:div w:id="1521116910">
                                              <w:marLeft w:val="0"/>
                                              <w:marRight w:val="0"/>
                                              <w:marTop w:val="0"/>
                                              <w:marBottom w:val="0"/>
                                              <w:divBdr>
                                                <w:top w:val="none" w:sz="0" w:space="0" w:color="auto"/>
                                                <w:left w:val="none" w:sz="0" w:space="0" w:color="auto"/>
                                                <w:bottom w:val="none" w:sz="0" w:space="0" w:color="auto"/>
                                                <w:right w:val="none" w:sz="0" w:space="0" w:color="auto"/>
                                              </w:divBdr>
                                              <w:divsChild>
                                                <w:div w:id="2143035840">
                                                  <w:marLeft w:val="0"/>
                                                  <w:marRight w:val="0"/>
                                                  <w:marTop w:val="0"/>
                                                  <w:marBottom w:val="0"/>
                                                  <w:divBdr>
                                                    <w:top w:val="single" w:sz="6" w:space="0" w:color="auto"/>
                                                    <w:left w:val="none" w:sz="0" w:space="0" w:color="auto"/>
                                                    <w:bottom w:val="none" w:sz="0" w:space="0" w:color="auto"/>
                                                    <w:right w:val="none" w:sz="0" w:space="0" w:color="auto"/>
                                                  </w:divBdr>
                                                  <w:divsChild>
                                                    <w:div w:id="540627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015068140">
      <w:bodyDiv w:val="1"/>
      <w:marLeft w:val="0"/>
      <w:marRight w:val="0"/>
      <w:marTop w:val="0"/>
      <w:marBottom w:val="0"/>
      <w:divBdr>
        <w:top w:val="none" w:sz="0" w:space="0" w:color="auto"/>
        <w:left w:val="none" w:sz="0" w:space="0" w:color="auto"/>
        <w:bottom w:val="none" w:sz="0" w:space="0" w:color="auto"/>
        <w:right w:val="none" w:sz="0" w:space="0" w:color="auto"/>
      </w:divBdr>
    </w:div>
    <w:div w:id="2020502797">
      <w:bodyDiv w:val="1"/>
      <w:marLeft w:val="0"/>
      <w:marRight w:val="0"/>
      <w:marTop w:val="0"/>
      <w:marBottom w:val="0"/>
      <w:divBdr>
        <w:top w:val="none" w:sz="0" w:space="0" w:color="auto"/>
        <w:left w:val="none" w:sz="0" w:space="0" w:color="auto"/>
        <w:bottom w:val="none" w:sz="0" w:space="0" w:color="auto"/>
        <w:right w:val="none" w:sz="0" w:space="0" w:color="auto"/>
      </w:divBdr>
    </w:div>
    <w:div w:id="2058385823">
      <w:bodyDiv w:val="1"/>
      <w:marLeft w:val="0"/>
      <w:marRight w:val="0"/>
      <w:marTop w:val="0"/>
      <w:marBottom w:val="0"/>
      <w:divBdr>
        <w:top w:val="none" w:sz="0" w:space="0" w:color="auto"/>
        <w:left w:val="none" w:sz="0" w:space="0" w:color="auto"/>
        <w:bottom w:val="none" w:sz="0" w:space="0" w:color="auto"/>
        <w:right w:val="none" w:sz="0" w:space="0" w:color="auto"/>
      </w:divBdr>
      <w:divsChild>
        <w:div w:id="1395812115">
          <w:marLeft w:val="0"/>
          <w:marRight w:val="0"/>
          <w:marTop w:val="0"/>
          <w:marBottom w:val="0"/>
          <w:divBdr>
            <w:top w:val="none" w:sz="0" w:space="0" w:color="auto"/>
            <w:left w:val="none" w:sz="0" w:space="0" w:color="auto"/>
            <w:bottom w:val="none" w:sz="0" w:space="0" w:color="auto"/>
            <w:right w:val="none" w:sz="0" w:space="0" w:color="auto"/>
          </w:divBdr>
          <w:divsChild>
            <w:div w:id="287201752">
              <w:marLeft w:val="0"/>
              <w:marRight w:val="0"/>
              <w:marTop w:val="0"/>
              <w:marBottom w:val="0"/>
              <w:divBdr>
                <w:top w:val="none" w:sz="0" w:space="0" w:color="auto"/>
                <w:left w:val="none" w:sz="0" w:space="0" w:color="auto"/>
                <w:bottom w:val="none" w:sz="0" w:space="0" w:color="auto"/>
                <w:right w:val="none" w:sz="0" w:space="0" w:color="auto"/>
              </w:divBdr>
              <w:divsChild>
                <w:div w:id="1511405959">
                  <w:marLeft w:val="0"/>
                  <w:marRight w:val="0"/>
                  <w:marTop w:val="0"/>
                  <w:marBottom w:val="0"/>
                  <w:divBdr>
                    <w:top w:val="none" w:sz="0" w:space="0" w:color="auto"/>
                    <w:left w:val="none" w:sz="0" w:space="0" w:color="auto"/>
                    <w:bottom w:val="none" w:sz="0" w:space="0" w:color="auto"/>
                    <w:right w:val="none" w:sz="0" w:space="0" w:color="auto"/>
                  </w:divBdr>
                  <w:divsChild>
                    <w:div w:id="474298724">
                      <w:marLeft w:val="0"/>
                      <w:marRight w:val="0"/>
                      <w:marTop w:val="0"/>
                      <w:marBottom w:val="0"/>
                      <w:divBdr>
                        <w:top w:val="none" w:sz="0" w:space="0" w:color="auto"/>
                        <w:left w:val="none" w:sz="0" w:space="0" w:color="auto"/>
                        <w:bottom w:val="none" w:sz="0" w:space="0" w:color="auto"/>
                        <w:right w:val="none" w:sz="0" w:space="0" w:color="auto"/>
                      </w:divBdr>
                    </w:div>
                  </w:divsChild>
                </w:div>
                <w:div w:id="391317623">
                  <w:marLeft w:val="0"/>
                  <w:marRight w:val="0"/>
                  <w:marTop w:val="0"/>
                  <w:marBottom w:val="0"/>
                  <w:divBdr>
                    <w:top w:val="none" w:sz="0" w:space="0" w:color="auto"/>
                    <w:left w:val="none" w:sz="0" w:space="0" w:color="auto"/>
                    <w:bottom w:val="none" w:sz="0" w:space="0" w:color="auto"/>
                    <w:right w:val="none" w:sz="0" w:space="0" w:color="auto"/>
                  </w:divBdr>
                  <w:divsChild>
                    <w:div w:id="191771048">
                      <w:marLeft w:val="0"/>
                      <w:marRight w:val="0"/>
                      <w:marTop w:val="0"/>
                      <w:marBottom w:val="0"/>
                      <w:divBdr>
                        <w:top w:val="none" w:sz="0" w:space="0" w:color="auto"/>
                        <w:left w:val="none" w:sz="0" w:space="0" w:color="auto"/>
                        <w:bottom w:val="none" w:sz="0" w:space="0" w:color="auto"/>
                        <w:right w:val="none" w:sz="0" w:space="0" w:color="auto"/>
                      </w:divBdr>
                    </w:div>
                  </w:divsChild>
                </w:div>
                <w:div w:id="1098796113">
                  <w:marLeft w:val="0"/>
                  <w:marRight w:val="0"/>
                  <w:marTop w:val="0"/>
                  <w:marBottom w:val="0"/>
                  <w:divBdr>
                    <w:top w:val="none" w:sz="0" w:space="0" w:color="auto"/>
                    <w:left w:val="none" w:sz="0" w:space="0" w:color="auto"/>
                    <w:bottom w:val="none" w:sz="0" w:space="0" w:color="auto"/>
                    <w:right w:val="none" w:sz="0" w:space="0" w:color="auto"/>
                  </w:divBdr>
                  <w:divsChild>
                    <w:div w:id="982393960">
                      <w:marLeft w:val="0"/>
                      <w:marRight w:val="0"/>
                      <w:marTop w:val="0"/>
                      <w:marBottom w:val="0"/>
                      <w:divBdr>
                        <w:top w:val="none" w:sz="0" w:space="0" w:color="auto"/>
                        <w:left w:val="none" w:sz="0" w:space="0" w:color="auto"/>
                        <w:bottom w:val="none" w:sz="0" w:space="0" w:color="auto"/>
                        <w:right w:val="none" w:sz="0" w:space="0" w:color="auto"/>
                      </w:divBdr>
                    </w:div>
                  </w:divsChild>
                </w:div>
                <w:div w:id="433985052">
                  <w:marLeft w:val="0"/>
                  <w:marRight w:val="0"/>
                  <w:marTop w:val="0"/>
                  <w:marBottom w:val="0"/>
                  <w:divBdr>
                    <w:top w:val="none" w:sz="0" w:space="0" w:color="auto"/>
                    <w:left w:val="none" w:sz="0" w:space="0" w:color="auto"/>
                    <w:bottom w:val="none" w:sz="0" w:space="0" w:color="auto"/>
                    <w:right w:val="none" w:sz="0" w:space="0" w:color="auto"/>
                  </w:divBdr>
                  <w:divsChild>
                    <w:div w:id="1802455012">
                      <w:marLeft w:val="0"/>
                      <w:marRight w:val="0"/>
                      <w:marTop w:val="0"/>
                      <w:marBottom w:val="0"/>
                      <w:divBdr>
                        <w:top w:val="none" w:sz="0" w:space="0" w:color="auto"/>
                        <w:left w:val="none" w:sz="0" w:space="0" w:color="auto"/>
                        <w:bottom w:val="none" w:sz="0" w:space="0" w:color="auto"/>
                        <w:right w:val="none" w:sz="0" w:space="0" w:color="auto"/>
                      </w:divBdr>
                    </w:div>
                  </w:divsChild>
                </w:div>
                <w:div w:id="1559437771">
                  <w:marLeft w:val="0"/>
                  <w:marRight w:val="0"/>
                  <w:marTop w:val="0"/>
                  <w:marBottom w:val="0"/>
                  <w:divBdr>
                    <w:top w:val="none" w:sz="0" w:space="0" w:color="auto"/>
                    <w:left w:val="none" w:sz="0" w:space="0" w:color="auto"/>
                    <w:bottom w:val="none" w:sz="0" w:space="0" w:color="auto"/>
                    <w:right w:val="none" w:sz="0" w:space="0" w:color="auto"/>
                  </w:divBdr>
                  <w:divsChild>
                    <w:div w:id="840195698">
                      <w:marLeft w:val="0"/>
                      <w:marRight w:val="0"/>
                      <w:marTop w:val="0"/>
                      <w:marBottom w:val="0"/>
                      <w:divBdr>
                        <w:top w:val="none" w:sz="0" w:space="0" w:color="auto"/>
                        <w:left w:val="none" w:sz="0" w:space="0" w:color="auto"/>
                        <w:bottom w:val="none" w:sz="0" w:space="0" w:color="auto"/>
                        <w:right w:val="none" w:sz="0" w:space="0" w:color="auto"/>
                      </w:divBdr>
                    </w:div>
                  </w:divsChild>
                </w:div>
                <w:div w:id="1145052943">
                  <w:marLeft w:val="0"/>
                  <w:marRight w:val="0"/>
                  <w:marTop w:val="0"/>
                  <w:marBottom w:val="0"/>
                  <w:divBdr>
                    <w:top w:val="none" w:sz="0" w:space="0" w:color="auto"/>
                    <w:left w:val="none" w:sz="0" w:space="0" w:color="auto"/>
                    <w:bottom w:val="none" w:sz="0" w:space="0" w:color="auto"/>
                    <w:right w:val="none" w:sz="0" w:space="0" w:color="auto"/>
                  </w:divBdr>
                  <w:divsChild>
                    <w:div w:id="1908766089">
                      <w:marLeft w:val="0"/>
                      <w:marRight w:val="0"/>
                      <w:marTop w:val="0"/>
                      <w:marBottom w:val="0"/>
                      <w:divBdr>
                        <w:top w:val="none" w:sz="0" w:space="0" w:color="auto"/>
                        <w:left w:val="none" w:sz="0" w:space="0" w:color="auto"/>
                        <w:bottom w:val="none" w:sz="0" w:space="0" w:color="auto"/>
                        <w:right w:val="none" w:sz="0" w:space="0" w:color="auto"/>
                      </w:divBdr>
                    </w:div>
                  </w:divsChild>
                </w:div>
                <w:div w:id="160125799">
                  <w:marLeft w:val="0"/>
                  <w:marRight w:val="0"/>
                  <w:marTop w:val="0"/>
                  <w:marBottom w:val="0"/>
                  <w:divBdr>
                    <w:top w:val="none" w:sz="0" w:space="0" w:color="auto"/>
                    <w:left w:val="none" w:sz="0" w:space="0" w:color="auto"/>
                    <w:bottom w:val="none" w:sz="0" w:space="0" w:color="auto"/>
                    <w:right w:val="none" w:sz="0" w:space="0" w:color="auto"/>
                  </w:divBdr>
                  <w:divsChild>
                    <w:div w:id="74330746">
                      <w:marLeft w:val="0"/>
                      <w:marRight w:val="0"/>
                      <w:marTop w:val="0"/>
                      <w:marBottom w:val="0"/>
                      <w:divBdr>
                        <w:top w:val="none" w:sz="0" w:space="0" w:color="auto"/>
                        <w:left w:val="none" w:sz="0" w:space="0" w:color="auto"/>
                        <w:bottom w:val="none" w:sz="0" w:space="0" w:color="auto"/>
                        <w:right w:val="none" w:sz="0" w:space="0" w:color="auto"/>
                      </w:divBdr>
                    </w:div>
                  </w:divsChild>
                </w:div>
                <w:div w:id="1481389184">
                  <w:marLeft w:val="0"/>
                  <w:marRight w:val="0"/>
                  <w:marTop w:val="0"/>
                  <w:marBottom w:val="0"/>
                  <w:divBdr>
                    <w:top w:val="none" w:sz="0" w:space="0" w:color="auto"/>
                    <w:left w:val="none" w:sz="0" w:space="0" w:color="auto"/>
                    <w:bottom w:val="none" w:sz="0" w:space="0" w:color="auto"/>
                    <w:right w:val="none" w:sz="0" w:space="0" w:color="auto"/>
                  </w:divBdr>
                  <w:divsChild>
                    <w:div w:id="878207659">
                      <w:marLeft w:val="0"/>
                      <w:marRight w:val="0"/>
                      <w:marTop w:val="0"/>
                      <w:marBottom w:val="0"/>
                      <w:divBdr>
                        <w:top w:val="none" w:sz="0" w:space="0" w:color="auto"/>
                        <w:left w:val="none" w:sz="0" w:space="0" w:color="auto"/>
                        <w:bottom w:val="none" w:sz="0" w:space="0" w:color="auto"/>
                        <w:right w:val="none" w:sz="0" w:space="0" w:color="auto"/>
                      </w:divBdr>
                    </w:div>
                  </w:divsChild>
                </w:div>
                <w:div w:id="1222063435">
                  <w:marLeft w:val="0"/>
                  <w:marRight w:val="0"/>
                  <w:marTop w:val="0"/>
                  <w:marBottom w:val="0"/>
                  <w:divBdr>
                    <w:top w:val="none" w:sz="0" w:space="0" w:color="auto"/>
                    <w:left w:val="none" w:sz="0" w:space="0" w:color="auto"/>
                    <w:bottom w:val="none" w:sz="0" w:space="0" w:color="auto"/>
                    <w:right w:val="none" w:sz="0" w:space="0" w:color="auto"/>
                  </w:divBdr>
                  <w:divsChild>
                    <w:div w:id="705907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9738987">
      <w:bodyDiv w:val="1"/>
      <w:marLeft w:val="0"/>
      <w:marRight w:val="0"/>
      <w:marTop w:val="0"/>
      <w:marBottom w:val="0"/>
      <w:divBdr>
        <w:top w:val="none" w:sz="0" w:space="0" w:color="auto"/>
        <w:left w:val="none" w:sz="0" w:space="0" w:color="auto"/>
        <w:bottom w:val="none" w:sz="0" w:space="0" w:color="auto"/>
        <w:right w:val="none" w:sz="0" w:space="0" w:color="auto"/>
      </w:divBdr>
      <w:divsChild>
        <w:div w:id="325481166">
          <w:marLeft w:val="0"/>
          <w:marRight w:val="0"/>
          <w:marTop w:val="0"/>
          <w:marBottom w:val="0"/>
          <w:divBdr>
            <w:top w:val="none" w:sz="0" w:space="0" w:color="auto"/>
            <w:left w:val="none" w:sz="0" w:space="0" w:color="auto"/>
            <w:bottom w:val="none" w:sz="0" w:space="0" w:color="auto"/>
            <w:right w:val="none" w:sz="0" w:space="0" w:color="auto"/>
          </w:divBdr>
          <w:divsChild>
            <w:div w:id="1659260463">
              <w:marLeft w:val="0"/>
              <w:marRight w:val="0"/>
              <w:marTop w:val="0"/>
              <w:marBottom w:val="0"/>
              <w:divBdr>
                <w:top w:val="none" w:sz="0" w:space="0" w:color="auto"/>
                <w:left w:val="none" w:sz="0" w:space="0" w:color="auto"/>
                <w:bottom w:val="none" w:sz="0" w:space="0" w:color="auto"/>
                <w:right w:val="none" w:sz="0" w:space="0" w:color="auto"/>
              </w:divBdr>
              <w:divsChild>
                <w:div w:id="2022853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2003198">
      <w:bodyDiv w:val="1"/>
      <w:marLeft w:val="0"/>
      <w:marRight w:val="0"/>
      <w:marTop w:val="0"/>
      <w:marBottom w:val="0"/>
      <w:divBdr>
        <w:top w:val="none" w:sz="0" w:space="0" w:color="auto"/>
        <w:left w:val="none" w:sz="0" w:space="0" w:color="auto"/>
        <w:bottom w:val="none" w:sz="0" w:space="0" w:color="auto"/>
        <w:right w:val="none" w:sz="0" w:space="0" w:color="auto"/>
      </w:divBdr>
    </w:div>
    <w:div w:id="2087414382">
      <w:bodyDiv w:val="1"/>
      <w:marLeft w:val="0"/>
      <w:marRight w:val="0"/>
      <w:marTop w:val="0"/>
      <w:marBottom w:val="0"/>
      <w:divBdr>
        <w:top w:val="none" w:sz="0" w:space="0" w:color="auto"/>
        <w:left w:val="none" w:sz="0" w:space="0" w:color="auto"/>
        <w:bottom w:val="none" w:sz="0" w:space="0" w:color="auto"/>
        <w:right w:val="none" w:sz="0" w:space="0" w:color="auto"/>
      </w:divBdr>
      <w:divsChild>
        <w:div w:id="1322661892">
          <w:marLeft w:val="0"/>
          <w:marRight w:val="0"/>
          <w:marTop w:val="0"/>
          <w:marBottom w:val="0"/>
          <w:divBdr>
            <w:top w:val="none" w:sz="0" w:space="0" w:color="auto"/>
            <w:left w:val="none" w:sz="0" w:space="0" w:color="auto"/>
            <w:bottom w:val="none" w:sz="0" w:space="0" w:color="auto"/>
            <w:right w:val="none" w:sz="0" w:space="0" w:color="auto"/>
          </w:divBdr>
          <w:divsChild>
            <w:div w:id="922372133">
              <w:marLeft w:val="0"/>
              <w:marRight w:val="0"/>
              <w:marTop w:val="0"/>
              <w:marBottom w:val="0"/>
              <w:divBdr>
                <w:top w:val="none" w:sz="0" w:space="0" w:color="auto"/>
                <w:left w:val="none" w:sz="0" w:space="0" w:color="auto"/>
                <w:bottom w:val="none" w:sz="0" w:space="0" w:color="auto"/>
                <w:right w:val="none" w:sz="0" w:space="0" w:color="auto"/>
              </w:divBdr>
              <w:divsChild>
                <w:div w:id="515852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8457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ystem/files/2022-10/Supplementary%20guidance%20-%20Social%2C%20emotional%20and%20mental%20health%20%28SEMH%29%20difficulties_0.pdf" TargetMode="External"/><Relationship Id="rId13" Type="http://schemas.openxmlformats.org/officeDocument/2006/relationships/hyperlink" Target="https://doi.org/10.1787/e82fded1-en" TargetMode="External"/><Relationship Id="rId18" Type="http://schemas.openxmlformats.org/officeDocument/2006/relationships/hyperlink" Target="https://hwb.gov.wales/evaluation-improvement-and-accountability/school-improvement-guidance-framework-for-evaluation-improvement-and-accountability/"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educationendowmentfoundation.org.uk/education-evidence/teaching-learning-toolkit/social-and-emotional-learning" TargetMode="External"/><Relationship Id="rId12" Type="http://schemas.openxmlformats.org/officeDocument/2006/relationships/hyperlink" Target="https://doi.org/10.1787/4b483953-en" TargetMode="External"/><Relationship Id="rId17" Type="http://schemas.openxmlformats.org/officeDocument/2006/relationships/hyperlink" Target="https://www.gov.wales/sites/default/files/publications/2022-06/220622-the-additional-learning-needs-code-for-wales-2021.pdf" TargetMode="External"/><Relationship Id="rId2" Type="http://schemas.openxmlformats.org/officeDocument/2006/relationships/styles" Target="styles.xml"/><Relationship Id="rId16" Type="http://schemas.openxmlformats.org/officeDocument/2006/relationships/hyperlink" Target="https://hwb.gov.wales/api/storage/f87e720f-8568-4a60-9383-55e20b9a1bb7/schools-in-wales-as-learning-organisations.pdf" TargetMode="External"/><Relationship Id="rId20" Type="http://schemas.openxmlformats.org/officeDocument/2006/relationships/hyperlink" Target="https://www.gov.wales/sites/default/files/publications/2023-03/our-national-mission-high-standards-and-aspirations-for-all_0.pdf" TargetMode="External"/><Relationship Id="rId1" Type="http://schemas.openxmlformats.org/officeDocument/2006/relationships/numbering" Target="numbering.xml"/><Relationship Id="rId6" Type="http://schemas.openxmlformats.org/officeDocument/2006/relationships/hyperlink" Target="https://d2tic4wvo1iusb.cloudfront.net/production/eef-guidance-reports/send/EEF_Special_Educational_Needs_in_Mainstream_Schools_Guidance_Report.pdf?v=1709502418" TargetMode="External"/><Relationship Id="rId11" Type="http://schemas.openxmlformats.org/officeDocument/2006/relationships/hyperlink" Target="https://www.naht.org.uk/About-Us/NAHT-Cymru/ArtMID/606/ArticleID/2301/School-leaders-in-Wales-sound-alarm-over-budget-cuts" TargetMode="External"/><Relationship Id="rId5" Type="http://schemas.openxmlformats.org/officeDocument/2006/relationships/hyperlink" Target="https://www.childcomwales.org.uk/wp-content/uploads/2023/03/A-No-Wrong-Door-Approach-to-Neurodiversity-.pdf" TargetMode="External"/><Relationship Id="rId15" Type="http://schemas.openxmlformats.org/officeDocument/2006/relationships/hyperlink" Target="https://warwick.ac.uk/fac/sci/med/research/platform/wemwbs/about/" TargetMode="External"/><Relationship Id="rId10" Type="http://schemas.openxmlformats.org/officeDocument/2006/relationships/hyperlink" Target="https://doi.org/10.1080/13632752.2013.769709" TargetMode="External"/><Relationship Id="rId19" Type="http://schemas.openxmlformats.org/officeDocument/2006/relationships/hyperlink" Target="https://www.gov.wales/exclusions-maintained-schools-september-2021-august-2022-html#133805" TargetMode="External"/><Relationship Id="rId4" Type="http://schemas.openxmlformats.org/officeDocument/2006/relationships/webSettings" Target="webSettings.xml"/><Relationship Id="rId9" Type="http://schemas.openxmlformats.org/officeDocument/2006/relationships/hyperlink" Target="https://www.bera.ac.uk/blog/school-self-evaluation-for-school-improvement-principles-of-effective-practice" TargetMode="External"/><Relationship Id="rId14" Type="http://schemas.openxmlformats.org/officeDocument/2006/relationships/hyperlink" Target="https://doi.org/10.1080/08856257.2017.1334433"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2053</TotalTime>
  <Pages>13</Pages>
  <Words>4297</Words>
  <Characters>24496</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James (0851498)</dc:creator>
  <cp:keywords/>
  <dc:description/>
  <cp:lastModifiedBy>Hannah James (0851498)</cp:lastModifiedBy>
  <cp:revision>38</cp:revision>
  <cp:lastPrinted>2024-03-02T20:38:00Z</cp:lastPrinted>
  <dcterms:created xsi:type="dcterms:W3CDTF">2024-02-15T16:48:00Z</dcterms:created>
  <dcterms:modified xsi:type="dcterms:W3CDTF">2024-03-04T23:53:00Z</dcterms:modified>
</cp:coreProperties>
</file>