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C6140" w14:textId="239ADB09" w:rsidR="2491585C" w:rsidRDefault="2491585C" w:rsidP="61BFC472">
      <w:pPr>
        <w:spacing w:before="240" w:after="240" w:line="240" w:lineRule="auto"/>
        <w:jc w:val="center"/>
        <w:rPr>
          <w:rFonts w:ascii="Arial" w:eastAsia="Arial" w:hAnsi="Arial" w:cs="Arial"/>
          <w:color w:val="000000" w:themeColor="text1"/>
          <w:sz w:val="28"/>
          <w:szCs w:val="28"/>
        </w:rPr>
      </w:pPr>
      <w:r w:rsidRPr="61BFC472">
        <w:rPr>
          <w:rFonts w:ascii="Arial" w:eastAsia="Arial" w:hAnsi="Arial" w:cs="Arial"/>
          <w:color w:val="000000" w:themeColor="text1"/>
          <w:sz w:val="28"/>
          <w:szCs w:val="28"/>
        </w:rPr>
        <w:t xml:space="preserve">The dissertation report </w:t>
      </w:r>
    </w:p>
    <w:p w14:paraId="31B9B54E" w14:textId="4B5E55CD" w:rsidR="2491585C" w:rsidRDefault="2491585C" w:rsidP="61BFC472">
      <w:pPr>
        <w:spacing w:before="240" w:after="240" w:line="240" w:lineRule="auto"/>
        <w:jc w:val="center"/>
        <w:rPr>
          <w:rFonts w:ascii="Arial" w:eastAsia="Arial" w:hAnsi="Arial" w:cs="Arial"/>
          <w:color w:val="000000" w:themeColor="text1"/>
          <w:sz w:val="28"/>
          <w:szCs w:val="28"/>
        </w:rPr>
      </w:pPr>
      <w:r w:rsidRPr="61BFC472">
        <w:rPr>
          <w:rFonts w:ascii="Arial" w:eastAsia="Arial" w:hAnsi="Arial" w:cs="Arial"/>
          <w:color w:val="000000" w:themeColor="text1"/>
          <w:sz w:val="28"/>
          <w:szCs w:val="28"/>
        </w:rPr>
        <w:t>On</w:t>
      </w:r>
    </w:p>
    <w:p w14:paraId="3B7FA975" w14:textId="78AA4A2A" w:rsidR="09E7CAA9" w:rsidRDefault="09E7CAA9" w:rsidP="61BFC472">
      <w:pPr>
        <w:spacing w:before="240" w:after="240" w:line="240" w:lineRule="auto"/>
        <w:jc w:val="center"/>
        <w:rPr>
          <w:rFonts w:ascii="Arial" w:eastAsia="Arial" w:hAnsi="Arial" w:cs="Arial"/>
          <w:b/>
          <w:bCs/>
          <w:color w:val="000000" w:themeColor="text1"/>
          <w:sz w:val="31"/>
          <w:szCs w:val="31"/>
        </w:rPr>
      </w:pPr>
      <w:r w:rsidRPr="61BFC472">
        <w:rPr>
          <w:rFonts w:ascii="Arial" w:eastAsia="Arial" w:hAnsi="Arial" w:cs="Arial"/>
          <w:b/>
          <w:bCs/>
          <w:color w:val="000000" w:themeColor="text1"/>
          <w:sz w:val="31"/>
          <w:szCs w:val="31"/>
        </w:rPr>
        <w:t>The Impact of Sports Sponsorship on Brand Image: An Analysis of Sponsorship Strategies in the Indian Premier League (IPL)</w:t>
      </w:r>
    </w:p>
    <w:p w14:paraId="59EEECFC" w14:textId="4A7BB513" w:rsidR="2491585C" w:rsidRDefault="2491585C" w:rsidP="61BFC472">
      <w:pPr>
        <w:spacing w:before="240" w:after="240" w:line="240" w:lineRule="auto"/>
        <w:jc w:val="center"/>
        <w:rPr>
          <w:rFonts w:ascii="Arial" w:eastAsia="Arial" w:hAnsi="Arial" w:cs="Arial"/>
          <w:color w:val="000000" w:themeColor="text1"/>
          <w:sz w:val="28"/>
          <w:szCs w:val="28"/>
        </w:rPr>
      </w:pPr>
      <w:r w:rsidRPr="61BFC472">
        <w:rPr>
          <w:rFonts w:ascii="Arial" w:eastAsia="Arial" w:hAnsi="Arial" w:cs="Arial"/>
          <w:color w:val="000000" w:themeColor="text1"/>
          <w:sz w:val="28"/>
          <w:szCs w:val="28"/>
        </w:rPr>
        <w:t xml:space="preserve">At </w:t>
      </w:r>
    </w:p>
    <w:p w14:paraId="22FB2D79" w14:textId="544FC69B" w:rsidR="2491585C" w:rsidRDefault="2491585C" w:rsidP="61BFC472">
      <w:pPr>
        <w:spacing w:before="240" w:after="240" w:line="240" w:lineRule="auto"/>
        <w:jc w:val="center"/>
        <w:rPr>
          <w:rFonts w:ascii="Arial" w:eastAsia="Arial" w:hAnsi="Arial" w:cs="Arial"/>
          <w:color w:val="000000" w:themeColor="text1"/>
          <w:sz w:val="28"/>
          <w:szCs w:val="28"/>
        </w:rPr>
      </w:pPr>
      <w:r w:rsidRPr="61BFC472">
        <w:rPr>
          <w:rFonts w:ascii="Arial" w:eastAsia="Arial" w:hAnsi="Arial" w:cs="Arial"/>
          <w:b/>
          <w:bCs/>
          <w:color w:val="000000" w:themeColor="text1"/>
          <w:sz w:val="28"/>
          <w:szCs w:val="28"/>
        </w:rPr>
        <w:t xml:space="preserve">UNIVERSITY OF WALES TRINITY SAINT DAVID </w:t>
      </w:r>
    </w:p>
    <w:p w14:paraId="7B0A7E00" w14:textId="32051AE4" w:rsidR="2491585C" w:rsidRDefault="2491585C" w:rsidP="61BFC472">
      <w:pPr>
        <w:spacing w:before="240" w:after="240" w:line="240" w:lineRule="auto"/>
        <w:jc w:val="center"/>
        <w:rPr>
          <w:rFonts w:ascii="Arial" w:eastAsia="Arial" w:hAnsi="Arial" w:cs="Arial"/>
          <w:color w:val="000000" w:themeColor="text1"/>
          <w:sz w:val="28"/>
          <w:szCs w:val="28"/>
        </w:rPr>
      </w:pPr>
      <w:r w:rsidRPr="61BFC472">
        <w:rPr>
          <w:rFonts w:ascii="Arial" w:eastAsia="Arial" w:hAnsi="Arial" w:cs="Arial"/>
          <w:color w:val="000000" w:themeColor="text1"/>
          <w:sz w:val="28"/>
          <w:szCs w:val="28"/>
        </w:rPr>
        <w:t xml:space="preserve">For the subject </w:t>
      </w:r>
    </w:p>
    <w:p w14:paraId="5EBBC4F5" w14:textId="199E4615" w:rsidR="21CE635F" w:rsidRDefault="21CE635F" w:rsidP="61BFC472">
      <w:pPr>
        <w:spacing w:before="240" w:after="240" w:line="240" w:lineRule="auto"/>
        <w:jc w:val="center"/>
        <w:rPr>
          <w:rFonts w:ascii="Arial" w:eastAsia="Arial" w:hAnsi="Arial" w:cs="Arial"/>
          <w:color w:val="000000" w:themeColor="text1"/>
          <w:sz w:val="28"/>
          <w:szCs w:val="28"/>
        </w:rPr>
      </w:pPr>
      <w:r w:rsidRPr="61BFC472">
        <w:rPr>
          <w:rFonts w:ascii="Arial" w:eastAsia="Arial" w:hAnsi="Arial" w:cs="Arial"/>
          <w:b/>
          <w:bCs/>
          <w:color w:val="000000" w:themeColor="text1"/>
          <w:sz w:val="28"/>
          <w:szCs w:val="28"/>
        </w:rPr>
        <w:t xml:space="preserve">Dissertation </w:t>
      </w:r>
      <w:r w:rsidR="2491585C" w:rsidRPr="61BFC472">
        <w:rPr>
          <w:rFonts w:ascii="Arial" w:eastAsia="Arial" w:hAnsi="Arial" w:cs="Arial"/>
          <w:b/>
          <w:bCs/>
          <w:color w:val="000000" w:themeColor="text1"/>
          <w:sz w:val="28"/>
          <w:szCs w:val="28"/>
        </w:rPr>
        <w:t>(LCMB7</w:t>
      </w:r>
      <w:r w:rsidR="2D1DA122" w:rsidRPr="61BFC472">
        <w:rPr>
          <w:rFonts w:ascii="Arial" w:eastAsia="Arial" w:hAnsi="Arial" w:cs="Arial"/>
          <w:b/>
          <w:bCs/>
          <w:color w:val="000000" w:themeColor="text1"/>
          <w:sz w:val="28"/>
          <w:szCs w:val="28"/>
        </w:rPr>
        <w:t>035)</w:t>
      </w:r>
    </w:p>
    <w:p w14:paraId="1F7A57FC" w14:textId="117E198E" w:rsidR="2491585C" w:rsidRDefault="2491585C" w:rsidP="61BFC472">
      <w:pPr>
        <w:spacing w:before="240" w:after="240" w:line="240" w:lineRule="auto"/>
        <w:jc w:val="center"/>
        <w:rPr>
          <w:rFonts w:ascii="Arial" w:eastAsia="Arial" w:hAnsi="Arial" w:cs="Arial"/>
          <w:color w:val="000000" w:themeColor="text1"/>
          <w:sz w:val="28"/>
          <w:szCs w:val="28"/>
        </w:rPr>
      </w:pPr>
      <w:r w:rsidRPr="61BFC472">
        <w:rPr>
          <w:rFonts w:ascii="Arial" w:eastAsia="Arial" w:hAnsi="Arial" w:cs="Arial"/>
          <w:color w:val="000000" w:themeColor="text1"/>
          <w:sz w:val="28"/>
          <w:szCs w:val="28"/>
        </w:rPr>
        <w:t xml:space="preserve">In the partial fulfilment of the requirements of </w:t>
      </w:r>
      <w:r w:rsidR="20DDF6C2" w:rsidRPr="61BFC472">
        <w:rPr>
          <w:rFonts w:ascii="Arial" w:eastAsia="Arial" w:hAnsi="Arial" w:cs="Arial"/>
          <w:color w:val="000000" w:themeColor="text1"/>
          <w:sz w:val="28"/>
          <w:szCs w:val="28"/>
        </w:rPr>
        <w:t>dissertation report</w:t>
      </w:r>
      <w:r w:rsidRPr="61BFC472">
        <w:rPr>
          <w:rFonts w:ascii="Arial" w:eastAsia="Arial" w:hAnsi="Arial" w:cs="Arial"/>
          <w:color w:val="000000" w:themeColor="text1"/>
          <w:sz w:val="28"/>
          <w:szCs w:val="28"/>
        </w:rPr>
        <w:t xml:space="preserve"> in the </w:t>
      </w:r>
    </w:p>
    <w:p w14:paraId="3C5C41E0" w14:textId="60FDC113" w:rsidR="304FD2B6" w:rsidRDefault="2491585C" w:rsidP="0BC4EE3F">
      <w:pPr>
        <w:spacing w:before="240" w:after="240" w:line="240" w:lineRule="auto"/>
        <w:jc w:val="center"/>
        <w:rPr>
          <w:rFonts w:ascii="Arial" w:eastAsia="Arial" w:hAnsi="Arial" w:cs="Arial"/>
          <w:color w:val="000000" w:themeColor="text1"/>
          <w:sz w:val="28"/>
          <w:szCs w:val="28"/>
        </w:rPr>
      </w:pPr>
      <w:r w:rsidRPr="0BC4EE3F">
        <w:rPr>
          <w:rFonts w:ascii="Arial" w:eastAsia="Arial" w:hAnsi="Arial" w:cs="Arial"/>
          <w:b/>
          <w:bCs/>
          <w:color w:val="000000" w:themeColor="text1"/>
          <w:sz w:val="28"/>
          <w:szCs w:val="28"/>
        </w:rPr>
        <w:t>MBA international business programs at UWTSD</w:t>
      </w:r>
    </w:p>
    <w:p w14:paraId="51D8ED76" w14:textId="24F97568" w:rsidR="2491585C" w:rsidRDefault="2491585C" w:rsidP="61BFC472">
      <w:pPr>
        <w:spacing w:before="240" w:after="240" w:line="240" w:lineRule="auto"/>
        <w:jc w:val="center"/>
        <w:rPr>
          <w:rFonts w:ascii="Arial" w:eastAsia="Arial" w:hAnsi="Arial" w:cs="Arial"/>
          <w:color w:val="000000" w:themeColor="text1"/>
          <w:sz w:val="28"/>
          <w:szCs w:val="28"/>
        </w:rPr>
      </w:pPr>
      <w:r w:rsidRPr="61BFC472">
        <w:rPr>
          <w:rFonts w:ascii="Arial" w:eastAsia="Arial" w:hAnsi="Arial" w:cs="Arial"/>
          <w:color w:val="000000" w:themeColor="text1"/>
          <w:sz w:val="28"/>
          <w:szCs w:val="28"/>
        </w:rPr>
        <w:t xml:space="preserve">By </w:t>
      </w:r>
    </w:p>
    <w:p w14:paraId="3DE5DD32" w14:textId="49D97EA8" w:rsidR="2491585C" w:rsidRDefault="2491585C" w:rsidP="61BFC472">
      <w:pPr>
        <w:spacing w:before="240" w:after="240" w:line="240" w:lineRule="auto"/>
        <w:jc w:val="center"/>
        <w:rPr>
          <w:rFonts w:ascii="Arial" w:eastAsia="Arial" w:hAnsi="Arial" w:cs="Arial"/>
          <w:color w:val="000000" w:themeColor="text1"/>
          <w:sz w:val="28"/>
          <w:szCs w:val="28"/>
        </w:rPr>
      </w:pPr>
      <w:r w:rsidRPr="61BFC472">
        <w:rPr>
          <w:rFonts w:ascii="Arial" w:eastAsia="Arial" w:hAnsi="Arial" w:cs="Arial"/>
          <w:b/>
          <w:bCs/>
          <w:color w:val="000000" w:themeColor="text1"/>
          <w:sz w:val="28"/>
          <w:szCs w:val="28"/>
        </w:rPr>
        <w:t>VIJAY RAJESHBHAI SISODIYA (2423615)</w:t>
      </w:r>
    </w:p>
    <w:p w14:paraId="65A67DA5" w14:textId="4FEA7817" w:rsidR="2491585C" w:rsidRDefault="2491585C" w:rsidP="61BFC472">
      <w:pPr>
        <w:spacing w:before="240" w:after="240" w:line="240" w:lineRule="auto"/>
        <w:jc w:val="center"/>
        <w:rPr>
          <w:rFonts w:ascii="Arial" w:eastAsia="Arial" w:hAnsi="Arial" w:cs="Arial"/>
          <w:color w:val="000000" w:themeColor="text1"/>
          <w:sz w:val="28"/>
          <w:szCs w:val="28"/>
        </w:rPr>
      </w:pPr>
      <w:r w:rsidRPr="61BFC472">
        <w:rPr>
          <w:rFonts w:ascii="Arial" w:eastAsia="Arial" w:hAnsi="Arial" w:cs="Arial"/>
          <w:color w:val="000000" w:themeColor="text1"/>
          <w:sz w:val="28"/>
          <w:szCs w:val="28"/>
        </w:rPr>
        <w:t xml:space="preserve">Submission date: </w:t>
      </w:r>
      <w:r w:rsidR="1E1FEB93" w:rsidRPr="72C03B03">
        <w:rPr>
          <w:rFonts w:ascii="Arial" w:eastAsia="Arial" w:hAnsi="Arial" w:cs="Arial"/>
          <w:color w:val="000000" w:themeColor="text1"/>
          <w:sz w:val="28"/>
          <w:szCs w:val="28"/>
        </w:rPr>
        <w:t>01/02/</w:t>
      </w:r>
      <w:r w:rsidR="1E1FEB93" w:rsidRPr="6324812E">
        <w:rPr>
          <w:rFonts w:ascii="Arial" w:eastAsia="Arial" w:hAnsi="Arial" w:cs="Arial"/>
          <w:color w:val="000000" w:themeColor="text1"/>
          <w:sz w:val="28"/>
          <w:szCs w:val="28"/>
        </w:rPr>
        <w:t>20</w:t>
      </w:r>
      <w:r w:rsidR="3DDBF2B4" w:rsidRPr="6324812E">
        <w:rPr>
          <w:rFonts w:ascii="Arial" w:eastAsia="Arial" w:hAnsi="Arial" w:cs="Arial"/>
          <w:color w:val="000000" w:themeColor="text1"/>
          <w:sz w:val="28"/>
          <w:szCs w:val="28"/>
        </w:rPr>
        <w:t>26</w:t>
      </w:r>
    </w:p>
    <w:p w14:paraId="64203998" w14:textId="165AC246" w:rsidR="2491585C" w:rsidRDefault="2491585C" w:rsidP="61BFC472">
      <w:pPr>
        <w:spacing w:before="240" w:after="240" w:line="240" w:lineRule="auto"/>
        <w:jc w:val="center"/>
        <w:rPr>
          <w:rFonts w:ascii="Arial" w:eastAsia="Arial" w:hAnsi="Arial" w:cs="Arial"/>
          <w:color w:val="000000" w:themeColor="text1"/>
          <w:sz w:val="28"/>
          <w:szCs w:val="28"/>
        </w:rPr>
      </w:pPr>
      <w:r w:rsidRPr="552AD7BB">
        <w:rPr>
          <w:rFonts w:ascii="Arial" w:eastAsia="Arial" w:hAnsi="Arial" w:cs="Arial"/>
          <w:color w:val="000000" w:themeColor="text1"/>
          <w:sz w:val="28"/>
          <w:szCs w:val="28"/>
        </w:rPr>
        <w:t xml:space="preserve">Word count: </w:t>
      </w:r>
      <w:r w:rsidR="111F1102" w:rsidRPr="552AD7BB">
        <w:rPr>
          <w:rFonts w:ascii="Arial" w:eastAsia="Arial" w:hAnsi="Arial" w:cs="Arial"/>
          <w:color w:val="000000" w:themeColor="text1"/>
          <w:sz w:val="28"/>
          <w:szCs w:val="28"/>
        </w:rPr>
        <w:t>16</w:t>
      </w:r>
      <w:r w:rsidR="411A2F06" w:rsidRPr="552AD7BB">
        <w:rPr>
          <w:rFonts w:ascii="Arial" w:eastAsia="Arial" w:hAnsi="Arial" w:cs="Arial"/>
          <w:color w:val="000000" w:themeColor="text1"/>
          <w:sz w:val="28"/>
          <w:szCs w:val="28"/>
        </w:rPr>
        <w:t>253</w:t>
      </w:r>
    </w:p>
    <w:p w14:paraId="2763D882" w14:textId="09D06CB1" w:rsidR="2491585C" w:rsidRDefault="2491585C" w:rsidP="61BFC472">
      <w:pPr>
        <w:spacing w:before="240" w:after="240"/>
        <w:jc w:val="center"/>
        <w:rPr>
          <w:rFonts w:ascii="Aptos" w:eastAsia="Aptos" w:hAnsi="Aptos" w:cs="Aptos"/>
          <w:color w:val="000000" w:themeColor="text1"/>
        </w:rPr>
      </w:pPr>
      <w:r>
        <w:rPr>
          <w:noProof/>
        </w:rPr>
        <w:drawing>
          <wp:inline distT="0" distB="0" distL="0" distR="0" wp14:anchorId="5CE6E295" wp14:editId="3D36505E">
            <wp:extent cx="2743200" cy="1352550"/>
            <wp:effectExtent l="0" t="0" r="0" b="0"/>
            <wp:docPr id="10977732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73238" name="Picture 1097773238"/>
                    <pic:cNvPicPr/>
                  </pic:nvPicPr>
                  <pic:blipFill>
                    <a:blip r:embed="rId7">
                      <a:extLst>
                        <a:ext uri="{28A0092B-C50C-407E-A947-70E740481C1C}">
                          <a14:useLocalDpi xmlns:a14="http://schemas.microsoft.com/office/drawing/2010/main"/>
                        </a:ext>
                      </a:extLst>
                    </a:blip>
                    <a:stretch>
                      <a:fillRect/>
                    </a:stretch>
                  </pic:blipFill>
                  <pic:spPr>
                    <a:xfrm>
                      <a:off x="0" y="0"/>
                      <a:ext cx="2743200" cy="1352550"/>
                    </a:xfrm>
                    <a:prstGeom prst="rect">
                      <a:avLst/>
                    </a:prstGeom>
                  </pic:spPr>
                </pic:pic>
              </a:graphicData>
            </a:graphic>
          </wp:inline>
        </w:drawing>
      </w:r>
    </w:p>
    <w:p w14:paraId="0C57C6D0" w14:textId="53EB808A" w:rsidR="61BFC472" w:rsidRDefault="61BFC472" w:rsidP="61BFC472">
      <w:pPr>
        <w:ind w:left="3600"/>
        <w:jc w:val="both"/>
        <w:rPr>
          <w:rFonts w:ascii="Arial" w:eastAsia="Arial" w:hAnsi="Arial" w:cs="Arial"/>
          <w:b/>
          <w:bCs/>
          <w:color w:val="000000" w:themeColor="text1"/>
          <w:sz w:val="36"/>
          <w:szCs w:val="36"/>
        </w:rPr>
      </w:pPr>
    </w:p>
    <w:p w14:paraId="556B9FBA" w14:textId="2AD4DDE8" w:rsidR="61BFC472" w:rsidRDefault="61BFC472" w:rsidP="61BFC472">
      <w:pPr>
        <w:ind w:left="3600"/>
        <w:jc w:val="both"/>
        <w:rPr>
          <w:rFonts w:ascii="Arial" w:eastAsia="Arial" w:hAnsi="Arial" w:cs="Arial"/>
          <w:b/>
          <w:bCs/>
          <w:color w:val="000000" w:themeColor="text1"/>
          <w:sz w:val="36"/>
          <w:szCs w:val="36"/>
        </w:rPr>
      </w:pPr>
    </w:p>
    <w:p w14:paraId="0E705DD1" w14:textId="1D3EBAB4" w:rsidR="61BFC472" w:rsidRDefault="61BFC472" w:rsidP="61BFC472">
      <w:pPr>
        <w:ind w:left="3600"/>
        <w:jc w:val="both"/>
        <w:rPr>
          <w:rFonts w:ascii="Arial" w:eastAsia="Arial" w:hAnsi="Arial" w:cs="Arial"/>
          <w:b/>
          <w:bCs/>
          <w:color w:val="000000" w:themeColor="text1"/>
          <w:sz w:val="36"/>
          <w:szCs w:val="36"/>
        </w:rPr>
      </w:pPr>
    </w:p>
    <w:p w14:paraId="772B371C" w14:textId="454C919E" w:rsidR="552AD7BB" w:rsidRDefault="552AD7BB" w:rsidP="552AD7BB">
      <w:pPr>
        <w:ind w:left="2160"/>
        <w:jc w:val="both"/>
        <w:rPr>
          <w:rFonts w:ascii="Arial" w:eastAsia="Arial" w:hAnsi="Arial" w:cs="Arial"/>
          <w:b/>
          <w:bCs/>
          <w:color w:val="000000" w:themeColor="text1"/>
          <w:sz w:val="36"/>
          <w:szCs w:val="36"/>
        </w:rPr>
      </w:pPr>
    </w:p>
    <w:p w14:paraId="091F1931" w14:textId="33F955E9" w:rsidR="552AD7BB" w:rsidRDefault="552AD7BB" w:rsidP="552AD7BB">
      <w:pPr>
        <w:ind w:left="3600"/>
        <w:jc w:val="both"/>
        <w:rPr>
          <w:rFonts w:ascii="Arial" w:eastAsia="Arial" w:hAnsi="Arial" w:cs="Arial"/>
          <w:b/>
          <w:bCs/>
          <w:color w:val="000000" w:themeColor="text1"/>
          <w:sz w:val="36"/>
          <w:szCs w:val="36"/>
        </w:rPr>
      </w:pPr>
    </w:p>
    <w:p w14:paraId="10037B39" w14:textId="4AF5FEEB" w:rsidR="00241C66" w:rsidRDefault="1CAB2EE9" w:rsidP="61BFC472">
      <w:pPr>
        <w:ind w:left="3600"/>
        <w:jc w:val="both"/>
        <w:rPr>
          <w:rFonts w:ascii="Arial" w:eastAsia="Arial" w:hAnsi="Arial" w:cs="Arial"/>
          <w:b/>
          <w:bCs/>
          <w:color w:val="000000" w:themeColor="text1"/>
          <w:sz w:val="36"/>
          <w:szCs w:val="36"/>
        </w:rPr>
      </w:pPr>
      <w:r w:rsidRPr="61BFC472">
        <w:rPr>
          <w:rFonts w:ascii="Arial" w:eastAsia="Arial" w:hAnsi="Arial" w:cs="Arial"/>
          <w:b/>
          <w:bCs/>
          <w:color w:val="000000" w:themeColor="text1"/>
          <w:sz w:val="36"/>
          <w:szCs w:val="36"/>
        </w:rPr>
        <w:t>Declaration</w:t>
      </w:r>
    </w:p>
    <w:p w14:paraId="454A6492" w14:textId="1881653A" w:rsidR="00241C66" w:rsidRDefault="5F30D4B0" w:rsidP="7935BD89">
      <w:pPr>
        <w:jc w:val="both"/>
      </w:pPr>
      <w:r w:rsidRPr="7935BD89">
        <w:rPr>
          <w:rFonts w:ascii="Arial" w:eastAsia="Arial" w:hAnsi="Arial" w:cs="Arial"/>
          <w:color w:val="000000" w:themeColor="text1"/>
        </w:rPr>
        <w:t>I hereby declare that this dissertation is my own original work and has not been submitted previously, in whole or in part, for any other degree or qualification at this or any other institution. All sources of information used in this study have been appropriately acknowledged and referenced in accordance with academic conventions. Any assistance received during the preparation of this dissertation has been duly recognised.</w:t>
      </w:r>
    </w:p>
    <w:p w14:paraId="3805A758" w14:textId="2B69162B" w:rsidR="00241C66" w:rsidRDefault="00241C66" w:rsidP="7935BD89">
      <w:pPr>
        <w:jc w:val="both"/>
        <w:rPr>
          <w:rFonts w:ascii="Arial" w:eastAsia="Arial" w:hAnsi="Arial" w:cs="Arial"/>
          <w:color w:val="000000" w:themeColor="text1"/>
        </w:rPr>
      </w:pPr>
    </w:p>
    <w:p w14:paraId="041891D2" w14:textId="4160A386" w:rsidR="00241C66" w:rsidRDefault="70BA4BDA" w:rsidP="0BC4EE3F">
      <w:pPr>
        <w:jc w:val="both"/>
        <w:rPr>
          <w:rFonts w:ascii="Arial" w:eastAsia="Arial" w:hAnsi="Arial" w:cs="Arial"/>
          <w:b/>
          <w:bCs/>
          <w:color w:val="000000" w:themeColor="text1"/>
        </w:rPr>
      </w:pPr>
      <w:r w:rsidRPr="0BC4EE3F">
        <w:rPr>
          <w:rFonts w:ascii="Arial" w:eastAsia="Arial" w:hAnsi="Arial" w:cs="Arial"/>
          <w:b/>
          <w:bCs/>
          <w:color w:val="000000" w:themeColor="text1"/>
        </w:rPr>
        <w:t>NAME OF STUD</w:t>
      </w:r>
      <w:r w:rsidR="33B6D6F0" w:rsidRPr="0BC4EE3F">
        <w:rPr>
          <w:rFonts w:ascii="Arial" w:eastAsia="Arial" w:hAnsi="Arial" w:cs="Arial"/>
          <w:b/>
          <w:bCs/>
          <w:color w:val="000000" w:themeColor="text1"/>
        </w:rPr>
        <w:t>ENT</w:t>
      </w:r>
      <w:r w:rsidR="00241C66">
        <w:tab/>
      </w:r>
      <w:r w:rsidR="00241C66">
        <w:tab/>
      </w:r>
      <w:r w:rsidR="00241C66">
        <w:tab/>
      </w:r>
      <w:r w:rsidR="00241C66">
        <w:tab/>
      </w:r>
      <w:r w:rsidR="00241C66">
        <w:tab/>
      </w:r>
      <w:r w:rsidR="00241C66">
        <w:tab/>
      </w:r>
      <w:r w:rsidR="45FE8F8F" w:rsidRPr="0BC4EE3F">
        <w:rPr>
          <w:rFonts w:ascii="Arial" w:eastAsia="Arial" w:hAnsi="Arial" w:cs="Arial"/>
          <w:b/>
          <w:bCs/>
          <w:color w:val="000000" w:themeColor="text1"/>
        </w:rPr>
        <w:t xml:space="preserve">          </w:t>
      </w:r>
      <w:r w:rsidR="33B6D6F0" w:rsidRPr="0BC4EE3F">
        <w:rPr>
          <w:rFonts w:ascii="Arial" w:eastAsia="Arial" w:hAnsi="Arial" w:cs="Arial"/>
          <w:b/>
          <w:bCs/>
          <w:color w:val="000000" w:themeColor="text1"/>
        </w:rPr>
        <w:t xml:space="preserve"> DATE </w:t>
      </w:r>
    </w:p>
    <w:p w14:paraId="528F237A" w14:textId="0F8DA940" w:rsidR="00241C66" w:rsidRDefault="2D2F6FAF" w:rsidP="7935BD89">
      <w:pPr>
        <w:jc w:val="both"/>
        <w:rPr>
          <w:rFonts w:ascii="Arial" w:eastAsia="Arial" w:hAnsi="Arial" w:cs="Arial"/>
          <w:color w:val="000000" w:themeColor="text1"/>
        </w:rPr>
      </w:pPr>
      <w:r w:rsidRPr="0BC4EE3F">
        <w:rPr>
          <w:rFonts w:ascii="Arial" w:eastAsia="Arial" w:hAnsi="Arial" w:cs="Arial"/>
          <w:color w:val="000000" w:themeColor="text1"/>
        </w:rPr>
        <w:t>Vija</w:t>
      </w:r>
      <w:r w:rsidR="3123355A" w:rsidRPr="0BC4EE3F">
        <w:rPr>
          <w:rFonts w:ascii="Arial" w:eastAsia="Arial" w:hAnsi="Arial" w:cs="Arial"/>
          <w:color w:val="000000" w:themeColor="text1"/>
        </w:rPr>
        <w:t xml:space="preserve">y </w:t>
      </w:r>
      <w:r w:rsidR="1158C5EB" w:rsidRPr="0BC4EE3F">
        <w:rPr>
          <w:rFonts w:ascii="Arial" w:eastAsia="Arial" w:hAnsi="Arial" w:cs="Arial"/>
          <w:color w:val="000000" w:themeColor="text1"/>
        </w:rPr>
        <w:t xml:space="preserve">R </w:t>
      </w:r>
      <w:r w:rsidRPr="0BC4EE3F">
        <w:rPr>
          <w:rFonts w:ascii="Arial" w:eastAsia="Arial" w:hAnsi="Arial" w:cs="Arial"/>
          <w:color w:val="000000" w:themeColor="text1"/>
        </w:rPr>
        <w:t>Sisodi</w:t>
      </w:r>
      <w:r w:rsidR="67DD41A8" w:rsidRPr="0BC4EE3F">
        <w:rPr>
          <w:rFonts w:ascii="Arial" w:eastAsia="Arial" w:hAnsi="Arial" w:cs="Arial"/>
          <w:color w:val="000000" w:themeColor="text1"/>
        </w:rPr>
        <w:t>ya</w:t>
      </w:r>
      <w:r w:rsidR="5BEC0C21" w:rsidRPr="0BC4EE3F">
        <w:rPr>
          <w:rFonts w:ascii="Arial" w:eastAsia="Arial" w:hAnsi="Arial" w:cs="Arial"/>
          <w:color w:val="000000" w:themeColor="text1"/>
        </w:rPr>
        <w:t xml:space="preserve">   </w:t>
      </w:r>
      <w:r w:rsidR="0BDDF5CF" w:rsidRPr="0BC4EE3F">
        <w:rPr>
          <w:rFonts w:ascii="Arial" w:eastAsia="Arial" w:hAnsi="Arial" w:cs="Arial"/>
          <w:color w:val="000000" w:themeColor="text1"/>
        </w:rPr>
        <w:t xml:space="preserve">  </w:t>
      </w:r>
      <w:r w:rsidR="00241C66">
        <w:tab/>
      </w:r>
      <w:r w:rsidR="0BDDF5CF" w:rsidRPr="0BC4EE3F">
        <w:rPr>
          <w:rFonts w:ascii="Arial" w:eastAsia="Arial" w:hAnsi="Arial" w:cs="Arial"/>
          <w:color w:val="000000" w:themeColor="text1"/>
        </w:rPr>
        <w:t xml:space="preserve">                                                                       </w:t>
      </w:r>
      <w:r w:rsidR="6FCC6DFB" w:rsidRPr="0BC4EE3F">
        <w:rPr>
          <w:rFonts w:ascii="Arial" w:eastAsia="Arial" w:hAnsi="Arial" w:cs="Arial"/>
          <w:color w:val="000000" w:themeColor="text1"/>
        </w:rPr>
        <w:t xml:space="preserve">  </w:t>
      </w:r>
      <w:r w:rsidR="0BDDF5CF" w:rsidRPr="0BC4EE3F">
        <w:rPr>
          <w:rFonts w:ascii="Arial" w:eastAsia="Arial" w:hAnsi="Arial" w:cs="Arial"/>
          <w:color w:val="000000" w:themeColor="text1"/>
        </w:rPr>
        <w:t xml:space="preserve">   01/02/2026</w:t>
      </w:r>
    </w:p>
    <w:p w14:paraId="447A9945" w14:textId="42CA709B" w:rsidR="00241C66" w:rsidRDefault="00241C66" w:rsidP="7935BD89">
      <w:pPr>
        <w:jc w:val="both"/>
        <w:rPr>
          <w:rFonts w:ascii="Arial" w:eastAsia="Arial" w:hAnsi="Arial" w:cs="Arial"/>
          <w:color w:val="000000" w:themeColor="text1"/>
        </w:rPr>
      </w:pPr>
    </w:p>
    <w:p w14:paraId="5D9B5CFF" w14:textId="0C6B0C3B" w:rsidR="00241C66" w:rsidRDefault="00241C66" w:rsidP="7935BD89">
      <w:pPr>
        <w:jc w:val="both"/>
        <w:rPr>
          <w:rFonts w:ascii="Arial" w:eastAsia="Arial" w:hAnsi="Arial" w:cs="Arial"/>
          <w:color w:val="000000" w:themeColor="text1"/>
        </w:rPr>
      </w:pPr>
    </w:p>
    <w:p w14:paraId="229B1F32" w14:textId="21781F64" w:rsidR="00241C66" w:rsidRDefault="00241C66" w:rsidP="7935BD89">
      <w:pPr>
        <w:jc w:val="both"/>
        <w:rPr>
          <w:rFonts w:ascii="Arial" w:eastAsia="Arial" w:hAnsi="Arial" w:cs="Arial"/>
          <w:color w:val="000000" w:themeColor="text1"/>
        </w:rPr>
      </w:pPr>
    </w:p>
    <w:p w14:paraId="2168BB94" w14:textId="5207E8A5" w:rsidR="00241C66" w:rsidRDefault="00241C66" w:rsidP="7935BD89">
      <w:pPr>
        <w:jc w:val="both"/>
        <w:rPr>
          <w:rFonts w:ascii="Arial" w:eastAsia="Arial" w:hAnsi="Arial" w:cs="Arial"/>
          <w:color w:val="000000" w:themeColor="text1"/>
        </w:rPr>
      </w:pPr>
    </w:p>
    <w:p w14:paraId="7779968C" w14:textId="5B722B0A" w:rsidR="00241C66" w:rsidRDefault="00241C66" w:rsidP="7935BD89">
      <w:pPr>
        <w:jc w:val="both"/>
        <w:rPr>
          <w:rFonts w:ascii="Arial" w:eastAsia="Arial" w:hAnsi="Arial" w:cs="Arial"/>
          <w:color w:val="000000" w:themeColor="text1"/>
        </w:rPr>
      </w:pPr>
    </w:p>
    <w:p w14:paraId="4F6EB69F" w14:textId="4896A96C" w:rsidR="00241C66" w:rsidRDefault="00241C66" w:rsidP="7935BD89">
      <w:pPr>
        <w:jc w:val="both"/>
        <w:rPr>
          <w:rFonts w:ascii="Arial" w:eastAsia="Arial" w:hAnsi="Arial" w:cs="Arial"/>
          <w:color w:val="000000" w:themeColor="text1"/>
        </w:rPr>
      </w:pPr>
    </w:p>
    <w:p w14:paraId="2B2CC916" w14:textId="332195D4" w:rsidR="00241C66" w:rsidRDefault="00241C66" w:rsidP="7935BD89">
      <w:pPr>
        <w:jc w:val="both"/>
        <w:rPr>
          <w:rFonts w:ascii="Arial" w:eastAsia="Arial" w:hAnsi="Arial" w:cs="Arial"/>
          <w:color w:val="000000" w:themeColor="text1"/>
        </w:rPr>
      </w:pPr>
    </w:p>
    <w:p w14:paraId="52310BD6" w14:textId="42572FC2" w:rsidR="00241C66" w:rsidRDefault="00241C66" w:rsidP="7935BD89">
      <w:pPr>
        <w:jc w:val="both"/>
        <w:rPr>
          <w:rFonts w:ascii="Arial" w:eastAsia="Arial" w:hAnsi="Arial" w:cs="Arial"/>
          <w:color w:val="000000" w:themeColor="text1"/>
        </w:rPr>
      </w:pPr>
    </w:p>
    <w:p w14:paraId="79FFA7C8" w14:textId="0CE3C272" w:rsidR="00241C66" w:rsidRDefault="00241C66" w:rsidP="7935BD89">
      <w:pPr>
        <w:jc w:val="both"/>
        <w:rPr>
          <w:rFonts w:ascii="Arial" w:eastAsia="Arial" w:hAnsi="Arial" w:cs="Arial"/>
          <w:color w:val="000000" w:themeColor="text1"/>
        </w:rPr>
      </w:pPr>
    </w:p>
    <w:p w14:paraId="65FC040E" w14:textId="6A21D77F" w:rsidR="00241C66" w:rsidRDefault="00241C66" w:rsidP="7935BD89">
      <w:pPr>
        <w:jc w:val="both"/>
        <w:rPr>
          <w:rFonts w:ascii="Arial" w:eastAsia="Arial" w:hAnsi="Arial" w:cs="Arial"/>
          <w:color w:val="000000" w:themeColor="text1"/>
        </w:rPr>
      </w:pPr>
    </w:p>
    <w:p w14:paraId="00D359CC" w14:textId="0E10CEBA" w:rsidR="00241C66" w:rsidRDefault="00241C66" w:rsidP="7935BD89">
      <w:pPr>
        <w:jc w:val="both"/>
        <w:rPr>
          <w:rFonts w:ascii="Arial" w:eastAsia="Arial" w:hAnsi="Arial" w:cs="Arial"/>
          <w:color w:val="000000" w:themeColor="text1"/>
        </w:rPr>
      </w:pPr>
    </w:p>
    <w:p w14:paraId="0B43B7E4" w14:textId="61DC3914" w:rsidR="00241C66" w:rsidRDefault="00241C66" w:rsidP="7935BD89">
      <w:pPr>
        <w:jc w:val="both"/>
        <w:rPr>
          <w:rFonts w:ascii="Arial" w:eastAsia="Arial" w:hAnsi="Arial" w:cs="Arial"/>
          <w:color w:val="000000" w:themeColor="text1"/>
        </w:rPr>
      </w:pPr>
    </w:p>
    <w:p w14:paraId="47FA4C19" w14:textId="1D2641FA" w:rsidR="00241C66" w:rsidRDefault="00241C66" w:rsidP="7935BD89">
      <w:pPr>
        <w:jc w:val="both"/>
        <w:rPr>
          <w:rFonts w:ascii="Arial" w:eastAsia="Arial" w:hAnsi="Arial" w:cs="Arial"/>
          <w:color w:val="000000" w:themeColor="text1"/>
        </w:rPr>
      </w:pPr>
    </w:p>
    <w:p w14:paraId="317A6535" w14:textId="3ACAC6D8" w:rsidR="00241C66" w:rsidRDefault="00241C66" w:rsidP="7935BD89">
      <w:pPr>
        <w:jc w:val="both"/>
        <w:rPr>
          <w:rFonts w:ascii="Arial" w:eastAsia="Arial" w:hAnsi="Arial" w:cs="Arial"/>
          <w:color w:val="000000" w:themeColor="text1"/>
        </w:rPr>
      </w:pPr>
    </w:p>
    <w:p w14:paraId="242080C1" w14:textId="2065E0F4" w:rsidR="00241C66" w:rsidRDefault="00241C66" w:rsidP="7935BD89">
      <w:pPr>
        <w:jc w:val="both"/>
        <w:rPr>
          <w:rFonts w:ascii="Arial" w:eastAsia="Arial" w:hAnsi="Arial" w:cs="Arial"/>
          <w:color w:val="000000" w:themeColor="text1"/>
        </w:rPr>
      </w:pPr>
    </w:p>
    <w:p w14:paraId="15B3019B" w14:textId="070AEE3D" w:rsidR="00241C66" w:rsidRDefault="00241C66" w:rsidP="552AD7BB">
      <w:pPr>
        <w:jc w:val="both"/>
        <w:rPr>
          <w:rFonts w:ascii="Arial" w:eastAsia="Arial" w:hAnsi="Arial" w:cs="Arial"/>
          <w:color w:val="000000" w:themeColor="text1"/>
        </w:rPr>
      </w:pPr>
    </w:p>
    <w:p w14:paraId="569C5A0D" w14:textId="5CADC8B6" w:rsidR="552AD7BB" w:rsidRDefault="552AD7BB" w:rsidP="552AD7BB">
      <w:pPr>
        <w:jc w:val="both"/>
        <w:rPr>
          <w:rFonts w:ascii="Arial" w:eastAsia="Arial" w:hAnsi="Arial" w:cs="Arial"/>
          <w:color w:val="000000" w:themeColor="text1"/>
        </w:rPr>
      </w:pPr>
    </w:p>
    <w:p w14:paraId="58E365FC" w14:textId="7B365F36" w:rsidR="552AD7BB" w:rsidRDefault="552AD7BB" w:rsidP="552AD7BB">
      <w:pPr>
        <w:jc w:val="both"/>
        <w:rPr>
          <w:rFonts w:ascii="Arial" w:eastAsia="Arial" w:hAnsi="Arial" w:cs="Arial"/>
          <w:color w:val="000000" w:themeColor="text1"/>
        </w:rPr>
      </w:pPr>
    </w:p>
    <w:p w14:paraId="589E6044" w14:textId="1E66B7F6" w:rsidR="552AD7BB" w:rsidRDefault="552AD7BB" w:rsidP="552AD7BB">
      <w:pPr>
        <w:jc w:val="both"/>
        <w:rPr>
          <w:rFonts w:ascii="Arial" w:eastAsia="Arial" w:hAnsi="Arial" w:cs="Arial"/>
          <w:color w:val="000000" w:themeColor="text1"/>
        </w:rPr>
      </w:pPr>
    </w:p>
    <w:p w14:paraId="663F2531" w14:textId="419238D1" w:rsidR="552AD7BB" w:rsidRDefault="552AD7BB" w:rsidP="552AD7BB">
      <w:pPr>
        <w:jc w:val="both"/>
        <w:rPr>
          <w:rFonts w:ascii="Arial" w:eastAsia="Arial" w:hAnsi="Arial" w:cs="Arial"/>
          <w:color w:val="000000" w:themeColor="text1"/>
        </w:rPr>
      </w:pPr>
    </w:p>
    <w:p w14:paraId="2E19CC89" w14:textId="2BD7D528" w:rsidR="552AD7BB" w:rsidRDefault="552AD7BB" w:rsidP="552AD7BB">
      <w:pPr>
        <w:jc w:val="both"/>
        <w:rPr>
          <w:rFonts w:ascii="Arial" w:eastAsia="Arial" w:hAnsi="Arial" w:cs="Arial"/>
          <w:color w:val="000000" w:themeColor="text1"/>
        </w:rPr>
      </w:pPr>
    </w:p>
    <w:p w14:paraId="4F2B3C99" w14:textId="58B0A29F" w:rsidR="00241C66" w:rsidRDefault="5F30D4B0" w:rsidP="7935BD89">
      <w:pPr>
        <w:ind w:left="2880"/>
        <w:jc w:val="both"/>
        <w:rPr>
          <w:rFonts w:ascii="Arial" w:eastAsia="Arial" w:hAnsi="Arial" w:cs="Arial"/>
          <w:b/>
          <w:bCs/>
          <w:color w:val="000000" w:themeColor="text1"/>
          <w:sz w:val="36"/>
          <w:szCs w:val="36"/>
        </w:rPr>
      </w:pPr>
      <w:r w:rsidRPr="7935BD89">
        <w:rPr>
          <w:rFonts w:ascii="Arial" w:eastAsia="Arial" w:hAnsi="Arial" w:cs="Arial"/>
          <w:b/>
          <w:bCs/>
          <w:color w:val="000000" w:themeColor="text1"/>
          <w:sz w:val="36"/>
          <w:szCs w:val="36"/>
        </w:rPr>
        <w:t>Acknowledgements</w:t>
      </w:r>
    </w:p>
    <w:p w14:paraId="0999492F" w14:textId="6FA4C7EB" w:rsidR="00241C66" w:rsidRDefault="5F30D4B0" w:rsidP="7935BD89">
      <w:pPr>
        <w:jc w:val="both"/>
      </w:pPr>
      <w:r w:rsidRPr="0BC4EE3F">
        <w:rPr>
          <w:rFonts w:ascii="Arial" w:eastAsia="Arial" w:hAnsi="Arial" w:cs="Arial"/>
          <w:color w:val="000000" w:themeColor="text1"/>
        </w:rPr>
        <w:t>I would like to express my sincere gratitude to my dissertation supervisor</w:t>
      </w:r>
      <w:r w:rsidRPr="0BC4EE3F">
        <w:rPr>
          <w:rFonts w:ascii="Arial" w:eastAsia="Arial" w:hAnsi="Arial" w:cs="Arial"/>
          <w:b/>
          <w:bCs/>
          <w:color w:val="000000" w:themeColor="text1"/>
        </w:rPr>
        <w:t xml:space="preserve"> </w:t>
      </w:r>
      <w:r w:rsidR="20E94BE8" w:rsidRPr="0BC4EE3F">
        <w:rPr>
          <w:rFonts w:ascii="Arial" w:eastAsia="Arial" w:hAnsi="Arial" w:cs="Arial"/>
          <w:b/>
          <w:bCs/>
          <w:color w:val="000000" w:themeColor="text1"/>
        </w:rPr>
        <w:t xml:space="preserve">MR. AMIR HOMAYOUNFARD </w:t>
      </w:r>
      <w:r w:rsidRPr="0BC4EE3F">
        <w:rPr>
          <w:rFonts w:ascii="Arial" w:eastAsia="Arial" w:hAnsi="Arial" w:cs="Arial"/>
          <w:color w:val="000000" w:themeColor="text1"/>
        </w:rPr>
        <w:t>for their guidance, feedback, and support throughout the research process. Their suggestions were particularly valuable in shaping the structure of the study and strengthening the cross-case analysis.</w:t>
      </w:r>
    </w:p>
    <w:p w14:paraId="186AC91F" w14:textId="39A6E0BB" w:rsidR="00241C66" w:rsidRDefault="5F30D4B0" w:rsidP="7935BD89">
      <w:pPr>
        <w:jc w:val="both"/>
      </w:pPr>
      <w:r w:rsidRPr="7935BD89">
        <w:rPr>
          <w:rFonts w:ascii="Arial" w:eastAsia="Arial" w:hAnsi="Arial" w:cs="Arial"/>
          <w:color w:val="000000" w:themeColor="text1"/>
        </w:rPr>
        <w:t>I am also thankful to my lecturers and the university faculty for providing the academic foundation and resources that supported this research. Special thanks go to my family for their continuous encouragement and understanding during my studies. Finally, I would like to acknowledge all the publicly available industry reports, academic literature, and media sources that made this research possible.</w:t>
      </w:r>
    </w:p>
    <w:p w14:paraId="68BC74DC" w14:textId="2BFAF40F" w:rsidR="00241C66" w:rsidRDefault="00241C66" w:rsidP="7935BD89">
      <w:pPr>
        <w:jc w:val="both"/>
        <w:rPr>
          <w:rFonts w:ascii="Arial" w:eastAsia="Arial" w:hAnsi="Arial" w:cs="Arial"/>
          <w:color w:val="000000" w:themeColor="text1"/>
        </w:rPr>
      </w:pPr>
    </w:p>
    <w:p w14:paraId="11E6081F" w14:textId="0AEEC81B" w:rsidR="00241C66" w:rsidRDefault="00241C66" w:rsidP="7935BD89">
      <w:pPr>
        <w:jc w:val="both"/>
        <w:rPr>
          <w:rFonts w:ascii="Arial" w:eastAsia="Arial" w:hAnsi="Arial" w:cs="Arial"/>
          <w:color w:val="000000" w:themeColor="text1"/>
        </w:rPr>
      </w:pPr>
    </w:p>
    <w:p w14:paraId="3E20E0A2" w14:textId="662BA561" w:rsidR="00241C66" w:rsidRDefault="00241C66" w:rsidP="7935BD89">
      <w:pPr>
        <w:jc w:val="both"/>
        <w:rPr>
          <w:rFonts w:ascii="Arial" w:eastAsia="Arial" w:hAnsi="Arial" w:cs="Arial"/>
          <w:color w:val="000000" w:themeColor="text1"/>
        </w:rPr>
      </w:pPr>
    </w:p>
    <w:p w14:paraId="628EB733" w14:textId="7C9DB6CE" w:rsidR="00241C66" w:rsidRDefault="00241C66" w:rsidP="7935BD89">
      <w:pPr>
        <w:jc w:val="both"/>
        <w:rPr>
          <w:rFonts w:ascii="Arial" w:eastAsia="Arial" w:hAnsi="Arial" w:cs="Arial"/>
          <w:color w:val="000000" w:themeColor="text1"/>
        </w:rPr>
      </w:pPr>
    </w:p>
    <w:p w14:paraId="4AEC4832" w14:textId="4ECEFAD9" w:rsidR="00241C66" w:rsidRDefault="00241C66" w:rsidP="7935BD89">
      <w:pPr>
        <w:jc w:val="both"/>
        <w:rPr>
          <w:rFonts w:ascii="Arial" w:eastAsia="Arial" w:hAnsi="Arial" w:cs="Arial"/>
          <w:color w:val="000000" w:themeColor="text1"/>
        </w:rPr>
      </w:pPr>
    </w:p>
    <w:p w14:paraId="4C5C0B51" w14:textId="6AE1395D" w:rsidR="00241C66" w:rsidRDefault="00241C66" w:rsidP="7935BD89">
      <w:pPr>
        <w:jc w:val="both"/>
        <w:rPr>
          <w:rFonts w:ascii="Arial" w:eastAsia="Arial" w:hAnsi="Arial" w:cs="Arial"/>
          <w:color w:val="000000" w:themeColor="text1"/>
        </w:rPr>
      </w:pPr>
    </w:p>
    <w:p w14:paraId="7CFDA9A7" w14:textId="30666F0B" w:rsidR="00241C66" w:rsidRDefault="00241C66" w:rsidP="7935BD89">
      <w:pPr>
        <w:jc w:val="both"/>
        <w:rPr>
          <w:rFonts w:ascii="Arial" w:eastAsia="Arial" w:hAnsi="Arial" w:cs="Arial"/>
          <w:color w:val="000000" w:themeColor="text1"/>
        </w:rPr>
      </w:pPr>
    </w:p>
    <w:p w14:paraId="3D6DA077" w14:textId="1265CED5" w:rsidR="00241C66" w:rsidRDefault="00241C66" w:rsidP="7935BD89">
      <w:pPr>
        <w:jc w:val="both"/>
        <w:rPr>
          <w:rFonts w:ascii="Arial" w:eastAsia="Arial" w:hAnsi="Arial" w:cs="Arial"/>
          <w:color w:val="000000" w:themeColor="text1"/>
        </w:rPr>
      </w:pPr>
    </w:p>
    <w:p w14:paraId="0A0B239A" w14:textId="317A3D33" w:rsidR="00241C66" w:rsidRDefault="00241C66" w:rsidP="7935BD89">
      <w:pPr>
        <w:jc w:val="both"/>
        <w:rPr>
          <w:rFonts w:ascii="Arial" w:eastAsia="Arial" w:hAnsi="Arial" w:cs="Arial"/>
          <w:color w:val="000000" w:themeColor="text1"/>
        </w:rPr>
      </w:pPr>
    </w:p>
    <w:p w14:paraId="01833B20" w14:textId="21CAB0D3" w:rsidR="00241C66" w:rsidRDefault="00241C66" w:rsidP="7935BD89">
      <w:pPr>
        <w:jc w:val="both"/>
        <w:rPr>
          <w:rFonts w:ascii="Arial" w:eastAsia="Arial" w:hAnsi="Arial" w:cs="Arial"/>
          <w:color w:val="000000" w:themeColor="text1"/>
        </w:rPr>
      </w:pPr>
    </w:p>
    <w:p w14:paraId="0F1E707A" w14:textId="4A562DB1" w:rsidR="00241C66" w:rsidRDefault="00241C66" w:rsidP="7935BD89">
      <w:pPr>
        <w:jc w:val="both"/>
        <w:rPr>
          <w:rFonts w:ascii="Arial" w:eastAsia="Arial" w:hAnsi="Arial" w:cs="Arial"/>
          <w:color w:val="000000" w:themeColor="text1"/>
        </w:rPr>
      </w:pPr>
    </w:p>
    <w:p w14:paraId="766D4610" w14:textId="2F5360B0" w:rsidR="00241C66" w:rsidRDefault="00241C66" w:rsidP="7935BD89">
      <w:pPr>
        <w:jc w:val="both"/>
        <w:rPr>
          <w:rFonts w:ascii="Arial" w:eastAsia="Arial" w:hAnsi="Arial" w:cs="Arial"/>
          <w:color w:val="000000" w:themeColor="text1"/>
        </w:rPr>
      </w:pPr>
    </w:p>
    <w:p w14:paraId="6F101107" w14:textId="64B4D9AF" w:rsidR="00241C66" w:rsidRDefault="00241C66" w:rsidP="7935BD89">
      <w:pPr>
        <w:jc w:val="both"/>
        <w:rPr>
          <w:rFonts w:ascii="Arial" w:eastAsia="Arial" w:hAnsi="Arial" w:cs="Arial"/>
          <w:color w:val="000000" w:themeColor="text1"/>
        </w:rPr>
      </w:pPr>
    </w:p>
    <w:p w14:paraId="3CA955C4" w14:textId="0DEE259C" w:rsidR="00241C66" w:rsidRDefault="00241C66" w:rsidP="7935BD89">
      <w:pPr>
        <w:jc w:val="both"/>
        <w:rPr>
          <w:rFonts w:ascii="Arial" w:eastAsia="Arial" w:hAnsi="Arial" w:cs="Arial"/>
          <w:color w:val="000000" w:themeColor="text1"/>
        </w:rPr>
      </w:pPr>
    </w:p>
    <w:p w14:paraId="553AA00D" w14:textId="1D6AA66E" w:rsidR="00241C66" w:rsidRDefault="00241C66" w:rsidP="7935BD89">
      <w:pPr>
        <w:jc w:val="both"/>
        <w:rPr>
          <w:rFonts w:ascii="Arial" w:eastAsia="Arial" w:hAnsi="Arial" w:cs="Arial"/>
          <w:color w:val="000000" w:themeColor="text1"/>
        </w:rPr>
      </w:pPr>
    </w:p>
    <w:p w14:paraId="6CE350D5" w14:textId="238C6F60" w:rsidR="00241C66" w:rsidRDefault="00241C66" w:rsidP="7935BD89">
      <w:pPr>
        <w:jc w:val="both"/>
        <w:rPr>
          <w:rFonts w:ascii="Arial" w:eastAsia="Arial" w:hAnsi="Arial" w:cs="Arial"/>
          <w:color w:val="000000" w:themeColor="text1"/>
        </w:rPr>
      </w:pPr>
    </w:p>
    <w:p w14:paraId="57BC7846" w14:textId="07F13716" w:rsidR="00241C66" w:rsidRDefault="00241C66" w:rsidP="7935BD89">
      <w:pPr>
        <w:jc w:val="both"/>
        <w:rPr>
          <w:rFonts w:ascii="Arial" w:eastAsia="Arial" w:hAnsi="Arial" w:cs="Arial"/>
          <w:color w:val="000000" w:themeColor="text1"/>
        </w:rPr>
      </w:pPr>
    </w:p>
    <w:p w14:paraId="667E6000" w14:textId="45B050D3" w:rsidR="552AD7BB" w:rsidRDefault="552AD7BB" w:rsidP="552AD7BB">
      <w:pPr>
        <w:jc w:val="both"/>
        <w:rPr>
          <w:rFonts w:ascii="Arial" w:eastAsia="Arial" w:hAnsi="Arial" w:cs="Arial"/>
          <w:color w:val="000000" w:themeColor="text1"/>
        </w:rPr>
      </w:pPr>
    </w:p>
    <w:p w14:paraId="434A9279" w14:textId="43A638AA" w:rsidR="552AD7BB" w:rsidRDefault="552AD7BB" w:rsidP="552AD7BB">
      <w:pPr>
        <w:jc w:val="both"/>
        <w:rPr>
          <w:rFonts w:ascii="Arial" w:eastAsia="Arial" w:hAnsi="Arial" w:cs="Arial"/>
          <w:color w:val="000000" w:themeColor="text1"/>
        </w:rPr>
      </w:pPr>
    </w:p>
    <w:p w14:paraId="349ACC4C" w14:textId="6DAAD98A" w:rsidR="552AD7BB" w:rsidRDefault="552AD7BB" w:rsidP="552AD7BB">
      <w:pPr>
        <w:jc w:val="both"/>
        <w:rPr>
          <w:rFonts w:ascii="Arial" w:eastAsia="Arial" w:hAnsi="Arial" w:cs="Arial"/>
          <w:b/>
          <w:bCs/>
          <w:color w:val="000000" w:themeColor="text1"/>
          <w:sz w:val="36"/>
          <w:szCs w:val="36"/>
        </w:rPr>
      </w:pPr>
    </w:p>
    <w:p w14:paraId="78F11F1B" w14:textId="36A99A32" w:rsidR="00241C66" w:rsidRDefault="5F30D4B0" w:rsidP="552AD7BB">
      <w:pPr>
        <w:ind w:left="3600"/>
        <w:jc w:val="both"/>
        <w:rPr>
          <w:rFonts w:ascii="Arial" w:eastAsia="Arial" w:hAnsi="Arial" w:cs="Arial"/>
          <w:b/>
          <w:bCs/>
          <w:color w:val="000000" w:themeColor="text1"/>
          <w:sz w:val="36"/>
          <w:szCs w:val="36"/>
        </w:rPr>
      </w:pPr>
      <w:r w:rsidRPr="552AD7BB">
        <w:rPr>
          <w:rFonts w:ascii="Arial" w:eastAsia="Arial" w:hAnsi="Arial" w:cs="Arial"/>
          <w:b/>
          <w:bCs/>
          <w:color w:val="000000" w:themeColor="text1"/>
          <w:sz w:val="36"/>
          <w:szCs w:val="36"/>
        </w:rPr>
        <w:t>Abstract</w:t>
      </w:r>
    </w:p>
    <w:p w14:paraId="018A9358" w14:textId="5BB9BC8D" w:rsidR="00241C66" w:rsidRDefault="2DAD3DE8" w:rsidP="7935BD89">
      <w:pPr>
        <w:jc w:val="both"/>
      </w:pPr>
      <w:r w:rsidRPr="72C03B03">
        <w:rPr>
          <w:rFonts w:ascii="Arial" w:eastAsia="Arial" w:hAnsi="Arial" w:cs="Arial"/>
          <w:color w:val="000000" w:themeColor="text1"/>
        </w:rPr>
        <w:t>This study investigates the impact of sports sponsorship in the Indian Premier League (IPL) on brand image development. As the IPL has evolved into a major commercial sporting platform, sponsorship has become a key strategic tool for brands seeking to enhance awareness, associations, and consumer perceptions. However, limited academic research has examined how different sponsorship formats influence brand image outcomes within the IPL context.</w:t>
      </w:r>
    </w:p>
    <w:p w14:paraId="63BC8E84" w14:textId="16746BCC" w:rsidR="00241C66" w:rsidRDefault="2DAD3DE8" w:rsidP="72C03B03">
      <w:pPr>
        <w:jc w:val="both"/>
      </w:pPr>
      <w:r w:rsidRPr="72C03B03">
        <w:rPr>
          <w:rFonts w:ascii="Arial" w:eastAsia="Arial" w:hAnsi="Arial" w:cs="Arial"/>
          <w:color w:val="000000" w:themeColor="text1"/>
        </w:rPr>
        <w:t>A qualitative multiple case study approach was adopted, using secondary data from five IPL sponsorship cases across digital platforms, financial services, and aviation. Data were analysed through cross-case synthesis, guided by Brand Equity Theory, to examine the roles of sponsorship visibility, activation, fan engagement, and sponsor–property congruence.</w:t>
      </w:r>
    </w:p>
    <w:p w14:paraId="3219D46D" w14:textId="7CCC0673" w:rsidR="00241C66" w:rsidRDefault="2DAD3DE8" w:rsidP="72C03B03">
      <w:pPr>
        <w:jc w:val="both"/>
      </w:pPr>
      <w:r w:rsidRPr="72C03B03">
        <w:rPr>
          <w:rFonts w:ascii="Arial" w:eastAsia="Arial" w:hAnsi="Arial" w:cs="Arial"/>
          <w:color w:val="000000" w:themeColor="text1"/>
        </w:rPr>
        <w:t>The findings indicate that sponsorship visibility is necessary for building brand awareness, but deeper brand image outcomes depend on activation quality and engagement intensity. Digital integration and experiential activation were found to strengthen emotional and functional brand associations, while symbolic congruence between sponsors and teams supported positive image transfer. Event-based sponsorships were effective when supported by creative execution, despite shorter exposure durations.</w:t>
      </w:r>
    </w:p>
    <w:p w14:paraId="3D43D385" w14:textId="27446339" w:rsidR="2DAD3DE8" w:rsidRDefault="2DAD3DE8" w:rsidP="7DDC27F6">
      <w:pPr>
        <w:jc w:val="both"/>
        <w:rPr>
          <w:rFonts w:ascii="Arial" w:eastAsia="Arial" w:hAnsi="Arial" w:cs="Arial"/>
          <w:color w:val="000000" w:themeColor="text1"/>
        </w:rPr>
      </w:pPr>
      <w:r w:rsidRPr="552AD7BB">
        <w:rPr>
          <w:rFonts w:ascii="Arial" w:eastAsia="Arial" w:hAnsi="Arial" w:cs="Arial"/>
          <w:color w:val="000000" w:themeColor="text1"/>
        </w:rPr>
        <w:t>The study contributes to sponsorship literature by extending brand equity theory to the IPL context and highlighting digital activation as a critical mechanism in high-clutter sports environments. Practical implications are provided for managers designing sponsorship strategies in emerging sports markets</w:t>
      </w:r>
      <w:r w:rsidR="1113FA58" w:rsidRPr="552AD7BB">
        <w:rPr>
          <w:rFonts w:ascii="Arial" w:eastAsia="Arial" w:hAnsi="Arial" w:cs="Arial"/>
          <w:color w:val="000000" w:themeColor="text1"/>
        </w:rPr>
        <w:t>.</w:t>
      </w:r>
    </w:p>
    <w:p w14:paraId="7B1649B8" w14:textId="07F9C124" w:rsidR="7DDC27F6" w:rsidRDefault="7DDC27F6" w:rsidP="7DDC27F6">
      <w:pPr>
        <w:jc w:val="both"/>
        <w:rPr>
          <w:rFonts w:ascii="Arial" w:eastAsia="Arial" w:hAnsi="Arial" w:cs="Arial"/>
          <w:color w:val="000000" w:themeColor="text1"/>
        </w:rPr>
      </w:pPr>
    </w:p>
    <w:p w14:paraId="677DC0D0" w14:textId="2530C985" w:rsidR="7DDC27F6" w:rsidRDefault="7DDC27F6" w:rsidP="7DDC27F6">
      <w:pPr>
        <w:jc w:val="both"/>
        <w:rPr>
          <w:rFonts w:ascii="Arial" w:eastAsia="Arial" w:hAnsi="Arial" w:cs="Arial"/>
          <w:color w:val="000000" w:themeColor="text1"/>
        </w:rPr>
      </w:pPr>
    </w:p>
    <w:p w14:paraId="07C083D1" w14:textId="0C85033F" w:rsidR="7DDC27F6" w:rsidRDefault="7DDC27F6" w:rsidP="7DDC27F6">
      <w:pPr>
        <w:jc w:val="both"/>
        <w:rPr>
          <w:rFonts w:ascii="Arial" w:eastAsia="Arial" w:hAnsi="Arial" w:cs="Arial"/>
          <w:color w:val="000000" w:themeColor="text1"/>
        </w:rPr>
      </w:pPr>
    </w:p>
    <w:p w14:paraId="7B432C80" w14:textId="21833E67" w:rsidR="7DDC27F6" w:rsidRDefault="7DDC27F6" w:rsidP="7DDC27F6">
      <w:pPr>
        <w:jc w:val="both"/>
        <w:rPr>
          <w:rFonts w:ascii="Arial" w:eastAsia="Arial" w:hAnsi="Arial" w:cs="Arial"/>
          <w:color w:val="000000" w:themeColor="text1"/>
        </w:rPr>
      </w:pPr>
    </w:p>
    <w:p w14:paraId="11E07E80" w14:textId="714847A7" w:rsidR="7DDC27F6" w:rsidRDefault="7DDC27F6" w:rsidP="7DDC27F6">
      <w:pPr>
        <w:jc w:val="both"/>
        <w:rPr>
          <w:rFonts w:ascii="Arial" w:eastAsia="Arial" w:hAnsi="Arial" w:cs="Arial"/>
          <w:color w:val="000000" w:themeColor="text1"/>
        </w:rPr>
      </w:pPr>
    </w:p>
    <w:p w14:paraId="5C76C00A" w14:textId="7CB11D8E" w:rsidR="7DDC27F6" w:rsidRDefault="7DDC27F6" w:rsidP="7DDC27F6">
      <w:pPr>
        <w:jc w:val="both"/>
        <w:rPr>
          <w:rFonts w:ascii="Arial" w:eastAsia="Arial" w:hAnsi="Arial" w:cs="Arial"/>
          <w:color w:val="000000" w:themeColor="text1"/>
        </w:rPr>
      </w:pPr>
    </w:p>
    <w:p w14:paraId="4183750E" w14:textId="5F8A61E7" w:rsidR="7DDC27F6" w:rsidRDefault="7DDC27F6" w:rsidP="7DDC27F6">
      <w:pPr>
        <w:jc w:val="both"/>
        <w:rPr>
          <w:rFonts w:ascii="Arial" w:eastAsia="Arial" w:hAnsi="Arial" w:cs="Arial"/>
          <w:color w:val="000000" w:themeColor="text1"/>
        </w:rPr>
      </w:pPr>
    </w:p>
    <w:p w14:paraId="13D599DF" w14:textId="1A71EF8A" w:rsidR="15C0A31B" w:rsidRDefault="15C0A31B" w:rsidP="15C0A31B">
      <w:pPr>
        <w:ind w:left="2880" w:firstLine="720"/>
        <w:jc w:val="both"/>
        <w:rPr>
          <w:rFonts w:ascii="Arial" w:eastAsia="Arial" w:hAnsi="Arial" w:cs="Arial"/>
          <w:b/>
          <w:bCs/>
          <w:color w:val="000000" w:themeColor="text1"/>
          <w:sz w:val="36"/>
          <w:szCs w:val="36"/>
        </w:rPr>
      </w:pPr>
    </w:p>
    <w:p w14:paraId="6712A07F" w14:textId="27F084FA" w:rsidR="44E6DCE4" w:rsidRDefault="44E6DCE4" w:rsidP="44E6DCE4">
      <w:pPr>
        <w:ind w:left="2880" w:firstLine="720"/>
        <w:jc w:val="both"/>
        <w:rPr>
          <w:rFonts w:ascii="Arial" w:eastAsia="Arial" w:hAnsi="Arial" w:cs="Arial"/>
          <w:b/>
          <w:bCs/>
          <w:color w:val="000000" w:themeColor="text1"/>
          <w:sz w:val="36"/>
          <w:szCs w:val="36"/>
        </w:rPr>
      </w:pPr>
    </w:p>
    <w:p w14:paraId="6A850725" w14:textId="3BE7349B" w:rsidR="44E6DCE4" w:rsidRDefault="44E6DCE4" w:rsidP="44E6DCE4">
      <w:pPr>
        <w:ind w:left="2880" w:firstLine="720"/>
        <w:jc w:val="both"/>
        <w:rPr>
          <w:rFonts w:ascii="Arial" w:eastAsia="Arial" w:hAnsi="Arial" w:cs="Arial"/>
          <w:b/>
          <w:bCs/>
          <w:color w:val="000000" w:themeColor="text1"/>
          <w:sz w:val="36"/>
          <w:szCs w:val="36"/>
        </w:rPr>
      </w:pPr>
    </w:p>
    <w:p w14:paraId="24DB9D9D" w14:textId="71746E35" w:rsidR="22D428EA" w:rsidRDefault="22D428EA" w:rsidP="7DDC27F6">
      <w:pPr>
        <w:ind w:left="2880" w:firstLine="720"/>
        <w:jc w:val="both"/>
        <w:rPr>
          <w:rFonts w:ascii="Arial" w:eastAsia="Arial" w:hAnsi="Arial" w:cs="Arial"/>
          <w:b/>
          <w:bCs/>
          <w:color w:val="000000" w:themeColor="text1"/>
          <w:sz w:val="36"/>
          <w:szCs w:val="36"/>
        </w:rPr>
      </w:pPr>
      <w:r w:rsidRPr="7DDC27F6">
        <w:rPr>
          <w:rFonts w:ascii="Arial" w:eastAsia="Arial" w:hAnsi="Arial" w:cs="Arial"/>
          <w:b/>
          <w:bCs/>
          <w:color w:val="000000" w:themeColor="text1"/>
          <w:sz w:val="36"/>
          <w:szCs w:val="36"/>
        </w:rPr>
        <w:t xml:space="preserve">Table of contents </w:t>
      </w:r>
    </w:p>
    <w:sdt>
      <w:sdtPr>
        <w:id w:val="1467817447"/>
        <w:docPartObj>
          <w:docPartGallery w:val="Table of Contents"/>
          <w:docPartUnique/>
        </w:docPartObj>
      </w:sdtPr>
      <w:sdtContent>
        <w:p w14:paraId="19D1889D" w14:textId="342A0129" w:rsidR="420A9B3C" w:rsidRDefault="420A9B3C" w:rsidP="420A9B3C">
          <w:pPr>
            <w:pStyle w:val="TOC1"/>
            <w:tabs>
              <w:tab w:val="right" w:leader="dot" w:pos="9015"/>
            </w:tabs>
            <w:rPr>
              <w:rStyle w:val="Hyperlink"/>
            </w:rPr>
          </w:pPr>
          <w:r>
            <w:fldChar w:fldCharType="begin"/>
          </w:r>
          <w:r>
            <w:instrText>TOC \o "1-9" \z \u \h</w:instrText>
          </w:r>
          <w:r>
            <w:fldChar w:fldCharType="separate"/>
          </w:r>
          <w:hyperlink w:anchor="_Toc1038254406">
            <w:r w:rsidRPr="420A9B3C">
              <w:rPr>
                <w:rStyle w:val="Hyperlink"/>
              </w:rPr>
              <w:t>1.1 Research Background</w:t>
            </w:r>
            <w:r>
              <w:tab/>
            </w:r>
            <w:r>
              <w:fldChar w:fldCharType="begin"/>
            </w:r>
            <w:r>
              <w:instrText>PAGEREF _Toc1038254406 \h</w:instrText>
            </w:r>
            <w:r>
              <w:fldChar w:fldCharType="separate"/>
            </w:r>
            <w:r w:rsidRPr="420A9B3C">
              <w:rPr>
                <w:rStyle w:val="Hyperlink"/>
              </w:rPr>
              <w:t>4</w:t>
            </w:r>
            <w:r>
              <w:fldChar w:fldCharType="end"/>
            </w:r>
          </w:hyperlink>
        </w:p>
        <w:p w14:paraId="0EB850C1" w14:textId="6701C857" w:rsidR="420A9B3C" w:rsidRDefault="420A9B3C" w:rsidP="420A9B3C">
          <w:pPr>
            <w:pStyle w:val="TOC1"/>
            <w:tabs>
              <w:tab w:val="right" w:leader="dot" w:pos="9015"/>
            </w:tabs>
            <w:rPr>
              <w:rStyle w:val="Hyperlink"/>
            </w:rPr>
          </w:pPr>
          <w:hyperlink w:anchor="_Toc1812219822">
            <w:r w:rsidRPr="420A9B3C">
              <w:rPr>
                <w:rStyle w:val="Hyperlink"/>
              </w:rPr>
              <w:t>1.2 Research Rationale</w:t>
            </w:r>
            <w:r>
              <w:tab/>
            </w:r>
            <w:r>
              <w:fldChar w:fldCharType="begin"/>
            </w:r>
            <w:r>
              <w:instrText>PAGEREF _Toc1812219822 \h</w:instrText>
            </w:r>
            <w:r>
              <w:fldChar w:fldCharType="separate"/>
            </w:r>
            <w:r w:rsidRPr="420A9B3C">
              <w:rPr>
                <w:rStyle w:val="Hyperlink"/>
              </w:rPr>
              <w:t>4</w:t>
            </w:r>
            <w:r>
              <w:fldChar w:fldCharType="end"/>
            </w:r>
          </w:hyperlink>
        </w:p>
        <w:p w14:paraId="1E78B5BE" w14:textId="33715C96" w:rsidR="420A9B3C" w:rsidRDefault="420A9B3C" w:rsidP="420A9B3C">
          <w:pPr>
            <w:pStyle w:val="TOC2"/>
            <w:tabs>
              <w:tab w:val="right" w:leader="dot" w:pos="9015"/>
            </w:tabs>
            <w:rPr>
              <w:rStyle w:val="Hyperlink"/>
            </w:rPr>
          </w:pPr>
          <w:hyperlink w:anchor="_Toc1740082991">
            <w:r w:rsidRPr="420A9B3C">
              <w:rPr>
                <w:rStyle w:val="Hyperlink"/>
              </w:rPr>
              <w:t>1.2.1 Theoretical Justification</w:t>
            </w:r>
            <w:r>
              <w:tab/>
            </w:r>
            <w:r>
              <w:fldChar w:fldCharType="begin"/>
            </w:r>
            <w:r>
              <w:instrText>PAGEREF _Toc1740082991 \h</w:instrText>
            </w:r>
            <w:r>
              <w:fldChar w:fldCharType="separate"/>
            </w:r>
            <w:r w:rsidRPr="420A9B3C">
              <w:rPr>
                <w:rStyle w:val="Hyperlink"/>
              </w:rPr>
              <w:t>4</w:t>
            </w:r>
            <w:r>
              <w:fldChar w:fldCharType="end"/>
            </w:r>
          </w:hyperlink>
        </w:p>
        <w:p w14:paraId="65062001" w14:textId="7788778C" w:rsidR="420A9B3C" w:rsidRDefault="420A9B3C" w:rsidP="420A9B3C">
          <w:pPr>
            <w:pStyle w:val="TOC2"/>
            <w:tabs>
              <w:tab w:val="right" w:leader="dot" w:pos="9015"/>
            </w:tabs>
            <w:rPr>
              <w:rStyle w:val="Hyperlink"/>
            </w:rPr>
          </w:pPr>
          <w:hyperlink w:anchor="_Toc2107113913">
            <w:r w:rsidRPr="420A9B3C">
              <w:rPr>
                <w:rStyle w:val="Hyperlink"/>
              </w:rPr>
              <w:t>1.2.2 Practical Justification</w:t>
            </w:r>
            <w:r>
              <w:tab/>
            </w:r>
            <w:r>
              <w:fldChar w:fldCharType="begin"/>
            </w:r>
            <w:r>
              <w:instrText>PAGEREF _Toc2107113913 \h</w:instrText>
            </w:r>
            <w:r>
              <w:fldChar w:fldCharType="separate"/>
            </w:r>
            <w:r w:rsidRPr="420A9B3C">
              <w:rPr>
                <w:rStyle w:val="Hyperlink"/>
              </w:rPr>
              <w:t>4</w:t>
            </w:r>
            <w:r>
              <w:fldChar w:fldCharType="end"/>
            </w:r>
          </w:hyperlink>
        </w:p>
        <w:p w14:paraId="6117E0AE" w14:textId="7C3EE192" w:rsidR="420A9B3C" w:rsidRDefault="420A9B3C" w:rsidP="420A9B3C">
          <w:pPr>
            <w:pStyle w:val="TOC1"/>
            <w:tabs>
              <w:tab w:val="right" w:leader="dot" w:pos="9015"/>
            </w:tabs>
            <w:rPr>
              <w:rStyle w:val="Hyperlink"/>
            </w:rPr>
          </w:pPr>
          <w:hyperlink w:anchor="_Toc1851317848">
            <w:r w:rsidRPr="420A9B3C">
              <w:rPr>
                <w:rStyle w:val="Hyperlink"/>
              </w:rPr>
              <w:t>1.3 Research Contribution and Motivation</w:t>
            </w:r>
            <w:r>
              <w:tab/>
            </w:r>
            <w:r>
              <w:fldChar w:fldCharType="begin"/>
            </w:r>
            <w:r>
              <w:instrText>PAGEREF _Toc1851317848 \h</w:instrText>
            </w:r>
            <w:r>
              <w:fldChar w:fldCharType="separate"/>
            </w:r>
            <w:r w:rsidRPr="420A9B3C">
              <w:rPr>
                <w:rStyle w:val="Hyperlink"/>
              </w:rPr>
              <w:t>4</w:t>
            </w:r>
            <w:r>
              <w:fldChar w:fldCharType="end"/>
            </w:r>
          </w:hyperlink>
        </w:p>
        <w:p w14:paraId="7745CCF3" w14:textId="5F9282AE" w:rsidR="420A9B3C" w:rsidRDefault="420A9B3C" w:rsidP="420A9B3C">
          <w:pPr>
            <w:pStyle w:val="TOC1"/>
            <w:tabs>
              <w:tab w:val="right" w:leader="dot" w:pos="9015"/>
            </w:tabs>
            <w:rPr>
              <w:rStyle w:val="Hyperlink"/>
            </w:rPr>
          </w:pPr>
          <w:hyperlink w:anchor="_Toc1761066325">
            <w:r w:rsidRPr="420A9B3C">
              <w:rPr>
                <w:rStyle w:val="Hyperlink"/>
              </w:rPr>
              <w:t>1.4 Research Aim, Objectives and Research Question</w:t>
            </w:r>
            <w:r>
              <w:tab/>
            </w:r>
            <w:r>
              <w:fldChar w:fldCharType="begin"/>
            </w:r>
            <w:r>
              <w:instrText>PAGEREF _Toc1761066325 \h</w:instrText>
            </w:r>
            <w:r>
              <w:fldChar w:fldCharType="separate"/>
            </w:r>
            <w:r w:rsidRPr="420A9B3C">
              <w:rPr>
                <w:rStyle w:val="Hyperlink"/>
              </w:rPr>
              <w:t>4</w:t>
            </w:r>
            <w:r>
              <w:fldChar w:fldCharType="end"/>
            </w:r>
          </w:hyperlink>
        </w:p>
        <w:p w14:paraId="7F10CE25" w14:textId="687AC3C5" w:rsidR="420A9B3C" w:rsidRDefault="420A9B3C" w:rsidP="420A9B3C">
          <w:pPr>
            <w:pStyle w:val="TOC1"/>
            <w:tabs>
              <w:tab w:val="right" w:leader="dot" w:pos="9015"/>
            </w:tabs>
            <w:rPr>
              <w:rStyle w:val="Hyperlink"/>
            </w:rPr>
          </w:pPr>
          <w:hyperlink w:anchor="_Toc759164840">
            <w:r w:rsidRPr="420A9B3C">
              <w:rPr>
                <w:rStyle w:val="Hyperlink"/>
              </w:rPr>
              <w:t>1.5 Dissertation Structure</w:t>
            </w:r>
            <w:r>
              <w:tab/>
            </w:r>
            <w:r>
              <w:fldChar w:fldCharType="begin"/>
            </w:r>
            <w:r>
              <w:instrText>PAGEREF _Toc759164840 \h</w:instrText>
            </w:r>
            <w:r>
              <w:fldChar w:fldCharType="separate"/>
            </w:r>
            <w:r w:rsidRPr="420A9B3C">
              <w:rPr>
                <w:rStyle w:val="Hyperlink"/>
              </w:rPr>
              <w:t>4</w:t>
            </w:r>
            <w:r>
              <w:fldChar w:fldCharType="end"/>
            </w:r>
          </w:hyperlink>
        </w:p>
        <w:p w14:paraId="3C2DD877" w14:textId="4466EE3C" w:rsidR="420A9B3C" w:rsidRDefault="420A9B3C" w:rsidP="420A9B3C">
          <w:pPr>
            <w:pStyle w:val="TOC1"/>
            <w:tabs>
              <w:tab w:val="right" w:leader="dot" w:pos="9015"/>
            </w:tabs>
            <w:rPr>
              <w:rStyle w:val="Hyperlink"/>
            </w:rPr>
          </w:pPr>
          <w:hyperlink w:anchor="_Toc1248431254">
            <w:r w:rsidRPr="420A9B3C">
              <w:rPr>
                <w:rStyle w:val="Hyperlink"/>
              </w:rPr>
              <w:t>2.1 Introduction</w:t>
            </w:r>
            <w:r>
              <w:tab/>
            </w:r>
            <w:r>
              <w:fldChar w:fldCharType="begin"/>
            </w:r>
            <w:r>
              <w:instrText>PAGEREF _Toc1248431254 \h</w:instrText>
            </w:r>
            <w:r>
              <w:fldChar w:fldCharType="separate"/>
            </w:r>
            <w:r w:rsidRPr="420A9B3C">
              <w:rPr>
                <w:rStyle w:val="Hyperlink"/>
              </w:rPr>
              <w:t>4</w:t>
            </w:r>
            <w:r>
              <w:fldChar w:fldCharType="end"/>
            </w:r>
          </w:hyperlink>
        </w:p>
        <w:p w14:paraId="5B4492E9" w14:textId="23958DF6" w:rsidR="420A9B3C" w:rsidRDefault="420A9B3C" w:rsidP="420A9B3C">
          <w:pPr>
            <w:pStyle w:val="TOC1"/>
            <w:tabs>
              <w:tab w:val="right" w:leader="dot" w:pos="9015"/>
            </w:tabs>
            <w:rPr>
              <w:rStyle w:val="Hyperlink"/>
            </w:rPr>
          </w:pPr>
          <w:hyperlink w:anchor="_Toc1152681139">
            <w:r w:rsidRPr="420A9B3C">
              <w:rPr>
                <w:rStyle w:val="Hyperlink"/>
              </w:rPr>
              <w:t>2.2 Thematic Overview</w:t>
            </w:r>
            <w:r>
              <w:tab/>
            </w:r>
            <w:r>
              <w:fldChar w:fldCharType="begin"/>
            </w:r>
            <w:r>
              <w:instrText>PAGEREF _Toc1152681139 \h</w:instrText>
            </w:r>
            <w:r>
              <w:fldChar w:fldCharType="separate"/>
            </w:r>
            <w:r w:rsidRPr="420A9B3C">
              <w:rPr>
                <w:rStyle w:val="Hyperlink"/>
              </w:rPr>
              <w:t>4</w:t>
            </w:r>
            <w:r>
              <w:fldChar w:fldCharType="end"/>
            </w:r>
          </w:hyperlink>
        </w:p>
        <w:p w14:paraId="0BFE9501" w14:textId="49735F47" w:rsidR="420A9B3C" w:rsidRDefault="420A9B3C" w:rsidP="420A9B3C">
          <w:pPr>
            <w:pStyle w:val="TOC2"/>
            <w:tabs>
              <w:tab w:val="right" w:leader="dot" w:pos="9015"/>
            </w:tabs>
            <w:rPr>
              <w:rStyle w:val="Hyperlink"/>
            </w:rPr>
          </w:pPr>
          <w:hyperlink w:anchor="_Toc1891652831">
            <w:r w:rsidRPr="420A9B3C">
              <w:rPr>
                <w:rStyle w:val="Hyperlink"/>
              </w:rPr>
              <w:t>2.2.1 Sports Sponsorship as a Strategic Marketing Tool</w:t>
            </w:r>
            <w:r>
              <w:tab/>
            </w:r>
            <w:r>
              <w:fldChar w:fldCharType="begin"/>
            </w:r>
            <w:r>
              <w:instrText>PAGEREF _Toc1891652831 \h</w:instrText>
            </w:r>
            <w:r>
              <w:fldChar w:fldCharType="separate"/>
            </w:r>
            <w:r w:rsidRPr="420A9B3C">
              <w:rPr>
                <w:rStyle w:val="Hyperlink"/>
              </w:rPr>
              <w:t>4</w:t>
            </w:r>
            <w:r>
              <w:fldChar w:fldCharType="end"/>
            </w:r>
          </w:hyperlink>
        </w:p>
        <w:p w14:paraId="6C54ADC3" w14:textId="00EFD52A" w:rsidR="420A9B3C" w:rsidRDefault="420A9B3C" w:rsidP="420A9B3C">
          <w:pPr>
            <w:pStyle w:val="TOC2"/>
            <w:tabs>
              <w:tab w:val="right" w:leader="dot" w:pos="9015"/>
            </w:tabs>
            <w:rPr>
              <w:rStyle w:val="Hyperlink"/>
            </w:rPr>
          </w:pPr>
          <w:hyperlink w:anchor="_Toc282319032">
            <w:r w:rsidRPr="420A9B3C">
              <w:rPr>
                <w:rStyle w:val="Hyperlink"/>
              </w:rPr>
              <w:t>2.2.2 Sponsor–Team Congruence and Fan Identification</w:t>
            </w:r>
            <w:r>
              <w:tab/>
            </w:r>
            <w:r>
              <w:fldChar w:fldCharType="begin"/>
            </w:r>
            <w:r>
              <w:instrText>PAGEREF _Toc282319032 \h</w:instrText>
            </w:r>
            <w:r>
              <w:fldChar w:fldCharType="separate"/>
            </w:r>
            <w:r w:rsidRPr="420A9B3C">
              <w:rPr>
                <w:rStyle w:val="Hyperlink"/>
              </w:rPr>
              <w:t>4</w:t>
            </w:r>
            <w:r>
              <w:fldChar w:fldCharType="end"/>
            </w:r>
          </w:hyperlink>
        </w:p>
        <w:p w14:paraId="299323E9" w14:textId="2D29A2CC" w:rsidR="420A9B3C" w:rsidRDefault="420A9B3C" w:rsidP="420A9B3C">
          <w:pPr>
            <w:pStyle w:val="TOC2"/>
            <w:tabs>
              <w:tab w:val="right" w:leader="dot" w:pos="9015"/>
            </w:tabs>
            <w:rPr>
              <w:rStyle w:val="Hyperlink"/>
            </w:rPr>
          </w:pPr>
          <w:hyperlink w:anchor="_Toc1687657587">
            <w:r w:rsidRPr="420A9B3C">
              <w:rPr>
                <w:rStyle w:val="Hyperlink"/>
              </w:rPr>
              <w:t>2.2.3 Digital Activation and Social Media Engagement in Sponsorship</w:t>
            </w:r>
            <w:r>
              <w:tab/>
            </w:r>
            <w:r>
              <w:fldChar w:fldCharType="begin"/>
            </w:r>
            <w:r>
              <w:instrText>PAGEREF _Toc1687657587 \h</w:instrText>
            </w:r>
            <w:r>
              <w:fldChar w:fldCharType="separate"/>
            </w:r>
            <w:r w:rsidRPr="420A9B3C">
              <w:rPr>
                <w:rStyle w:val="Hyperlink"/>
              </w:rPr>
              <w:t>4</w:t>
            </w:r>
            <w:r>
              <w:fldChar w:fldCharType="end"/>
            </w:r>
          </w:hyperlink>
        </w:p>
        <w:p w14:paraId="61510D95" w14:textId="757BF9C6" w:rsidR="420A9B3C" w:rsidRDefault="420A9B3C" w:rsidP="420A9B3C">
          <w:pPr>
            <w:pStyle w:val="TOC2"/>
            <w:tabs>
              <w:tab w:val="right" w:leader="dot" w:pos="9015"/>
            </w:tabs>
            <w:rPr>
              <w:rStyle w:val="Hyperlink"/>
            </w:rPr>
          </w:pPr>
          <w:hyperlink w:anchor="_Toc964686338">
            <w:r w:rsidRPr="420A9B3C">
              <w:rPr>
                <w:rStyle w:val="Hyperlink"/>
              </w:rPr>
              <w:t>2.2.4 Sponsorship Effectiveness and Brand Image Outcomes</w:t>
            </w:r>
            <w:r>
              <w:tab/>
            </w:r>
            <w:r>
              <w:fldChar w:fldCharType="begin"/>
            </w:r>
            <w:r>
              <w:instrText>PAGEREF _Toc964686338 \h</w:instrText>
            </w:r>
            <w:r>
              <w:fldChar w:fldCharType="separate"/>
            </w:r>
            <w:r w:rsidRPr="420A9B3C">
              <w:rPr>
                <w:rStyle w:val="Hyperlink"/>
              </w:rPr>
              <w:t>4</w:t>
            </w:r>
            <w:r>
              <w:fldChar w:fldCharType="end"/>
            </w:r>
          </w:hyperlink>
        </w:p>
        <w:p w14:paraId="101B0C41" w14:textId="2D3E04BC" w:rsidR="420A9B3C" w:rsidRDefault="420A9B3C" w:rsidP="420A9B3C">
          <w:pPr>
            <w:pStyle w:val="TOC1"/>
            <w:tabs>
              <w:tab w:val="right" w:leader="dot" w:pos="9015"/>
            </w:tabs>
            <w:rPr>
              <w:rStyle w:val="Hyperlink"/>
            </w:rPr>
          </w:pPr>
          <w:hyperlink w:anchor="_Toc945504400">
            <w:r w:rsidRPr="420A9B3C">
              <w:rPr>
                <w:rStyle w:val="Hyperlink"/>
              </w:rPr>
              <w:t>2.3 Theoretical Foundation and Contribution</w:t>
            </w:r>
            <w:r>
              <w:tab/>
            </w:r>
            <w:r>
              <w:fldChar w:fldCharType="begin"/>
            </w:r>
            <w:r>
              <w:instrText>PAGEREF _Toc945504400 \h</w:instrText>
            </w:r>
            <w:r>
              <w:fldChar w:fldCharType="separate"/>
            </w:r>
            <w:r w:rsidRPr="420A9B3C">
              <w:rPr>
                <w:rStyle w:val="Hyperlink"/>
              </w:rPr>
              <w:t>4</w:t>
            </w:r>
            <w:r>
              <w:fldChar w:fldCharType="end"/>
            </w:r>
          </w:hyperlink>
        </w:p>
        <w:p w14:paraId="2F3ABE60" w14:textId="141FCC5D" w:rsidR="420A9B3C" w:rsidRDefault="420A9B3C" w:rsidP="420A9B3C">
          <w:pPr>
            <w:pStyle w:val="TOC2"/>
            <w:tabs>
              <w:tab w:val="right" w:leader="dot" w:pos="9015"/>
            </w:tabs>
            <w:rPr>
              <w:rStyle w:val="Hyperlink"/>
            </w:rPr>
          </w:pPr>
          <w:hyperlink w:anchor="_Toc136024075">
            <w:r w:rsidRPr="420A9B3C">
              <w:rPr>
                <w:rStyle w:val="Hyperlink"/>
              </w:rPr>
              <w:t>2.3.1 Brand Equity Theory</w:t>
            </w:r>
            <w:r>
              <w:tab/>
            </w:r>
            <w:r>
              <w:fldChar w:fldCharType="begin"/>
            </w:r>
            <w:r>
              <w:instrText>PAGEREF _Toc136024075 \h</w:instrText>
            </w:r>
            <w:r>
              <w:fldChar w:fldCharType="separate"/>
            </w:r>
            <w:r w:rsidRPr="420A9B3C">
              <w:rPr>
                <w:rStyle w:val="Hyperlink"/>
              </w:rPr>
              <w:t>4</w:t>
            </w:r>
            <w:r>
              <w:fldChar w:fldCharType="end"/>
            </w:r>
          </w:hyperlink>
        </w:p>
        <w:p w14:paraId="008DC745" w14:textId="1B808C8D" w:rsidR="420A9B3C" w:rsidRDefault="420A9B3C" w:rsidP="420A9B3C">
          <w:pPr>
            <w:pStyle w:val="TOC2"/>
            <w:tabs>
              <w:tab w:val="right" w:leader="dot" w:pos="9015"/>
            </w:tabs>
            <w:rPr>
              <w:rStyle w:val="Hyperlink"/>
            </w:rPr>
          </w:pPr>
          <w:hyperlink w:anchor="_Toc1447792013">
            <w:r w:rsidRPr="420A9B3C">
              <w:rPr>
                <w:rStyle w:val="Hyperlink"/>
              </w:rPr>
              <w:t>2.3.2 Justification for Using Brand Equity Theory</w:t>
            </w:r>
            <w:r>
              <w:tab/>
            </w:r>
            <w:r>
              <w:fldChar w:fldCharType="begin"/>
            </w:r>
            <w:r>
              <w:instrText>PAGEREF _Toc1447792013 \h</w:instrText>
            </w:r>
            <w:r>
              <w:fldChar w:fldCharType="separate"/>
            </w:r>
            <w:r w:rsidRPr="420A9B3C">
              <w:rPr>
                <w:rStyle w:val="Hyperlink"/>
              </w:rPr>
              <w:t>4</w:t>
            </w:r>
            <w:r>
              <w:fldChar w:fldCharType="end"/>
            </w:r>
          </w:hyperlink>
        </w:p>
        <w:p w14:paraId="6D4737C8" w14:textId="19E16A98" w:rsidR="420A9B3C" w:rsidRDefault="420A9B3C" w:rsidP="420A9B3C">
          <w:pPr>
            <w:pStyle w:val="TOC2"/>
            <w:tabs>
              <w:tab w:val="right" w:leader="dot" w:pos="9015"/>
            </w:tabs>
            <w:rPr>
              <w:rStyle w:val="Hyperlink"/>
            </w:rPr>
          </w:pPr>
          <w:hyperlink w:anchor="_Toc777656224">
            <w:r w:rsidRPr="420A9B3C">
              <w:rPr>
                <w:rStyle w:val="Hyperlink"/>
              </w:rPr>
              <w:t>2.3.3 Contribution to Theory</w:t>
            </w:r>
            <w:r>
              <w:tab/>
            </w:r>
            <w:r>
              <w:fldChar w:fldCharType="begin"/>
            </w:r>
            <w:r>
              <w:instrText>PAGEREF _Toc777656224 \h</w:instrText>
            </w:r>
            <w:r>
              <w:fldChar w:fldCharType="separate"/>
            </w:r>
            <w:r w:rsidRPr="420A9B3C">
              <w:rPr>
                <w:rStyle w:val="Hyperlink"/>
              </w:rPr>
              <w:t>4</w:t>
            </w:r>
            <w:r>
              <w:fldChar w:fldCharType="end"/>
            </w:r>
          </w:hyperlink>
        </w:p>
        <w:p w14:paraId="06419D3C" w14:textId="2E2BE8FC" w:rsidR="420A9B3C" w:rsidRDefault="420A9B3C" w:rsidP="420A9B3C">
          <w:pPr>
            <w:pStyle w:val="TOC1"/>
            <w:tabs>
              <w:tab w:val="right" w:leader="dot" w:pos="9015"/>
            </w:tabs>
            <w:rPr>
              <w:rStyle w:val="Hyperlink"/>
            </w:rPr>
          </w:pPr>
          <w:hyperlink w:anchor="_Toc1973231022">
            <w:r w:rsidRPr="420A9B3C">
              <w:rPr>
                <w:rStyle w:val="Hyperlink"/>
              </w:rPr>
              <w:t>2.4 Conceptual Framework</w:t>
            </w:r>
            <w:r>
              <w:tab/>
            </w:r>
            <w:r>
              <w:fldChar w:fldCharType="begin"/>
            </w:r>
            <w:r>
              <w:instrText>PAGEREF _Toc1973231022 \h</w:instrText>
            </w:r>
            <w:r>
              <w:fldChar w:fldCharType="separate"/>
            </w:r>
            <w:r w:rsidRPr="420A9B3C">
              <w:rPr>
                <w:rStyle w:val="Hyperlink"/>
              </w:rPr>
              <w:t>4</w:t>
            </w:r>
            <w:r>
              <w:fldChar w:fldCharType="end"/>
            </w:r>
          </w:hyperlink>
        </w:p>
        <w:p w14:paraId="26182078" w14:textId="3CE52F60" w:rsidR="420A9B3C" w:rsidRDefault="420A9B3C" w:rsidP="420A9B3C">
          <w:pPr>
            <w:pStyle w:val="TOC1"/>
            <w:tabs>
              <w:tab w:val="right" w:leader="dot" w:pos="9015"/>
            </w:tabs>
            <w:rPr>
              <w:rStyle w:val="Hyperlink"/>
            </w:rPr>
          </w:pPr>
          <w:hyperlink w:anchor="_Toc1151380902">
            <w:r w:rsidRPr="420A9B3C">
              <w:rPr>
                <w:rStyle w:val="Hyperlink"/>
              </w:rPr>
              <w:t>2.5 summary of table</w:t>
            </w:r>
            <w:r>
              <w:tab/>
            </w:r>
            <w:r>
              <w:fldChar w:fldCharType="begin"/>
            </w:r>
            <w:r>
              <w:instrText>PAGEREF _Toc1151380902 \h</w:instrText>
            </w:r>
            <w:r>
              <w:fldChar w:fldCharType="separate"/>
            </w:r>
            <w:r w:rsidRPr="420A9B3C">
              <w:rPr>
                <w:rStyle w:val="Hyperlink"/>
              </w:rPr>
              <w:t>4</w:t>
            </w:r>
            <w:r>
              <w:fldChar w:fldCharType="end"/>
            </w:r>
          </w:hyperlink>
        </w:p>
        <w:p w14:paraId="53D22AB7" w14:textId="0754BBA9" w:rsidR="420A9B3C" w:rsidRDefault="420A9B3C" w:rsidP="420A9B3C">
          <w:pPr>
            <w:pStyle w:val="TOC1"/>
            <w:tabs>
              <w:tab w:val="right" w:leader="dot" w:pos="9015"/>
            </w:tabs>
            <w:rPr>
              <w:rStyle w:val="Hyperlink"/>
            </w:rPr>
          </w:pPr>
          <w:hyperlink w:anchor="_Toc1985031070">
            <w:r w:rsidRPr="420A9B3C">
              <w:rPr>
                <w:rStyle w:val="Hyperlink"/>
              </w:rPr>
              <w:t>2.6 Conclusion</w:t>
            </w:r>
            <w:r>
              <w:tab/>
            </w:r>
            <w:r>
              <w:fldChar w:fldCharType="begin"/>
            </w:r>
            <w:r>
              <w:instrText>PAGEREF _Toc1985031070 \h</w:instrText>
            </w:r>
            <w:r>
              <w:fldChar w:fldCharType="separate"/>
            </w:r>
            <w:r w:rsidRPr="420A9B3C">
              <w:rPr>
                <w:rStyle w:val="Hyperlink"/>
              </w:rPr>
              <w:t>4</w:t>
            </w:r>
            <w:r>
              <w:fldChar w:fldCharType="end"/>
            </w:r>
          </w:hyperlink>
        </w:p>
        <w:p w14:paraId="1F07A5DC" w14:textId="70EF6BE1" w:rsidR="420A9B3C" w:rsidRDefault="420A9B3C" w:rsidP="420A9B3C">
          <w:pPr>
            <w:pStyle w:val="TOC1"/>
            <w:tabs>
              <w:tab w:val="right" w:leader="dot" w:pos="9015"/>
            </w:tabs>
            <w:rPr>
              <w:rStyle w:val="Hyperlink"/>
            </w:rPr>
          </w:pPr>
          <w:hyperlink w:anchor="_Toc1593353086">
            <w:r w:rsidRPr="420A9B3C">
              <w:rPr>
                <w:rStyle w:val="Hyperlink"/>
              </w:rPr>
              <w:t>3.2 Research Philosophy, Approach and Design</w:t>
            </w:r>
            <w:r>
              <w:tab/>
            </w:r>
            <w:r>
              <w:fldChar w:fldCharType="begin"/>
            </w:r>
            <w:r>
              <w:instrText>PAGEREF _Toc1593353086 \h</w:instrText>
            </w:r>
            <w:r>
              <w:fldChar w:fldCharType="separate"/>
            </w:r>
            <w:r w:rsidRPr="420A9B3C">
              <w:rPr>
                <w:rStyle w:val="Hyperlink"/>
              </w:rPr>
              <w:t>4</w:t>
            </w:r>
            <w:r>
              <w:fldChar w:fldCharType="end"/>
            </w:r>
          </w:hyperlink>
        </w:p>
        <w:p w14:paraId="41E347FF" w14:textId="691662A8" w:rsidR="420A9B3C" w:rsidRDefault="420A9B3C" w:rsidP="420A9B3C">
          <w:pPr>
            <w:pStyle w:val="TOC1"/>
            <w:tabs>
              <w:tab w:val="right" w:leader="dot" w:pos="9015"/>
            </w:tabs>
            <w:rPr>
              <w:rStyle w:val="Hyperlink"/>
            </w:rPr>
          </w:pPr>
          <w:hyperlink w:anchor="_Toc682816243">
            <w:r w:rsidRPr="420A9B3C">
              <w:rPr>
                <w:rStyle w:val="Hyperlink"/>
              </w:rPr>
              <w:t>3.3 Justification for Case Study Methodology</w:t>
            </w:r>
            <w:r>
              <w:tab/>
            </w:r>
            <w:r>
              <w:fldChar w:fldCharType="begin"/>
            </w:r>
            <w:r>
              <w:instrText>PAGEREF _Toc682816243 \h</w:instrText>
            </w:r>
            <w:r>
              <w:fldChar w:fldCharType="separate"/>
            </w:r>
            <w:r w:rsidRPr="420A9B3C">
              <w:rPr>
                <w:rStyle w:val="Hyperlink"/>
              </w:rPr>
              <w:t>4</w:t>
            </w:r>
            <w:r>
              <w:fldChar w:fldCharType="end"/>
            </w:r>
          </w:hyperlink>
        </w:p>
        <w:p w14:paraId="2DA5AB22" w14:textId="5BA69E6C" w:rsidR="420A9B3C" w:rsidRDefault="420A9B3C" w:rsidP="420A9B3C">
          <w:pPr>
            <w:pStyle w:val="TOC1"/>
            <w:tabs>
              <w:tab w:val="right" w:leader="dot" w:pos="9015"/>
            </w:tabs>
            <w:rPr>
              <w:rStyle w:val="Hyperlink"/>
            </w:rPr>
          </w:pPr>
          <w:hyperlink w:anchor="_Toc233156122">
            <w:r w:rsidRPr="420A9B3C">
              <w:rPr>
                <w:rStyle w:val="Hyperlink"/>
              </w:rPr>
              <w:t>3.4 Case Selection and Sampling Strategy</w:t>
            </w:r>
            <w:r>
              <w:tab/>
            </w:r>
            <w:r>
              <w:fldChar w:fldCharType="begin"/>
            </w:r>
            <w:r>
              <w:instrText>PAGEREF _Toc233156122 \h</w:instrText>
            </w:r>
            <w:r>
              <w:fldChar w:fldCharType="separate"/>
            </w:r>
            <w:r w:rsidRPr="420A9B3C">
              <w:rPr>
                <w:rStyle w:val="Hyperlink"/>
              </w:rPr>
              <w:t>4</w:t>
            </w:r>
            <w:r>
              <w:fldChar w:fldCharType="end"/>
            </w:r>
          </w:hyperlink>
        </w:p>
        <w:p w14:paraId="5AC2B6B0" w14:textId="04F7BFA6" w:rsidR="420A9B3C" w:rsidRDefault="420A9B3C" w:rsidP="420A9B3C">
          <w:pPr>
            <w:pStyle w:val="TOC1"/>
            <w:tabs>
              <w:tab w:val="right" w:leader="dot" w:pos="9015"/>
            </w:tabs>
            <w:rPr>
              <w:rStyle w:val="Hyperlink"/>
            </w:rPr>
          </w:pPr>
          <w:hyperlink w:anchor="_Toc303238491">
            <w:r w:rsidRPr="420A9B3C">
              <w:rPr>
                <w:rStyle w:val="Hyperlink"/>
              </w:rPr>
              <w:t>3.5 Data Sources and Data Collection</w:t>
            </w:r>
            <w:r>
              <w:tab/>
            </w:r>
            <w:r>
              <w:fldChar w:fldCharType="begin"/>
            </w:r>
            <w:r>
              <w:instrText>PAGEREF _Toc303238491 \h</w:instrText>
            </w:r>
            <w:r>
              <w:fldChar w:fldCharType="separate"/>
            </w:r>
            <w:r w:rsidRPr="420A9B3C">
              <w:rPr>
                <w:rStyle w:val="Hyperlink"/>
              </w:rPr>
              <w:t>4</w:t>
            </w:r>
            <w:r>
              <w:fldChar w:fldCharType="end"/>
            </w:r>
          </w:hyperlink>
        </w:p>
        <w:p w14:paraId="68DB7DE2" w14:textId="24232E01" w:rsidR="420A9B3C" w:rsidRDefault="420A9B3C" w:rsidP="420A9B3C">
          <w:pPr>
            <w:pStyle w:val="TOC1"/>
            <w:tabs>
              <w:tab w:val="right" w:leader="dot" w:pos="9015"/>
            </w:tabs>
            <w:rPr>
              <w:rStyle w:val="Hyperlink"/>
            </w:rPr>
          </w:pPr>
          <w:hyperlink w:anchor="_Toc686753446">
            <w:r w:rsidRPr="420A9B3C">
              <w:rPr>
                <w:rStyle w:val="Hyperlink"/>
              </w:rPr>
              <w:t>3.6 Data Analysis Approach</w:t>
            </w:r>
            <w:r>
              <w:tab/>
            </w:r>
            <w:r>
              <w:fldChar w:fldCharType="begin"/>
            </w:r>
            <w:r>
              <w:instrText>PAGEREF _Toc686753446 \h</w:instrText>
            </w:r>
            <w:r>
              <w:fldChar w:fldCharType="separate"/>
            </w:r>
            <w:r w:rsidRPr="420A9B3C">
              <w:rPr>
                <w:rStyle w:val="Hyperlink"/>
              </w:rPr>
              <w:t>4</w:t>
            </w:r>
            <w:r>
              <w:fldChar w:fldCharType="end"/>
            </w:r>
          </w:hyperlink>
        </w:p>
        <w:p w14:paraId="06C705A1" w14:textId="408647A0" w:rsidR="420A9B3C" w:rsidRDefault="420A9B3C" w:rsidP="420A9B3C">
          <w:pPr>
            <w:pStyle w:val="TOC1"/>
            <w:tabs>
              <w:tab w:val="right" w:leader="dot" w:pos="9015"/>
            </w:tabs>
            <w:rPr>
              <w:rStyle w:val="Hyperlink"/>
            </w:rPr>
          </w:pPr>
          <w:hyperlink w:anchor="_Toc1929640860">
            <w:r w:rsidRPr="420A9B3C">
              <w:rPr>
                <w:rStyle w:val="Hyperlink"/>
              </w:rPr>
              <w:t>3.7 Research Quality and Rigour</w:t>
            </w:r>
            <w:r>
              <w:tab/>
            </w:r>
            <w:r>
              <w:fldChar w:fldCharType="begin"/>
            </w:r>
            <w:r>
              <w:instrText>PAGEREF _Toc1929640860 \h</w:instrText>
            </w:r>
            <w:r>
              <w:fldChar w:fldCharType="separate"/>
            </w:r>
            <w:r w:rsidRPr="420A9B3C">
              <w:rPr>
                <w:rStyle w:val="Hyperlink"/>
              </w:rPr>
              <w:t>4</w:t>
            </w:r>
            <w:r>
              <w:fldChar w:fldCharType="end"/>
            </w:r>
          </w:hyperlink>
        </w:p>
        <w:p w14:paraId="2812F9BC" w14:textId="62017DD1" w:rsidR="420A9B3C" w:rsidRDefault="420A9B3C" w:rsidP="420A9B3C">
          <w:pPr>
            <w:pStyle w:val="TOC1"/>
            <w:tabs>
              <w:tab w:val="right" w:leader="dot" w:pos="9015"/>
            </w:tabs>
            <w:rPr>
              <w:rStyle w:val="Hyperlink"/>
            </w:rPr>
          </w:pPr>
          <w:hyperlink w:anchor="_Toc1327939583">
            <w:r w:rsidRPr="420A9B3C">
              <w:rPr>
                <w:rStyle w:val="Hyperlink"/>
              </w:rPr>
              <w:t>3.8 Ethical Considerations</w:t>
            </w:r>
            <w:r>
              <w:tab/>
            </w:r>
            <w:r>
              <w:fldChar w:fldCharType="begin"/>
            </w:r>
            <w:r>
              <w:instrText>PAGEREF _Toc1327939583 \h</w:instrText>
            </w:r>
            <w:r>
              <w:fldChar w:fldCharType="separate"/>
            </w:r>
            <w:r w:rsidRPr="420A9B3C">
              <w:rPr>
                <w:rStyle w:val="Hyperlink"/>
              </w:rPr>
              <w:t>4</w:t>
            </w:r>
            <w:r>
              <w:fldChar w:fldCharType="end"/>
            </w:r>
          </w:hyperlink>
        </w:p>
        <w:p w14:paraId="33DD1300" w14:textId="1FC39914" w:rsidR="420A9B3C" w:rsidRDefault="420A9B3C" w:rsidP="420A9B3C">
          <w:pPr>
            <w:pStyle w:val="TOC1"/>
            <w:tabs>
              <w:tab w:val="right" w:leader="dot" w:pos="9015"/>
            </w:tabs>
            <w:rPr>
              <w:rStyle w:val="Hyperlink"/>
            </w:rPr>
          </w:pPr>
          <w:hyperlink w:anchor="_Toc554181071">
            <w:r w:rsidRPr="420A9B3C">
              <w:rPr>
                <w:rStyle w:val="Hyperlink"/>
              </w:rPr>
              <w:t>3.9 Chapter Summary</w:t>
            </w:r>
            <w:r>
              <w:tab/>
            </w:r>
            <w:r>
              <w:fldChar w:fldCharType="begin"/>
            </w:r>
            <w:r>
              <w:instrText>PAGEREF _Toc554181071 \h</w:instrText>
            </w:r>
            <w:r>
              <w:fldChar w:fldCharType="separate"/>
            </w:r>
            <w:r w:rsidRPr="420A9B3C">
              <w:rPr>
                <w:rStyle w:val="Hyperlink"/>
              </w:rPr>
              <w:t>4</w:t>
            </w:r>
            <w:r>
              <w:fldChar w:fldCharType="end"/>
            </w:r>
          </w:hyperlink>
        </w:p>
        <w:p w14:paraId="1F088193" w14:textId="0BD272A6" w:rsidR="420A9B3C" w:rsidRDefault="420A9B3C" w:rsidP="420A9B3C">
          <w:pPr>
            <w:pStyle w:val="TOC1"/>
            <w:tabs>
              <w:tab w:val="right" w:leader="dot" w:pos="9015"/>
            </w:tabs>
            <w:rPr>
              <w:rStyle w:val="Hyperlink"/>
            </w:rPr>
          </w:pPr>
          <w:hyperlink w:anchor="_Toc638123620">
            <w:r w:rsidRPr="420A9B3C">
              <w:rPr>
                <w:rStyle w:val="Hyperlink"/>
              </w:rPr>
              <w:t>4.1 Introduction</w:t>
            </w:r>
            <w:r>
              <w:tab/>
            </w:r>
            <w:r>
              <w:fldChar w:fldCharType="begin"/>
            </w:r>
            <w:r>
              <w:instrText>PAGEREF _Toc638123620 \h</w:instrText>
            </w:r>
            <w:r>
              <w:fldChar w:fldCharType="separate"/>
            </w:r>
            <w:r w:rsidRPr="420A9B3C">
              <w:rPr>
                <w:rStyle w:val="Hyperlink"/>
              </w:rPr>
              <w:t>4</w:t>
            </w:r>
            <w:r>
              <w:fldChar w:fldCharType="end"/>
            </w:r>
          </w:hyperlink>
        </w:p>
        <w:p w14:paraId="41B8ACE4" w14:textId="4F58C0A5" w:rsidR="420A9B3C" w:rsidRDefault="420A9B3C" w:rsidP="420A9B3C">
          <w:pPr>
            <w:pStyle w:val="TOC1"/>
            <w:tabs>
              <w:tab w:val="right" w:leader="dot" w:pos="9015"/>
            </w:tabs>
            <w:rPr>
              <w:rStyle w:val="Hyperlink"/>
            </w:rPr>
          </w:pPr>
          <w:hyperlink w:anchor="_Toc1906803133">
            <w:r w:rsidRPr="420A9B3C">
              <w:rPr>
                <w:rStyle w:val="Hyperlink"/>
              </w:rPr>
              <w:t>4.2 Overview of the Case Studies</w:t>
            </w:r>
            <w:r>
              <w:tab/>
            </w:r>
            <w:r>
              <w:fldChar w:fldCharType="begin"/>
            </w:r>
            <w:r>
              <w:instrText>PAGEREF _Toc1906803133 \h</w:instrText>
            </w:r>
            <w:r>
              <w:fldChar w:fldCharType="separate"/>
            </w:r>
            <w:r w:rsidRPr="420A9B3C">
              <w:rPr>
                <w:rStyle w:val="Hyperlink"/>
              </w:rPr>
              <w:t>4</w:t>
            </w:r>
            <w:r>
              <w:fldChar w:fldCharType="end"/>
            </w:r>
          </w:hyperlink>
        </w:p>
        <w:p w14:paraId="2B67C308" w14:textId="0FD444DC" w:rsidR="420A9B3C" w:rsidRDefault="420A9B3C" w:rsidP="420A9B3C">
          <w:pPr>
            <w:pStyle w:val="TOC1"/>
            <w:tabs>
              <w:tab w:val="right" w:leader="dot" w:pos="9015"/>
            </w:tabs>
            <w:rPr>
              <w:rStyle w:val="Hyperlink"/>
            </w:rPr>
          </w:pPr>
          <w:hyperlink w:anchor="_Toc1732025635">
            <w:r w:rsidRPr="420A9B3C">
              <w:rPr>
                <w:rStyle w:val="Hyperlink"/>
              </w:rPr>
              <w:t>4.3 Case Study 1: Royal Challengers Bangalore (RCB) And Qatar Airways Sponsorship Case</w:t>
            </w:r>
            <w:r>
              <w:tab/>
            </w:r>
            <w:r>
              <w:fldChar w:fldCharType="begin"/>
            </w:r>
            <w:r>
              <w:instrText>PAGEREF _Toc1732025635 \h</w:instrText>
            </w:r>
            <w:r>
              <w:fldChar w:fldCharType="separate"/>
            </w:r>
            <w:r w:rsidRPr="420A9B3C">
              <w:rPr>
                <w:rStyle w:val="Hyperlink"/>
              </w:rPr>
              <w:t>4</w:t>
            </w:r>
            <w:r>
              <w:fldChar w:fldCharType="end"/>
            </w:r>
          </w:hyperlink>
        </w:p>
        <w:p w14:paraId="0B69D892" w14:textId="5B8F595B" w:rsidR="420A9B3C" w:rsidRDefault="420A9B3C" w:rsidP="420A9B3C">
          <w:pPr>
            <w:pStyle w:val="TOC2"/>
            <w:tabs>
              <w:tab w:val="right" w:leader="dot" w:pos="9015"/>
            </w:tabs>
            <w:rPr>
              <w:rStyle w:val="Hyperlink"/>
            </w:rPr>
          </w:pPr>
          <w:hyperlink w:anchor="_Toc1307670593">
            <w:r w:rsidRPr="420A9B3C">
              <w:rPr>
                <w:rStyle w:val="Hyperlink"/>
              </w:rPr>
              <w:t>4.3.1 Background</w:t>
            </w:r>
            <w:r>
              <w:tab/>
            </w:r>
            <w:r>
              <w:fldChar w:fldCharType="begin"/>
            </w:r>
            <w:r>
              <w:instrText>PAGEREF _Toc1307670593 \h</w:instrText>
            </w:r>
            <w:r>
              <w:fldChar w:fldCharType="separate"/>
            </w:r>
            <w:r w:rsidRPr="420A9B3C">
              <w:rPr>
                <w:rStyle w:val="Hyperlink"/>
              </w:rPr>
              <w:t>4</w:t>
            </w:r>
            <w:r>
              <w:fldChar w:fldCharType="end"/>
            </w:r>
          </w:hyperlink>
        </w:p>
        <w:p w14:paraId="5F71EB5A" w14:textId="008B334D" w:rsidR="420A9B3C" w:rsidRDefault="420A9B3C" w:rsidP="420A9B3C">
          <w:pPr>
            <w:pStyle w:val="TOC2"/>
            <w:tabs>
              <w:tab w:val="right" w:leader="dot" w:pos="9015"/>
            </w:tabs>
            <w:rPr>
              <w:rStyle w:val="Hyperlink"/>
            </w:rPr>
          </w:pPr>
          <w:hyperlink w:anchor="_Toc759754940">
            <w:r w:rsidRPr="420A9B3C">
              <w:rPr>
                <w:rStyle w:val="Hyperlink"/>
              </w:rPr>
              <w:t>4.3.2 Challenge / Opportunity</w:t>
            </w:r>
            <w:r>
              <w:tab/>
            </w:r>
            <w:r>
              <w:fldChar w:fldCharType="begin"/>
            </w:r>
            <w:r>
              <w:instrText>PAGEREF _Toc759754940 \h</w:instrText>
            </w:r>
            <w:r>
              <w:fldChar w:fldCharType="separate"/>
            </w:r>
            <w:r w:rsidRPr="420A9B3C">
              <w:rPr>
                <w:rStyle w:val="Hyperlink"/>
              </w:rPr>
              <w:t>4</w:t>
            </w:r>
            <w:r>
              <w:fldChar w:fldCharType="end"/>
            </w:r>
          </w:hyperlink>
        </w:p>
        <w:p w14:paraId="17AA4893" w14:textId="617F8797" w:rsidR="420A9B3C" w:rsidRDefault="420A9B3C" w:rsidP="420A9B3C">
          <w:pPr>
            <w:pStyle w:val="TOC2"/>
            <w:tabs>
              <w:tab w:val="right" w:leader="dot" w:pos="9015"/>
            </w:tabs>
            <w:rPr>
              <w:rStyle w:val="Hyperlink"/>
            </w:rPr>
          </w:pPr>
          <w:hyperlink w:anchor="_Toc267734292">
            <w:r w:rsidRPr="420A9B3C">
              <w:rPr>
                <w:rStyle w:val="Hyperlink"/>
              </w:rPr>
              <w:t>4.3.3 Sponsorship Approach &amp; Implementation</w:t>
            </w:r>
            <w:r>
              <w:tab/>
            </w:r>
            <w:r>
              <w:fldChar w:fldCharType="begin"/>
            </w:r>
            <w:r>
              <w:instrText>PAGEREF _Toc267734292 \h</w:instrText>
            </w:r>
            <w:r>
              <w:fldChar w:fldCharType="separate"/>
            </w:r>
            <w:r w:rsidRPr="420A9B3C">
              <w:rPr>
                <w:rStyle w:val="Hyperlink"/>
              </w:rPr>
              <w:t>4</w:t>
            </w:r>
            <w:r>
              <w:fldChar w:fldCharType="end"/>
            </w:r>
          </w:hyperlink>
        </w:p>
        <w:p w14:paraId="151CDCBE" w14:textId="2D629476" w:rsidR="420A9B3C" w:rsidRDefault="420A9B3C" w:rsidP="420A9B3C">
          <w:pPr>
            <w:pStyle w:val="TOC2"/>
            <w:tabs>
              <w:tab w:val="right" w:leader="dot" w:pos="9015"/>
            </w:tabs>
            <w:rPr>
              <w:rStyle w:val="Hyperlink"/>
            </w:rPr>
          </w:pPr>
          <w:hyperlink w:anchor="_Toc1588157369">
            <w:r w:rsidRPr="420A9B3C">
              <w:rPr>
                <w:rStyle w:val="Hyperlink"/>
              </w:rPr>
              <w:t>4.3.4 Outcomes / Results</w:t>
            </w:r>
            <w:r>
              <w:tab/>
            </w:r>
            <w:r>
              <w:fldChar w:fldCharType="begin"/>
            </w:r>
            <w:r>
              <w:instrText>PAGEREF _Toc1588157369 \h</w:instrText>
            </w:r>
            <w:r>
              <w:fldChar w:fldCharType="separate"/>
            </w:r>
            <w:r w:rsidRPr="420A9B3C">
              <w:rPr>
                <w:rStyle w:val="Hyperlink"/>
              </w:rPr>
              <w:t>4</w:t>
            </w:r>
            <w:r>
              <w:fldChar w:fldCharType="end"/>
            </w:r>
          </w:hyperlink>
        </w:p>
        <w:p w14:paraId="46AAEE25" w14:textId="52D1CBF5" w:rsidR="420A9B3C" w:rsidRDefault="420A9B3C" w:rsidP="420A9B3C">
          <w:pPr>
            <w:pStyle w:val="TOC1"/>
            <w:tabs>
              <w:tab w:val="right" w:leader="dot" w:pos="9015"/>
            </w:tabs>
            <w:rPr>
              <w:rStyle w:val="Hyperlink"/>
            </w:rPr>
          </w:pPr>
          <w:hyperlink w:anchor="_Toc1532079400">
            <w:r w:rsidRPr="420A9B3C">
              <w:rPr>
                <w:rStyle w:val="Hyperlink"/>
              </w:rPr>
              <w:t>4.4 Case Study 2: Tata Neu – IPL Title Sponsorship</w:t>
            </w:r>
            <w:r>
              <w:tab/>
            </w:r>
            <w:r>
              <w:fldChar w:fldCharType="begin"/>
            </w:r>
            <w:r>
              <w:instrText>PAGEREF _Toc1532079400 \h</w:instrText>
            </w:r>
            <w:r>
              <w:fldChar w:fldCharType="separate"/>
            </w:r>
            <w:r w:rsidRPr="420A9B3C">
              <w:rPr>
                <w:rStyle w:val="Hyperlink"/>
              </w:rPr>
              <w:t>4</w:t>
            </w:r>
            <w:r>
              <w:fldChar w:fldCharType="end"/>
            </w:r>
          </w:hyperlink>
        </w:p>
        <w:p w14:paraId="6D4C6262" w14:textId="3782A8E9" w:rsidR="420A9B3C" w:rsidRDefault="420A9B3C" w:rsidP="420A9B3C">
          <w:pPr>
            <w:pStyle w:val="TOC2"/>
            <w:tabs>
              <w:tab w:val="right" w:leader="dot" w:pos="9015"/>
            </w:tabs>
            <w:rPr>
              <w:rStyle w:val="Hyperlink"/>
            </w:rPr>
          </w:pPr>
          <w:hyperlink w:anchor="_Toc241669984">
            <w:r w:rsidRPr="420A9B3C">
              <w:rPr>
                <w:rStyle w:val="Hyperlink"/>
              </w:rPr>
              <w:t>4.4.1 Background</w:t>
            </w:r>
            <w:r>
              <w:tab/>
            </w:r>
            <w:r>
              <w:fldChar w:fldCharType="begin"/>
            </w:r>
            <w:r>
              <w:instrText>PAGEREF _Toc241669984 \h</w:instrText>
            </w:r>
            <w:r>
              <w:fldChar w:fldCharType="separate"/>
            </w:r>
            <w:r w:rsidRPr="420A9B3C">
              <w:rPr>
                <w:rStyle w:val="Hyperlink"/>
              </w:rPr>
              <w:t>4</w:t>
            </w:r>
            <w:r>
              <w:fldChar w:fldCharType="end"/>
            </w:r>
          </w:hyperlink>
        </w:p>
        <w:p w14:paraId="07553D82" w14:textId="22026338" w:rsidR="420A9B3C" w:rsidRDefault="420A9B3C" w:rsidP="420A9B3C">
          <w:pPr>
            <w:pStyle w:val="TOC2"/>
            <w:tabs>
              <w:tab w:val="right" w:leader="dot" w:pos="9015"/>
            </w:tabs>
            <w:rPr>
              <w:rStyle w:val="Hyperlink"/>
            </w:rPr>
          </w:pPr>
          <w:hyperlink w:anchor="_Toc1832232172">
            <w:r w:rsidRPr="420A9B3C">
              <w:rPr>
                <w:rStyle w:val="Hyperlink"/>
              </w:rPr>
              <w:t>4.4.2 Challenge / Opportunity</w:t>
            </w:r>
            <w:r>
              <w:tab/>
            </w:r>
            <w:r>
              <w:fldChar w:fldCharType="begin"/>
            </w:r>
            <w:r>
              <w:instrText>PAGEREF _Toc1832232172 \h</w:instrText>
            </w:r>
            <w:r>
              <w:fldChar w:fldCharType="separate"/>
            </w:r>
            <w:r w:rsidRPr="420A9B3C">
              <w:rPr>
                <w:rStyle w:val="Hyperlink"/>
              </w:rPr>
              <w:t>4</w:t>
            </w:r>
            <w:r>
              <w:fldChar w:fldCharType="end"/>
            </w:r>
          </w:hyperlink>
        </w:p>
        <w:p w14:paraId="2B6283B0" w14:textId="4E59F939" w:rsidR="420A9B3C" w:rsidRDefault="420A9B3C" w:rsidP="420A9B3C">
          <w:pPr>
            <w:pStyle w:val="TOC2"/>
            <w:tabs>
              <w:tab w:val="right" w:leader="dot" w:pos="9015"/>
            </w:tabs>
            <w:rPr>
              <w:rStyle w:val="Hyperlink"/>
            </w:rPr>
          </w:pPr>
          <w:hyperlink w:anchor="_Toc89529118">
            <w:r w:rsidRPr="420A9B3C">
              <w:rPr>
                <w:rStyle w:val="Hyperlink"/>
              </w:rPr>
              <w:t>4.4.3 Sponsorship Approach &amp; Implementation</w:t>
            </w:r>
            <w:r>
              <w:tab/>
            </w:r>
            <w:r>
              <w:fldChar w:fldCharType="begin"/>
            </w:r>
            <w:r>
              <w:instrText>PAGEREF _Toc89529118 \h</w:instrText>
            </w:r>
            <w:r>
              <w:fldChar w:fldCharType="separate"/>
            </w:r>
            <w:r w:rsidRPr="420A9B3C">
              <w:rPr>
                <w:rStyle w:val="Hyperlink"/>
              </w:rPr>
              <w:t>4</w:t>
            </w:r>
            <w:r>
              <w:fldChar w:fldCharType="end"/>
            </w:r>
          </w:hyperlink>
        </w:p>
        <w:p w14:paraId="4855BFE6" w14:textId="52387089" w:rsidR="420A9B3C" w:rsidRDefault="420A9B3C" w:rsidP="420A9B3C">
          <w:pPr>
            <w:pStyle w:val="TOC2"/>
            <w:tabs>
              <w:tab w:val="right" w:leader="dot" w:pos="9015"/>
            </w:tabs>
            <w:rPr>
              <w:rStyle w:val="Hyperlink"/>
            </w:rPr>
          </w:pPr>
          <w:hyperlink w:anchor="_Toc1592726250">
            <w:r w:rsidRPr="420A9B3C">
              <w:rPr>
                <w:rStyle w:val="Hyperlink"/>
              </w:rPr>
              <w:t>4.4.4 Outcomes / Results</w:t>
            </w:r>
            <w:r>
              <w:tab/>
            </w:r>
            <w:r>
              <w:fldChar w:fldCharType="begin"/>
            </w:r>
            <w:r>
              <w:instrText>PAGEREF _Toc1592726250 \h</w:instrText>
            </w:r>
            <w:r>
              <w:fldChar w:fldCharType="separate"/>
            </w:r>
            <w:r w:rsidRPr="420A9B3C">
              <w:rPr>
                <w:rStyle w:val="Hyperlink"/>
              </w:rPr>
              <w:t>4</w:t>
            </w:r>
            <w:r>
              <w:fldChar w:fldCharType="end"/>
            </w:r>
          </w:hyperlink>
        </w:p>
        <w:p w14:paraId="3313C520" w14:textId="2D8DBD30" w:rsidR="420A9B3C" w:rsidRDefault="420A9B3C" w:rsidP="420A9B3C">
          <w:pPr>
            <w:pStyle w:val="TOC1"/>
            <w:tabs>
              <w:tab w:val="right" w:leader="dot" w:pos="9015"/>
            </w:tabs>
            <w:rPr>
              <w:rStyle w:val="Hyperlink"/>
            </w:rPr>
          </w:pPr>
          <w:hyperlink w:anchor="_Toc1666025031">
            <w:r w:rsidRPr="420A9B3C">
              <w:rPr>
                <w:rStyle w:val="Hyperlink"/>
              </w:rPr>
              <w:t>4.5 Case Study 3: Reliance Jio – Digital Ecosystem Sponsorship</w:t>
            </w:r>
            <w:r>
              <w:tab/>
            </w:r>
            <w:r>
              <w:fldChar w:fldCharType="begin"/>
            </w:r>
            <w:r>
              <w:instrText>PAGEREF _Toc1666025031 \h</w:instrText>
            </w:r>
            <w:r>
              <w:fldChar w:fldCharType="separate"/>
            </w:r>
            <w:r w:rsidRPr="420A9B3C">
              <w:rPr>
                <w:rStyle w:val="Hyperlink"/>
              </w:rPr>
              <w:t>4</w:t>
            </w:r>
            <w:r>
              <w:fldChar w:fldCharType="end"/>
            </w:r>
          </w:hyperlink>
        </w:p>
        <w:p w14:paraId="5FEBA3A8" w14:textId="7D9CAA41" w:rsidR="420A9B3C" w:rsidRDefault="420A9B3C" w:rsidP="420A9B3C">
          <w:pPr>
            <w:pStyle w:val="TOC2"/>
            <w:tabs>
              <w:tab w:val="right" w:leader="dot" w:pos="9015"/>
            </w:tabs>
            <w:rPr>
              <w:rStyle w:val="Hyperlink"/>
            </w:rPr>
          </w:pPr>
          <w:hyperlink w:anchor="_Toc1988042592">
            <w:r w:rsidRPr="420A9B3C">
              <w:rPr>
                <w:rStyle w:val="Hyperlink"/>
              </w:rPr>
              <w:t>4.5.1 Background</w:t>
            </w:r>
            <w:r>
              <w:tab/>
            </w:r>
            <w:r>
              <w:fldChar w:fldCharType="begin"/>
            </w:r>
            <w:r>
              <w:instrText>PAGEREF _Toc1988042592 \h</w:instrText>
            </w:r>
            <w:r>
              <w:fldChar w:fldCharType="separate"/>
            </w:r>
            <w:r w:rsidRPr="420A9B3C">
              <w:rPr>
                <w:rStyle w:val="Hyperlink"/>
              </w:rPr>
              <w:t>4</w:t>
            </w:r>
            <w:r>
              <w:fldChar w:fldCharType="end"/>
            </w:r>
          </w:hyperlink>
        </w:p>
        <w:p w14:paraId="6921BD46" w14:textId="5DE9B5A6" w:rsidR="420A9B3C" w:rsidRDefault="420A9B3C" w:rsidP="420A9B3C">
          <w:pPr>
            <w:pStyle w:val="TOC2"/>
            <w:tabs>
              <w:tab w:val="right" w:leader="dot" w:pos="9015"/>
            </w:tabs>
            <w:rPr>
              <w:rStyle w:val="Hyperlink"/>
            </w:rPr>
          </w:pPr>
          <w:hyperlink w:anchor="_Toc836742699">
            <w:r w:rsidRPr="420A9B3C">
              <w:rPr>
                <w:rStyle w:val="Hyperlink"/>
              </w:rPr>
              <w:t>4.5.2 Challenge / Opportunity</w:t>
            </w:r>
            <w:r>
              <w:tab/>
            </w:r>
            <w:r>
              <w:fldChar w:fldCharType="begin"/>
            </w:r>
            <w:r>
              <w:instrText>PAGEREF _Toc836742699 \h</w:instrText>
            </w:r>
            <w:r>
              <w:fldChar w:fldCharType="separate"/>
            </w:r>
            <w:r w:rsidRPr="420A9B3C">
              <w:rPr>
                <w:rStyle w:val="Hyperlink"/>
              </w:rPr>
              <w:t>4</w:t>
            </w:r>
            <w:r>
              <w:fldChar w:fldCharType="end"/>
            </w:r>
          </w:hyperlink>
        </w:p>
        <w:p w14:paraId="63A03A9C" w14:textId="5A8902DB" w:rsidR="420A9B3C" w:rsidRDefault="420A9B3C" w:rsidP="420A9B3C">
          <w:pPr>
            <w:pStyle w:val="TOC2"/>
            <w:tabs>
              <w:tab w:val="right" w:leader="dot" w:pos="9015"/>
            </w:tabs>
            <w:rPr>
              <w:rStyle w:val="Hyperlink"/>
            </w:rPr>
          </w:pPr>
          <w:hyperlink w:anchor="_Toc1252989935">
            <w:r w:rsidRPr="420A9B3C">
              <w:rPr>
                <w:rStyle w:val="Hyperlink"/>
              </w:rPr>
              <w:t>4.5.3 Sponsorship Approach &amp; Implementation</w:t>
            </w:r>
            <w:r>
              <w:tab/>
            </w:r>
            <w:r>
              <w:fldChar w:fldCharType="begin"/>
            </w:r>
            <w:r>
              <w:instrText>PAGEREF _Toc1252989935 \h</w:instrText>
            </w:r>
            <w:r>
              <w:fldChar w:fldCharType="separate"/>
            </w:r>
            <w:r w:rsidRPr="420A9B3C">
              <w:rPr>
                <w:rStyle w:val="Hyperlink"/>
              </w:rPr>
              <w:t>4</w:t>
            </w:r>
            <w:r>
              <w:fldChar w:fldCharType="end"/>
            </w:r>
          </w:hyperlink>
        </w:p>
        <w:p w14:paraId="1309B30A" w14:textId="5D36A311" w:rsidR="420A9B3C" w:rsidRDefault="420A9B3C" w:rsidP="420A9B3C">
          <w:pPr>
            <w:pStyle w:val="TOC2"/>
            <w:tabs>
              <w:tab w:val="right" w:leader="dot" w:pos="9015"/>
            </w:tabs>
            <w:rPr>
              <w:rStyle w:val="Hyperlink"/>
            </w:rPr>
          </w:pPr>
          <w:hyperlink w:anchor="_Toc1422330386">
            <w:r w:rsidRPr="420A9B3C">
              <w:rPr>
                <w:rStyle w:val="Hyperlink"/>
              </w:rPr>
              <w:t>4.5.4 Outcomes / Results</w:t>
            </w:r>
            <w:r>
              <w:tab/>
            </w:r>
            <w:r>
              <w:fldChar w:fldCharType="begin"/>
            </w:r>
            <w:r>
              <w:instrText>PAGEREF _Toc1422330386 \h</w:instrText>
            </w:r>
            <w:r>
              <w:fldChar w:fldCharType="separate"/>
            </w:r>
            <w:r w:rsidRPr="420A9B3C">
              <w:rPr>
                <w:rStyle w:val="Hyperlink"/>
              </w:rPr>
              <w:t>4</w:t>
            </w:r>
            <w:r>
              <w:fldChar w:fldCharType="end"/>
            </w:r>
          </w:hyperlink>
        </w:p>
        <w:p w14:paraId="7D12AC0A" w14:textId="37FF7803" w:rsidR="420A9B3C" w:rsidRDefault="420A9B3C" w:rsidP="420A9B3C">
          <w:pPr>
            <w:pStyle w:val="TOC1"/>
            <w:tabs>
              <w:tab w:val="right" w:leader="dot" w:pos="9015"/>
            </w:tabs>
            <w:rPr>
              <w:rStyle w:val="Hyperlink"/>
            </w:rPr>
          </w:pPr>
          <w:hyperlink w:anchor="_Toc639179362">
            <w:r w:rsidRPr="420A9B3C">
              <w:rPr>
                <w:rStyle w:val="Hyperlink"/>
              </w:rPr>
              <w:t>4.6 Case Study 4: CRED – Event-Based IPL Sponsorship</w:t>
            </w:r>
            <w:r>
              <w:tab/>
            </w:r>
            <w:r>
              <w:fldChar w:fldCharType="begin"/>
            </w:r>
            <w:r>
              <w:instrText>PAGEREF _Toc639179362 \h</w:instrText>
            </w:r>
            <w:r>
              <w:fldChar w:fldCharType="separate"/>
            </w:r>
            <w:r w:rsidRPr="420A9B3C">
              <w:rPr>
                <w:rStyle w:val="Hyperlink"/>
              </w:rPr>
              <w:t>4</w:t>
            </w:r>
            <w:r>
              <w:fldChar w:fldCharType="end"/>
            </w:r>
          </w:hyperlink>
        </w:p>
        <w:p w14:paraId="7459E832" w14:textId="6377798F" w:rsidR="420A9B3C" w:rsidRDefault="420A9B3C" w:rsidP="420A9B3C">
          <w:pPr>
            <w:pStyle w:val="TOC2"/>
            <w:tabs>
              <w:tab w:val="right" w:leader="dot" w:pos="9015"/>
            </w:tabs>
            <w:rPr>
              <w:rStyle w:val="Hyperlink"/>
            </w:rPr>
          </w:pPr>
          <w:hyperlink w:anchor="_Toc1231821836">
            <w:r w:rsidRPr="420A9B3C">
              <w:rPr>
                <w:rStyle w:val="Hyperlink"/>
              </w:rPr>
              <w:t>4.6.1 Background</w:t>
            </w:r>
            <w:r>
              <w:tab/>
            </w:r>
            <w:r>
              <w:fldChar w:fldCharType="begin"/>
            </w:r>
            <w:r>
              <w:instrText>PAGEREF _Toc1231821836 \h</w:instrText>
            </w:r>
            <w:r>
              <w:fldChar w:fldCharType="separate"/>
            </w:r>
            <w:r w:rsidRPr="420A9B3C">
              <w:rPr>
                <w:rStyle w:val="Hyperlink"/>
              </w:rPr>
              <w:t>4</w:t>
            </w:r>
            <w:r>
              <w:fldChar w:fldCharType="end"/>
            </w:r>
          </w:hyperlink>
        </w:p>
        <w:p w14:paraId="7E1F617C" w14:textId="33784F4A" w:rsidR="420A9B3C" w:rsidRDefault="420A9B3C" w:rsidP="420A9B3C">
          <w:pPr>
            <w:pStyle w:val="TOC2"/>
            <w:tabs>
              <w:tab w:val="right" w:leader="dot" w:pos="9015"/>
            </w:tabs>
            <w:rPr>
              <w:rStyle w:val="Hyperlink"/>
            </w:rPr>
          </w:pPr>
          <w:hyperlink w:anchor="_Toc1200682521">
            <w:r w:rsidRPr="420A9B3C">
              <w:rPr>
                <w:rStyle w:val="Hyperlink"/>
              </w:rPr>
              <w:t>4.6.2 Challenge / Opportunity</w:t>
            </w:r>
            <w:r>
              <w:tab/>
            </w:r>
            <w:r>
              <w:fldChar w:fldCharType="begin"/>
            </w:r>
            <w:r>
              <w:instrText>PAGEREF _Toc1200682521 \h</w:instrText>
            </w:r>
            <w:r>
              <w:fldChar w:fldCharType="separate"/>
            </w:r>
            <w:r w:rsidRPr="420A9B3C">
              <w:rPr>
                <w:rStyle w:val="Hyperlink"/>
              </w:rPr>
              <w:t>4</w:t>
            </w:r>
            <w:r>
              <w:fldChar w:fldCharType="end"/>
            </w:r>
          </w:hyperlink>
        </w:p>
        <w:p w14:paraId="7149074C" w14:textId="2D879851" w:rsidR="420A9B3C" w:rsidRDefault="420A9B3C" w:rsidP="420A9B3C">
          <w:pPr>
            <w:pStyle w:val="TOC2"/>
            <w:tabs>
              <w:tab w:val="right" w:leader="dot" w:pos="9015"/>
            </w:tabs>
            <w:rPr>
              <w:rStyle w:val="Hyperlink"/>
            </w:rPr>
          </w:pPr>
          <w:hyperlink w:anchor="_Toc1393389767">
            <w:r w:rsidRPr="420A9B3C">
              <w:rPr>
                <w:rStyle w:val="Hyperlink"/>
              </w:rPr>
              <w:t>4.6.3 Sponsorship Approach &amp; Implementation</w:t>
            </w:r>
            <w:r>
              <w:tab/>
            </w:r>
            <w:r>
              <w:fldChar w:fldCharType="begin"/>
            </w:r>
            <w:r>
              <w:instrText>PAGEREF _Toc1393389767 \h</w:instrText>
            </w:r>
            <w:r>
              <w:fldChar w:fldCharType="separate"/>
            </w:r>
            <w:r w:rsidRPr="420A9B3C">
              <w:rPr>
                <w:rStyle w:val="Hyperlink"/>
              </w:rPr>
              <w:t>4</w:t>
            </w:r>
            <w:r>
              <w:fldChar w:fldCharType="end"/>
            </w:r>
          </w:hyperlink>
        </w:p>
        <w:p w14:paraId="5449BCB1" w14:textId="7D196CE7" w:rsidR="420A9B3C" w:rsidRDefault="420A9B3C" w:rsidP="420A9B3C">
          <w:pPr>
            <w:pStyle w:val="TOC2"/>
            <w:tabs>
              <w:tab w:val="right" w:leader="dot" w:pos="9015"/>
            </w:tabs>
            <w:rPr>
              <w:rStyle w:val="Hyperlink"/>
            </w:rPr>
          </w:pPr>
          <w:hyperlink w:anchor="_Toc458492052">
            <w:r w:rsidRPr="420A9B3C">
              <w:rPr>
                <w:rStyle w:val="Hyperlink"/>
              </w:rPr>
              <w:t>4.6.4 Outcomes / Results</w:t>
            </w:r>
            <w:r>
              <w:tab/>
            </w:r>
            <w:r>
              <w:fldChar w:fldCharType="begin"/>
            </w:r>
            <w:r>
              <w:instrText>PAGEREF _Toc458492052 \h</w:instrText>
            </w:r>
            <w:r>
              <w:fldChar w:fldCharType="separate"/>
            </w:r>
            <w:r w:rsidRPr="420A9B3C">
              <w:rPr>
                <w:rStyle w:val="Hyperlink"/>
              </w:rPr>
              <w:t>4</w:t>
            </w:r>
            <w:r>
              <w:fldChar w:fldCharType="end"/>
            </w:r>
          </w:hyperlink>
        </w:p>
        <w:p w14:paraId="769BCF8F" w14:textId="51EA144D" w:rsidR="420A9B3C" w:rsidRDefault="420A9B3C" w:rsidP="420A9B3C">
          <w:pPr>
            <w:pStyle w:val="TOC1"/>
            <w:tabs>
              <w:tab w:val="right" w:leader="dot" w:pos="9015"/>
            </w:tabs>
            <w:rPr>
              <w:rStyle w:val="Hyperlink"/>
            </w:rPr>
          </w:pPr>
          <w:hyperlink w:anchor="_Toc562942015">
            <w:r w:rsidRPr="420A9B3C">
              <w:rPr>
                <w:rStyle w:val="Hyperlink"/>
              </w:rPr>
              <w:t>4.7 Case Study 5: Etihad Airways × Chennai Super Kings (CSK)</w:t>
            </w:r>
            <w:r>
              <w:tab/>
            </w:r>
            <w:r>
              <w:fldChar w:fldCharType="begin"/>
            </w:r>
            <w:r>
              <w:instrText>PAGEREF _Toc562942015 \h</w:instrText>
            </w:r>
            <w:r>
              <w:fldChar w:fldCharType="separate"/>
            </w:r>
            <w:r w:rsidRPr="420A9B3C">
              <w:rPr>
                <w:rStyle w:val="Hyperlink"/>
              </w:rPr>
              <w:t>4</w:t>
            </w:r>
            <w:r>
              <w:fldChar w:fldCharType="end"/>
            </w:r>
          </w:hyperlink>
        </w:p>
        <w:p w14:paraId="71B39A5A" w14:textId="67E37ABC" w:rsidR="420A9B3C" w:rsidRDefault="420A9B3C" w:rsidP="420A9B3C">
          <w:pPr>
            <w:pStyle w:val="TOC2"/>
            <w:tabs>
              <w:tab w:val="right" w:leader="dot" w:pos="9015"/>
            </w:tabs>
            <w:rPr>
              <w:rStyle w:val="Hyperlink"/>
            </w:rPr>
          </w:pPr>
          <w:hyperlink w:anchor="_Toc494115508">
            <w:r w:rsidRPr="420A9B3C">
              <w:rPr>
                <w:rStyle w:val="Hyperlink"/>
              </w:rPr>
              <w:t>4.7.1 Background</w:t>
            </w:r>
            <w:r>
              <w:tab/>
            </w:r>
            <w:r>
              <w:fldChar w:fldCharType="begin"/>
            </w:r>
            <w:r>
              <w:instrText>PAGEREF _Toc494115508 \h</w:instrText>
            </w:r>
            <w:r>
              <w:fldChar w:fldCharType="separate"/>
            </w:r>
            <w:r w:rsidRPr="420A9B3C">
              <w:rPr>
                <w:rStyle w:val="Hyperlink"/>
              </w:rPr>
              <w:t>4</w:t>
            </w:r>
            <w:r>
              <w:fldChar w:fldCharType="end"/>
            </w:r>
          </w:hyperlink>
        </w:p>
        <w:p w14:paraId="50CD75EE" w14:textId="1806BE78" w:rsidR="420A9B3C" w:rsidRDefault="420A9B3C" w:rsidP="420A9B3C">
          <w:pPr>
            <w:pStyle w:val="TOC2"/>
            <w:tabs>
              <w:tab w:val="right" w:leader="dot" w:pos="9015"/>
            </w:tabs>
            <w:rPr>
              <w:rStyle w:val="Hyperlink"/>
            </w:rPr>
          </w:pPr>
          <w:hyperlink w:anchor="_Toc1579375416">
            <w:r w:rsidRPr="420A9B3C">
              <w:rPr>
                <w:rStyle w:val="Hyperlink"/>
              </w:rPr>
              <w:t>4.7.2 Challenge / Opportunity</w:t>
            </w:r>
            <w:r>
              <w:tab/>
            </w:r>
            <w:r>
              <w:fldChar w:fldCharType="begin"/>
            </w:r>
            <w:r>
              <w:instrText>PAGEREF _Toc1579375416 \h</w:instrText>
            </w:r>
            <w:r>
              <w:fldChar w:fldCharType="separate"/>
            </w:r>
            <w:r w:rsidRPr="420A9B3C">
              <w:rPr>
                <w:rStyle w:val="Hyperlink"/>
              </w:rPr>
              <w:t>4</w:t>
            </w:r>
            <w:r>
              <w:fldChar w:fldCharType="end"/>
            </w:r>
          </w:hyperlink>
        </w:p>
        <w:p w14:paraId="0875DC23" w14:textId="53FF3E5C" w:rsidR="420A9B3C" w:rsidRDefault="420A9B3C" w:rsidP="420A9B3C">
          <w:pPr>
            <w:pStyle w:val="TOC2"/>
            <w:tabs>
              <w:tab w:val="right" w:leader="dot" w:pos="9015"/>
            </w:tabs>
            <w:rPr>
              <w:rStyle w:val="Hyperlink"/>
            </w:rPr>
          </w:pPr>
          <w:hyperlink w:anchor="_Toc2011166433">
            <w:r w:rsidRPr="420A9B3C">
              <w:rPr>
                <w:rStyle w:val="Hyperlink"/>
              </w:rPr>
              <w:t>4.7.3 Sponsorship Approach and Implementation</w:t>
            </w:r>
            <w:r>
              <w:tab/>
            </w:r>
            <w:r>
              <w:fldChar w:fldCharType="begin"/>
            </w:r>
            <w:r>
              <w:instrText>PAGEREF _Toc2011166433 \h</w:instrText>
            </w:r>
            <w:r>
              <w:fldChar w:fldCharType="separate"/>
            </w:r>
            <w:r w:rsidRPr="420A9B3C">
              <w:rPr>
                <w:rStyle w:val="Hyperlink"/>
              </w:rPr>
              <w:t>4</w:t>
            </w:r>
            <w:r>
              <w:fldChar w:fldCharType="end"/>
            </w:r>
          </w:hyperlink>
        </w:p>
        <w:p w14:paraId="59F348F8" w14:textId="0D77C49D" w:rsidR="420A9B3C" w:rsidRDefault="420A9B3C" w:rsidP="420A9B3C">
          <w:pPr>
            <w:pStyle w:val="TOC2"/>
            <w:tabs>
              <w:tab w:val="right" w:leader="dot" w:pos="9015"/>
            </w:tabs>
            <w:rPr>
              <w:rStyle w:val="Hyperlink"/>
            </w:rPr>
          </w:pPr>
          <w:hyperlink w:anchor="_Toc1915786202">
            <w:r w:rsidRPr="420A9B3C">
              <w:rPr>
                <w:rStyle w:val="Hyperlink"/>
              </w:rPr>
              <w:t>4.7.4 Outcomes and Brand Image Implications</w:t>
            </w:r>
            <w:r>
              <w:tab/>
            </w:r>
            <w:r>
              <w:fldChar w:fldCharType="begin"/>
            </w:r>
            <w:r>
              <w:instrText>PAGEREF _Toc1915786202 \h</w:instrText>
            </w:r>
            <w:r>
              <w:fldChar w:fldCharType="separate"/>
            </w:r>
            <w:r w:rsidRPr="420A9B3C">
              <w:rPr>
                <w:rStyle w:val="Hyperlink"/>
              </w:rPr>
              <w:t>4</w:t>
            </w:r>
            <w:r>
              <w:fldChar w:fldCharType="end"/>
            </w:r>
          </w:hyperlink>
        </w:p>
        <w:p w14:paraId="05F0DC7E" w14:textId="1CC982F7" w:rsidR="420A9B3C" w:rsidRDefault="420A9B3C" w:rsidP="420A9B3C">
          <w:pPr>
            <w:pStyle w:val="TOC1"/>
            <w:tabs>
              <w:tab w:val="right" w:leader="dot" w:pos="9015"/>
            </w:tabs>
            <w:rPr>
              <w:rStyle w:val="Hyperlink"/>
            </w:rPr>
          </w:pPr>
          <w:hyperlink w:anchor="_Toc745870900">
            <w:r w:rsidRPr="420A9B3C">
              <w:rPr>
                <w:rStyle w:val="Hyperlink"/>
              </w:rPr>
              <w:t>4.8 cross case analysis</w:t>
            </w:r>
            <w:r>
              <w:tab/>
            </w:r>
            <w:r>
              <w:fldChar w:fldCharType="begin"/>
            </w:r>
            <w:r>
              <w:instrText>PAGEREF _Toc745870900 \h</w:instrText>
            </w:r>
            <w:r>
              <w:fldChar w:fldCharType="separate"/>
            </w:r>
            <w:r w:rsidRPr="420A9B3C">
              <w:rPr>
                <w:rStyle w:val="Hyperlink"/>
              </w:rPr>
              <w:t>4</w:t>
            </w:r>
            <w:r>
              <w:fldChar w:fldCharType="end"/>
            </w:r>
          </w:hyperlink>
        </w:p>
        <w:p w14:paraId="20FA5B16" w14:textId="34BE555F" w:rsidR="420A9B3C" w:rsidRDefault="420A9B3C" w:rsidP="420A9B3C">
          <w:pPr>
            <w:pStyle w:val="TOC2"/>
            <w:tabs>
              <w:tab w:val="right" w:leader="dot" w:pos="9015"/>
            </w:tabs>
            <w:rPr>
              <w:rStyle w:val="Hyperlink"/>
            </w:rPr>
          </w:pPr>
          <w:hyperlink w:anchor="_Toc1055867079">
            <w:r w:rsidRPr="420A9B3C">
              <w:rPr>
                <w:rStyle w:val="Hyperlink"/>
              </w:rPr>
              <w:t>4.9 Chapter Summary</w:t>
            </w:r>
            <w:r>
              <w:tab/>
            </w:r>
            <w:r>
              <w:fldChar w:fldCharType="begin"/>
            </w:r>
            <w:r>
              <w:instrText>PAGEREF _Toc1055867079 \h</w:instrText>
            </w:r>
            <w:r>
              <w:fldChar w:fldCharType="separate"/>
            </w:r>
            <w:r w:rsidRPr="420A9B3C">
              <w:rPr>
                <w:rStyle w:val="Hyperlink"/>
              </w:rPr>
              <w:t>4</w:t>
            </w:r>
            <w:r>
              <w:fldChar w:fldCharType="end"/>
            </w:r>
          </w:hyperlink>
        </w:p>
        <w:p w14:paraId="7E005929" w14:textId="66C670DE" w:rsidR="420A9B3C" w:rsidRDefault="420A9B3C" w:rsidP="420A9B3C">
          <w:pPr>
            <w:pStyle w:val="TOC1"/>
            <w:tabs>
              <w:tab w:val="right" w:leader="dot" w:pos="9015"/>
            </w:tabs>
            <w:rPr>
              <w:rStyle w:val="Hyperlink"/>
            </w:rPr>
          </w:pPr>
          <w:hyperlink w:anchor="_Toc2056512686">
            <w:r w:rsidRPr="420A9B3C">
              <w:rPr>
                <w:rStyle w:val="Hyperlink"/>
              </w:rPr>
              <w:t>5.1 Introduction</w:t>
            </w:r>
            <w:r>
              <w:tab/>
            </w:r>
            <w:r>
              <w:fldChar w:fldCharType="begin"/>
            </w:r>
            <w:r>
              <w:instrText>PAGEREF _Toc2056512686 \h</w:instrText>
            </w:r>
            <w:r>
              <w:fldChar w:fldCharType="separate"/>
            </w:r>
            <w:r w:rsidRPr="420A9B3C">
              <w:rPr>
                <w:rStyle w:val="Hyperlink"/>
              </w:rPr>
              <w:t>4</w:t>
            </w:r>
            <w:r>
              <w:fldChar w:fldCharType="end"/>
            </w:r>
          </w:hyperlink>
        </w:p>
        <w:p w14:paraId="14313C4E" w14:textId="43E98289" w:rsidR="420A9B3C" w:rsidRDefault="420A9B3C" w:rsidP="420A9B3C">
          <w:pPr>
            <w:pStyle w:val="TOC1"/>
            <w:tabs>
              <w:tab w:val="right" w:leader="dot" w:pos="9015"/>
            </w:tabs>
            <w:rPr>
              <w:rStyle w:val="Hyperlink"/>
            </w:rPr>
          </w:pPr>
          <w:hyperlink w:anchor="_Toc1974198071">
            <w:r w:rsidRPr="420A9B3C">
              <w:rPr>
                <w:rStyle w:val="Hyperlink"/>
              </w:rPr>
              <w:t>5.2 Analytical Framework and Logic</w:t>
            </w:r>
            <w:r>
              <w:tab/>
            </w:r>
            <w:r>
              <w:fldChar w:fldCharType="begin"/>
            </w:r>
            <w:r>
              <w:instrText>PAGEREF _Toc1974198071 \h</w:instrText>
            </w:r>
            <w:r>
              <w:fldChar w:fldCharType="separate"/>
            </w:r>
            <w:r w:rsidRPr="420A9B3C">
              <w:rPr>
                <w:rStyle w:val="Hyperlink"/>
              </w:rPr>
              <w:t>4</w:t>
            </w:r>
            <w:r>
              <w:fldChar w:fldCharType="end"/>
            </w:r>
          </w:hyperlink>
        </w:p>
        <w:p w14:paraId="680C1591" w14:textId="6AAF6A9B" w:rsidR="420A9B3C" w:rsidRDefault="420A9B3C" w:rsidP="420A9B3C">
          <w:pPr>
            <w:pStyle w:val="TOC1"/>
            <w:tabs>
              <w:tab w:val="right" w:leader="dot" w:pos="9015"/>
            </w:tabs>
            <w:rPr>
              <w:rStyle w:val="Hyperlink"/>
            </w:rPr>
          </w:pPr>
          <w:hyperlink w:anchor="_Toc796602611">
            <w:r w:rsidRPr="420A9B3C">
              <w:rPr>
                <w:rStyle w:val="Hyperlink"/>
              </w:rPr>
              <w:t>5.3 Cross-Case Synthesis and Discussion of Findings</w:t>
            </w:r>
            <w:r>
              <w:tab/>
            </w:r>
            <w:r>
              <w:fldChar w:fldCharType="begin"/>
            </w:r>
            <w:r>
              <w:instrText>PAGEREF _Toc796602611 \h</w:instrText>
            </w:r>
            <w:r>
              <w:fldChar w:fldCharType="separate"/>
            </w:r>
            <w:r w:rsidRPr="420A9B3C">
              <w:rPr>
                <w:rStyle w:val="Hyperlink"/>
              </w:rPr>
              <w:t>4</w:t>
            </w:r>
            <w:r>
              <w:fldChar w:fldCharType="end"/>
            </w:r>
          </w:hyperlink>
        </w:p>
        <w:p w14:paraId="03EA0CE2" w14:textId="7D8A7228" w:rsidR="420A9B3C" w:rsidRDefault="420A9B3C" w:rsidP="420A9B3C">
          <w:pPr>
            <w:pStyle w:val="TOC2"/>
            <w:tabs>
              <w:tab w:val="right" w:leader="dot" w:pos="9015"/>
            </w:tabs>
            <w:rPr>
              <w:rStyle w:val="Hyperlink"/>
            </w:rPr>
          </w:pPr>
          <w:hyperlink w:anchor="_Toc1563515359">
            <w:r w:rsidRPr="420A9B3C">
              <w:rPr>
                <w:rStyle w:val="Hyperlink"/>
              </w:rPr>
              <w:t>5.3.1 Sponsorship Visibility and Brand Awareness</w:t>
            </w:r>
            <w:r>
              <w:tab/>
            </w:r>
            <w:r>
              <w:fldChar w:fldCharType="begin"/>
            </w:r>
            <w:r>
              <w:instrText>PAGEREF _Toc1563515359 \h</w:instrText>
            </w:r>
            <w:r>
              <w:fldChar w:fldCharType="separate"/>
            </w:r>
            <w:r w:rsidRPr="420A9B3C">
              <w:rPr>
                <w:rStyle w:val="Hyperlink"/>
              </w:rPr>
              <w:t>4</w:t>
            </w:r>
            <w:r>
              <w:fldChar w:fldCharType="end"/>
            </w:r>
          </w:hyperlink>
        </w:p>
        <w:p w14:paraId="0172531B" w14:textId="65A22269" w:rsidR="420A9B3C" w:rsidRDefault="420A9B3C" w:rsidP="420A9B3C">
          <w:pPr>
            <w:pStyle w:val="TOC2"/>
            <w:tabs>
              <w:tab w:val="right" w:leader="dot" w:pos="9015"/>
            </w:tabs>
            <w:rPr>
              <w:rStyle w:val="Hyperlink"/>
            </w:rPr>
          </w:pPr>
          <w:hyperlink w:anchor="_Toc2026746611">
            <w:r w:rsidRPr="420A9B3C">
              <w:rPr>
                <w:rStyle w:val="Hyperlink"/>
              </w:rPr>
              <w:t>5.3.2 Sponsorship Activation, Digital Engagement, and Fan Experience</w:t>
            </w:r>
            <w:r>
              <w:tab/>
            </w:r>
            <w:r>
              <w:fldChar w:fldCharType="begin"/>
            </w:r>
            <w:r>
              <w:instrText>PAGEREF _Toc2026746611 \h</w:instrText>
            </w:r>
            <w:r>
              <w:fldChar w:fldCharType="separate"/>
            </w:r>
            <w:r w:rsidRPr="420A9B3C">
              <w:rPr>
                <w:rStyle w:val="Hyperlink"/>
              </w:rPr>
              <w:t>4</w:t>
            </w:r>
            <w:r>
              <w:fldChar w:fldCharType="end"/>
            </w:r>
          </w:hyperlink>
        </w:p>
        <w:p w14:paraId="0D22C24E" w14:textId="19CD2439" w:rsidR="420A9B3C" w:rsidRDefault="420A9B3C" w:rsidP="420A9B3C">
          <w:pPr>
            <w:pStyle w:val="TOC2"/>
            <w:tabs>
              <w:tab w:val="right" w:leader="dot" w:pos="9015"/>
            </w:tabs>
            <w:rPr>
              <w:rStyle w:val="Hyperlink"/>
            </w:rPr>
          </w:pPr>
          <w:hyperlink w:anchor="_Toc736720350">
            <w:r w:rsidRPr="420A9B3C">
              <w:rPr>
                <w:rStyle w:val="Hyperlink"/>
              </w:rPr>
              <w:t>5.3.3 Sponsor–Property Congruence and Brand Associations</w:t>
            </w:r>
            <w:r>
              <w:tab/>
            </w:r>
            <w:r>
              <w:fldChar w:fldCharType="begin"/>
            </w:r>
            <w:r>
              <w:instrText>PAGEREF _Toc736720350 \h</w:instrText>
            </w:r>
            <w:r>
              <w:fldChar w:fldCharType="separate"/>
            </w:r>
            <w:r w:rsidRPr="420A9B3C">
              <w:rPr>
                <w:rStyle w:val="Hyperlink"/>
              </w:rPr>
              <w:t>4</w:t>
            </w:r>
            <w:r>
              <w:fldChar w:fldCharType="end"/>
            </w:r>
          </w:hyperlink>
        </w:p>
        <w:p w14:paraId="7CBE4225" w14:textId="584B4ED6" w:rsidR="420A9B3C" w:rsidRDefault="420A9B3C" w:rsidP="420A9B3C">
          <w:pPr>
            <w:pStyle w:val="TOC2"/>
            <w:tabs>
              <w:tab w:val="right" w:leader="dot" w:pos="9015"/>
            </w:tabs>
            <w:rPr>
              <w:rStyle w:val="Hyperlink"/>
            </w:rPr>
          </w:pPr>
          <w:hyperlink w:anchor="_Toc1521309387">
            <w:r w:rsidRPr="420A9B3C">
              <w:rPr>
                <w:rStyle w:val="Hyperlink"/>
              </w:rPr>
              <w:t>5.3.4 Brand Image Outcomes and Brand Equity Development</w:t>
            </w:r>
            <w:r>
              <w:tab/>
            </w:r>
            <w:r>
              <w:fldChar w:fldCharType="begin"/>
            </w:r>
            <w:r>
              <w:instrText>PAGEREF _Toc1521309387 \h</w:instrText>
            </w:r>
            <w:r>
              <w:fldChar w:fldCharType="separate"/>
            </w:r>
            <w:r w:rsidRPr="420A9B3C">
              <w:rPr>
                <w:rStyle w:val="Hyperlink"/>
              </w:rPr>
              <w:t>4</w:t>
            </w:r>
            <w:r>
              <w:fldChar w:fldCharType="end"/>
            </w:r>
          </w:hyperlink>
        </w:p>
        <w:p w14:paraId="5498AB5E" w14:textId="28868EDC" w:rsidR="420A9B3C" w:rsidRDefault="420A9B3C" w:rsidP="420A9B3C">
          <w:pPr>
            <w:pStyle w:val="TOC1"/>
            <w:tabs>
              <w:tab w:val="right" w:leader="dot" w:pos="9015"/>
            </w:tabs>
            <w:rPr>
              <w:rStyle w:val="Hyperlink"/>
            </w:rPr>
          </w:pPr>
          <w:hyperlink w:anchor="_Toc1979385371">
            <w:r w:rsidRPr="420A9B3C">
              <w:rPr>
                <w:rStyle w:val="Hyperlink"/>
              </w:rPr>
              <w:t>5.4 Integration with the Conceptual Framework</w:t>
            </w:r>
            <w:r>
              <w:tab/>
            </w:r>
            <w:r>
              <w:fldChar w:fldCharType="begin"/>
            </w:r>
            <w:r>
              <w:instrText>PAGEREF _Toc1979385371 \h</w:instrText>
            </w:r>
            <w:r>
              <w:fldChar w:fldCharType="separate"/>
            </w:r>
            <w:r w:rsidRPr="420A9B3C">
              <w:rPr>
                <w:rStyle w:val="Hyperlink"/>
              </w:rPr>
              <w:t>4</w:t>
            </w:r>
            <w:r>
              <w:fldChar w:fldCharType="end"/>
            </w:r>
          </w:hyperlink>
        </w:p>
        <w:p w14:paraId="4A211B61" w14:textId="3808D04A" w:rsidR="420A9B3C" w:rsidRDefault="420A9B3C" w:rsidP="420A9B3C">
          <w:pPr>
            <w:pStyle w:val="TOC1"/>
            <w:tabs>
              <w:tab w:val="right" w:leader="dot" w:pos="9015"/>
            </w:tabs>
            <w:rPr>
              <w:rStyle w:val="Hyperlink"/>
            </w:rPr>
          </w:pPr>
          <w:hyperlink w:anchor="_Toc617467909">
            <w:r w:rsidRPr="420A9B3C">
              <w:rPr>
                <w:rStyle w:val="Hyperlink"/>
              </w:rPr>
              <w:t>5.5 Robustness Considerations</w:t>
            </w:r>
            <w:r>
              <w:tab/>
            </w:r>
            <w:r>
              <w:fldChar w:fldCharType="begin"/>
            </w:r>
            <w:r>
              <w:instrText>PAGEREF _Toc617467909 \h</w:instrText>
            </w:r>
            <w:r>
              <w:fldChar w:fldCharType="separate"/>
            </w:r>
            <w:r w:rsidRPr="420A9B3C">
              <w:rPr>
                <w:rStyle w:val="Hyperlink"/>
              </w:rPr>
              <w:t>4</w:t>
            </w:r>
            <w:r>
              <w:fldChar w:fldCharType="end"/>
            </w:r>
          </w:hyperlink>
        </w:p>
        <w:p w14:paraId="41C2866E" w14:textId="694E839A" w:rsidR="420A9B3C" w:rsidRDefault="420A9B3C" w:rsidP="420A9B3C">
          <w:pPr>
            <w:pStyle w:val="TOC1"/>
            <w:tabs>
              <w:tab w:val="right" w:leader="dot" w:pos="9015"/>
            </w:tabs>
            <w:rPr>
              <w:rStyle w:val="Hyperlink"/>
            </w:rPr>
          </w:pPr>
          <w:hyperlink w:anchor="_Toc2128597335">
            <w:r w:rsidRPr="420A9B3C">
              <w:rPr>
                <w:rStyle w:val="Hyperlink"/>
              </w:rPr>
              <w:t>5.6 Practical Synthesis</w:t>
            </w:r>
            <w:r>
              <w:tab/>
            </w:r>
            <w:r>
              <w:fldChar w:fldCharType="begin"/>
            </w:r>
            <w:r>
              <w:instrText>PAGEREF _Toc2128597335 \h</w:instrText>
            </w:r>
            <w:r>
              <w:fldChar w:fldCharType="separate"/>
            </w:r>
            <w:r w:rsidRPr="420A9B3C">
              <w:rPr>
                <w:rStyle w:val="Hyperlink"/>
              </w:rPr>
              <w:t>4</w:t>
            </w:r>
            <w:r>
              <w:fldChar w:fldCharType="end"/>
            </w:r>
          </w:hyperlink>
        </w:p>
        <w:p w14:paraId="4A79243B" w14:textId="6CD7893C" w:rsidR="420A9B3C" w:rsidRDefault="420A9B3C" w:rsidP="420A9B3C">
          <w:pPr>
            <w:pStyle w:val="TOC1"/>
            <w:tabs>
              <w:tab w:val="right" w:leader="dot" w:pos="9015"/>
            </w:tabs>
            <w:rPr>
              <w:rStyle w:val="Hyperlink"/>
            </w:rPr>
          </w:pPr>
          <w:hyperlink w:anchor="_Toc569777088">
            <w:r w:rsidRPr="420A9B3C">
              <w:rPr>
                <w:rStyle w:val="Hyperlink"/>
              </w:rPr>
              <w:t>5.7 Chapter Summary</w:t>
            </w:r>
            <w:r>
              <w:tab/>
            </w:r>
            <w:r>
              <w:fldChar w:fldCharType="begin"/>
            </w:r>
            <w:r>
              <w:instrText>PAGEREF _Toc569777088 \h</w:instrText>
            </w:r>
            <w:r>
              <w:fldChar w:fldCharType="separate"/>
            </w:r>
            <w:r w:rsidRPr="420A9B3C">
              <w:rPr>
                <w:rStyle w:val="Hyperlink"/>
              </w:rPr>
              <w:t>4</w:t>
            </w:r>
            <w:r>
              <w:fldChar w:fldCharType="end"/>
            </w:r>
          </w:hyperlink>
        </w:p>
        <w:p w14:paraId="260FFBC6" w14:textId="641A5465" w:rsidR="420A9B3C" w:rsidRDefault="420A9B3C" w:rsidP="420A9B3C">
          <w:pPr>
            <w:pStyle w:val="TOC1"/>
            <w:tabs>
              <w:tab w:val="right" w:leader="dot" w:pos="9015"/>
            </w:tabs>
            <w:rPr>
              <w:rStyle w:val="Hyperlink"/>
            </w:rPr>
          </w:pPr>
          <w:hyperlink w:anchor="_Toc1226107680">
            <w:r w:rsidRPr="420A9B3C">
              <w:rPr>
                <w:rStyle w:val="Hyperlink"/>
              </w:rPr>
              <w:t>6.1 Introduction</w:t>
            </w:r>
            <w:r>
              <w:tab/>
            </w:r>
            <w:r>
              <w:fldChar w:fldCharType="begin"/>
            </w:r>
            <w:r>
              <w:instrText>PAGEREF _Toc1226107680 \h</w:instrText>
            </w:r>
            <w:r>
              <w:fldChar w:fldCharType="separate"/>
            </w:r>
            <w:r w:rsidRPr="420A9B3C">
              <w:rPr>
                <w:rStyle w:val="Hyperlink"/>
              </w:rPr>
              <w:t>4</w:t>
            </w:r>
            <w:r>
              <w:fldChar w:fldCharType="end"/>
            </w:r>
          </w:hyperlink>
        </w:p>
        <w:p w14:paraId="1AFCDE15" w14:textId="62CD1442" w:rsidR="420A9B3C" w:rsidRDefault="420A9B3C" w:rsidP="420A9B3C">
          <w:pPr>
            <w:pStyle w:val="TOC1"/>
            <w:tabs>
              <w:tab w:val="right" w:leader="dot" w:pos="9015"/>
            </w:tabs>
            <w:rPr>
              <w:rStyle w:val="Hyperlink"/>
            </w:rPr>
          </w:pPr>
          <w:hyperlink w:anchor="_Toc1662444184">
            <w:r w:rsidRPr="420A9B3C">
              <w:rPr>
                <w:rStyle w:val="Hyperlink"/>
              </w:rPr>
              <w:t>6.2 Brief Summary of Key Findings</w:t>
            </w:r>
            <w:r>
              <w:tab/>
            </w:r>
            <w:r>
              <w:fldChar w:fldCharType="begin"/>
            </w:r>
            <w:r>
              <w:instrText>PAGEREF _Toc1662444184 \h</w:instrText>
            </w:r>
            <w:r>
              <w:fldChar w:fldCharType="separate"/>
            </w:r>
            <w:r w:rsidRPr="420A9B3C">
              <w:rPr>
                <w:rStyle w:val="Hyperlink"/>
              </w:rPr>
              <w:t>4</w:t>
            </w:r>
            <w:r>
              <w:fldChar w:fldCharType="end"/>
            </w:r>
          </w:hyperlink>
        </w:p>
        <w:p w14:paraId="564A2FC5" w14:textId="47DC0DF5" w:rsidR="420A9B3C" w:rsidRDefault="420A9B3C" w:rsidP="420A9B3C">
          <w:pPr>
            <w:pStyle w:val="TOC1"/>
            <w:tabs>
              <w:tab w:val="right" w:leader="dot" w:pos="9015"/>
            </w:tabs>
            <w:rPr>
              <w:rStyle w:val="Hyperlink"/>
            </w:rPr>
          </w:pPr>
          <w:hyperlink w:anchor="_Toc1997020411">
            <w:r w:rsidRPr="420A9B3C">
              <w:rPr>
                <w:rStyle w:val="Hyperlink"/>
              </w:rPr>
              <w:t>6.3 Theoretical Implications</w:t>
            </w:r>
            <w:r>
              <w:tab/>
            </w:r>
            <w:r>
              <w:fldChar w:fldCharType="begin"/>
            </w:r>
            <w:r>
              <w:instrText>PAGEREF _Toc1997020411 \h</w:instrText>
            </w:r>
            <w:r>
              <w:fldChar w:fldCharType="separate"/>
            </w:r>
            <w:r w:rsidRPr="420A9B3C">
              <w:rPr>
                <w:rStyle w:val="Hyperlink"/>
              </w:rPr>
              <w:t>4</w:t>
            </w:r>
            <w:r>
              <w:fldChar w:fldCharType="end"/>
            </w:r>
          </w:hyperlink>
        </w:p>
        <w:p w14:paraId="5F422658" w14:textId="1DEC8D53" w:rsidR="420A9B3C" w:rsidRDefault="420A9B3C" w:rsidP="420A9B3C">
          <w:pPr>
            <w:pStyle w:val="TOC1"/>
            <w:tabs>
              <w:tab w:val="right" w:leader="dot" w:pos="9015"/>
            </w:tabs>
            <w:rPr>
              <w:rStyle w:val="Hyperlink"/>
            </w:rPr>
          </w:pPr>
          <w:hyperlink w:anchor="_Toc1877027911">
            <w:r w:rsidRPr="420A9B3C">
              <w:rPr>
                <w:rStyle w:val="Hyperlink"/>
              </w:rPr>
              <w:t>6.4 Managerial Implications</w:t>
            </w:r>
            <w:r>
              <w:tab/>
            </w:r>
            <w:r>
              <w:fldChar w:fldCharType="begin"/>
            </w:r>
            <w:r>
              <w:instrText>PAGEREF _Toc1877027911 \h</w:instrText>
            </w:r>
            <w:r>
              <w:fldChar w:fldCharType="separate"/>
            </w:r>
            <w:r w:rsidRPr="420A9B3C">
              <w:rPr>
                <w:rStyle w:val="Hyperlink"/>
              </w:rPr>
              <w:t>4</w:t>
            </w:r>
            <w:r>
              <w:fldChar w:fldCharType="end"/>
            </w:r>
          </w:hyperlink>
        </w:p>
        <w:p w14:paraId="68CC6DBF" w14:textId="225FA237" w:rsidR="420A9B3C" w:rsidRDefault="420A9B3C" w:rsidP="420A9B3C">
          <w:pPr>
            <w:pStyle w:val="TOC1"/>
            <w:tabs>
              <w:tab w:val="right" w:leader="dot" w:pos="9015"/>
            </w:tabs>
            <w:rPr>
              <w:rStyle w:val="Hyperlink"/>
            </w:rPr>
          </w:pPr>
          <w:hyperlink w:anchor="_Toc829554960">
            <w:r w:rsidRPr="420A9B3C">
              <w:rPr>
                <w:rStyle w:val="Hyperlink"/>
              </w:rPr>
              <w:t>6.5 Limitations and Directions for Future Research</w:t>
            </w:r>
            <w:r>
              <w:tab/>
            </w:r>
            <w:r>
              <w:fldChar w:fldCharType="begin"/>
            </w:r>
            <w:r>
              <w:instrText>PAGEREF _Toc829554960 \h</w:instrText>
            </w:r>
            <w:r>
              <w:fldChar w:fldCharType="separate"/>
            </w:r>
            <w:r w:rsidRPr="420A9B3C">
              <w:rPr>
                <w:rStyle w:val="Hyperlink"/>
              </w:rPr>
              <w:t>4</w:t>
            </w:r>
            <w:r>
              <w:fldChar w:fldCharType="end"/>
            </w:r>
          </w:hyperlink>
        </w:p>
        <w:p w14:paraId="546C0644" w14:textId="42C83891" w:rsidR="420A9B3C" w:rsidRDefault="420A9B3C" w:rsidP="420A9B3C">
          <w:pPr>
            <w:pStyle w:val="TOC1"/>
            <w:tabs>
              <w:tab w:val="right" w:leader="dot" w:pos="9015"/>
            </w:tabs>
            <w:rPr>
              <w:rStyle w:val="Hyperlink"/>
            </w:rPr>
          </w:pPr>
          <w:hyperlink w:anchor="_Toc1855210544">
            <w:r w:rsidRPr="420A9B3C">
              <w:rPr>
                <w:rStyle w:val="Hyperlink"/>
              </w:rPr>
              <w:t>6.6 Closing Statement</w:t>
            </w:r>
            <w:r>
              <w:tab/>
            </w:r>
            <w:r>
              <w:fldChar w:fldCharType="begin"/>
            </w:r>
            <w:r>
              <w:instrText>PAGEREF _Toc1855210544 \h</w:instrText>
            </w:r>
            <w:r>
              <w:fldChar w:fldCharType="separate"/>
            </w:r>
            <w:r w:rsidRPr="420A9B3C">
              <w:rPr>
                <w:rStyle w:val="Hyperlink"/>
              </w:rPr>
              <w:t>4</w:t>
            </w:r>
            <w:r>
              <w:fldChar w:fldCharType="end"/>
            </w:r>
          </w:hyperlink>
        </w:p>
        <w:p w14:paraId="1013CFC0" w14:textId="399A74B6" w:rsidR="7DDC27F6" w:rsidRDefault="420A9B3C" w:rsidP="7DDC27F6">
          <w:pPr>
            <w:pStyle w:val="TOC1"/>
            <w:tabs>
              <w:tab w:val="right" w:leader="dot" w:pos="9015"/>
            </w:tabs>
            <w:rPr>
              <w:rStyle w:val="Hyperlink"/>
            </w:rPr>
          </w:pPr>
          <w:hyperlink w:anchor="_Toc1370718091">
            <w:r w:rsidRPr="420A9B3C">
              <w:rPr>
                <w:rStyle w:val="Hyperlink"/>
              </w:rPr>
              <w:t>References</w:t>
            </w:r>
            <w:r>
              <w:tab/>
            </w:r>
            <w:r>
              <w:fldChar w:fldCharType="begin"/>
            </w:r>
            <w:r>
              <w:instrText>PAGEREF _Toc1370718091 \h</w:instrText>
            </w:r>
            <w:r>
              <w:fldChar w:fldCharType="separate"/>
            </w:r>
            <w:r w:rsidRPr="420A9B3C">
              <w:rPr>
                <w:rStyle w:val="Hyperlink"/>
              </w:rPr>
              <w:t>4</w:t>
            </w:r>
            <w:r>
              <w:fldChar w:fldCharType="end"/>
            </w:r>
          </w:hyperlink>
          <w:r>
            <w:fldChar w:fldCharType="end"/>
          </w:r>
        </w:p>
      </w:sdtContent>
    </w:sdt>
    <w:p w14:paraId="0FA0C20A" w14:textId="61087740" w:rsidR="7DDC27F6" w:rsidRDefault="7DDC27F6" w:rsidP="7DDC27F6">
      <w:pPr>
        <w:jc w:val="both"/>
        <w:rPr>
          <w:rFonts w:ascii="Arial" w:eastAsia="Arial" w:hAnsi="Arial" w:cs="Arial"/>
          <w:color w:val="000000" w:themeColor="text1"/>
          <w:sz w:val="36"/>
          <w:szCs w:val="36"/>
        </w:rPr>
      </w:pPr>
    </w:p>
    <w:p w14:paraId="08A9856E" w14:textId="6E821412" w:rsidR="7DDC27F6" w:rsidRDefault="7DDC27F6" w:rsidP="7DDC27F6">
      <w:pPr>
        <w:jc w:val="both"/>
        <w:rPr>
          <w:rFonts w:ascii="Arial" w:eastAsia="Arial" w:hAnsi="Arial" w:cs="Arial"/>
          <w:color w:val="000000" w:themeColor="text1"/>
        </w:rPr>
      </w:pPr>
    </w:p>
    <w:p w14:paraId="16EF0CBD" w14:textId="2413942B" w:rsidR="2DAD3DE8" w:rsidRDefault="2DAD3DE8" w:rsidP="552AD7BB">
      <w:pPr>
        <w:jc w:val="both"/>
        <w:rPr>
          <w:rFonts w:ascii="Arial" w:eastAsia="Arial" w:hAnsi="Arial" w:cs="Arial"/>
          <w:color w:val="000000" w:themeColor="text1"/>
        </w:rPr>
        <w:sectPr w:rsidR="2DAD3DE8">
          <w:headerReference w:type="default" r:id="rId8"/>
          <w:footerReference w:type="default" r:id="rId9"/>
          <w:pgSz w:w="11906" w:h="16838"/>
          <w:pgMar w:top="1440" w:right="1440" w:bottom="1440" w:left="1440" w:header="720" w:footer="720" w:gutter="0"/>
          <w:cols w:space="720"/>
          <w:docGrid w:linePitch="360"/>
        </w:sectPr>
      </w:pPr>
    </w:p>
    <w:p w14:paraId="49760D3A" w14:textId="7356DB02" w:rsidR="00241C66" w:rsidRDefault="0C9DD96A" w:rsidP="552AD7BB">
      <w:pPr>
        <w:rPr>
          <w:rFonts w:ascii="Arial" w:eastAsia="Arial" w:hAnsi="Arial" w:cs="Arial"/>
          <w:b/>
          <w:bCs/>
          <w:sz w:val="36"/>
          <w:szCs w:val="36"/>
        </w:rPr>
      </w:pPr>
      <w:r w:rsidRPr="552AD7BB">
        <w:rPr>
          <w:rFonts w:ascii="Arial" w:eastAsia="Arial" w:hAnsi="Arial" w:cs="Arial"/>
          <w:b/>
          <w:bCs/>
          <w:sz w:val="36"/>
          <w:szCs w:val="36"/>
        </w:rPr>
        <w:t>1</w:t>
      </w:r>
      <w:r w:rsidR="06D02D18" w:rsidRPr="552AD7BB">
        <w:rPr>
          <w:rFonts w:ascii="Arial" w:eastAsia="Arial" w:hAnsi="Arial" w:cs="Arial"/>
          <w:b/>
          <w:bCs/>
          <w:sz w:val="36"/>
          <w:szCs w:val="36"/>
        </w:rPr>
        <w:t>. Introduction And Rationale</w:t>
      </w:r>
    </w:p>
    <w:p w14:paraId="52BD3299" w14:textId="2F4CAC12" w:rsidR="00241C66" w:rsidRDefault="4D516A67" w:rsidP="7935BD89">
      <w:pPr>
        <w:pStyle w:val="Heading1"/>
        <w:rPr>
          <w:rFonts w:ascii="Aptos Display" w:eastAsia="Aptos Display" w:hAnsi="Aptos Display" w:cs="Aptos Display"/>
        </w:rPr>
      </w:pPr>
      <w:bookmarkStart w:id="0" w:name="_Toc205902435"/>
      <w:bookmarkStart w:id="1" w:name="_Toc1038254406"/>
      <w:r w:rsidRPr="552AD7BB">
        <w:rPr>
          <w:rFonts w:ascii="Aptos Display" w:eastAsia="Aptos Display" w:hAnsi="Aptos Display" w:cs="Aptos Display"/>
        </w:rPr>
        <w:t>1.1 Research Background</w:t>
      </w:r>
      <w:bookmarkEnd w:id="0"/>
      <w:bookmarkEnd w:id="1"/>
    </w:p>
    <w:p w14:paraId="0094A062" w14:textId="7F83EB52"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Sports sponsorship has become one of the most important marketing tools for brands seeking visibility and stronger consumer connections. In India, this trend is especially visible in cricket, where the Indian Premier League (IPL) has grown into a major commercial and entertainment platform since its launch in 2008. The league combines sport, celebrity culture and high media coverage, creating an ecosystem where brands compete heavily for sponsorship opportunities. Industry reports consistently highlight the IPL’s commercial scale: the league’s overall valuation increased steadily through the last decade, reaching multi-billion-rupee levels, while major sponsorships continue to attract strong demand from both Indian and global brands (Kroll, 2019; KPMG, 2024). Analysts also note that advertisers view the IPL as a reliable way to reach large, diverse and digitally active audiences (The Hindu Business Line, 2024).</w:t>
      </w:r>
    </w:p>
    <w:p w14:paraId="21882997" w14:textId="57B396F1"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The wider business environment around the IPL has transformed in recent years. The league operates in a crowded sponsorship market where teams, broadcasters, streaming platforms and content creators all compete for consumer attention. Sponsorship formats have expanded beyond traditional title sponsorships and jersey branding to include event sponsorships, digital activations, AR/VR content, influencer tie-ins and campaign-specific collaborations. Each format requires different strategies and offers different levels of exposure and engagement (Blakey et al., 2011; Singh et al., 2018). At the same time, technological shifts have changed how fans consume cricket. Short-form videos, real-time social media interaction and personalised content now play a major role in shaping fan experience, meaning that brand visibility alone is often not enough. Sponsors must activate their partnerships creatively across digital platforms to generate meaningful impact (PwC, 2023; GroupM ESP, 2024).</w:t>
      </w:r>
    </w:p>
    <w:p w14:paraId="554110F2" w14:textId="029EE84A"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These developments make sponsorship particularly relevant to the study of brand image. Academic literature argues that sponsorship works by transferring positive associations from the sport or team to the sponsoring brand, strengthening brand awareness, brand attitudes and overall brand equity (Gwinner &amp; Eaton, 1999; Cornwell &amp; Kwon, 2021). In highly emotional environments like sport, fans may form strong feelings of loyalty toward teams, and sponsors can benefit from this attachment when their brand is seen as aligned with the team’s identity or values (Biscaia et al., 2013; Lee et al., 2019). In the IPL context, where fans follow teams passionately and often connect with players on personal and cultural grounds, sponsorship has the potential to shape consumer perceptions in powerful ways (Rai et al., 2022).</w:t>
      </w:r>
    </w:p>
    <w:p w14:paraId="0B350F57" w14:textId="5A71BBA3" w:rsidR="00241C66" w:rsidRDefault="4D516A67" w:rsidP="7935BD89">
      <w:pPr>
        <w:spacing w:before="240" w:after="240"/>
        <w:jc w:val="both"/>
        <w:rPr>
          <w:rFonts w:ascii="Arial" w:eastAsia="Arial" w:hAnsi="Arial" w:cs="Arial"/>
          <w:color w:val="000000" w:themeColor="text1"/>
        </w:rPr>
      </w:pPr>
      <w:r w:rsidRPr="257D0FD0">
        <w:rPr>
          <w:rFonts w:ascii="Arial" w:eastAsia="Arial" w:hAnsi="Arial" w:cs="Arial"/>
          <w:color w:val="000000" w:themeColor="text1"/>
        </w:rPr>
        <w:t xml:space="preserve">However, the IPL also presents challenges. Unlike older leagues where teams have stable histories, IPL sponsorships change frequently, and the commercial environment is highly competitive. This makes it harder for brands to establish long-term associations. Additionally, audience fragmentation and rising sponsorship costs mean that brands need to justify their investments more carefully. Managers increasingly question which sponsorship strategies genuinely contribute to brand </w:t>
      </w:r>
      <w:r w:rsidR="20BA45E3" w:rsidRPr="257D0FD0">
        <w:rPr>
          <w:rFonts w:ascii="Arial" w:eastAsia="Arial" w:hAnsi="Arial" w:cs="Arial"/>
          <w:color w:val="000000" w:themeColor="text1"/>
        </w:rPr>
        <w:t>image,</w:t>
      </w:r>
      <w:r w:rsidRPr="257D0FD0">
        <w:rPr>
          <w:rFonts w:ascii="Arial" w:eastAsia="Arial" w:hAnsi="Arial" w:cs="Arial"/>
          <w:color w:val="000000" w:themeColor="text1"/>
        </w:rPr>
        <w:t xml:space="preserve"> and which simply offer visibility without deeper impact (Donlan, 2014; Kamath et al., 2020). The digital nature of the IPL adds further complexity because poor activation or weak fit between sponsor and team can result in little or no improvement in brand perception, even when the brand receives widespread exposure.</w:t>
      </w:r>
    </w:p>
    <w:p w14:paraId="54D7F415" w14:textId="67DB50A1"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The strategic issue, therefore, is not whether sponsorship is valuable, but how it can be used effectively within the IPL to influence brand image. Several factors—such as sponsor–team congruence, fan identification, activation quality and consistency—may play a role, but existing evidence is mixed and often based on non-Indian contexts. While some studies show strong positive outcomes, others indicate that the impact depends heavily on the match between the brand and the team, as well as the emotional and cultural dynamics of the fan base (Trivedi, 2020; Melovic et al., 2019). As a result, brands operating in the IPL market still lack clear academic guidance on what drives successful sponsorship outcomes.</w:t>
      </w:r>
    </w:p>
    <w:p w14:paraId="306C8EAB" w14:textId="6809057C"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This creates an important opportunity for research. Although the IPL is one of the world’s most commercially significant cricket leagues, it remains relatively underexplored in academic literature compared with Western sports. Further investigation is needed to understand how sponsorship strategies work in this unique environment and how they influence brand image among Indian fans. By focusing specifically on sponsorship in the IPL, this dissertation aims to address this gap and contribute both academically and practically to the understanding of sponsorship effectiveness within a fast-growing sports market. </w:t>
      </w:r>
    </w:p>
    <w:p w14:paraId="7AA3787C" w14:textId="343337D9" w:rsidR="00241C66" w:rsidRDefault="4D516A67" w:rsidP="7935BD89">
      <w:pPr>
        <w:pStyle w:val="Heading1"/>
        <w:rPr>
          <w:rFonts w:ascii="Aptos Display" w:eastAsia="Aptos Display" w:hAnsi="Aptos Display" w:cs="Aptos Display"/>
        </w:rPr>
      </w:pPr>
      <w:bookmarkStart w:id="2" w:name="_Toc415303439"/>
      <w:bookmarkStart w:id="3" w:name="_Toc1812219822"/>
      <w:r w:rsidRPr="552AD7BB">
        <w:rPr>
          <w:rFonts w:ascii="Aptos Display" w:eastAsia="Aptos Display" w:hAnsi="Aptos Display" w:cs="Aptos Display"/>
        </w:rPr>
        <w:t>1.2 Research Rationale</w:t>
      </w:r>
      <w:bookmarkEnd w:id="2"/>
      <w:bookmarkEnd w:id="3"/>
    </w:p>
    <w:p w14:paraId="17F982AC" w14:textId="34020C82"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This research is motivated by both academic gaps and practical issues related to how sports sponsorship influences brand image in the Indian Premier League (IPL). Although many studies show that sponsorship can improve the way consumers think about brands, most of this work has been conducted in Western sports contexts such as football, rugby or the Olympics (Naik et al., 2012; Biscaia et al., 2013). The IPL is very different because it combines cricket, entertainment, celebrity influence and strong digital engagement, making it unclear whether existing sponsorship theories fully apply to this environment (Subramanian, 2015; Ray Chaudhuri, 2023).</w:t>
      </w:r>
    </w:p>
    <w:p w14:paraId="58F55704" w14:textId="5F839339"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At the same time, sponsorship investment in the IPL continues to grow every season. The IPL ecosystem was valued at around INR 92,500 crore in 2023, and media rights alone crossed INR 48,000 crore for the 2023–2027 cycle (D&amp;P Advisory, 2023; BCCI, 2023). Despite this, managers still face uncertainty about which sponsorship strategies genuinely help build brand image. This makes the topic both academically relevant and practically important.</w:t>
      </w:r>
    </w:p>
    <w:p w14:paraId="3FDFE334" w14:textId="6B637C69"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For these reasons, this study aims to connect existing sponsorship theory with IPL-specific evidence to understand how sponsorship strategy, sponsor–team congruence, fan identification and digital activation contribute to brand image outcomes. </w:t>
      </w:r>
    </w:p>
    <w:p w14:paraId="6847BEA2" w14:textId="54BEA198" w:rsidR="00241C66" w:rsidRDefault="4D516A67" w:rsidP="7935BD89">
      <w:pPr>
        <w:pStyle w:val="Heading2"/>
        <w:rPr>
          <w:rFonts w:ascii="Aptos Display" w:eastAsia="Aptos Display" w:hAnsi="Aptos Display" w:cs="Aptos Display"/>
        </w:rPr>
      </w:pPr>
      <w:bookmarkStart w:id="4" w:name="_Toc1646909548"/>
      <w:bookmarkStart w:id="5" w:name="_Toc1740082991"/>
      <w:r w:rsidRPr="552AD7BB">
        <w:rPr>
          <w:rFonts w:ascii="Aptos Display" w:eastAsia="Aptos Display" w:hAnsi="Aptos Display" w:cs="Aptos Display"/>
        </w:rPr>
        <w:t>1.2.1 Theoretical Justification</w:t>
      </w:r>
      <w:bookmarkEnd w:id="4"/>
      <w:bookmarkEnd w:id="5"/>
    </w:p>
    <w:p w14:paraId="58710AF6" w14:textId="0837475A"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Research on sports sponsorship generally agrees that sponsorship can help brands build awareness and shape how consumers think about them. Many studies explain this through the idea of image transfer, where the positive feelings that fans have towards a team can move to the sponsoring brand (Gwinner &amp; Eaton, 1999; Cornwell &amp; Kwon, 2021). Other scholars link sponsorship to brand equity, suggesting that sponsorship can strengthen brand associations and influence attitudes when fans already feel connected to their team (Biscaia et al., 2013; Lee et al., 2019; Kunkel et al., 2020). A key idea repeatedly discussed is sponsor–team congruence, which means how well a sponsor fits with the team in terms of values, identity or product relevance. When the fit is strong, fans tend to respond more positively to the brand (Donlan, 2014; Kamath et al., 2020; Shin et al., 2022). More recent work also highlights that sponsorship today is not only about putting logos on jerseys; the way brands activate sponsorships through communication and digital engagement plays an important role in shaping consumer response (Cornwell &amp; Kwon, 2021; Melovic et al., 2019; Yousaf et al., 2018).</w:t>
      </w:r>
    </w:p>
    <w:p w14:paraId="7EF052F2" w14:textId="07C64D0B"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Even though we know a lot about how sponsorship works, some areas are still not very clear. One problem is that many studies are based on sports in Western countries, such as football in Europe or the NBA in the US. Because of this, it is not certain whether these findings apply in the IPL, where cricket, entertainment, celebrity culture and strong regional identity create a very different environment (Biscaia et al., 2013; Kunkel et al., 2020; Subramanian, 2015). Another issue is that existing research often looks at concepts like congruence or fan identification separately, instead of seeing how these elements interact together as part of a bigger system that shapes brand image (Yousaf et al., 2018; Trivedi, 2020). In addition, digital activation and social media have become central in IPL sponsorship, but the literature has not fully explained how these digital activities influence the way fans perceive brands, especially in fast-moving, media-heavy leagues (Kunkel et al., 2022; Trail et al., 2024; Sinha et al., 2022). Finally, emotional and cultural factors that are very important in the IPL — such as celebrity influence, festival-like match experience and strong fan loyalty — are still underexplored (Raj et al., 2018; Melovic et al., 2019).</w:t>
      </w:r>
    </w:p>
    <w:p w14:paraId="5A9727A8" w14:textId="6BD7DCFB"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Based on these points, this study identifies a clear gap. Although previous research shows that sponsorship can shape consumer perceptions through mechanisms like image transfer, congruence and fan identification (Biscaia et al., 2013; Kunkel et al., 2020; Trail et al., 2024), we still do not know enough about how these mechanisms work specifically in the IPL. Earlier studies on IPL sponsorship mainly focus on early seasons or general fan behaviour, and do not fully analyse how sponsorship strategy, perceived fit, digital campaigns and emotional fan connection come together to influence brand image in today’s highly commercial IPL ecosystem (Naik et al., 2012; Singh et al., 2018; Daga et al., 2025). Therefore, this study aims to address this theoretical gap by developing a more integrated view of how these elements operate within the IPL. </w:t>
      </w:r>
    </w:p>
    <w:p w14:paraId="18F4B1AE" w14:textId="2D9A1B92" w:rsidR="00241C66" w:rsidRDefault="4D516A67" w:rsidP="7935BD89">
      <w:pPr>
        <w:pStyle w:val="Heading2"/>
        <w:rPr>
          <w:rFonts w:ascii="Aptos Display" w:eastAsia="Aptos Display" w:hAnsi="Aptos Display" w:cs="Aptos Display"/>
        </w:rPr>
      </w:pPr>
      <w:bookmarkStart w:id="6" w:name="_Toc470761308"/>
      <w:bookmarkStart w:id="7" w:name="_Toc2107113913"/>
      <w:r w:rsidRPr="552AD7BB">
        <w:rPr>
          <w:rFonts w:ascii="Aptos Display" w:eastAsia="Aptos Display" w:hAnsi="Aptos Display" w:cs="Aptos Display"/>
        </w:rPr>
        <w:t>1.2.2 Practical Justification</w:t>
      </w:r>
      <w:bookmarkEnd w:id="6"/>
      <w:bookmarkEnd w:id="7"/>
      <w:r w:rsidRPr="552AD7BB">
        <w:rPr>
          <w:rFonts w:ascii="Aptos Display" w:eastAsia="Aptos Display" w:hAnsi="Aptos Display" w:cs="Aptos Display"/>
        </w:rPr>
        <w:t xml:space="preserve"> </w:t>
      </w:r>
    </w:p>
    <w:p w14:paraId="2D698A7A" w14:textId="16BE6869"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Sports sponsorship is now one of the most important ways for brands to reach consumers in India, especially during major events such as the Indian Premier League (IPL). However, even though companies spend a lot of money on sponsorships, many managers still struggle to understand whether these investments improve brand image. This uncertainty exists because decisions are often made without clear evidence or consistent guidance. As a result, brands risk overspending, choosing the wrong sponsorship partners, or activating the sponsorship in ineffective ways.</w:t>
      </w:r>
    </w:p>
    <w:p w14:paraId="2B079B0D" w14:textId="3D5D687D"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Recent industry data shows why this problem matters. According to MarketLine’s India Media report (2024), the Indian media industry was valued at $45.2 billion in 2023 and is forecast to reach $56.9 billion by 2028, driven mainly by digital consumption. This rapid growth increases competition among brands as they try to stand out in a crowded advertising environment. Similarly, MarketLine’s India Digital Advertising report (2024) shows that online advertising grew by 20.9% in one year, reaching $3.23 billion, which highlights how quickly brands are shifting towards digital channels to reach younger and more engaged audiences. The IPL, which depends heavily on broadcast and digital platforms, naturally becomes a key marketing battleground for brands seeking visibility and consumer engagement.</w:t>
      </w:r>
    </w:p>
    <w:p w14:paraId="0C53F6FA" w14:textId="09B7B391"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From a managerial point of view, these trends create both opportunities and pressures. On one hand, IPL sponsorship offers huge reach because of the league’s strong media presence and massive fan base. But on the other hand, the IPL is extremely cluttered. Multiple brands appear on jerseys, digital screens, stadium boards, and social media posts. This makes it difficult for any single sponsor to make a memorable impression unless the sponsorship is well planned and supported with strong activation. MarketLine’s Broadcasting &amp; Cable TV India (2024) data reinforces this challenge by showing that advertising and broadcasting together account for over 45% of the entire media market value, which explains why so many brands compete intensely for attention during the IPL season.</w:t>
      </w:r>
    </w:p>
    <w:p w14:paraId="499A9D8B" w14:textId="3FC5F313"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Another practical issue is return on investment (ROI). Sponsorship deals are becoming more expensive every year, but managers often do not have clear evidence about what drives improvements in brand image. Without such knowledge, companies may spend heavily on partnerships that do not fit their brand, do not connect emotionally with fans, or are activated poorly. This makes it difficult for marketing teams to justify their budgets to senior management. Poorly aligned sponsorships may even cause negative reactions if fans feel the partnership looks forced or inauthentic.</w:t>
      </w:r>
    </w:p>
    <w:p w14:paraId="0035A2C6" w14:textId="13CAFCC6"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The digital side also adds complexity. Many brands know that digital activation is important, but not all of them understand how to use social media effectively to strengthen brand perceptions. Some brands only rely on logo visibility, which is no longer enough in a digital-first sports environment. This means there is a clear opportunity for companies to benefit from sponsorship, but only if they understand how sponsorship strategy, team fit, fan identification and digital content work together to influence brand image.</w:t>
      </w:r>
    </w:p>
    <w:p w14:paraId="7A0FB736" w14:textId="708103D6" w:rsidR="60C17B22" w:rsidRDefault="60C17B22" w:rsidP="552AD7BB">
      <w:pPr>
        <w:spacing w:before="240" w:after="240"/>
        <w:jc w:val="both"/>
        <w:rPr>
          <w:rFonts w:ascii="Arial" w:eastAsia="Arial" w:hAnsi="Arial" w:cs="Arial"/>
          <w:color w:val="000000" w:themeColor="text1"/>
        </w:rPr>
      </w:pPr>
      <w:r w:rsidRPr="552AD7BB">
        <w:rPr>
          <w:rFonts w:ascii="Arial" w:eastAsia="Arial" w:hAnsi="Arial" w:cs="Arial"/>
          <w:color w:val="000000" w:themeColor="text1"/>
        </w:rPr>
        <w:t>Overall, this practical justification shows why this research is needed. Brands are investing heavily in IPL sponsorship, the media environment is becoming more competitive, and digital expectations are rising. Yet managers still lack clear, evidence-based guidance on what improves brand image. By studying these elements together, this research aims to provide practical insights that can help companies design better sponsorship strategies and avoid wasted investment in a high-pressure, fast-growing sports market.</w:t>
      </w:r>
    </w:p>
    <w:tbl>
      <w:tblPr>
        <w:tblStyle w:val="GridTable6Colorful-Accent1"/>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3000"/>
        <w:gridCol w:w="3000"/>
        <w:gridCol w:w="3000"/>
      </w:tblGrid>
      <w:tr w:rsidR="7935BD89" w14:paraId="5E98C3F6" w14:textId="77777777" w:rsidTr="7935BD89">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000" w:type="dxa"/>
            <w:tcMar>
              <w:left w:w="105" w:type="dxa"/>
              <w:right w:w="105" w:type="dxa"/>
            </w:tcMar>
          </w:tcPr>
          <w:p w14:paraId="6E9AE150" w14:textId="06A0BB12" w:rsidR="7935BD89" w:rsidRDefault="7935BD89" w:rsidP="7935BD89">
            <w:pPr>
              <w:jc w:val="center"/>
              <w:rPr>
                <w:rFonts w:ascii="Arial" w:eastAsia="Arial" w:hAnsi="Arial" w:cs="Arial"/>
                <w:color w:val="000000" w:themeColor="text1"/>
                <w:sz w:val="22"/>
                <w:szCs w:val="22"/>
              </w:rPr>
            </w:pPr>
            <w:r w:rsidRPr="7935BD89">
              <w:rPr>
                <w:rFonts w:ascii="Arial" w:eastAsia="Arial" w:hAnsi="Arial" w:cs="Arial"/>
                <w:color w:val="000000" w:themeColor="text1"/>
                <w:sz w:val="22"/>
                <w:szCs w:val="22"/>
              </w:rPr>
              <w:t>Source</w:t>
            </w:r>
          </w:p>
        </w:tc>
        <w:tc>
          <w:tcPr>
            <w:tcW w:w="3000" w:type="dxa"/>
            <w:tcMar>
              <w:left w:w="105" w:type="dxa"/>
              <w:right w:w="105" w:type="dxa"/>
            </w:tcMar>
          </w:tcPr>
          <w:p w14:paraId="44A57D79" w14:textId="680DBF39" w:rsidR="7935BD89" w:rsidRDefault="7935BD89" w:rsidP="7935BD89">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themeColor="text1"/>
                <w:sz w:val="22"/>
                <w:szCs w:val="22"/>
              </w:rPr>
            </w:pPr>
            <w:r w:rsidRPr="7935BD89">
              <w:rPr>
                <w:rFonts w:ascii="Arial" w:eastAsia="Arial" w:hAnsi="Arial" w:cs="Arial"/>
                <w:color w:val="000000" w:themeColor="text1"/>
                <w:sz w:val="22"/>
                <w:szCs w:val="22"/>
              </w:rPr>
              <w:t>Key Statistic</w:t>
            </w:r>
          </w:p>
        </w:tc>
        <w:tc>
          <w:tcPr>
            <w:tcW w:w="3000" w:type="dxa"/>
            <w:tcMar>
              <w:left w:w="105" w:type="dxa"/>
              <w:right w:w="105" w:type="dxa"/>
            </w:tcMar>
          </w:tcPr>
          <w:p w14:paraId="1CDE5B1E" w14:textId="1C374E9E" w:rsidR="7935BD89" w:rsidRDefault="7935BD89" w:rsidP="7935BD89">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themeColor="text1"/>
                <w:sz w:val="22"/>
                <w:szCs w:val="22"/>
              </w:rPr>
            </w:pPr>
            <w:r w:rsidRPr="7935BD89">
              <w:rPr>
                <w:rFonts w:ascii="Arial" w:eastAsia="Arial" w:hAnsi="Arial" w:cs="Arial"/>
                <w:color w:val="000000" w:themeColor="text1"/>
                <w:sz w:val="22"/>
                <w:szCs w:val="22"/>
              </w:rPr>
              <w:t>Relevance to This Study</w:t>
            </w:r>
          </w:p>
        </w:tc>
      </w:tr>
      <w:tr w:rsidR="7935BD89" w14:paraId="7A261ED3" w14:textId="77777777" w:rsidTr="7935BD89">
        <w:trPr>
          <w:trHeight w:val="300"/>
        </w:trPr>
        <w:tc>
          <w:tcPr>
            <w:cnfStyle w:val="001000000000" w:firstRow="0" w:lastRow="0" w:firstColumn="1" w:lastColumn="0" w:oddVBand="0" w:evenVBand="0" w:oddHBand="0" w:evenHBand="0" w:firstRowFirstColumn="0" w:firstRowLastColumn="0" w:lastRowFirstColumn="0" w:lastRowLastColumn="0"/>
            <w:tcW w:w="3000" w:type="dxa"/>
            <w:tcMar>
              <w:left w:w="105" w:type="dxa"/>
              <w:right w:w="105" w:type="dxa"/>
            </w:tcMar>
          </w:tcPr>
          <w:p w14:paraId="6BF04234" w14:textId="44460E40" w:rsidR="7935BD89" w:rsidRDefault="7935BD89" w:rsidP="7935BD89">
            <w:pPr>
              <w:jc w:val="center"/>
              <w:rPr>
                <w:rFonts w:ascii="Arial" w:eastAsia="Arial" w:hAnsi="Arial" w:cs="Arial"/>
                <w:color w:val="000000" w:themeColor="text1"/>
                <w:sz w:val="22"/>
                <w:szCs w:val="22"/>
              </w:rPr>
            </w:pPr>
            <w:r w:rsidRPr="7935BD89">
              <w:rPr>
                <w:rFonts w:ascii="Arial" w:eastAsia="Arial" w:hAnsi="Arial" w:cs="Arial"/>
                <w:b w:val="0"/>
                <w:bCs w:val="0"/>
                <w:color w:val="000000" w:themeColor="text1"/>
                <w:sz w:val="22"/>
                <w:szCs w:val="22"/>
              </w:rPr>
              <w:t>D&amp;P Advisory (2023)</w:t>
            </w:r>
          </w:p>
        </w:tc>
        <w:tc>
          <w:tcPr>
            <w:tcW w:w="3000" w:type="dxa"/>
            <w:tcMar>
              <w:left w:w="105" w:type="dxa"/>
              <w:right w:w="105" w:type="dxa"/>
            </w:tcMar>
          </w:tcPr>
          <w:p w14:paraId="0F9D148F" w14:textId="020B0691" w:rsidR="7935BD89" w:rsidRDefault="7935BD89" w:rsidP="7935BD8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7935BD89">
              <w:rPr>
                <w:rFonts w:ascii="Arial" w:eastAsia="Arial" w:hAnsi="Arial" w:cs="Arial"/>
                <w:color w:val="000000" w:themeColor="text1"/>
                <w:sz w:val="22"/>
                <w:szCs w:val="22"/>
              </w:rPr>
              <w:t>The IPL ecosystem was valued at approximately INR 92,500 crore in 2023</w:t>
            </w:r>
          </w:p>
        </w:tc>
        <w:tc>
          <w:tcPr>
            <w:tcW w:w="3000" w:type="dxa"/>
            <w:tcMar>
              <w:left w:w="105" w:type="dxa"/>
              <w:right w:w="105" w:type="dxa"/>
            </w:tcMar>
          </w:tcPr>
          <w:p w14:paraId="016942C8" w14:textId="02CDB632" w:rsidR="7935BD89" w:rsidRDefault="7935BD89" w:rsidP="7935BD8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7935BD89">
              <w:rPr>
                <w:rFonts w:ascii="Arial" w:eastAsia="Arial" w:hAnsi="Arial" w:cs="Arial"/>
                <w:color w:val="000000" w:themeColor="text1"/>
                <w:sz w:val="22"/>
                <w:szCs w:val="22"/>
              </w:rPr>
              <w:t>Demonstrates the large commercial scale of the IPL and why brands invest heavily in sponsorship</w:t>
            </w:r>
          </w:p>
        </w:tc>
      </w:tr>
      <w:tr w:rsidR="7935BD89" w14:paraId="24345F01" w14:textId="77777777" w:rsidTr="7935BD89">
        <w:trPr>
          <w:trHeight w:val="300"/>
        </w:trPr>
        <w:tc>
          <w:tcPr>
            <w:cnfStyle w:val="001000000000" w:firstRow="0" w:lastRow="0" w:firstColumn="1" w:lastColumn="0" w:oddVBand="0" w:evenVBand="0" w:oddHBand="0" w:evenHBand="0" w:firstRowFirstColumn="0" w:firstRowLastColumn="0" w:lastRowFirstColumn="0" w:lastRowLastColumn="0"/>
            <w:tcW w:w="3000" w:type="dxa"/>
            <w:tcMar>
              <w:left w:w="105" w:type="dxa"/>
              <w:right w:w="105" w:type="dxa"/>
            </w:tcMar>
          </w:tcPr>
          <w:p w14:paraId="63AFBE4E" w14:textId="01A8F2E6" w:rsidR="7935BD89" w:rsidRDefault="7935BD89" w:rsidP="7935BD89">
            <w:pPr>
              <w:jc w:val="center"/>
              <w:rPr>
                <w:rFonts w:ascii="Arial" w:eastAsia="Arial" w:hAnsi="Arial" w:cs="Arial"/>
                <w:color w:val="000000" w:themeColor="text1"/>
                <w:sz w:val="22"/>
                <w:szCs w:val="22"/>
              </w:rPr>
            </w:pPr>
            <w:r w:rsidRPr="7935BD89">
              <w:rPr>
                <w:rFonts w:ascii="Arial" w:eastAsia="Arial" w:hAnsi="Arial" w:cs="Arial"/>
                <w:b w:val="0"/>
                <w:bCs w:val="0"/>
                <w:color w:val="000000" w:themeColor="text1"/>
                <w:sz w:val="22"/>
                <w:szCs w:val="22"/>
              </w:rPr>
              <w:t>BCCI (2023)</w:t>
            </w:r>
          </w:p>
        </w:tc>
        <w:tc>
          <w:tcPr>
            <w:tcW w:w="3000" w:type="dxa"/>
            <w:tcMar>
              <w:left w:w="105" w:type="dxa"/>
              <w:right w:w="105" w:type="dxa"/>
            </w:tcMar>
          </w:tcPr>
          <w:p w14:paraId="0F8E6D92" w14:textId="20965393" w:rsidR="7935BD89" w:rsidRDefault="7935BD89" w:rsidP="7935BD8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7935BD89">
              <w:rPr>
                <w:rFonts w:ascii="Arial" w:eastAsia="Arial" w:hAnsi="Arial" w:cs="Arial"/>
                <w:color w:val="000000" w:themeColor="text1"/>
                <w:sz w:val="22"/>
                <w:szCs w:val="22"/>
              </w:rPr>
              <w:t>IPL media rights for 2023–2027 were sold for over INR 48,000 crore</w:t>
            </w:r>
          </w:p>
        </w:tc>
        <w:tc>
          <w:tcPr>
            <w:tcW w:w="3000" w:type="dxa"/>
            <w:tcMar>
              <w:left w:w="105" w:type="dxa"/>
              <w:right w:w="105" w:type="dxa"/>
            </w:tcMar>
          </w:tcPr>
          <w:p w14:paraId="46968870" w14:textId="4FA4B932" w:rsidR="7935BD89" w:rsidRDefault="7935BD89" w:rsidP="7935BD8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7935BD89">
              <w:rPr>
                <w:rFonts w:ascii="Arial" w:eastAsia="Arial" w:hAnsi="Arial" w:cs="Arial"/>
                <w:color w:val="000000" w:themeColor="text1"/>
                <w:sz w:val="22"/>
                <w:szCs w:val="22"/>
              </w:rPr>
              <w:t>Highlights the extensive television and digital reach available to sponsoring brands</w:t>
            </w:r>
          </w:p>
        </w:tc>
      </w:tr>
      <w:tr w:rsidR="7935BD89" w14:paraId="24EE33F6" w14:textId="77777777" w:rsidTr="7935BD89">
        <w:trPr>
          <w:trHeight w:val="300"/>
        </w:trPr>
        <w:tc>
          <w:tcPr>
            <w:cnfStyle w:val="001000000000" w:firstRow="0" w:lastRow="0" w:firstColumn="1" w:lastColumn="0" w:oddVBand="0" w:evenVBand="0" w:oddHBand="0" w:evenHBand="0" w:firstRowFirstColumn="0" w:firstRowLastColumn="0" w:lastRowFirstColumn="0" w:lastRowLastColumn="0"/>
            <w:tcW w:w="3000" w:type="dxa"/>
            <w:tcMar>
              <w:left w:w="105" w:type="dxa"/>
              <w:right w:w="105" w:type="dxa"/>
            </w:tcMar>
          </w:tcPr>
          <w:p w14:paraId="022609E4" w14:textId="0F0CE503" w:rsidR="7935BD89" w:rsidRDefault="7935BD89" w:rsidP="7935BD89">
            <w:pPr>
              <w:jc w:val="center"/>
              <w:rPr>
                <w:rFonts w:ascii="Arial" w:eastAsia="Arial" w:hAnsi="Arial" w:cs="Arial"/>
                <w:color w:val="000000" w:themeColor="text1"/>
                <w:sz w:val="22"/>
                <w:szCs w:val="22"/>
              </w:rPr>
            </w:pPr>
            <w:r w:rsidRPr="7935BD89">
              <w:rPr>
                <w:rFonts w:ascii="Arial" w:eastAsia="Arial" w:hAnsi="Arial" w:cs="Arial"/>
                <w:b w:val="0"/>
                <w:bCs w:val="0"/>
                <w:color w:val="000000" w:themeColor="text1"/>
                <w:sz w:val="22"/>
                <w:szCs w:val="22"/>
              </w:rPr>
              <w:t>MarketLine – India Media (2024)</w:t>
            </w:r>
          </w:p>
        </w:tc>
        <w:tc>
          <w:tcPr>
            <w:tcW w:w="3000" w:type="dxa"/>
            <w:tcMar>
              <w:left w:w="105" w:type="dxa"/>
              <w:right w:w="105" w:type="dxa"/>
            </w:tcMar>
          </w:tcPr>
          <w:p w14:paraId="464C1E7E" w14:textId="4A83C144" w:rsidR="7935BD89" w:rsidRDefault="7935BD89" w:rsidP="7935BD8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7935BD89">
              <w:rPr>
                <w:rFonts w:ascii="Arial" w:eastAsia="Arial" w:hAnsi="Arial" w:cs="Arial"/>
                <w:color w:val="000000" w:themeColor="text1"/>
                <w:sz w:val="22"/>
                <w:szCs w:val="22"/>
              </w:rPr>
              <w:t>The Indian media industry was valued at USD 45.2 billion in 2023 and is projected to reach USD 56.9 billion by 2028</w:t>
            </w:r>
          </w:p>
        </w:tc>
        <w:tc>
          <w:tcPr>
            <w:tcW w:w="3000" w:type="dxa"/>
            <w:tcMar>
              <w:left w:w="105" w:type="dxa"/>
              <w:right w:w="105" w:type="dxa"/>
            </w:tcMar>
          </w:tcPr>
          <w:p w14:paraId="7854B9B5" w14:textId="1EF6AD5B" w:rsidR="7935BD89" w:rsidRDefault="7935BD89" w:rsidP="7935BD8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7935BD89">
              <w:rPr>
                <w:rFonts w:ascii="Arial" w:eastAsia="Arial" w:hAnsi="Arial" w:cs="Arial"/>
                <w:color w:val="000000" w:themeColor="text1"/>
                <w:sz w:val="22"/>
                <w:szCs w:val="22"/>
              </w:rPr>
              <w:t>Shows the rapidly growing media environment that increases competition for brand visibility</w:t>
            </w:r>
          </w:p>
        </w:tc>
      </w:tr>
      <w:tr w:rsidR="7935BD89" w14:paraId="4AF1A394" w14:textId="77777777" w:rsidTr="7935BD89">
        <w:trPr>
          <w:trHeight w:val="300"/>
        </w:trPr>
        <w:tc>
          <w:tcPr>
            <w:cnfStyle w:val="001000000000" w:firstRow="0" w:lastRow="0" w:firstColumn="1" w:lastColumn="0" w:oddVBand="0" w:evenVBand="0" w:oddHBand="0" w:evenHBand="0" w:firstRowFirstColumn="0" w:firstRowLastColumn="0" w:lastRowFirstColumn="0" w:lastRowLastColumn="0"/>
            <w:tcW w:w="3000" w:type="dxa"/>
            <w:tcMar>
              <w:left w:w="105" w:type="dxa"/>
              <w:right w:w="105" w:type="dxa"/>
            </w:tcMar>
          </w:tcPr>
          <w:p w14:paraId="4BA00398" w14:textId="6544D664" w:rsidR="7935BD89" w:rsidRDefault="7935BD89" w:rsidP="7935BD89">
            <w:pPr>
              <w:jc w:val="center"/>
              <w:rPr>
                <w:rFonts w:ascii="Arial" w:eastAsia="Arial" w:hAnsi="Arial" w:cs="Arial"/>
                <w:color w:val="000000" w:themeColor="text1"/>
                <w:sz w:val="22"/>
                <w:szCs w:val="22"/>
              </w:rPr>
            </w:pPr>
            <w:r w:rsidRPr="7935BD89">
              <w:rPr>
                <w:rFonts w:ascii="Arial" w:eastAsia="Arial" w:hAnsi="Arial" w:cs="Arial"/>
                <w:b w:val="0"/>
                <w:bCs w:val="0"/>
                <w:color w:val="000000" w:themeColor="text1"/>
                <w:sz w:val="22"/>
                <w:szCs w:val="22"/>
              </w:rPr>
              <w:t>MarketLine – India Digital Advertising (2024)</w:t>
            </w:r>
          </w:p>
        </w:tc>
        <w:tc>
          <w:tcPr>
            <w:tcW w:w="3000" w:type="dxa"/>
            <w:tcMar>
              <w:left w:w="105" w:type="dxa"/>
              <w:right w:w="105" w:type="dxa"/>
            </w:tcMar>
          </w:tcPr>
          <w:p w14:paraId="586F62FE" w14:textId="22121C1E" w:rsidR="7935BD89" w:rsidRDefault="7935BD89" w:rsidP="7935BD8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7935BD89">
              <w:rPr>
                <w:rFonts w:ascii="Arial" w:eastAsia="Arial" w:hAnsi="Arial" w:cs="Arial"/>
                <w:color w:val="000000" w:themeColor="text1"/>
                <w:sz w:val="22"/>
                <w:szCs w:val="22"/>
              </w:rPr>
              <w:t>Digital advertising in India grew by 20.9% in one year, reaching USD 3.23 billion</w:t>
            </w:r>
          </w:p>
        </w:tc>
        <w:tc>
          <w:tcPr>
            <w:tcW w:w="3000" w:type="dxa"/>
            <w:tcMar>
              <w:left w:w="105" w:type="dxa"/>
              <w:right w:w="105" w:type="dxa"/>
            </w:tcMar>
          </w:tcPr>
          <w:p w14:paraId="548D61C8" w14:textId="18867C86" w:rsidR="7935BD89" w:rsidRDefault="7935BD89" w:rsidP="7935BD8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7935BD89">
              <w:rPr>
                <w:rFonts w:ascii="Arial" w:eastAsia="Arial" w:hAnsi="Arial" w:cs="Arial"/>
                <w:color w:val="000000" w:themeColor="text1"/>
                <w:sz w:val="22"/>
                <w:szCs w:val="22"/>
              </w:rPr>
              <w:t>Emphasises the importance of digital activation alongside traditional sponsorship visibility</w:t>
            </w:r>
          </w:p>
        </w:tc>
      </w:tr>
      <w:tr w:rsidR="7935BD89" w14:paraId="60BE7E1D" w14:textId="77777777" w:rsidTr="7935BD89">
        <w:trPr>
          <w:trHeight w:val="300"/>
        </w:trPr>
        <w:tc>
          <w:tcPr>
            <w:cnfStyle w:val="001000000000" w:firstRow="0" w:lastRow="0" w:firstColumn="1" w:lastColumn="0" w:oddVBand="0" w:evenVBand="0" w:oddHBand="0" w:evenHBand="0" w:firstRowFirstColumn="0" w:firstRowLastColumn="0" w:lastRowFirstColumn="0" w:lastRowLastColumn="0"/>
            <w:tcW w:w="3000" w:type="dxa"/>
            <w:tcMar>
              <w:left w:w="105" w:type="dxa"/>
              <w:right w:w="105" w:type="dxa"/>
            </w:tcMar>
          </w:tcPr>
          <w:p w14:paraId="3E72BA5A" w14:textId="73554BD1" w:rsidR="7935BD89" w:rsidRDefault="7935BD89" w:rsidP="7935BD89">
            <w:pPr>
              <w:jc w:val="center"/>
              <w:rPr>
                <w:rFonts w:ascii="Arial" w:eastAsia="Arial" w:hAnsi="Arial" w:cs="Arial"/>
                <w:color w:val="000000" w:themeColor="text1"/>
                <w:sz w:val="22"/>
                <w:szCs w:val="22"/>
              </w:rPr>
            </w:pPr>
            <w:r w:rsidRPr="7935BD89">
              <w:rPr>
                <w:rFonts w:ascii="Arial" w:eastAsia="Arial" w:hAnsi="Arial" w:cs="Arial"/>
                <w:b w:val="0"/>
                <w:bCs w:val="0"/>
                <w:color w:val="000000" w:themeColor="text1"/>
                <w:sz w:val="22"/>
                <w:szCs w:val="22"/>
              </w:rPr>
              <w:t>GroupM ESP (2024)</w:t>
            </w:r>
          </w:p>
        </w:tc>
        <w:tc>
          <w:tcPr>
            <w:tcW w:w="3000" w:type="dxa"/>
            <w:tcMar>
              <w:left w:w="105" w:type="dxa"/>
              <w:right w:w="105" w:type="dxa"/>
            </w:tcMar>
          </w:tcPr>
          <w:p w14:paraId="2AD38EE4" w14:textId="7BE24F99" w:rsidR="7935BD89" w:rsidRDefault="7935BD89" w:rsidP="7935BD8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7935BD89">
              <w:rPr>
                <w:rFonts w:ascii="Arial" w:eastAsia="Arial" w:hAnsi="Arial" w:cs="Arial"/>
                <w:color w:val="000000" w:themeColor="text1"/>
                <w:sz w:val="22"/>
                <w:szCs w:val="22"/>
              </w:rPr>
              <w:t>Cricket continues to receive the largest share of sports sponsorship spending in India</w:t>
            </w:r>
          </w:p>
        </w:tc>
        <w:tc>
          <w:tcPr>
            <w:tcW w:w="3000" w:type="dxa"/>
            <w:tcMar>
              <w:left w:w="105" w:type="dxa"/>
              <w:right w:w="105" w:type="dxa"/>
            </w:tcMar>
          </w:tcPr>
          <w:p w14:paraId="05A68D90" w14:textId="21C6E0C5" w:rsidR="7935BD89" w:rsidRDefault="7935BD89" w:rsidP="7935BD8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7935BD89">
              <w:rPr>
                <w:rFonts w:ascii="Arial" w:eastAsia="Arial" w:hAnsi="Arial" w:cs="Arial"/>
                <w:color w:val="000000" w:themeColor="text1"/>
                <w:sz w:val="22"/>
                <w:szCs w:val="22"/>
              </w:rPr>
              <w:t>Reinforces managerial pressure to justify sponsorship investment and brand image outcomes</w:t>
            </w:r>
          </w:p>
        </w:tc>
      </w:tr>
    </w:tbl>
    <w:p w14:paraId="3B9F6B30" w14:textId="24717AB5" w:rsidR="00241C66" w:rsidRDefault="19D30380" w:rsidP="7935BD89">
      <w:pPr>
        <w:spacing w:before="240" w:after="240"/>
        <w:jc w:val="center"/>
        <w:rPr>
          <w:rFonts w:ascii="Arial" w:eastAsia="Arial" w:hAnsi="Arial" w:cs="Arial"/>
          <w:color w:val="000000" w:themeColor="text1"/>
        </w:rPr>
      </w:pPr>
      <w:r w:rsidRPr="5A36480F">
        <w:rPr>
          <w:rFonts w:ascii="Arial" w:eastAsia="Arial" w:hAnsi="Arial" w:cs="Arial"/>
          <w:b/>
          <w:bCs/>
          <w:color w:val="000000" w:themeColor="text1"/>
        </w:rPr>
        <w:t>Table 1</w:t>
      </w:r>
      <w:r w:rsidR="639B735A" w:rsidRPr="5A36480F">
        <w:rPr>
          <w:rFonts w:ascii="Arial" w:eastAsia="Arial" w:hAnsi="Arial" w:cs="Arial"/>
          <w:b/>
          <w:bCs/>
          <w:color w:val="000000" w:themeColor="text1"/>
        </w:rPr>
        <w:t>.1</w:t>
      </w:r>
      <w:r w:rsidRPr="5A36480F">
        <w:rPr>
          <w:rFonts w:ascii="Arial" w:eastAsia="Arial" w:hAnsi="Arial" w:cs="Arial"/>
          <w:b/>
          <w:bCs/>
          <w:color w:val="000000" w:themeColor="text1"/>
        </w:rPr>
        <w:t>: Key Industry Statistics Demonstrating the Strategic Importance of IPL Sponsorship</w:t>
      </w:r>
    </w:p>
    <w:p w14:paraId="709572A2" w14:textId="2B83AD9D" w:rsidR="00241C66" w:rsidRDefault="4D516A67" w:rsidP="7935BD89">
      <w:pPr>
        <w:pStyle w:val="Heading1"/>
        <w:rPr>
          <w:rFonts w:ascii="Aptos Display" w:eastAsia="Aptos Display" w:hAnsi="Aptos Display" w:cs="Aptos Display"/>
        </w:rPr>
      </w:pPr>
      <w:bookmarkStart w:id="8" w:name="_Toc914716259"/>
      <w:bookmarkStart w:id="9" w:name="_Toc1851317848"/>
      <w:r w:rsidRPr="552AD7BB">
        <w:rPr>
          <w:rFonts w:ascii="Aptos Display" w:eastAsia="Aptos Display" w:hAnsi="Aptos Display" w:cs="Aptos Display"/>
        </w:rPr>
        <w:t>1.3 Research Contribution and Motivation</w:t>
      </w:r>
      <w:bookmarkEnd w:id="8"/>
      <w:bookmarkEnd w:id="9"/>
    </w:p>
    <w:p w14:paraId="79A12A7A" w14:textId="174D83F6"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This research aims to contribute to both academic understanding and practical decision-making about how sports sponsorship shapes brand image within the Indian Premier League (IPL). Although previous studies show that sponsorship can build brand associations and influence consumer attitudes, most of this work has been conducted in Western sports or in general advertising contexts. By focusing specifically on the IPL—a league known for its fast-paced commercial environment, strong fan emotions, and digital-first marketing approach—this study helps extend existing sponsorship theories into a setting where they have not been deeply examined. </w:t>
      </w:r>
    </w:p>
    <w:p w14:paraId="2F37B1C4" w14:textId="1E50AEFD"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Theoretically, the study adds value by bringing together several concepts that are often discussed separately in the literature: sponsor–team congruence, fan identification, digital activation, and brand image. Existing studies highlight each of these elements individually, but fewer explore how they interact in a highly commercial and entertainment-driven environment like the IPL. By applying ideas from image transfer theory, social identity theory, and brand equity frameworks to this context, the research helps clarify how these mechanisms work together. This is important because the IPL blends sport, media, and entertainment in a way that differs from many Western leagues. Studying these relationships in the IPL therefore helps expand sponsorship theory into new cultural and industry settings. </w:t>
      </w:r>
    </w:p>
    <w:p w14:paraId="50F438CD" w14:textId="3A0784E8"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Empirically, the study contributes by using a secondary-data, multi-case approach to compare different IPL sponsors and their strategies. Many existing IPL studies focus on single teams, early seasons, or general fan behaviour. In contrast, this research examines a range of sponsorship examples—such as title sponsorship, team partnerships, and digital-led campaigns—to identify patterns across brands. A multi-case design allows for richer insights about what works, what does not, and how sponsorship strategies differ across industries. This approach also helps highlight variations in activation quality, fan engagement levels, and brand–team fit, offering a more comprehensive view of sponsorship practice. </w:t>
      </w:r>
    </w:p>
    <w:p w14:paraId="19F339FA" w14:textId="4BC73073"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Practically, this research aims to support brand managers, IPL franchises, and sponsorship agencies who are under increasing pressure to justify investment and demonstrate clear returns. Sponsorship in the IPL has become more expensive and more competitive, and managers often struggle with questions such as: Which type of sponsorship improves brand image the most? How important is fit between the sponsor and the team? What role does digital activation play? By analysing real cases and linking them to brand image outcomes, the study provides practical guidance that can help organisations design more effective sponsorship campaigns and avoid wasted spending. The findings may also help decision-makers understand the risks of poorly aligned sponsorships and the opportunities offered by emotionally driven fan communities.</w:t>
      </w:r>
    </w:p>
    <w:p w14:paraId="26D59446" w14:textId="4DA5E0D4"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Motivation for the study comes from recognising the growing importance of sponsorship in India’s sports economy and the lack of clear academic guidance for marketers working within the IPL context. The IPL has become one of the biggest marketing platforms in the country, yet the academic research has not fully kept up with its rapid commercial growth. As someone interested in sports marketing and brand strategy, this topic offers a meaningful opportunity to explore how brands connect with audiences in a modern, digital, and emotionally rich sports environment. Ultimately, the study aims to produce insights that are academically grounded but also useful for practitioners who want to build stronger and more authentic brand–fan relationships in the IPL. </w:t>
      </w:r>
    </w:p>
    <w:p w14:paraId="50AF80FF" w14:textId="401A9CCD" w:rsidR="00241C66" w:rsidRDefault="4D516A67" w:rsidP="7935BD89">
      <w:pPr>
        <w:pStyle w:val="Heading1"/>
        <w:rPr>
          <w:rFonts w:ascii="Aptos Display" w:eastAsia="Aptos Display" w:hAnsi="Aptos Display" w:cs="Aptos Display"/>
        </w:rPr>
      </w:pPr>
      <w:bookmarkStart w:id="10" w:name="_Toc567864590"/>
      <w:bookmarkStart w:id="11" w:name="_Toc1761066325"/>
      <w:r w:rsidRPr="552AD7BB">
        <w:rPr>
          <w:rFonts w:ascii="Aptos Display" w:eastAsia="Aptos Display" w:hAnsi="Aptos Display" w:cs="Aptos Display"/>
        </w:rPr>
        <w:t>1.4 Research Aim, Objectives and Research Question</w:t>
      </w:r>
      <w:bookmarkEnd w:id="10"/>
      <w:bookmarkEnd w:id="11"/>
    </w:p>
    <w:p w14:paraId="5BBC88CC" w14:textId="04FBEA8D"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The main aim of this research is to examine how sports sponsorship in the Indian Premier League (IPL) influences the brand image of sponsoring companies. The study focuses on analysing different sponsorship strategies used by IPL franchises and brands, and how these strategies help to create positive consumer perceptions and brand associations.</w:t>
      </w:r>
    </w:p>
    <w:p w14:paraId="334D0ECE" w14:textId="26672089"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b/>
          <w:bCs/>
          <w:color w:val="000000" w:themeColor="text1"/>
        </w:rPr>
        <w:t>Research Objectives</w:t>
      </w:r>
    </w:p>
    <w:p w14:paraId="0BEFB90E" w14:textId="60D71B94" w:rsidR="00241C66" w:rsidRDefault="4D516A67" w:rsidP="7935BD89">
      <w:pPr>
        <w:pStyle w:val="ListParagraph"/>
        <w:numPr>
          <w:ilvl w:val="0"/>
          <w:numId w:val="1"/>
        </w:numPr>
        <w:spacing w:before="240" w:after="240"/>
        <w:jc w:val="both"/>
        <w:rPr>
          <w:rFonts w:ascii="Arial" w:eastAsia="Arial" w:hAnsi="Arial" w:cs="Arial"/>
          <w:color w:val="000000" w:themeColor="text1"/>
        </w:rPr>
      </w:pPr>
      <w:r w:rsidRPr="7935BD89">
        <w:rPr>
          <w:rFonts w:ascii="Arial" w:eastAsia="Arial" w:hAnsi="Arial" w:cs="Arial"/>
          <w:color w:val="000000" w:themeColor="text1"/>
        </w:rPr>
        <w:t>To analyse how sponsorship strategies in the IPL contribute to improving a sponsor’s brand image.</w:t>
      </w:r>
    </w:p>
    <w:p w14:paraId="0B593C07" w14:textId="09EDA9DE" w:rsidR="00241C66" w:rsidRDefault="4D516A67" w:rsidP="7935BD89">
      <w:pPr>
        <w:pStyle w:val="ListParagraph"/>
        <w:numPr>
          <w:ilvl w:val="0"/>
          <w:numId w:val="1"/>
        </w:numPr>
        <w:spacing w:before="240" w:after="240"/>
        <w:jc w:val="both"/>
        <w:rPr>
          <w:rFonts w:ascii="Arial" w:eastAsia="Arial" w:hAnsi="Arial" w:cs="Arial"/>
          <w:color w:val="000000" w:themeColor="text1"/>
        </w:rPr>
      </w:pPr>
      <w:r w:rsidRPr="7935BD89">
        <w:rPr>
          <w:rFonts w:ascii="Arial" w:eastAsia="Arial" w:hAnsi="Arial" w:cs="Arial"/>
          <w:color w:val="000000" w:themeColor="text1"/>
        </w:rPr>
        <w:t>To explore the role of consumer perception in shaping the effectiveness of IPL sponsorship.</w:t>
      </w:r>
    </w:p>
    <w:p w14:paraId="3CF32872" w14:textId="2E735BDD"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b/>
          <w:bCs/>
          <w:color w:val="000000" w:themeColor="text1"/>
        </w:rPr>
        <w:t>Research Question</w:t>
      </w:r>
    </w:p>
    <w:p w14:paraId="167D154B" w14:textId="7F62CEE2" w:rsidR="00241C66" w:rsidRDefault="4D516A67"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How does sports sponsorship in the Indian Premier League (IPL) influence the brand image of sponsoring companies?</w:t>
      </w:r>
    </w:p>
    <w:p w14:paraId="3CE049D0" w14:textId="39D141E1" w:rsidR="00241C66" w:rsidRDefault="4D516A67" w:rsidP="7935BD89">
      <w:pPr>
        <w:pStyle w:val="Heading1"/>
        <w:rPr>
          <w:rFonts w:ascii="Aptos Display" w:eastAsia="Aptos Display" w:hAnsi="Aptos Display" w:cs="Aptos Display"/>
        </w:rPr>
      </w:pPr>
      <w:bookmarkStart w:id="12" w:name="_Toc4741328"/>
      <w:bookmarkStart w:id="13" w:name="_Toc759164840"/>
      <w:r w:rsidRPr="552AD7BB">
        <w:rPr>
          <w:rFonts w:ascii="Aptos Display" w:eastAsia="Aptos Display" w:hAnsi="Aptos Display" w:cs="Aptos Display"/>
        </w:rPr>
        <w:t>1.5 Dissertation Structure</w:t>
      </w:r>
      <w:bookmarkEnd w:id="12"/>
      <w:bookmarkEnd w:id="13"/>
    </w:p>
    <w:p w14:paraId="4A5A97CA" w14:textId="72E68BDB" w:rsidR="00241C66" w:rsidRDefault="019B2420" w:rsidP="7935BD89">
      <w:pPr>
        <w:spacing w:before="240" w:after="240"/>
        <w:jc w:val="both"/>
        <w:rPr>
          <w:rFonts w:ascii="Arial" w:eastAsia="Arial" w:hAnsi="Arial" w:cs="Arial"/>
          <w:color w:val="000000" w:themeColor="text1"/>
        </w:rPr>
      </w:pPr>
      <w:r w:rsidRPr="5A36480F">
        <w:rPr>
          <w:rFonts w:ascii="Arial" w:eastAsia="Arial" w:hAnsi="Arial" w:cs="Arial"/>
          <w:color w:val="000000" w:themeColor="text1"/>
        </w:rPr>
        <w:t>This dissertation is structured into six chapters. Chapter 1 introduces the research by outlining the background of the study, the research rationale, aims and objectives, and the overall contribution of the research. Chapter 2 reviews the relevant academic literature on sports sponsorship and brand image, with a particular focus on brand equity theory, and develops the conceptual framework that guides the study. Chapter 3 explains the research methodology, including the research philosophy, inductive approach, case study design, data sources, and methods of analysis. Chapter 4 presents the findings from five IPL sponsorship case studies, describing the background, sponsorship approach, and observed brand image outcomes for each case. Chapter 5 provides a cross-case analysis and discussion of the findings by linking them to the themes identified in the literature and the conceptual framework. Finally, Chapter 6 concludes the dissertation by summarising the key findings, outlining theoretical and managerial implications, discussing limitations, and suggesting directions for future research.</w:t>
      </w:r>
    </w:p>
    <w:p w14:paraId="0F0940E3" w14:textId="533CAB7F" w:rsidR="1102B63A" w:rsidRDefault="1102B63A" w:rsidP="1102B63A">
      <w:pPr>
        <w:spacing w:before="240" w:after="240"/>
        <w:jc w:val="both"/>
        <w:rPr>
          <w:rFonts w:ascii="Arial" w:eastAsia="Arial" w:hAnsi="Arial" w:cs="Arial"/>
          <w:color w:val="000000" w:themeColor="text1"/>
        </w:rPr>
      </w:pPr>
    </w:p>
    <w:p w14:paraId="70344175" w14:textId="034EAAAA" w:rsidR="1102B63A" w:rsidRDefault="1102B63A" w:rsidP="1102B63A">
      <w:pPr>
        <w:spacing w:before="240" w:after="240"/>
        <w:jc w:val="both"/>
        <w:rPr>
          <w:rFonts w:ascii="Arial" w:eastAsia="Arial" w:hAnsi="Arial" w:cs="Arial"/>
          <w:color w:val="000000" w:themeColor="text1"/>
        </w:rPr>
      </w:pPr>
    </w:p>
    <w:p w14:paraId="308B89EB" w14:textId="0E9ECA3C" w:rsidR="1102B63A" w:rsidRDefault="1102B63A" w:rsidP="1102B63A">
      <w:pPr>
        <w:spacing w:before="240" w:after="240"/>
        <w:jc w:val="both"/>
        <w:rPr>
          <w:rFonts w:ascii="Arial" w:eastAsia="Arial" w:hAnsi="Arial" w:cs="Arial"/>
          <w:color w:val="000000" w:themeColor="text1"/>
        </w:rPr>
      </w:pPr>
    </w:p>
    <w:p w14:paraId="094B2176" w14:textId="4DA59CB1" w:rsidR="1102B63A" w:rsidRDefault="1102B63A" w:rsidP="1102B63A">
      <w:pPr>
        <w:spacing w:before="240" w:after="240"/>
        <w:jc w:val="both"/>
        <w:rPr>
          <w:rFonts w:ascii="Arial" w:eastAsia="Arial" w:hAnsi="Arial" w:cs="Arial"/>
          <w:color w:val="000000" w:themeColor="text1"/>
        </w:rPr>
      </w:pPr>
    </w:p>
    <w:p w14:paraId="3E6E6B06" w14:textId="7A109BD7" w:rsidR="3F9E838C" w:rsidRDefault="3F9E838C" w:rsidP="3F9E838C">
      <w:pPr>
        <w:spacing w:before="240" w:after="240"/>
        <w:jc w:val="both"/>
        <w:rPr>
          <w:rFonts w:ascii="Arial" w:eastAsia="Arial" w:hAnsi="Arial" w:cs="Arial"/>
          <w:color w:val="000000" w:themeColor="text1"/>
        </w:rPr>
      </w:pPr>
    </w:p>
    <w:p w14:paraId="7DD34690" w14:textId="5144CE61" w:rsidR="3F9E838C" w:rsidRDefault="3F9E838C" w:rsidP="3F9E838C">
      <w:pPr>
        <w:spacing w:before="240" w:after="240"/>
        <w:jc w:val="both"/>
        <w:rPr>
          <w:rFonts w:ascii="Arial" w:eastAsia="Arial" w:hAnsi="Arial" w:cs="Arial"/>
          <w:color w:val="000000" w:themeColor="text1"/>
        </w:rPr>
      </w:pPr>
    </w:p>
    <w:p w14:paraId="68AF0BAC" w14:textId="4DFD492B" w:rsidR="3F9E838C" w:rsidRDefault="3F9E838C" w:rsidP="3F9E838C">
      <w:pPr>
        <w:spacing w:before="240" w:after="240"/>
        <w:jc w:val="both"/>
        <w:rPr>
          <w:rFonts w:ascii="Arial" w:eastAsia="Arial" w:hAnsi="Arial" w:cs="Arial"/>
          <w:color w:val="000000" w:themeColor="text1"/>
        </w:rPr>
      </w:pPr>
    </w:p>
    <w:p w14:paraId="4CB28CF0" w14:textId="4B21851C" w:rsidR="3F9E838C" w:rsidRDefault="3F9E838C" w:rsidP="3F9E838C">
      <w:pPr>
        <w:spacing w:before="240" w:after="240"/>
        <w:jc w:val="both"/>
        <w:rPr>
          <w:rFonts w:ascii="Arial" w:eastAsia="Arial" w:hAnsi="Arial" w:cs="Arial"/>
          <w:color w:val="000000" w:themeColor="text1"/>
        </w:rPr>
      </w:pPr>
    </w:p>
    <w:p w14:paraId="2B65A593" w14:textId="538935AF" w:rsidR="3F9E838C" w:rsidRDefault="3F9E838C" w:rsidP="3F9E838C">
      <w:pPr>
        <w:spacing w:before="240" w:after="240"/>
        <w:jc w:val="both"/>
        <w:rPr>
          <w:rFonts w:ascii="Arial" w:eastAsia="Arial" w:hAnsi="Arial" w:cs="Arial"/>
          <w:color w:val="000000" w:themeColor="text1"/>
        </w:rPr>
      </w:pPr>
    </w:p>
    <w:p w14:paraId="688E24FE" w14:textId="1ECAB288" w:rsidR="3F9E838C" w:rsidRDefault="3F9E838C" w:rsidP="3F9E838C">
      <w:pPr>
        <w:spacing w:before="240" w:after="240"/>
        <w:jc w:val="both"/>
        <w:rPr>
          <w:rFonts w:ascii="Arial" w:eastAsia="Arial" w:hAnsi="Arial" w:cs="Arial"/>
          <w:color w:val="000000" w:themeColor="text1"/>
        </w:rPr>
      </w:pPr>
    </w:p>
    <w:p w14:paraId="4E3B994B" w14:textId="51A088AF" w:rsidR="6708D22A" w:rsidRDefault="6708D22A" w:rsidP="6708D22A">
      <w:pPr>
        <w:spacing w:before="240" w:after="240"/>
        <w:jc w:val="both"/>
        <w:rPr>
          <w:rFonts w:ascii="Arial" w:eastAsia="Arial" w:hAnsi="Arial" w:cs="Arial"/>
          <w:b/>
          <w:bCs/>
          <w:sz w:val="36"/>
          <w:szCs w:val="36"/>
        </w:rPr>
      </w:pPr>
    </w:p>
    <w:p w14:paraId="13BF869B" w14:textId="4DE2983E" w:rsidR="6708D22A" w:rsidRDefault="6708D22A" w:rsidP="6708D22A">
      <w:pPr>
        <w:spacing w:before="240" w:after="240"/>
        <w:jc w:val="both"/>
        <w:rPr>
          <w:rFonts w:ascii="Arial" w:eastAsia="Arial" w:hAnsi="Arial" w:cs="Arial"/>
          <w:b/>
          <w:bCs/>
          <w:sz w:val="36"/>
          <w:szCs w:val="36"/>
        </w:rPr>
      </w:pPr>
    </w:p>
    <w:p w14:paraId="19F4A4CB" w14:textId="662BA451" w:rsidR="6D3E3F68" w:rsidRDefault="6D3E3F68" w:rsidP="6D3E3F68">
      <w:pPr>
        <w:spacing w:before="240" w:after="240"/>
        <w:jc w:val="both"/>
        <w:rPr>
          <w:rFonts w:ascii="Arial" w:eastAsia="Arial" w:hAnsi="Arial" w:cs="Arial"/>
          <w:b/>
          <w:bCs/>
          <w:sz w:val="36"/>
          <w:szCs w:val="36"/>
        </w:rPr>
      </w:pPr>
    </w:p>
    <w:p w14:paraId="3D3F9734" w14:textId="66FE1090" w:rsidR="5A36480F" w:rsidRDefault="5A36480F" w:rsidP="5A36480F">
      <w:pPr>
        <w:spacing w:before="240" w:after="240"/>
        <w:jc w:val="both"/>
        <w:rPr>
          <w:rFonts w:ascii="Arial" w:eastAsia="Arial" w:hAnsi="Arial" w:cs="Arial"/>
          <w:b/>
          <w:bCs/>
          <w:sz w:val="36"/>
          <w:szCs w:val="36"/>
        </w:rPr>
      </w:pPr>
    </w:p>
    <w:p w14:paraId="12FC42E4" w14:textId="54E78878" w:rsidR="72C03B03" w:rsidRDefault="72C03B03" w:rsidP="72C03B03">
      <w:pPr>
        <w:spacing w:before="240" w:after="240"/>
        <w:jc w:val="both"/>
        <w:rPr>
          <w:rFonts w:ascii="Arial" w:eastAsia="Arial" w:hAnsi="Arial" w:cs="Arial"/>
          <w:b/>
          <w:bCs/>
          <w:sz w:val="36"/>
          <w:szCs w:val="36"/>
        </w:rPr>
      </w:pPr>
    </w:p>
    <w:p w14:paraId="690DA6B3" w14:textId="0E1C4AE4" w:rsidR="552AD7BB" w:rsidRDefault="552AD7BB" w:rsidP="552AD7BB">
      <w:pPr>
        <w:spacing w:before="240" w:after="240"/>
        <w:jc w:val="both"/>
        <w:rPr>
          <w:rFonts w:ascii="Arial" w:eastAsia="Arial" w:hAnsi="Arial" w:cs="Arial"/>
          <w:b/>
          <w:bCs/>
          <w:sz w:val="36"/>
          <w:szCs w:val="36"/>
        </w:rPr>
      </w:pPr>
    </w:p>
    <w:p w14:paraId="1166953D" w14:textId="13C24347" w:rsidR="552AD7BB" w:rsidRDefault="552AD7BB" w:rsidP="552AD7BB">
      <w:pPr>
        <w:spacing w:before="240" w:after="240"/>
        <w:jc w:val="both"/>
        <w:rPr>
          <w:rFonts w:ascii="Arial" w:eastAsia="Arial" w:hAnsi="Arial" w:cs="Arial"/>
          <w:b/>
          <w:bCs/>
          <w:sz w:val="36"/>
          <w:szCs w:val="36"/>
        </w:rPr>
      </w:pPr>
    </w:p>
    <w:p w14:paraId="055BFF21" w14:textId="3B7B32B6" w:rsidR="552AD7BB" w:rsidRDefault="552AD7BB" w:rsidP="552AD7BB">
      <w:pPr>
        <w:spacing w:before="240" w:after="240"/>
        <w:jc w:val="both"/>
        <w:rPr>
          <w:rFonts w:ascii="Arial" w:eastAsia="Arial" w:hAnsi="Arial" w:cs="Arial"/>
          <w:b/>
          <w:bCs/>
          <w:sz w:val="36"/>
          <w:szCs w:val="36"/>
        </w:rPr>
      </w:pPr>
    </w:p>
    <w:p w14:paraId="3D0EFCC7" w14:textId="5C44A518" w:rsidR="00241C66" w:rsidRDefault="53EAA250" w:rsidP="722B6F2B">
      <w:pPr>
        <w:spacing w:before="240" w:after="240"/>
        <w:jc w:val="both"/>
        <w:rPr>
          <w:rFonts w:ascii="Arial" w:eastAsia="Arial" w:hAnsi="Arial" w:cs="Arial"/>
          <w:b/>
          <w:bCs/>
          <w:sz w:val="36"/>
          <w:szCs w:val="36"/>
        </w:rPr>
      </w:pPr>
      <w:r w:rsidRPr="722B6F2B">
        <w:rPr>
          <w:rFonts w:ascii="Arial" w:eastAsia="Arial" w:hAnsi="Arial" w:cs="Arial"/>
          <w:b/>
          <w:bCs/>
          <w:sz w:val="36"/>
          <w:szCs w:val="36"/>
        </w:rPr>
        <w:t xml:space="preserve">2. Literature Review </w:t>
      </w:r>
    </w:p>
    <w:p w14:paraId="58C33A73" w14:textId="4D04B1D4" w:rsidR="00241C66" w:rsidRDefault="4F11C830" w:rsidP="740AAE9A">
      <w:pPr>
        <w:pStyle w:val="Heading1"/>
      </w:pPr>
      <w:bookmarkStart w:id="14" w:name="_Toc103768325"/>
      <w:bookmarkStart w:id="15" w:name="_Toc1248431254"/>
      <w:r>
        <w:t>2.1 Introduction</w:t>
      </w:r>
      <w:bookmarkEnd w:id="14"/>
      <w:bookmarkEnd w:id="15"/>
      <w:r>
        <w:t xml:space="preserve"> </w:t>
      </w:r>
    </w:p>
    <w:p w14:paraId="0192E378" w14:textId="5083C8F5" w:rsidR="00241C66" w:rsidRPr="002F770A" w:rsidRDefault="4F11C830" w:rsidP="722B6F2B">
      <w:pPr>
        <w:spacing w:before="240" w:after="240"/>
        <w:jc w:val="both"/>
      </w:pPr>
      <w:r w:rsidRPr="002F770A">
        <w:rPr>
          <w:rFonts w:ascii="Arial" w:eastAsia="Arial" w:hAnsi="Arial" w:cs="Arial"/>
        </w:rPr>
        <w:t>This chapter reviews the existing academic literature that relates to sports sponsorship and its influence on brand image, with a particular interest in how these ideas apply to the Indian Premier League (IPL). The purpose of this chapter is to understand what previous researchers have found, what concepts are already known, and where the gaps remain. By doing this, the chapter creates a solid background for the rest of the dissertation.</w:t>
      </w:r>
    </w:p>
    <w:p w14:paraId="210669EA" w14:textId="0857681D" w:rsidR="00241C66" w:rsidRPr="002F770A" w:rsidRDefault="4F11C830" w:rsidP="722B6F2B">
      <w:pPr>
        <w:spacing w:before="240" w:after="240"/>
        <w:jc w:val="both"/>
      </w:pPr>
      <w:r w:rsidRPr="002F770A">
        <w:rPr>
          <w:rFonts w:ascii="Arial" w:eastAsia="Arial" w:hAnsi="Arial" w:cs="Arial"/>
        </w:rPr>
        <w:t>Sports sponsorship has been studied for many years, especially because it is now a major marketing tool used by global brands. Many researchers have explored how sponsorship can shape consumer perceptions, build stronger brand associations, and create long-term brand value. At the same time, some studies show that sponsorship outcomes are not always straightforward, and several factors—such as the match between a sponsor and a team, the level of fan involvement, and the way a sponsorship is activated—can influence its overall impact. These different findings make it important to look carefully at what the literature says.</w:t>
      </w:r>
    </w:p>
    <w:p w14:paraId="519CEFA3" w14:textId="4DC4A66C" w:rsidR="00241C66" w:rsidRPr="002F770A" w:rsidRDefault="4F11C830" w:rsidP="722B6F2B">
      <w:pPr>
        <w:spacing w:before="240" w:after="240"/>
        <w:jc w:val="both"/>
      </w:pPr>
      <w:r w:rsidRPr="002F770A">
        <w:rPr>
          <w:rFonts w:ascii="Arial" w:eastAsia="Arial" w:hAnsi="Arial" w:cs="Arial"/>
        </w:rPr>
        <w:t>The IPL provides a unique context because it is one of the world’s most commercialised and digitally active sports leagues. Sponsorship deals in the IPL are often high in value, highly visible, and extremely competitive. This makes it a good setting for understanding how sponsorship affects brand image in a fast-paced and highly engaging environment. However, even though the IPL is widely discussed in the media, there is still limited academic research focused specifically on its sponsorship impact, highlighting a clear gap.</w:t>
      </w:r>
    </w:p>
    <w:p w14:paraId="35A71519" w14:textId="0BE81ED6" w:rsidR="00241C66" w:rsidRPr="002F770A" w:rsidRDefault="4F11C830" w:rsidP="722B6F2B">
      <w:pPr>
        <w:spacing w:before="240" w:after="240"/>
        <w:jc w:val="both"/>
      </w:pPr>
      <w:r w:rsidRPr="002F770A">
        <w:rPr>
          <w:rFonts w:ascii="Arial" w:eastAsia="Arial" w:hAnsi="Arial" w:cs="Arial"/>
        </w:rPr>
        <w:t>To structure this review, the chapter is organised into four key themes. These themes represent the main areas that repeatedly appear in past studies: the strategic role of sports sponsorship, sponsor–team congruence and fan identification, digital activation in sponsorship, and the overall effectiveness of sponsorship on brand image. Following the thematic review, the chapter discusses the theoretical foundations that support this study and presents a conceptual framework that links the key ideas.</w:t>
      </w:r>
    </w:p>
    <w:p w14:paraId="43DFB7E9" w14:textId="67FA22BE" w:rsidR="00241C66" w:rsidRPr="002F770A" w:rsidRDefault="4F11C830" w:rsidP="722B6F2B">
      <w:pPr>
        <w:spacing w:before="240" w:after="240"/>
        <w:jc w:val="both"/>
      </w:pPr>
      <w:r w:rsidRPr="002F770A">
        <w:rPr>
          <w:rFonts w:ascii="Arial" w:eastAsia="Arial" w:hAnsi="Arial" w:cs="Arial"/>
        </w:rPr>
        <w:t>Overall, the aim of this chapter is to summarise what is already known, identify what is still unclear, and explain why the present research on IPL sponsorship and brand image is relevant.</w:t>
      </w:r>
    </w:p>
    <w:p w14:paraId="6D62050B" w14:textId="05B2C218" w:rsidR="00241C66" w:rsidRDefault="050EBC98" w:rsidP="722B6F2B">
      <w:pPr>
        <w:pStyle w:val="Heading1"/>
        <w:rPr>
          <w:rFonts w:ascii="Arial" w:eastAsia="Arial" w:hAnsi="Arial" w:cs="Arial"/>
          <w:sz w:val="24"/>
          <w:szCs w:val="24"/>
        </w:rPr>
      </w:pPr>
      <w:bookmarkStart w:id="16" w:name="_Toc1689377253"/>
      <w:bookmarkStart w:id="17" w:name="_Toc1152681139"/>
      <w:r>
        <w:t>2.2 Thematic Overview</w:t>
      </w:r>
      <w:bookmarkEnd w:id="16"/>
      <w:bookmarkEnd w:id="17"/>
    </w:p>
    <w:p w14:paraId="74B701F7" w14:textId="0733A510" w:rsidR="00241C66" w:rsidRDefault="050EBC98" w:rsidP="6708D22A">
      <w:pPr>
        <w:pStyle w:val="Heading2"/>
      </w:pPr>
      <w:bookmarkStart w:id="18" w:name="_Toc686221894"/>
      <w:bookmarkStart w:id="19" w:name="_Toc1891652831"/>
      <w:r>
        <w:t>2.2.1 Sports Sponsorship as a Strategic Marketing Tool</w:t>
      </w:r>
      <w:bookmarkEnd w:id="18"/>
      <w:bookmarkEnd w:id="19"/>
    </w:p>
    <w:p w14:paraId="39F60B7D" w14:textId="5D334E11" w:rsidR="6F2497AB" w:rsidRPr="00C5058D" w:rsidRDefault="20049575" w:rsidP="1B3F5BE7">
      <w:pPr>
        <w:spacing w:before="240" w:after="240"/>
        <w:jc w:val="both"/>
      </w:pPr>
      <w:r w:rsidRPr="1B3F5BE7">
        <w:rPr>
          <w:rFonts w:ascii="Arial" w:eastAsia="Arial" w:hAnsi="Arial" w:cs="Arial"/>
        </w:rPr>
        <w:t>Sports sponsorship has become an important marketing strategy for many companies because it allows brands to connect with large and emotionally involved audiences. In most research, sponsorship is described as a way for brands to build positive associations by linking themselves with a team, event, or athlete (Cornwell, 2019). The basic idea is that when fans feel positively about a sport or team, some of these feelings can transfer to the sponsoring brand. This process is strongly connected to brand image, which includes how consumers view a brand in terms of personality, trust, credibility, and overall impression.</w:t>
      </w:r>
    </w:p>
    <w:p w14:paraId="04466387" w14:textId="4CB8DEEB" w:rsidR="00241C66" w:rsidRDefault="050EBC98" w:rsidP="722B6F2B">
      <w:pPr>
        <w:spacing w:before="240" w:after="240"/>
        <w:jc w:val="both"/>
      </w:pPr>
      <w:r w:rsidRPr="722B6F2B">
        <w:rPr>
          <w:rFonts w:ascii="Arial" w:eastAsia="Arial" w:hAnsi="Arial" w:cs="Arial"/>
        </w:rPr>
        <w:t>Several studies highlight that sponsorship is more than just logo visibility. For example, Donlan (2013) explains that sponsorship works best when it strengthens brand associations and helps consumers recall the brand in a positive way. Jain et al. (2025) also suggest that effective sponsorship can influence brand loyalty and purchase intention when consumers feel a meaningful connection with the brand. Other researchers, like Chiu et al. (2020), argue that sponsorship can improve brand knowledge and make consumers see the brand as more relevant and trustworthy.</w:t>
      </w:r>
    </w:p>
    <w:p w14:paraId="14DF572A" w14:textId="49EE7A1F" w:rsidR="00241C66" w:rsidRDefault="050EBC98" w:rsidP="722B6F2B">
      <w:pPr>
        <w:spacing w:before="240" w:after="240"/>
        <w:jc w:val="both"/>
      </w:pPr>
      <w:r w:rsidRPr="722B6F2B">
        <w:rPr>
          <w:rFonts w:ascii="Arial" w:eastAsia="Arial" w:hAnsi="Arial" w:cs="Arial"/>
        </w:rPr>
        <w:t>However, sponsorship outcomes are not always guaranteed. Thomas (2014) notes that sponsorship only strengthens brand image when consumers notice and understand the connection between the sponsor and the event. If the sponsorship is weakly communicated or does not match the values of the audience, the impact can be limited. Some studies even show that sponsorship may have no effect unless it is supported through additional activities such as advertising or digital engagement (Kim et al., 2017).</w:t>
      </w:r>
    </w:p>
    <w:p w14:paraId="1BF6EB2F" w14:textId="574ED92D" w:rsidR="00241C66" w:rsidRDefault="050EBC98" w:rsidP="722B6F2B">
      <w:pPr>
        <w:spacing w:before="240" w:after="240"/>
        <w:jc w:val="both"/>
      </w:pPr>
      <w:r w:rsidRPr="722B6F2B">
        <w:rPr>
          <w:rFonts w:ascii="Arial" w:eastAsia="Arial" w:hAnsi="Arial" w:cs="Arial"/>
        </w:rPr>
        <w:t>Another important point in the literature is that different sports contexts produce different outcomes. Many earlier studies focus on Western sports such as football or the Olympics, but the IPL environment is very different. It is fast-paced, entertainment-driven, and heavily commercialised, which means sponsorship works differently compared to traditional sports leagues. While some general sponsorship theories still apply, there is limited research that specifically explains how sponsorship contributes to brand image in the IPL setting.</w:t>
      </w:r>
    </w:p>
    <w:p w14:paraId="6D486B33" w14:textId="780BFB12" w:rsidR="00241C66" w:rsidRDefault="050EBC98" w:rsidP="722B6F2B">
      <w:pPr>
        <w:spacing w:before="240" w:after="240"/>
        <w:jc w:val="both"/>
      </w:pPr>
      <w:r w:rsidRPr="722B6F2B">
        <w:rPr>
          <w:rFonts w:ascii="Arial" w:eastAsia="Arial" w:hAnsi="Arial" w:cs="Arial"/>
        </w:rPr>
        <w:t>Overall, this theme shows that sponsorship can be a powerful brand-building tool, but its success depends on how well the brand uses the opportunity. The literature clearly highlights positive outcomes, but it also shows that sponsorship needs strategic planning, strong communication, and audience alignment. These insights help form the basis for understanding why analysing IPL sponsorship in detail is important for this dissertation.</w:t>
      </w:r>
    </w:p>
    <w:p w14:paraId="424F5916" w14:textId="73E7B9F2" w:rsidR="00241C66" w:rsidRDefault="19B52F97" w:rsidP="6708D22A">
      <w:pPr>
        <w:pStyle w:val="Heading2"/>
      </w:pPr>
      <w:bookmarkStart w:id="20" w:name="_Toc1363622546"/>
      <w:bookmarkStart w:id="21" w:name="_Toc282319032"/>
      <w:r>
        <w:t>2.2.2 Sponsor–Team Congruence and Fan Identification</w:t>
      </w:r>
      <w:bookmarkEnd w:id="20"/>
      <w:bookmarkEnd w:id="21"/>
    </w:p>
    <w:p w14:paraId="6DF1BC8D" w14:textId="7A0FDC54" w:rsidR="00241C66" w:rsidRDefault="19B52F97" w:rsidP="722B6F2B">
      <w:pPr>
        <w:spacing w:before="240" w:after="240"/>
        <w:jc w:val="both"/>
      </w:pPr>
      <w:r w:rsidRPr="722B6F2B">
        <w:rPr>
          <w:rFonts w:ascii="Arial" w:eastAsia="Arial" w:hAnsi="Arial" w:cs="Arial"/>
        </w:rPr>
        <w:t>A major idea in sponsorship research is the importance of “congruence,” which basically refers to how well a sponsor fits with the team, event, or sport. When there is a clear and logical connection between the sponsor and the team, consumers tend to respond more positively. Kamath et al. (2020), in their IPL-specific study, found that when fans feel the sponsor matches the team’s identity or values, they view the brand more favourably and are more likely to remember it. This makes congruence one of the strongest drivers of sponsorship effectiveness.</w:t>
      </w:r>
    </w:p>
    <w:p w14:paraId="3F417D3C" w14:textId="7B472F54" w:rsidR="00241C66" w:rsidRDefault="19B52F97" w:rsidP="722B6F2B">
      <w:pPr>
        <w:spacing w:before="240" w:after="240"/>
        <w:jc w:val="both"/>
      </w:pPr>
      <w:r w:rsidRPr="722B6F2B">
        <w:rPr>
          <w:rFonts w:ascii="Arial" w:eastAsia="Arial" w:hAnsi="Arial" w:cs="Arial"/>
        </w:rPr>
        <w:t>A lot of this comes from Social Identity Theory, which explains that fans often see their favourite team as part of who they are. When people strongly identify with a team, they can transfer this positive feeling to the brand supporting that team (Biscaia et al., 2013). In other words, if fans feel proud of their team, they may also feel more positive about brands associated with that team. This is why congruence works well — when the match between sponsor and team feels natural, the emotional attachment of fans strengthens the sponsor’s brand image.</w:t>
      </w:r>
    </w:p>
    <w:p w14:paraId="58875E93" w14:textId="2EBADA7A" w:rsidR="00241C66" w:rsidRDefault="19B52F97" w:rsidP="722B6F2B">
      <w:pPr>
        <w:spacing w:before="240" w:after="240"/>
        <w:jc w:val="both"/>
      </w:pPr>
      <w:r w:rsidRPr="722B6F2B">
        <w:rPr>
          <w:rFonts w:ascii="Arial" w:eastAsia="Arial" w:hAnsi="Arial" w:cs="Arial"/>
        </w:rPr>
        <w:t>Research also shows that fan identification plays a huge role in how sponsorship is received. Strongly identified fans tend to be more loyal, more emotional, and more willing to support the sponsors who support “their” team (Rai et al., 2022). Fans who see the team as part of their identity often feel a sense of responsibility to reward the sponsor by paying attention to their brand or even buying their products (Biscaia et al., 2013). This means high-identification fans are more likely to show positive attitudes towards sponsors regardless of advertising or promotion.</w:t>
      </w:r>
    </w:p>
    <w:p w14:paraId="3A667BA6" w14:textId="586B6C01" w:rsidR="00241C66" w:rsidRDefault="19B52F97" w:rsidP="722B6F2B">
      <w:pPr>
        <w:spacing w:before="240" w:after="240"/>
        <w:jc w:val="both"/>
      </w:pPr>
      <w:r w:rsidRPr="722B6F2B">
        <w:rPr>
          <w:rFonts w:ascii="Arial" w:eastAsia="Arial" w:hAnsi="Arial" w:cs="Arial"/>
        </w:rPr>
        <w:t>However, some studies also show limitations. Riscarroli et al. (2015) argue that congruence does not always guarantee positive outcomes, especially if the brand has a negative reputation or if fans see the sponsorship as overly commercial. IPL is an entertainment-heavy league, and some fans feel that too many sponsors can make the game feel cluttered or distracting. This can weaken the impact of even well-matched sponsors. Amani (2019) also notes that congruence works differently across cultures, suggesting that what feels like a natural fit in Western leagues may not work the same way in India.</w:t>
      </w:r>
    </w:p>
    <w:p w14:paraId="553EC045" w14:textId="5440A86D" w:rsidR="00241C66" w:rsidRDefault="19B52F97" w:rsidP="722B6F2B">
      <w:pPr>
        <w:spacing w:before="240" w:after="240"/>
        <w:jc w:val="both"/>
      </w:pPr>
      <w:r w:rsidRPr="722B6F2B">
        <w:rPr>
          <w:rFonts w:ascii="Arial" w:eastAsia="Arial" w:hAnsi="Arial" w:cs="Arial"/>
        </w:rPr>
        <w:t>Despite these mixed findings, most studies agree that both congruence and fan identification strongly influence how sponsorship shapes brand image. For IPL specifically, the combination of passionate fan communities and strong team identities makes congruence even more important. But the evidence also shows that the effectiveness of congruence depends on cultural context, fan expectations, and how the sponsorship is communicated.</w:t>
      </w:r>
    </w:p>
    <w:p w14:paraId="47FF81A9" w14:textId="34BEC366" w:rsidR="00241C66" w:rsidRDefault="19B52F97" w:rsidP="722B6F2B">
      <w:pPr>
        <w:spacing w:before="240" w:after="240"/>
        <w:jc w:val="both"/>
      </w:pPr>
      <w:r w:rsidRPr="722B6F2B">
        <w:rPr>
          <w:rFonts w:ascii="Arial" w:eastAsia="Arial" w:hAnsi="Arial" w:cs="Arial"/>
        </w:rPr>
        <w:t>Overall, this theme shows that sponsorship is not just about placing a logo on a jersey — it relies heavily on psychological and emotional connections between fans, the team, and the sponsor. Understanding these mechanisms helps explain why certain IPL sponsors benefit more than others, and it highlights the need to examine this relationship in more detail within this dissertation.</w:t>
      </w:r>
    </w:p>
    <w:p w14:paraId="328F17FB" w14:textId="5555E709" w:rsidR="00241C66" w:rsidRDefault="4FF81AFA" w:rsidP="6708D22A">
      <w:pPr>
        <w:pStyle w:val="Heading2"/>
      </w:pPr>
      <w:bookmarkStart w:id="22" w:name="_Toc1618206868"/>
      <w:bookmarkStart w:id="23" w:name="_Toc1687657587"/>
      <w:r>
        <w:t>2.2.3 Digital Activation and Social Media Engagement in Sponsorship</w:t>
      </w:r>
      <w:bookmarkEnd w:id="22"/>
      <w:bookmarkEnd w:id="23"/>
    </w:p>
    <w:p w14:paraId="5BC6FC46" w14:textId="2B9F1C9B" w:rsidR="00241C66" w:rsidRDefault="4FF81AFA" w:rsidP="722B6F2B">
      <w:pPr>
        <w:spacing w:before="240" w:after="240"/>
        <w:jc w:val="both"/>
      </w:pPr>
      <w:r w:rsidRPr="722B6F2B">
        <w:rPr>
          <w:rFonts w:ascii="Arial" w:eastAsia="Arial" w:hAnsi="Arial" w:cs="Arial"/>
        </w:rPr>
        <w:t>In recent years, digital engagement has become one of the most important parts of sports sponsorship, especially in leagues like the IPL. Traditional sponsorship once relied mainly on visibility, such as logos on jerseys or stadium boards. Today, sponsors are expected to create interactive and digital experiences that keep fans engaged beyond the match. Researchers note that sponsorships are now more effective when brands run online campaigns, social media activities, influencer collaborations, or fan-participation contests that connect with the emotions of supporters (Mastromartino &amp; Naraine, 2020).</w:t>
      </w:r>
    </w:p>
    <w:p w14:paraId="4D6AC040" w14:textId="27E1AE17" w:rsidR="00241C66" w:rsidRDefault="4FF81AFA" w:rsidP="722B6F2B">
      <w:pPr>
        <w:spacing w:before="240" w:after="240"/>
        <w:jc w:val="both"/>
      </w:pPr>
      <w:r w:rsidRPr="722B6F2B">
        <w:rPr>
          <w:rFonts w:ascii="Arial" w:eastAsia="Arial" w:hAnsi="Arial" w:cs="Arial"/>
        </w:rPr>
        <w:t>IPL is widely known as a digital-first league. Brands often use social media platforms during the tournament to increase engagement, with campaigns designed to spark conversations among fans. Studies show that digital activation helps strengthen brand recall and brand favourability because it allows fans to interact directly with the sponsor rather than passively seeing a logo (Wellington et al., 2022). Social media posts, short videos, and behind-the-scenes clips help create a personalised experience that makes the sponsorship feel more meaningful.</w:t>
      </w:r>
    </w:p>
    <w:p w14:paraId="5E2C1590" w14:textId="4B588344" w:rsidR="00241C66" w:rsidRDefault="4FF81AFA" w:rsidP="722B6F2B">
      <w:pPr>
        <w:spacing w:before="240" w:after="240"/>
        <w:jc w:val="both"/>
      </w:pPr>
      <w:r w:rsidRPr="722B6F2B">
        <w:rPr>
          <w:rFonts w:ascii="Arial" w:eastAsia="Arial" w:hAnsi="Arial" w:cs="Arial"/>
        </w:rPr>
        <w:t>Another major point in the literature is that digital engagement can act as a bridge between fans and sponsors. Naraine et al. (2022) found that when brands create online content that aligns with fans’ interests, fans are more likely to develop positive attitudes toward those sponsors. This is especially relevant in IPL, where fans already follow players and teams closely on social media. Because fans actively participate online — liking, sharing, and commenting — sponsors get more opportunities to shape perceptions of their brand image.</w:t>
      </w:r>
    </w:p>
    <w:p w14:paraId="5BABF50D" w14:textId="3438B640" w:rsidR="00241C66" w:rsidRDefault="4FF81AFA" w:rsidP="722B6F2B">
      <w:pPr>
        <w:spacing w:before="240" w:after="240"/>
        <w:jc w:val="both"/>
      </w:pPr>
      <w:r w:rsidRPr="722B6F2B">
        <w:rPr>
          <w:rFonts w:ascii="Arial" w:eastAsia="Arial" w:hAnsi="Arial" w:cs="Arial"/>
        </w:rPr>
        <w:t>Several studies support the idea that digital activation increases the overall impact of sponsorship on brand image. Burton et al. (2024) argue that campaigns that allow fans to vote, predict match outcomes, or win prizes help deepen emotional engagement, which directly benefits the sponsor. Similarly, Bian and Cork (2025) found that online interactions create a sense of community, leading fans to associate sponsors with positive sports experiences, which strengthens brand image.</w:t>
      </w:r>
    </w:p>
    <w:p w14:paraId="3C0FCA5B" w14:textId="485CA4BC" w:rsidR="00241C66" w:rsidRDefault="4FF81AFA" w:rsidP="722B6F2B">
      <w:pPr>
        <w:spacing w:before="240" w:after="240"/>
        <w:jc w:val="both"/>
      </w:pPr>
      <w:r w:rsidRPr="722B6F2B">
        <w:rPr>
          <w:rFonts w:ascii="Arial" w:eastAsia="Arial" w:hAnsi="Arial" w:cs="Arial"/>
        </w:rPr>
        <w:t>However, the literature also highlights challenges. Not all digital campaigns work well, and fans can quickly react negatively to content that feels forced or irrelevant. For example, Wellington et al. (2022) note that poor-quality or overly promotional content can reduce engagement instead of increasing it. In the IPL context, where many brands compete for attention at the same time, it can be difficult for a sponsor to stand out unless their campaign is creative and strongly connected to the team or players.</w:t>
      </w:r>
    </w:p>
    <w:p w14:paraId="5352D167" w14:textId="25132A0D" w:rsidR="00241C66" w:rsidRDefault="4FF81AFA" w:rsidP="722B6F2B">
      <w:pPr>
        <w:spacing w:before="240" w:after="240"/>
        <w:jc w:val="both"/>
      </w:pPr>
      <w:r w:rsidRPr="722B6F2B">
        <w:rPr>
          <w:rFonts w:ascii="Arial" w:eastAsia="Arial" w:hAnsi="Arial" w:cs="Arial"/>
        </w:rPr>
        <w:t xml:space="preserve">Despite these challenges, </w:t>
      </w:r>
      <w:r w:rsidR="1684610F" w:rsidRPr="722B6F2B">
        <w:rPr>
          <w:rFonts w:ascii="Arial" w:eastAsia="Arial" w:hAnsi="Arial" w:cs="Arial"/>
        </w:rPr>
        <w:t>most of the</w:t>
      </w:r>
      <w:r w:rsidRPr="722B6F2B">
        <w:rPr>
          <w:rFonts w:ascii="Arial" w:eastAsia="Arial" w:hAnsi="Arial" w:cs="Arial"/>
        </w:rPr>
        <w:t xml:space="preserve"> research shows that digital activation plays a key role in shaping how fans perceive brands involved in sponsorship. For the IPL, which has one of the most active digital fan bases in the world, sponsors rely heavily on social media not just to increase visibility but also to build a stronger and more relatable brand image. This makes digital engagement an essential part of understanding sponsorship effectiveness in this study.</w:t>
      </w:r>
    </w:p>
    <w:p w14:paraId="34C73B31" w14:textId="03360F48" w:rsidR="00241C66" w:rsidRDefault="14207AA8" w:rsidP="6708D22A">
      <w:pPr>
        <w:pStyle w:val="Heading2"/>
      </w:pPr>
      <w:bookmarkStart w:id="24" w:name="_Toc1562060413"/>
      <w:bookmarkStart w:id="25" w:name="_Toc964686338"/>
      <w:r>
        <w:t>2.2.4 Sponsorship Effectiveness and Brand Image Outcomes</w:t>
      </w:r>
      <w:bookmarkEnd w:id="24"/>
      <w:bookmarkEnd w:id="25"/>
    </w:p>
    <w:p w14:paraId="55421593" w14:textId="58DD2C23" w:rsidR="00241C66" w:rsidRDefault="14207AA8" w:rsidP="722B6F2B">
      <w:pPr>
        <w:spacing w:before="240" w:after="240"/>
        <w:jc w:val="both"/>
      </w:pPr>
      <w:r w:rsidRPr="722B6F2B">
        <w:rPr>
          <w:rFonts w:ascii="Arial" w:eastAsia="Arial" w:hAnsi="Arial" w:cs="Arial"/>
        </w:rPr>
        <w:t>Understanding how sponsorship influences brand image is a major focus in sports marketing research, but findings across studies show that the outcomes are not always straightforward. Many researchers highlight that although sponsorship can improve brand awareness, favourability, and consumer attitudes, its actual effectiveness depends on several factors such as audience involvement, sponsor–team fit, and the quality of activation strategies. Thomas (2014) explains that sponsorship tends to work best when audiences have strong interest in the sport and can clearly recall the sponsoring brand. This suggests that visibility alone is not enough—fans must engage meaningfully with the sponsorship for it to influence brand image.</w:t>
      </w:r>
    </w:p>
    <w:p w14:paraId="2990CE97" w14:textId="293168DE" w:rsidR="00241C66" w:rsidRDefault="14207AA8" w:rsidP="722B6F2B">
      <w:pPr>
        <w:spacing w:before="240" w:after="240"/>
        <w:jc w:val="both"/>
      </w:pPr>
      <w:r w:rsidRPr="722B6F2B">
        <w:rPr>
          <w:rFonts w:ascii="Arial" w:eastAsia="Arial" w:hAnsi="Arial" w:cs="Arial"/>
        </w:rPr>
        <w:t>Donlan (2013) adds that sponsorship affects brand image by shaping the associations consumers form about the brand. When fans see a brand consistently linked with a team they support, they may develop positive perceptions. However, these associations can be weak if the sponsorship does not feel credible or relevant. Research also shows that sponsorship outcomes vary widely, meaning that not every sponsorship investment guarantees a positive shift in brand image (Abreu Novais &amp; Arcodia, 2013).</w:t>
      </w:r>
    </w:p>
    <w:p w14:paraId="0F903487" w14:textId="45D3334C" w:rsidR="00241C66" w:rsidRDefault="14207AA8" w:rsidP="722B6F2B">
      <w:pPr>
        <w:spacing w:before="240" w:after="240"/>
        <w:jc w:val="both"/>
      </w:pPr>
      <w:r w:rsidRPr="722B6F2B">
        <w:rPr>
          <w:rFonts w:ascii="Arial" w:eastAsia="Arial" w:hAnsi="Arial" w:cs="Arial"/>
        </w:rPr>
        <w:t>More recent studies have explored whether sponsorship leads to measurable behavioural outcomes such as loyalty or purchase intention. Jain et al. (2025) found that sponsorship can increase brand loyalty when fans feel a sense of closeness or emotional connection with both the team and the sponsor. But other studies highlight the opposite: Cobb and Groza (2022) report that poorly executed sponsorships or mismatches between sponsor and team can lead to negative consumer reactions. This shows that sponsorship carries both opportunities and risks, depending on how well it is planned and activated.</w:t>
      </w:r>
    </w:p>
    <w:p w14:paraId="1623CB07" w14:textId="4CED670E" w:rsidR="00241C66" w:rsidRDefault="14207AA8" w:rsidP="722B6F2B">
      <w:pPr>
        <w:spacing w:before="240" w:after="240"/>
        <w:jc w:val="both"/>
      </w:pPr>
      <w:r w:rsidRPr="722B6F2B">
        <w:rPr>
          <w:rFonts w:ascii="Arial" w:eastAsia="Arial" w:hAnsi="Arial" w:cs="Arial"/>
        </w:rPr>
        <w:t>The Indian Premier League presents a unique environment for evaluating sponsorship effectiveness. Because IPL is highly commercial, fast-paced, and crowded with many brands, fans are exposed to multiple sponsors at the same time. Kamath et al. (2020), who studied IPL sponsorship directly, found that event–sponsor fit plays a strong role in determining whether fans respond positively to a sponsor. However, they also note that the IPL’s intense advertising landscape can make it difficult for individual brands to stand out, which affects how much sponsorship impacts brand image.</w:t>
      </w:r>
    </w:p>
    <w:p w14:paraId="3C3E1D7F" w14:textId="647AD0CD" w:rsidR="00241C66" w:rsidRDefault="14207AA8" w:rsidP="722B6F2B">
      <w:pPr>
        <w:spacing w:before="240" w:after="240"/>
        <w:jc w:val="both"/>
      </w:pPr>
      <w:r w:rsidRPr="722B6F2B">
        <w:rPr>
          <w:rFonts w:ascii="Arial" w:eastAsia="Arial" w:hAnsi="Arial" w:cs="Arial"/>
        </w:rPr>
        <w:t>Another challenge highlighted in the literature is how sponsorship effectiveness is measured. Some studies rely on surveys that capture attitudes and perceptions, while others use financial data or social media metrics. Jensen et al. (2024) argue that sponsorship valuation often lacks standardisation, making it hard to compare results across studies or leagues. In the IPL, this problem becomes even bigger because brands frequently change sponsors, shorten contracts, and focus on promotional visibility rather than long-term strategy. Qureshi (2024) notes that IPL sponsors often struggle to balance short-term visibility goals with long-term brand-building, which can reduce the overall impact on brand image.</w:t>
      </w:r>
    </w:p>
    <w:p w14:paraId="56C7E2AC" w14:textId="555A274B" w:rsidR="00241C66" w:rsidRDefault="14207AA8" w:rsidP="722B6F2B">
      <w:pPr>
        <w:spacing w:before="240" w:after="240"/>
        <w:jc w:val="both"/>
      </w:pPr>
      <w:r w:rsidRPr="722B6F2B">
        <w:rPr>
          <w:rFonts w:ascii="Arial" w:eastAsia="Arial" w:hAnsi="Arial" w:cs="Arial"/>
        </w:rPr>
        <w:t>Overall, the literature suggests that sponsorship can positively influence brand image, but only when supported by strong congruence, fan engagement, and effective digital activation. In contexts like the IPL, where competition for fan attention is extremely high, sponsorship effectiveness becomes even more complex. These mixed findings highlight a clear gap: there is limited research on how different types of sponsorship strategies—especially digital activation and congruence-based approaches—shape brand image within the IPL ecosystem. This gap justifies the need for the present study.</w:t>
      </w:r>
    </w:p>
    <w:p w14:paraId="467D0E09" w14:textId="7975B1CA" w:rsidR="00241C66" w:rsidRDefault="73DDE058" w:rsidP="6708D22A">
      <w:pPr>
        <w:pStyle w:val="Heading1"/>
      </w:pPr>
      <w:bookmarkStart w:id="26" w:name="_Toc1562839961"/>
      <w:bookmarkStart w:id="27" w:name="_Toc945504400"/>
      <w:r>
        <w:t>2.3 Theoretical Foundation and Contribution</w:t>
      </w:r>
      <w:bookmarkEnd w:id="26"/>
      <w:bookmarkEnd w:id="27"/>
    </w:p>
    <w:p w14:paraId="43564389" w14:textId="6ADFD812" w:rsidR="3CC7CD4F" w:rsidRDefault="3CC7CD4F" w:rsidP="6708D22A">
      <w:pPr>
        <w:pStyle w:val="Heading2"/>
      </w:pPr>
      <w:bookmarkStart w:id="28" w:name="_Toc1645360452"/>
      <w:bookmarkStart w:id="29" w:name="_Toc136024075"/>
      <w:r>
        <w:t>2.3.1 Brand Equity Theory</w:t>
      </w:r>
      <w:bookmarkEnd w:id="28"/>
      <w:bookmarkEnd w:id="29"/>
    </w:p>
    <w:p w14:paraId="34D2CB74" w14:textId="3611963A" w:rsidR="3CC7CD4F" w:rsidRDefault="3CC7CD4F" w:rsidP="6D643899">
      <w:pPr>
        <w:spacing w:before="240" w:after="240"/>
        <w:jc w:val="both"/>
      </w:pPr>
      <w:r w:rsidRPr="6D643899">
        <w:rPr>
          <w:rFonts w:ascii="Arial" w:eastAsia="Arial" w:hAnsi="Arial" w:cs="Arial"/>
        </w:rPr>
        <w:t>Brand Equity Theory provides the main theoretical foundation for this study because it explains how marketing activities, such as sponsorship, shape what consumers think and feel about a brand. Aaker (1991) introduced brand equity as a set of brand-related assets that add value for the company and the customer. This includes elements like brand awareness, perceived quality, brand associations and loyalty. Keller (1993) further developed this through the concept of customer-based brand equity (CBBE), arguing that brand equity grows when consumers build positive associations, form favourable attitudes and develop strong connections with a brand.</w:t>
      </w:r>
    </w:p>
    <w:p w14:paraId="1A7225A1" w14:textId="27ADD348" w:rsidR="3CC7CD4F" w:rsidRDefault="3CC7CD4F" w:rsidP="6D643899">
      <w:pPr>
        <w:spacing w:before="240" w:after="240"/>
        <w:jc w:val="both"/>
      </w:pPr>
      <w:r w:rsidRPr="6D643899">
        <w:rPr>
          <w:rFonts w:ascii="Arial" w:eastAsia="Arial" w:hAnsi="Arial" w:cs="Arial"/>
        </w:rPr>
        <w:t>In the context of sponsorship, Brand Equity Theory is frequently used to explain how partnering with a sports property can enhance a brand’s meaning in the minds of consumers. Studies show that sponsorship can help brands increase visibility, strengthen associations and create emotional connections, especially when fans identify strongly with the sponsored team (Cornwell &amp; Kwon, 2021; Biscaia et al., 2013). When there is good fit between the sponsor and the team, consumers are more likely to transfer the positive image of the team to the brand, which strengthens brand equity and may influence purchase intentions (Donlan, 2014; Kamath et al., 2020). More recent research also highlights that activation activities, particularly digital engagement, play a crucial role in enhancing brand associations by making sponsorship more interactive and memorable (Naraine et al., 2022; Wellington et al., 2022).</w:t>
      </w:r>
    </w:p>
    <w:p w14:paraId="4F3B0747" w14:textId="6F8EB5D9" w:rsidR="3CC7CD4F" w:rsidRDefault="3CC7CD4F" w:rsidP="6D643899">
      <w:pPr>
        <w:spacing w:before="240" w:after="240"/>
        <w:jc w:val="both"/>
      </w:pPr>
      <w:r w:rsidRPr="6D643899">
        <w:rPr>
          <w:rFonts w:ascii="Arial" w:eastAsia="Arial" w:hAnsi="Arial" w:cs="Arial"/>
        </w:rPr>
        <w:t>Overall, Brand Equity Theory provides a clear explanation of how sponsorship inputs (such as strategy, fit and activation) can influence brand-related outcomes. This makes it a strong theoretical base for analysing brand image changes in the Indian Premier League (IPL), where sponsors rely heavily on fan emotion, team attachment and high digital engagement.</w:t>
      </w:r>
    </w:p>
    <w:p w14:paraId="2BCA82EF" w14:textId="3AF591DE" w:rsidR="3CC7CD4F" w:rsidRDefault="3CC7CD4F" w:rsidP="6708D22A">
      <w:pPr>
        <w:pStyle w:val="Heading2"/>
      </w:pPr>
      <w:bookmarkStart w:id="30" w:name="_Toc2029353924"/>
      <w:bookmarkStart w:id="31" w:name="_Toc1447792013"/>
      <w:r>
        <w:t>2.3.2 Justification for Using Brand Equity Theory</w:t>
      </w:r>
      <w:bookmarkEnd w:id="30"/>
      <w:bookmarkEnd w:id="31"/>
    </w:p>
    <w:p w14:paraId="3D69B893" w14:textId="06506189" w:rsidR="3CC7CD4F" w:rsidRDefault="3CC7CD4F" w:rsidP="6D643899">
      <w:pPr>
        <w:spacing w:before="240" w:after="240"/>
        <w:jc w:val="both"/>
      </w:pPr>
      <w:r w:rsidRPr="6D643899">
        <w:rPr>
          <w:rFonts w:ascii="Arial" w:eastAsia="Arial" w:hAnsi="Arial" w:cs="Arial"/>
        </w:rPr>
        <w:t>Brand Equity Theory is the most suitable lens for this dissertation because the study’s main outcome variable is brand image, which is one of the core components of brand equity. The theory helps explain how different sponsorship decisions — such as the type of sponsorship deal, the perceived fit with a team and the way brands activate campaigns — influence consumer perceptions. Unlike other theories that focus on attitudes or social identity alone, Brand Equity Theory directly links marketing actions to brand value outcomes. This makes it more relevant for examining sponsorship effectiveness in a commercial and highly competitive league such as the IPL.</w:t>
      </w:r>
    </w:p>
    <w:p w14:paraId="28037570" w14:textId="73F1D21A" w:rsidR="6D643899" w:rsidRDefault="3CC7CD4F" w:rsidP="6ED1A321">
      <w:pPr>
        <w:spacing w:before="240" w:after="240"/>
        <w:jc w:val="both"/>
      </w:pPr>
      <w:r w:rsidRPr="6ED1A321">
        <w:rPr>
          <w:rFonts w:ascii="Arial" w:eastAsia="Arial" w:hAnsi="Arial" w:cs="Arial"/>
        </w:rPr>
        <w:t>It also aligns closely with the four themes developed in the literature review, which all relate to how brands shape meaning in the minds of consumers. Because IPL teams have strong emotional followings, and sponsorship exposure is amplified through media and digital platforms, Brand Equity Theory helps connect these elements to measurable changes in brand image.</w:t>
      </w:r>
    </w:p>
    <w:p w14:paraId="34ADB44E" w14:textId="498EE1B3" w:rsidR="3CC7CD4F" w:rsidRDefault="3CC7CD4F" w:rsidP="6708D22A">
      <w:pPr>
        <w:pStyle w:val="Heading2"/>
      </w:pPr>
      <w:bookmarkStart w:id="32" w:name="_Toc583940863"/>
      <w:bookmarkStart w:id="33" w:name="_Toc777656224"/>
      <w:r>
        <w:t>2.3.3 Contribution to Theory</w:t>
      </w:r>
      <w:bookmarkEnd w:id="32"/>
      <w:bookmarkEnd w:id="33"/>
    </w:p>
    <w:p w14:paraId="0F6FEC79" w14:textId="794F9E1C" w:rsidR="3CC7CD4F" w:rsidRDefault="3CC7CD4F" w:rsidP="6D643899">
      <w:pPr>
        <w:spacing w:before="240" w:after="240"/>
        <w:jc w:val="both"/>
      </w:pPr>
      <w:r w:rsidRPr="6D643899">
        <w:rPr>
          <w:rFonts w:ascii="Arial" w:eastAsia="Arial" w:hAnsi="Arial" w:cs="Arial"/>
        </w:rPr>
        <w:t>This study contributes to Brand Equity Theory by applying it to a context that has been under-explored: the Indian Premier League. Much of the existing sponsorship and brand equity research is based on Western sports such as football, basketball or the Olympics, where fan cultures and media consumption patterns differ significantly (Kunkel et al., 2020; Cornwell &amp; Kwon, 2021). By focusing on the IPL, this study extends the theory to a fast-paced, entertainment-driven league where digital engagement plays a major role in shaping brand associations.</w:t>
      </w:r>
    </w:p>
    <w:p w14:paraId="1F145FA6" w14:textId="68BD04FD" w:rsidR="3CC7CD4F" w:rsidRDefault="3CC7CD4F" w:rsidP="6D643899">
      <w:pPr>
        <w:spacing w:before="240" w:after="240"/>
        <w:jc w:val="both"/>
      </w:pPr>
      <w:r w:rsidRPr="6D643899">
        <w:rPr>
          <w:rFonts w:ascii="Arial" w:eastAsia="Arial" w:hAnsi="Arial" w:cs="Arial"/>
        </w:rPr>
        <w:t>The study also brings together four elements — sponsorship strategies, sponsor–team congruence, fan identification and digital activation — into a single framework. Although these components have been studied individually, they have rarely been examined together within Brand Equity Theory, especially in the IPL context. By analysing how these elements jointly influence brand image, the research helps clarify the mechanisms that contribute to brand equity outcomes in emerging sports markets.</w:t>
      </w:r>
    </w:p>
    <w:p w14:paraId="60818B89" w14:textId="64CECED2" w:rsidR="3CC7CD4F" w:rsidRDefault="3CC7CD4F" w:rsidP="6D643899">
      <w:pPr>
        <w:spacing w:before="240" w:after="240"/>
        <w:jc w:val="both"/>
      </w:pPr>
      <w:r w:rsidRPr="6D643899">
        <w:rPr>
          <w:rFonts w:ascii="Arial" w:eastAsia="Arial" w:hAnsi="Arial" w:cs="Arial"/>
        </w:rPr>
        <w:t xml:space="preserve">Finally, the study offers practical insights that can support theory refinement. For example, if findings show that digital activation significantly strengthens brand associations, this may suggest that modern brand equity models should place greater emphasis on digital engagement as a key driver of consumer-based brand equity in contemporary sports environments. </w:t>
      </w:r>
    </w:p>
    <w:p w14:paraId="530AFDD6" w14:textId="3CADF2B5" w:rsidR="492FB71D" w:rsidRDefault="492FB71D" w:rsidP="6D643899">
      <w:pPr>
        <w:pStyle w:val="Heading1"/>
      </w:pPr>
      <w:bookmarkStart w:id="34" w:name="_Toc1724814606"/>
      <w:bookmarkStart w:id="35" w:name="_Toc1973231022"/>
      <w:r>
        <w:t>2.4 Conceptual Framework</w:t>
      </w:r>
      <w:bookmarkEnd w:id="34"/>
      <w:bookmarkEnd w:id="35"/>
      <w:r>
        <w:t xml:space="preserve"> </w:t>
      </w:r>
    </w:p>
    <w:p w14:paraId="6D0F03C2" w14:textId="102F7427" w:rsidR="39C3CF63" w:rsidRDefault="39C3CF63" w:rsidP="6D643899">
      <w:pPr>
        <w:spacing w:before="240" w:after="240"/>
        <w:jc w:val="both"/>
      </w:pPr>
      <w:r w:rsidRPr="6ED1A321">
        <w:rPr>
          <w:rFonts w:ascii="Arial" w:eastAsia="Arial" w:hAnsi="Arial" w:cs="Arial"/>
        </w:rPr>
        <w:t>The conceptual framework brings together the main ideas discussed in the literature and shows how they connect within the IPL sponsorship context. Its purpose is to present a clear structure that explains how sponsorship activities influence brand image, which is the outcome of this study. The framework summarises the key constructs explored in Chapter 2—sponsorship strategies, sponsor–team congruence, fan identification, digital activation, and brand image—and shows the direction of relationships between them. This helps create a logical foundation for the case analysis in later chapters.</w:t>
      </w:r>
    </w:p>
    <w:p w14:paraId="25BF0876" w14:textId="62FA7CDE" w:rsidR="7BEDA4D5" w:rsidRDefault="00E167B9" w:rsidP="2C39C2A3">
      <w:pPr>
        <w:spacing w:before="240" w:after="240"/>
        <w:ind w:left="2160" w:firstLine="720"/>
        <w:jc w:val="both"/>
        <w:rPr>
          <w:rFonts w:ascii="Arial" w:eastAsia="Arial" w:hAnsi="Arial" w:cs="Arial"/>
        </w:rPr>
      </w:pPr>
      <w:r w:rsidRPr="2C39C2A3">
        <w:rPr>
          <w:rFonts w:ascii="Arial" w:eastAsia="Arial" w:hAnsi="Arial" w:cs="Arial"/>
        </w:rPr>
        <w:t xml:space="preserve">  </w:t>
      </w:r>
      <w:r w:rsidR="7BEDA4D5">
        <w:rPr>
          <w:noProof/>
        </w:rPr>
        <w:drawing>
          <wp:inline distT="0" distB="0" distL="0" distR="0" wp14:anchorId="610D4610" wp14:editId="37F8FFD6">
            <wp:extent cx="2085734" cy="3223133"/>
            <wp:effectExtent l="0" t="0" r="0" b="0"/>
            <wp:docPr id="457315274" name="drawing">
              <a:extLst xmlns:a="http://schemas.openxmlformats.org/drawingml/2006/main">
                <a:ext uri="{FF2B5EF4-FFF2-40B4-BE49-F238E27FC236}">
                  <a16:creationId xmlns:a16="http://schemas.microsoft.com/office/drawing/2014/main" id="{7987DF9E-B9B5-41FB-899B-DBDF1DF8C6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312745" name="Picture 1233312745"/>
                    <pic:cNvPicPr/>
                  </pic:nvPicPr>
                  <pic:blipFill>
                    <a:blip r:embed="rId10">
                      <a:extLst>
                        <a:ext uri="{28A0092B-C50C-407E-A947-70E740481C1C}">
                          <a14:useLocalDpi xmlns:a14="http://schemas.microsoft.com/office/drawing/2010/main"/>
                        </a:ext>
                      </a:extLst>
                    </a:blip>
                    <a:stretch>
                      <a:fillRect/>
                    </a:stretch>
                  </pic:blipFill>
                  <pic:spPr>
                    <a:xfrm>
                      <a:off x="0" y="0"/>
                      <a:ext cx="2085734" cy="3223133"/>
                    </a:xfrm>
                    <a:prstGeom prst="rect">
                      <a:avLst/>
                    </a:prstGeom>
                  </pic:spPr>
                </pic:pic>
              </a:graphicData>
            </a:graphic>
          </wp:inline>
        </w:drawing>
      </w:r>
    </w:p>
    <w:p w14:paraId="7C610B22" w14:textId="25C87356" w:rsidR="43A6F8A7" w:rsidRDefault="6C978BCB" w:rsidP="257908A8">
      <w:pPr>
        <w:spacing w:before="240" w:after="240"/>
        <w:ind w:left="2160"/>
        <w:jc w:val="both"/>
        <w:rPr>
          <w:rFonts w:ascii="Arial" w:eastAsia="Arial" w:hAnsi="Arial" w:cs="Arial"/>
          <w:b/>
          <w:bCs/>
        </w:rPr>
      </w:pPr>
      <w:r w:rsidRPr="2C39C2A3">
        <w:rPr>
          <w:rFonts w:ascii="Arial" w:eastAsia="Arial" w:hAnsi="Arial" w:cs="Arial"/>
          <w:b/>
          <w:bCs/>
        </w:rPr>
        <w:t xml:space="preserve">  </w:t>
      </w:r>
      <w:r w:rsidR="43A6F8A7" w:rsidRPr="2C39C2A3">
        <w:rPr>
          <w:rFonts w:ascii="Arial" w:eastAsia="Arial" w:hAnsi="Arial" w:cs="Arial"/>
          <w:b/>
          <w:bCs/>
        </w:rPr>
        <w:t xml:space="preserve">     </w:t>
      </w:r>
      <w:r w:rsidR="57E6D28B" w:rsidRPr="2C39C2A3">
        <w:rPr>
          <w:rFonts w:ascii="Arial" w:eastAsia="Arial" w:hAnsi="Arial" w:cs="Arial"/>
          <w:b/>
          <w:bCs/>
        </w:rPr>
        <w:t>Figure 2.1 Conceptual Framework</w:t>
      </w:r>
    </w:p>
    <w:p w14:paraId="6C4F4A9A" w14:textId="3F851ED2" w:rsidR="57E6D28B" w:rsidRDefault="57E6D28B" w:rsidP="6ED1A321">
      <w:pPr>
        <w:spacing w:before="240" w:after="240"/>
        <w:jc w:val="both"/>
      </w:pPr>
      <w:r w:rsidRPr="6ED1A321">
        <w:rPr>
          <w:rFonts w:ascii="Arial" w:eastAsia="Arial" w:hAnsi="Arial" w:cs="Arial"/>
        </w:rPr>
        <w:t>The diagram that accompanies this section (Figure 2.1) visually represents the pathway from sponsorship strategies to brand image, including the mediating roles of congruence and fan identification, and the moderating role of digital activation. This framework will guide the case analysis in Chapter 4 by highlighting which aspects of sponsorship should be examined in each case. It will also help the cross-case comparison in Chapter 5 by providing a consistent structure for identifying patterns, similarities and differences. The framework may also be refined later if new relationships or factors emerge from the empirical evidence.</w:t>
      </w:r>
    </w:p>
    <w:p w14:paraId="13BFA2BD" w14:textId="6B868522" w:rsidR="39C3CF63" w:rsidRDefault="39C3CF63" w:rsidP="6D643899">
      <w:pPr>
        <w:spacing w:before="240" w:after="240"/>
        <w:jc w:val="both"/>
      </w:pPr>
      <w:r w:rsidRPr="6D643899">
        <w:rPr>
          <w:rFonts w:ascii="Arial" w:eastAsia="Arial" w:hAnsi="Arial" w:cs="Arial"/>
        </w:rPr>
        <w:t xml:space="preserve">The starting point of the framework is </w:t>
      </w:r>
      <w:r w:rsidRPr="6D643899">
        <w:rPr>
          <w:rFonts w:ascii="Arial" w:eastAsia="Arial" w:hAnsi="Arial" w:cs="Arial"/>
          <w:b/>
          <w:bCs/>
        </w:rPr>
        <w:t>sponsorship strategies.</w:t>
      </w:r>
      <w:r w:rsidRPr="6D643899">
        <w:rPr>
          <w:rFonts w:ascii="Arial" w:eastAsia="Arial" w:hAnsi="Arial" w:cs="Arial"/>
        </w:rPr>
        <w:t xml:space="preserve"> These include decisions such as the type of sponsorship, the level of visibility offered, the duration of the partnership, and how actively the sponsor promotes the relationship. These choices shape the initial impression that fans form about the sponsor and determine how effectively the brand becomes associated with the team. Prior research suggests that well-planned sponsorship strategies are more likely to produce meaningful consumer responses, especially in environments like the IPL where competition for attention is very high.</w:t>
      </w:r>
    </w:p>
    <w:p w14:paraId="36F9924C" w14:textId="04DDF103" w:rsidR="39C3CF63" w:rsidRDefault="39C3CF63" w:rsidP="6D643899">
      <w:pPr>
        <w:spacing w:before="240" w:after="240"/>
        <w:jc w:val="both"/>
      </w:pPr>
      <w:r w:rsidRPr="6D643899">
        <w:rPr>
          <w:rFonts w:ascii="Arial" w:eastAsia="Arial" w:hAnsi="Arial" w:cs="Arial"/>
        </w:rPr>
        <w:t xml:space="preserve">The next element in the framework is </w:t>
      </w:r>
      <w:r w:rsidRPr="6D643899">
        <w:rPr>
          <w:rFonts w:ascii="Arial" w:eastAsia="Arial" w:hAnsi="Arial" w:cs="Arial"/>
          <w:b/>
          <w:bCs/>
        </w:rPr>
        <w:t>sponsor–team congruence</w:t>
      </w:r>
      <w:r w:rsidRPr="6D643899">
        <w:rPr>
          <w:rFonts w:ascii="Arial" w:eastAsia="Arial" w:hAnsi="Arial" w:cs="Arial"/>
        </w:rPr>
        <w:t>, which acts as the first mediator. Congruence refers to how well the sponsor fits with the team in terms of image, values or product relevance. Studies show that fans respond more positively when the partnership appears natural and meaningful. If the fit is strong, fans are more willing to accept the brand and transfer positive associations from the team to the sponsor. In the IPL context, where teams have strong regional identities and emotional followings, congruence plays a particularly important role in shaping how fans interpret the sponsorship.</w:t>
      </w:r>
    </w:p>
    <w:p w14:paraId="0A41B246" w14:textId="21C55524" w:rsidR="39C3CF63" w:rsidRDefault="39C3CF63" w:rsidP="6D643899">
      <w:pPr>
        <w:spacing w:before="240" w:after="240"/>
        <w:jc w:val="both"/>
      </w:pPr>
      <w:r w:rsidRPr="6D643899">
        <w:rPr>
          <w:rFonts w:ascii="Arial" w:eastAsia="Arial" w:hAnsi="Arial" w:cs="Arial"/>
          <w:b/>
          <w:bCs/>
        </w:rPr>
        <w:t>Fan identification</w:t>
      </w:r>
      <w:r w:rsidRPr="6D643899">
        <w:rPr>
          <w:rFonts w:ascii="Arial" w:eastAsia="Arial" w:hAnsi="Arial" w:cs="Arial"/>
        </w:rPr>
        <w:t xml:space="preserve"> appears next and acts as the second mediator. Fan identification refers to how emotionally connected and loyal fans feel towards their team. When fans strongly identify with a team, they often extend their support to the associated sponsors as well. Literature in sports marketing shows that highly identified fans are more likely to trust the sponsor, show favourable attitudes and sometimes even support the sponsor through purchase intentions. This helps explain why sponsorship may have a stronger effect on brand image among more committed fan groups.</w:t>
      </w:r>
    </w:p>
    <w:p w14:paraId="1DE8C083" w14:textId="007EEF11" w:rsidR="39C3CF63" w:rsidRDefault="39C3CF63" w:rsidP="6D643899">
      <w:pPr>
        <w:spacing w:before="240" w:after="240"/>
        <w:jc w:val="both"/>
      </w:pPr>
      <w:r w:rsidRPr="6ED1A321">
        <w:rPr>
          <w:rFonts w:ascii="Arial" w:eastAsia="Arial" w:hAnsi="Arial" w:cs="Arial"/>
          <w:b/>
          <w:bCs/>
        </w:rPr>
        <w:t>Digital activation</w:t>
      </w:r>
      <w:r w:rsidRPr="6ED1A321">
        <w:rPr>
          <w:rFonts w:ascii="Arial" w:eastAsia="Arial" w:hAnsi="Arial" w:cs="Arial"/>
        </w:rPr>
        <w:t xml:space="preserve"> is included in the framework as a moderator that can either strengthen or weaken the overall sponsorship effect. Digital activation includes social media engagement, interactive online content, influencer collaborations and digital campaigns. In the IPL, which is one of the world’s most </w:t>
      </w:r>
      <w:r w:rsidR="6441D461" w:rsidRPr="6ED1A321">
        <w:rPr>
          <w:rFonts w:ascii="Arial" w:eastAsia="Arial" w:hAnsi="Arial" w:cs="Arial"/>
        </w:rPr>
        <w:t>digitally driven</w:t>
      </w:r>
      <w:r w:rsidRPr="6ED1A321">
        <w:rPr>
          <w:rFonts w:ascii="Arial" w:eastAsia="Arial" w:hAnsi="Arial" w:cs="Arial"/>
        </w:rPr>
        <w:t xml:space="preserve"> sports leagues, these activities are often the main way fans interact with brands. Strong digital activation can make the sponsorship more visible and engaging, helping fans form clearer and more positive associations with the brand. In contrast, weak or poorly executed activation may limit the impact of the sponsorship, even if other elements such as congruence are strong.</w:t>
      </w:r>
    </w:p>
    <w:p w14:paraId="2D1C0C24" w14:textId="11A7E8CD" w:rsidR="39C3CF63" w:rsidRDefault="39C3CF63" w:rsidP="6D643899">
      <w:pPr>
        <w:spacing w:before="240" w:after="240"/>
        <w:jc w:val="both"/>
      </w:pPr>
      <w:r w:rsidRPr="6D643899">
        <w:rPr>
          <w:rFonts w:ascii="Arial" w:eastAsia="Arial" w:hAnsi="Arial" w:cs="Arial"/>
        </w:rPr>
        <w:t>Finally, the framework leads to brand image, which is the dependent variable. Brand image represents how consumers perceive the sponsor in terms of personality, values, reputation and trustworthiness. The framework suggests that sponsorship affects brand image through a sequence of steps: strategic decisions influence perceived fit, fit influences fan reactions, and fan reactions become stronger or weaker depending on digital activation efforts. All these parts work together to explain how sponsorship can improve (or sometimes fail to improve) the sponsor’s brand image.</w:t>
      </w:r>
    </w:p>
    <w:p w14:paraId="3B1B6FEB" w14:textId="0FC0EEE9" w:rsidR="39C3CF63" w:rsidRDefault="39C3CF63" w:rsidP="6ED1A321">
      <w:pPr>
        <w:spacing w:before="240" w:after="240"/>
        <w:jc w:val="both"/>
        <w:sectPr w:rsidR="39C3CF63">
          <w:headerReference w:type="default" r:id="rId11"/>
          <w:footerReference w:type="default" r:id="rId12"/>
          <w:pgSz w:w="11906" w:h="16838"/>
          <w:pgMar w:top="1440" w:right="1440" w:bottom="1440" w:left="1440" w:header="720" w:footer="720" w:gutter="0"/>
          <w:pgNumType w:start="1"/>
          <w:cols w:space="720"/>
          <w:docGrid w:linePitch="360"/>
        </w:sectPr>
      </w:pPr>
      <w:r w:rsidRPr="6ED1A321">
        <w:rPr>
          <w:rFonts w:ascii="Arial" w:eastAsia="Arial" w:hAnsi="Arial" w:cs="Arial"/>
        </w:rPr>
        <w:t xml:space="preserve">The diagram that accompanies this section (Figure 2.1) visually represents the pathway from sponsorship strategies to brand image, including the mediating roles of congruence and fan identification, and the moderating role of digital activation. This framework will guide the case analysis in Chapter 4 by highlighting which aspects of sponsorship should be examined in each case. It will also help the cross-case comparison in Chapter 5 by providing a consistent structure for identifying patterns, similarities and differences. The framework may also be refined later if new relationships or factors emerge from the empirical evidence. </w:t>
      </w:r>
    </w:p>
    <w:p w14:paraId="602A957A" w14:textId="29A4C292" w:rsidR="54FBB2A5" w:rsidRDefault="25E8AF01" w:rsidP="6708D22A">
      <w:pPr>
        <w:pStyle w:val="Heading1"/>
        <w:rPr>
          <w:b/>
          <w:bCs/>
        </w:rPr>
      </w:pPr>
      <w:bookmarkStart w:id="36" w:name="_Toc1364663478"/>
      <w:bookmarkStart w:id="37" w:name="_Toc1151380902"/>
      <w:r>
        <w:t>2.5 summary of table</w:t>
      </w:r>
      <w:bookmarkEnd w:id="36"/>
      <w:bookmarkEnd w:id="37"/>
      <w:r>
        <w:t xml:space="preserve"> </w:t>
      </w:r>
    </w:p>
    <w:tbl>
      <w:tblPr>
        <w:tblStyle w:val="GridTable6Colorful-Accent1"/>
        <w:tblW w:w="0" w:type="auto"/>
        <w:tblLook w:val="06A0" w:firstRow="1" w:lastRow="0" w:firstColumn="1" w:lastColumn="0" w:noHBand="1" w:noVBand="1"/>
      </w:tblPr>
      <w:tblGrid>
        <w:gridCol w:w="1628"/>
        <w:gridCol w:w="2207"/>
        <w:gridCol w:w="2529"/>
        <w:gridCol w:w="1452"/>
        <w:gridCol w:w="2526"/>
        <w:gridCol w:w="2519"/>
        <w:gridCol w:w="2527"/>
      </w:tblGrid>
      <w:tr w:rsidR="6ED1A321" w14:paraId="1B4EABE3" w14:textId="77777777" w:rsidTr="6708D22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29" w:type="dxa"/>
            <w:tcMar>
              <w:top w:w="15" w:type="dxa"/>
              <w:left w:w="15" w:type="dxa"/>
              <w:right w:w="15" w:type="dxa"/>
            </w:tcMar>
          </w:tcPr>
          <w:p w14:paraId="4F3605BB" w14:textId="7E66BD08" w:rsidR="6ED1A321" w:rsidRDefault="29A48A51" w:rsidP="6708D22A">
            <w:pPr>
              <w:jc w:val="center"/>
              <w:rPr>
                <w:rFonts w:ascii="Arial" w:eastAsia="Arial" w:hAnsi="Arial" w:cs="Arial"/>
                <w:color w:val="000000" w:themeColor="text1"/>
                <w:sz w:val="22"/>
                <w:szCs w:val="22"/>
              </w:rPr>
            </w:pPr>
            <w:r w:rsidRPr="6708D22A">
              <w:rPr>
                <w:rFonts w:ascii="Arial" w:eastAsia="Arial" w:hAnsi="Arial" w:cs="Arial"/>
                <w:color w:val="000000" w:themeColor="text1"/>
                <w:sz w:val="22"/>
                <w:szCs w:val="22"/>
              </w:rPr>
              <w:t>Author(s) &amp; Year</w:t>
            </w:r>
          </w:p>
        </w:tc>
        <w:tc>
          <w:tcPr>
            <w:tcW w:w="2208" w:type="dxa"/>
            <w:tcMar>
              <w:top w:w="15" w:type="dxa"/>
              <w:left w:w="15" w:type="dxa"/>
              <w:right w:w="15" w:type="dxa"/>
            </w:tcMar>
          </w:tcPr>
          <w:p w14:paraId="762B77C7" w14:textId="284ACBF9" w:rsidR="6ED1A321" w:rsidRDefault="29A48A51" w:rsidP="6708D22A">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themeColor="text1"/>
                <w:sz w:val="22"/>
                <w:szCs w:val="22"/>
              </w:rPr>
            </w:pPr>
            <w:r w:rsidRPr="6708D22A">
              <w:rPr>
                <w:rFonts w:ascii="Arial" w:eastAsia="Arial" w:hAnsi="Arial" w:cs="Arial"/>
                <w:color w:val="000000" w:themeColor="text1"/>
                <w:sz w:val="22"/>
                <w:szCs w:val="22"/>
              </w:rPr>
              <w:t>Theory / Framework</w:t>
            </w:r>
          </w:p>
        </w:tc>
        <w:tc>
          <w:tcPr>
            <w:tcW w:w="2529" w:type="dxa"/>
            <w:tcMar>
              <w:top w:w="15" w:type="dxa"/>
              <w:left w:w="15" w:type="dxa"/>
              <w:right w:w="15" w:type="dxa"/>
            </w:tcMar>
          </w:tcPr>
          <w:p w14:paraId="229D6165" w14:textId="60C2B470" w:rsidR="6ED1A321" w:rsidRDefault="29A48A51" w:rsidP="6708D22A">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themeColor="text1"/>
                <w:sz w:val="22"/>
                <w:szCs w:val="22"/>
              </w:rPr>
            </w:pPr>
            <w:r w:rsidRPr="6708D22A">
              <w:rPr>
                <w:rFonts w:ascii="Arial" w:eastAsia="Arial" w:hAnsi="Arial" w:cs="Arial"/>
                <w:color w:val="000000" w:themeColor="text1"/>
                <w:sz w:val="22"/>
                <w:szCs w:val="22"/>
              </w:rPr>
              <w:t>Key Constructs / Themes</w:t>
            </w:r>
          </w:p>
        </w:tc>
        <w:tc>
          <w:tcPr>
            <w:tcW w:w="1452" w:type="dxa"/>
            <w:tcMar>
              <w:top w:w="15" w:type="dxa"/>
              <w:left w:w="15" w:type="dxa"/>
              <w:right w:w="15" w:type="dxa"/>
            </w:tcMar>
          </w:tcPr>
          <w:p w14:paraId="6ADBA77D" w14:textId="7DE3A80A" w:rsidR="6ED1A321" w:rsidRDefault="29A48A51" w:rsidP="6708D22A">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themeColor="text1"/>
                <w:sz w:val="22"/>
                <w:szCs w:val="22"/>
              </w:rPr>
            </w:pPr>
            <w:r w:rsidRPr="6708D22A">
              <w:rPr>
                <w:rFonts w:ascii="Arial" w:eastAsia="Arial" w:hAnsi="Arial" w:cs="Arial"/>
                <w:color w:val="000000" w:themeColor="text1"/>
                <w:sz w:val="22"/>
                <w:szCs w:val="22"/>
              </w:rPr>
              <w:t>Methodology</w:t>
            </w:r>
          </w:p>
        </w:tc>
        <w:tc>
          <w:tcPr>
            <w:tcW w:w="2526" w:type="dxa"/>
            <w:tcMar>
              <w:top w:w="15" w:type="dxa"/>
              <w:left w:w="15" w:type="dxa"/>
              <w:right w:w="15" w:type="dxa"/>
            </w:tcMar>
          </w:tcPr>
          <w:p w14:paraId="52F31C6A" w14:textId="4A926384" w:rsidR="6ED1A321" w:rsidRDefault="29A48A51" w:rsidP="6708D22A">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themeColor="text1"/>
                <w:sz w:val="22"/>
                <w:szCs w:val="22"/>
              </w:rPr>
            </w:pPr>
            <w:r w:rsidRPr="6708D22A">
              <w:rPr>
                <w:rFonts w:ascii="Arial" w:eastAsia="Arial" w:hAnsi="Arial" w:cs="Arial"/>
                <w:color w:val="000000" w:themeColor="text1"/>
                <w:sz w:val="22"/>
                <w:szCs w:val="22"/>
              </w:rPr>
              <w:t>Key Findings</w:t>
            </w:r>
          </w:p>
        </w:tc>
        <w:tc>
          <w:tcPr>
            <w:tcW w:w="2519" w:type="dxa"/>
            <w:tcMar>
              <w:top w:w="15" w:type="dxa"/>
              <w:left w:w="15" w:type="dxa"/>
              <w:right w:w="15" w:type="dxa"/>
            </w:tcMar>
          </w:tcPr>
          <w:p w14:paraId="7966A325" w14:textId="2EFBC05B" w:rsidR="6ED1A321" w:rsidRDefault="29A48A51" w:rsidP="6708D22A">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themeColor="text1"/>
                <w:sz w:val="22"/>
                <w:szCs w:val="22"/>
              </w:rPr>
            </w:pPr>
            <w:r w:rsidRPr="6708D22A">
              <w:rPr>
                <w:rFonts w:ascii="Arial" w:eastAsia="Arial" w:hAnsi="Arial" w:cs="Arial"/>
                <w:color w:val="000000" w:themeColor="text1"/>
                <w:sz w:val="22"/>
                <w:szCs w:val="22"/>
              </w:rPr>
              <w:t>Limitations / Gaps</w:t>
            </w:r>
          </w:p>
        </w:tc>
        <w:tc>
          <w:tcPr>
            <w:tcW w:w="2527" w:type="dxa"/>
            <w:tcMar>
              <w:top w:w="15" w:type="dxa"/>
              <w:left w:w="15" w:type="dxa"/>
              <w:right w:w="15" w:type="dxa"/>
            </w:tcMar>
          </w:tcPr>
          <w:p w14:paraId="2535A1EC" w14:textId="3899C457" w:rsidR="6ED1A321" w:rsidRDefault="29A48A51" w:rsidP="6708D22A">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themeColor="text1"/>
                <w:sz w:val="22"/>
                <w:szCs w:val="22"/>
              </w:rPr>
            </w:pPr>
            <w:r w:rsidRPr="6708D22A">
              <w:rPr>
                <w:rFonts w:ascii="Arial" w:eastAsia="Arial" w:hAnsi="Arial" w:cs="Arial"/>
                <w:color w:val="000000" w:themeColor="text1"/>
                <w:sz w:val="22"/>
                <w:szCs w:val="22"/>
              </w:rPr>
              <w:t>Relevance to This Study</w:t>
            </w:r>
          </w:p>
        </w:tc>
      </w:tr>
      <w:tr w:rsidR="6ED1A321" w14:paraId="45EE00BE" w14:textId="77777777" w:rsidTr="6708D22A">
        <w:trPr>
          <w:trHeight w:val="585"/>
        </w:trPr>
        <w:tc>
          <w:tcPr>
            <w:cnfStyle w:val="001000000000" w:firstRow="0" w:lastRow="0" w:firstColumn="1" w:lastColumn="0" w:oddVBand="0" w:evenVBand="0" w:oddHBand="0" w:evenHBand="0" w:firstRowFirstColumn="0" w:firstRowLastColumn="0" w:lastRowFirstColumn="0" w:lastRowLastColumn="0"/>
            <w:tcW w:w="1629" w:type="dxa"/>
            <w:tcMar>
              <w:top w:w="15" w:type="dxa"/>
              <w:left w:w="15" w:type="dxa"/>
              <w:right w:w="15" w:type="dxa"/>
            </w:tcMar>
          </w:tcPr>
          <w:p w14:paraId="00268039" w14:textId="1D519BF2" w:rsidR="6ED1A321" w:rsidRDefault="29A48A51" w:rsidP="6708D22A">
            <w:pPr>
              <w:rPr>
                <w:rFonts w:ascii="Arial" w:eastAsia="Arial" w:hAnsi="Arial" w:cs="Arial"/>
                <w:color w:val="000000" w:themeColor="text1"/>
                <w:sz w:val="22"/>
                <w:szCs w:val="22"/>
              </w:rPr>
            </w:pPr>
            <w:r w:rsidRPr="6708D22A">
              <w:rPr>
                <w:rFonts w:ascii="Arial" w:eastAsia="Arial" w:hAnsi="Arial" w:cs="Arial"/>
                <w:color w:val="000000" w:themeColor="text1"/>
                <w:sz w:val="22"/>
                <w:szCs w:val="22"/>
              </w:rPr>
              <w:t>Cornwell &amp; Kwon (2021)</w:t>
            </w:r>
          </w:p>
        </w:tc>
        <w:tc>
          <w:tcPr>
            <w:tcW w:w="2208" w:type="dxa"/>
            <w:tcMar>
              <w:top w:w="15" w:type="dxa"/>
              <w:left w:w="15" w:type="dxa"/>
              <w:right w:w="15" w:type="dxa"/>
            </w:tcMar>
          </w:tcPr>
          <w:p w14:paraId="01A2A646" w14:textId="24505185"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Brand Equity Theory</w:t>
            </w:r>
          </w:p>
        </w:tc>
        <w:tc>
          <w:tcPr>
            <w:tcW w:w="2529" w:type="dxa"/>
            <w:tcMar>
              <w:top w:w="15" w:type="dxa"/>
              <w:left w:w="15" w:type="dxa"/>
              <w:right w:w="15" w:type="dxa"/>
            </w:tcMar>
          </w:tcPr>
          <w:p w14:paraId="3DCBE44E" w14:textId="5DFCE039"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Sponsorship strategy, activation quality</w:t>
            </w:r>
          </w:p>
        </w:tc>
        <w:tc>
          <w:tcPr>
            <w:tcW w:w="1452" w:type="dxa"/>
            <w:tcMar>
              <w:top w:w="15" w:type="dxa"/>
              <w:left w:w="15" w:type="dxa"/>
              <w:right w:w="15" w:type="dxa"/>
            </w:tcMar>
          </w:tcPr>
          <w:p w14:paraId="13F8683E" w14:textId="1608671D"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Conceptual review</w:t>
            </w:r>
          </w:p>
        </w:tc>
        <w:tc>
          <w:tcPr>
            <w:tcW w:w="2526" w:type="dxa"/>
            <w:tcMar>
              <w:top w:w="15" w:type="dxa"/>
              <w:left w:w="15" w:type="dxa"/>
              <w:right w:w="15" w:type="dxa"/>
            </w:tcMar>
          </w:tcPr>
          <w:p w14:paraId="4F038E85" w14:textId="59FED569"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Sponsorship enhances brand image when supported by meaningful activation</w:t>
            </w:r>
          </w:p>
        </w:tc>
        <w:tc>
          <w:tcPr>
            <w:tcW w:w="2519" w:type="dxa"/>
            <w:tcMar>
              <w:top w:w="15" w:type="dxa"/>
              <w:left w:w="15" w:type="dxa"/>
              <w:right w:w="15" w:type="dxa"/>
            </w:tcMar>
          </w:tcPr>
          <w:p w14:paraId="4A64EBC9" w14:textId="4957AC8C"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Limited non-Western and IPL-specific evidence</w:t>
            </w:r>
          </w:p>
        </w:tc>
        <w:tc>
          <w:tcPr>
            <w:tcW w:w="2527" w:type="dxa"/>
            <w:tcMar>
              <w:top w:w="15" w:type="dxa"/>
              <w:left w:w="15" w:type="dxa"/>
              <w:right w:w="15" w:type="dxa"/>
            </w:tcMar>
          </w:tcPr>
          <w:p w14:paraId="0FFCCADE" w14:textId="68E7DC0D"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Supports link between sponsorship strategies and brand image</w:t>
            </w:r>
          </w:p>
        </w:tc>
      </w:tr>
      <w:tr w:rsidR="6ED1A321" w14:paraId="00472689" w14:textId="77777777" w:rsidTr="6708D22A">
        <w:trPr>
          <w:trHeight w:val="585"/>
        </w:trPr>
        <w:tc>
          <w:tcPr>
            <w:cnfStyle w:val="001000000000" w:firstRow="0" w:lastRow="0" w:firstColumn="1" w:lastColumn="0" w:oddVBand="0" w:evenVBand="0" w:oddHBand="0" w:evenHBand="0" w:firstRowFirstColumn="0" w:firstRowLastColumn="0" w:lastRowFirstColumn="0" w:lastRowLastColumn="0"/>
            <w:tcW w:w="1629" w:type="dxa"/>
            <w:tcMar>
              <w:top w:w="15" w:type="dxa"/>
              <w:left w:w="15" w:type="dxa"/>
              <w:right w:w="15" w:type="dxa"/>
            </w:tcMar>
          </w:tcPr>
          <w:p w14:paraId="342F6FDC" w14:textId="39D5F36D" w:rsidR="6ED1A321" w:rsidRDefault="29A48A51" w:rsidP="6708D22A">
            <w:pPr>
              <w:rPr>
                <w:rFonts w:ascii="Arial" w:eastAsia="Arial" w:hAnsi="Arial" w:cs="Arial"/>
                <w:color w:val="000000" w:themeColor="text1"/>
                <w:sz w:val="22"/>
                <w:szCs w:val="22"/>
              </w:rPr>
            </w:pPr>
            <w:r w:rsidRPr="6708D22A">
              <w:rPr>
                <w:rFonts w:ascii="Arial" w:eastAsia="Arial" w:hAnsi="Arial" w:cs="Arial"/>
                <w:color w:val="000000" w:themeColor="text1"/>
                <w:sz w:val="22"/>
                <w:szCs w:val="22"/>
              </w:rPr>
              <w:t>Donlan (2014)</w:t>
            </w:r>
          </w:p>
        </w:tc>
        <w:tc>
          <w:tcPr>
            <w:tcW w:w="2208" w:type="dxa"/>
            <w:tcMar>
              <w:top w:w="15" w:type="dxa"/>
              <w:left w:w="15" w:type="dxa"/>
              <w:right w:w="15" w:type="dxa"/>
            </w:tcMar>
          </w:tcPr>
          <w:p w14:paraId="767BFDB7" w14:textId="75E6E1B4"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Brand Equity (via image transfer)</w:t>
            </w:r>
          </w:p>
        </w:tc>
        <w:tc>
          <w:tcPr>
            <w:tcW w:w="2529" w:type="dxa"/>
            <w:tcMar>
              <w:top w:w="15" w:type="dxa"/>
              <w:left w:w="15" w:type="dxa"/>
              <w:right w:w="15" w:type="dxa"/>
            </w:tcMar>
          </w:tcPr>
          <w:p w14:paraId="63611D0E" w14:textId="4401C061"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Sponsor–team congruence, perceived fit</w:t>
            </w:r>
          </w:p>
        </w:tc>
        <w:tc>
          <w:tcPr>
            <w:tcW w:w="1452" w:type="dxa"/>
            <w:tcMar>
              <w:top w:w="15" w:type="dxa"/>
              <w:left w:w="15" w:type="dxa"/>
              <w:right w:w="15" w:type="dxa"/>
            </w:tcMar>
          </w:tcPr>
          <w:p w14:paraId="3B6A8A8E" w14:textId="593334B9"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Survey</w:t>
            </w:r>
          </w:p>
        </w:tc>
        <w:tc>
          <w:tcPr>
            <w:tcW w:w="2526" w:type="dxa"/>
            <w:tcMar>
              <w:top w:w="15" w:type="dxa"/>
              <w:left w:w="15" w:type="dxa"/>
              <w:right w:w="15" w:type="dxa"/>
            </w:tcMar>
          </w:tcPr>
          <w:p w14:paraId="25329575" w14:textId="3911C457"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Strong congruence improves brand associations and image</w:t>
            </w:r>
          </w:p>
        </w:tc>
        <w:tc>
          <w:tcPr>
            <w:tcW w:w="2519" w:type="dxa"/>
            <w:tcMar>
              <w:top w:w="15" w:type="dxa"/>
              <w:left w:w="15" w:type="dxa"/>
              <w:right w:w="15" w:type="dxa"/>
            </w:tcMar>
          </w:tcPr>
          <w:p w14:paraId="01052278" w14:textId="777AFF26"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Not tested in cricket or IPL</w:t>
            </w:r>
          </w:p>
        </w:tc>
        <w:tc>
          <w:tcPr>
            <w:tcW w:w="2527" w:type="dxa"/>
            <w:tcMar>
              <w:top w:w="15" w:type="dxa"/>
              <w:left w:w="15" w:type="dxa"/>
              <w:right w:w="15" w:type="dxa"/>
            </w:tcMar>
          </w:tcPr>
          <w:p w14:paraId="51292FB7" w14:textId="4F1DA1FB"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Direct support for sponsor–team congruence construct</w:t>
            </w:r>
          </w:p>
        </w:tc>
      </w:tr>
      <w:tr w:rsidR="6ED1A321" w14:paraId="19B63AB9" w14:textId="77777777" w:rsidTr="6708D22A">
        <w:trPr>
          <w:trHeight w:val="585"/>
        </w:trPr>
        <w:tc>
          <w:tcPr>
            <w:cnfStyle w:val="001000000000" w:firstRow="0" w:lastRow="0" w:firstColumn="1" w:lastColumn="0" w:oddVBand="0" w:evenVBand="0" w:oddHBand="0" w:evenHBand="0" w:firstRowFirstColumn="0" w:firstRowLastColumn="0" w:lastRowFirstColumn="0" w:lastRowLastColumn="0"/>
            <w:tcW w:w="1629" w:type="dxa"/>
            <w:tcMar>
              <w:top w:w="15" w:type="dxa"/>
              <w:left w:w="15" w:type="dxa"/>
              <w:right w:w="15" w:type="dxa"/>
            </w:tcMar>
          </w:tcPr>
          <w:p w14:paraId="3B7E8EA3" w14:textId="5A78C17C" w:rsidR="6ED1A321" w:rsidRDefault="29A48A51" w:rsidP="6708D22A">
            <w:pPr>
              <w:rPr>
                <w:rFonts w:ascii="Arial" w:eastAsia="Arial" w:hAnsi="Arial" w:cs="Arial"/>
                <w:color w:val="000000" w:themeColor="text1"/>
                <w:sz w:val="22"/>
                <w:szCs w:val="22"/>
              </w:rPr>
            </w:pPr>
            <w:r w:rsidRPr="6708D22A">
              <w:rPr>
                <w:rFonts w:ascii="Arial" w:eastAsia="Arial" w:hAnsi="Arial" w:cs="Arial"/>
                <w:color w:val="000000" w:themeColor="text1"/>
                <w:sz w:val="22"/>
                <w:szCs w:val="22"/>
              </w:rPr>
              <w:t>Biscaia et al. (2013)</w:t>
            </w:r>
          </w:p>
        </w:tc>
        <w:tc>
          <w:tcPr>
            <w:tcW w:w="2208" w:type="dxa"/>
            <w:tcMar>
              <w:top w:w="15" w:type="dxa"/>
              <w:left w:w="15" w:type="dxa"/>
              <w:right w:w="15" w:type="dxa"/>
            </w:tcMar>
          </w:tcPr>
          <w:p w14:paraId="7BCF8CE9" w14:textId="52E90195"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Brand Equity perspective</w:t>
            </w:r>
          </w:p>
        </w:tc>
        <w:tc>
          <w:tcPr>
            <w:tcW w:w="2529" w:type="dxa"/>
            <w:tcMar>
              <w:top w:w="15" w:type="dxa"/>
              <w:left w:w="15" w:type="dxa"/>
              <w:right w:w="15" w:type="dxa"/>
            </w:tcMar>
          </w:tcPr>
          <w:p w14:paraId="4F2D226A" w14:textId="4CFC30CA"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Fan identification, emotional attachment</w:t>
            </w:r>
          </w:p>
        </w:tc>
        <w:tc>
          <w:tcPr>
            <w:tcW w:w="1452" w:type="dxa"/>
            <w:tcMar>
              <w:top w:w="15" w:type="dxa"/>
              <w:left w:w="15" w:type="dxa"/>
              <w:right w:w="15" w:type="dxa"/>
            </w:tcMar>
          </w:tcPr>
          <w:p w14:paraId="428F6193" w14:textId="271489C0"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Survey (football fans)</w:t>
            </w:r>
          </w:p>
        </w:tc>
        <w:tc>
          <w:tcPr>
            <w:tcW w:w="2526" w:type="dxa"/>
            <w:tcMar>
              <w:top w:w="15" w:type="dxa"/>
              <w:left w:w="15" w:type="dxa"/>
              <w:right w:w="15" w:type="dxa"/>
            </w:tcMar>
          </w:tcPr>
          <w:p w14:paraId="10332422" w14:textId="37C3B550"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Higher fan attachment leads to positive sponsor brand perceptions</w:t>
            </w:r>
          </w:p>
        </w:tc>
        <w:tc>
          <w:tcPr>
            <w:tcW w:w="2519" w:type="dxa"/>
            <w:tcMar>
              <w:top w:w="15" w:type="dxa"/>
              <w:left w:w="15" w:type="dxa"/>
              <w:right w:w="15" w:type="dxa"/>
            </w:tcMar>
          </w:tcPr>
          <w:p w14:paraId="05C3D94F" w14:textId="401B5129"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Football-focused context</w:t>
            </w:r>
          </w:p>
        </w:tc>
        <w:tc>
          <w:tcPr>
            <w:tcW w:w="2527" w:type="dxa"/>
            <w:tcMar>
              <w:top w:w="15" w:type="dxa"/>
              <w:left w:w="15" w:type="dxa"/>
              <w:right w:w="15" w:type="dxa"/>
            </w:tcMar>
          </w:tcPr>
          <w:p w14:paraId="4A156481" w14:textId="48BFE803"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Supports fan identification as a mechanism influencing brand image</w:t>
            </w:r>
          </w:p>
        </w:tc>
      </w:tr>
      <w:tr w:rsidR="6ED1A321" w14:paraId="78A622C2" w14:textId="77777777" w:rsidTr="6708D22A">
        <w:trPr>
          <w:trHeight w:val="585"/>
        </w:trPr>
        <w:tc>
          <w:tcPr>
            <w:cnfStyle w:val="001000000000" w:firstRow="0" w:lastRow="0" w:firstColumn="1" w:lastColumn="0" w:oddVBand="0" w:evenVBand="0" w:oddHBand="0" w:evenHBand="0" w:firstRowFirstColumn="0" w:firstRowLastColumn="0" w:lastRowFirstColumn="0" w:lastRowLastColumn="0"/>
            <w:tcW w:w="1629" w:type="dxa"/>
            <w:tcMar>
              <w:top w:w="15" w:type="dxa"/>
              <w:left w:w="15" w:type="dxa"/>
              <w:right w:w="15" w:type="dxa"/>
            </w:tcMar>
          </w:tcPr>
          <w:p w14:paraId="6D723C5C" w14:textId="27731AE8" w:rsidR="6ED1A321" w:rsidRDefault="29A48A51" w:rsidP="6708D22A">
            <w:pPr>
              <w:rPr>
                <w:rFonts w:ascii="Arial" w:eastAsia="Arial" w:hAnsi="Arial" w:cs="Arial"/>
                <w:color w:val="000000" w:themeColor="text1"/>
                <w:sz w:val="22"/>
                <w:szCs w:val="22"/>
              </w:rPr>
            </w:pPr>
            <w:r w:rsidRPr="6708D22A">
              <w:rPr>
                <w:rFonts w:ascii="Arial" w:eastAsia="Arial" w:hAnsi="Arial" w:cs="Arial"/>
                <w:color w:val="000000" w:themeColor="text1"/>
                <w:sz w:val="22"/>
                <w:szCs w:val="22"/>
              </w:rPr>
              <w:t>Kamath et al. (2020)</w:t>
            </w:r>
          </w:p>
        </w:tc>
        <w:tc>
          <w:tcPr>
            <w:tcW w:w="2208" w:type="dxa"/>
            <w:tcMar>
              <w:top w:w="15" w:type="dxa"/>
              <w:left w:w="15" w:type="dxa"/>
              <w:right w:w="15" w:type="dxa"/>
            </w:tcMar>
          </w:tcPr>
          <w:p w14:paraId="47F63657" w14:textId="6CA82FD7"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Brand Equity (IPL context)</w:t>
            </w:r>
          </w:p>
        </w:tc>
        <w:tc>
          <w:tcPr>
            <w:tcW w:w="2529" w:type="dxa"/>
            <w:tcMar>
              <w:top w:w="15" w:type="dxa"/>
              <w:left w:w="15" w:type="dxa"/>
              <w:right w:w="15" w:type="dxa"/>
            </w:tcMar>
          </w:tcPr>
          <w:p w14:paraId="350C6EF3" w14:textId="1555054C"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Sponsor–team congruence, brand recall</w:t>
            </w:r>
          </w:p>
        </w:tc>
        <w:tc>
          <w:tcPr>
            <w:tcW w:w="1452" w:type="dxa"/>
            <w:tcMar>
              <w:top w:w="15" w:type="dxa"/>
              <w:left w:w="15" w:type="dxa"/>
              <w:right w:w="15" w:type="dxa"/>
            </w:tcMar>
          </w:tcPr>
          <w:p w14:paraId="17E3E3DC" w14:textId="731BC7DC"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IPL-based survey</w:t>
            </w:r>
          </w:p>
        </w:tc>
        <w:tc>
          <w:tcPr>
            <w:tcW w:w="2526" w:type="dxa"/>
            <w:tcMar>
              <w:top w:w="15" w:type="dxa"/>
              <w:left w:w="15" w:type="dxa"/>
              <w:right w:w="15" w:type="dxa"/>
            </w:tcMar>
          </w:tcPr>
          <w:p w14:paraId="63BC7CBA" w14:textId="4888FE1C"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Congruence improves sponsor recall and brand attitudes</w:t>
            </w:r>
          </w:p>
        </w:tc>
        <w:tc>
          <w:tcPr>
            <w:tcW w:w="2519" w:type="dxa"/>
            <w:tcMar>
              <w:top w:w="15" w:type="dxa"/>
              <w:left w:w="15" w:type="dxa"/>
              <w:right w:w="15" w:type="dxa"/>
            </w:tcMar>
          </w:tcPr>
          <w:p w14:paraId="22661415" w14:textId="4800AF9D"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Early IPL seasons only</w:t>
            </w:r>
          </w:p>
        </w:tc>
        <w:tc>
          <w:tcPr>
            <w:tcW w:w="2527" w:type="dxa"/>
            <w:tcMar>
              <w:top w:w="15" w:type="dxa"/>
              <w:left w:w="15" w:type="dxa"/>
              <w:right w:w="15" w:type="dxa"/>
            </w:tcMar>
          </w:tcPr>
          <w:p w14:paraId="5B79DAF3" w14:textId="5EB8D6DC"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Provides IPL-specific evidence for congruence effects</w:t>
            </w:r>
          </w:p>
        </w:tc>
      </w:tr>
      <w:tr w:rsidR="6ED1A321" w14:paraId="059A5BCA" w14:textId="77777777" w:rsidTr="6708D22A">
        <w:trPr>
          <w:trHeight w:val="585"/>
        </w:trPr>
        <w:tc>
          <w:tcPr>
            <w:cnfStyle w:val="001000000000" w:firstRow="0" w:lastRow="0" w:firstColumn="1" w:lastColumn="0" w:oddVBand="0" w:evenVBand="0" w:oddHBand="0" w:evenHBand="0" w:firstRowFirstColumn="0" w:firstRowLastColumn="0" w:lastRowFirstColumn="0" w:lastRowLastColumn="0"/>
            <w:tcW w:w="1629" w:type="dxa"/>
            <w:tcMar>
              <w:top w:w="15" w:type="dxa"/>
              <w:left w:w="15" w:type="dxa"/>
              <w:right w:w="15" w:type="dxa"/>
            </w:tcMar>
          </w:tcPr>
          <w:p w14:paraId="3889B0C4" w14:textId="3008C3B2" w:rsidR="6ED1A321" w:rsidRDefault="29A48A51" w:rsidP="6708D22A">
            <w:pPr>
              <w:rPr>
                <w:rFonts w:ascii="Arial" w:eastAsia="Arial" w:hAnsi="Arial" w:cs="Arial"/>
                <w:color w:val="000000" w:themeColor="text1"/>
                <w:sz w:val="22"/>
                <w:szCs w:val="22"/>
              </w:rPr>
            </w:pPr>
            <w:r w:rsidRPr="6708D22A">
              <w:rPr>
                <w:rFonts w:ascii="Arial" w:eastAsia="Arial" w:hAnsi="Arial" w:cs="Arial"/>
                <w:color w:val="000000" w:themeColor="text1"/>
                <w:sz w:val="22"/>
                <w:szCs w:val="22"/>
              </w:rPr>
              <w:t>Jain et al. (2025)</w:t>
            </w:r>
          </w:p>
        </w:tc>
        <w:tc>
          <w:tcPr>
            <w:tcW w:w="2208" w:type="dxa"/>
            <w:tcMar>
              <w:top w:w="15" w:type="dxa"/>
              <w:left w:w="15" w:type="dxa"/>
              <w:right w:w="15" w:type="dxa"/>
            </w:tcMar>
          </w:tcPr>
          <w:p w14:paraId="23FD9B0C" w14:textId="20BF2E74"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Brand Equity outcomes</w:t>
            </w:r>
          </w:p>
        </w:tc>
        <w:tc>
          <w:tcPr>
            <w:tcW w:w="2529" w:type="dxa"/>
            <w:tcMar>
              <w:top w:w="15" w:type="dxa"/>
              <w:left w:w="15" w:type="dxa"/>
              <w:right w:w="15" w:type="dxa"/>
            </w:tcMar>
          </w:tcPr>
          <w:p w14:paraId="76EE6143" w14:textId="77AA5319"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Brand loyalty, brand perceptions</w:t>
            </w:r>
          </w:p>
        </w:tc>
        <w:tc>
          <w:tcPr>
            <w:tcW w:w="1452" w:type="dxa"/>
            <w:tcMar>
              <w:top w:w="15" w:type="dxa"/>
              <w:left w:w="15" w:type="dxa"/>
              <w:right w:w="15" w:type="dxa"/>
            </w:tcMar>
          </w:tcPr>
          <w:p w14:paraId="719A6959" w14:textId="2A45AE86"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Survey</w:t>
            </w:r>
          </w:p>
        </w:tc>
        <w:tc>
          <w:tcPr>
            <w:tcW w:w="2526" w:type="dxa"/>
            <w:tcMar>
              <w:top w:w="15" w:type="dxa"/>
              <w:left w:w="15" w:type="dxa"/>
              <w:right w:w="15" w:type="dxa"/>
            </w:tcMar>
          </w:tcPr>
          <w:p w14:paraId="0E260D94" w14:textId="328CB2A4"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Sponsorship influences loyalty through positive brand associations</w:t>
            </w:r>
          </w:p>
        </w:tc>
        <w:tc>
          <w:tcPr>
            <w:tcW w:w="2519" w:type="dxa"/>
            <w:tcMar>
              <w:top w:w="15" w:type="dxa"/>
              <w:left w:w="15" w:type="dxa"/>
              <w:right w:w="15" w:type="dxa"/>
            </w:tcMar>
          </w:tcPr>
          <w:p w14:paraId="65054833" w14:textId="07A4529A"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Limited sport-specific focus</w:t>
            </w:r>
          </w:p>
        </w:tc>
        <w:tc>
          <w:tcPr>
            <w:tcW w:w="2527" w:type="dxa"/>
            <w:tcMar>
              <w:top w:w="15" w:type="dxa"/>
              <w:left w:w="15" w:type="dxa"/>
              <w:right w:w="15" w:type="dxa"/>
            </w:tcMar>
          </w:tcPr>
          <w:p w14:paraId="0F4FCDF4" w14:textId="6F42E6AE"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Supports sponsorship impact on brand image outcomes</w:t>
            </w:r>
          </w:p>
        </w:tc>
      </w:tr>
      <w:tr w:rsidR="6ED1A321" w14:paraId="00E048FC" w14:textId="77777777" w:rsidTr="6708D22A">
        <w:trPr>
          <w:trHeight w:val="585"/>
        </w:trPr>
        <w:tc>
          <w:tcPr>
            <w:cnfStyle w:val="001000000000" w:firstRow="0" w:lastRow="0" w:firstColumn="1" w:lastColumn="0" w:oddVBand="0" w:evenVBand="0" w:oddHBand="0" w:evenHBand="0" w:firstRowFirstColumn="0" w:firstRowLastColumn="0" w:lastRowFirstColumn="0" w:lastRowLastColumn="0"/>
            <w:tcW w:w="1629" w:type="dxa"/>
            <w:tcMar>
              <w:top w:w="15" w:type="dxa"/>
              <w:left w:w="15" w:type="dxa"/>
              <w:right w:w="15" w:type="dxa"/>
            </w:tcMar>
          </w:tcPr>
          <w:p w14:paraId="4280F75F" w14:textId="0D44B8D1" w:rsidR="6ED1A321" w:rsidRDefault="29A48A51" w:rsidP="6708D22A">
            <w:pPr>
              <w:rPr>
                <w:rFonts w:ascii="Arial" w:eastAsia="Arial" w:hAnsi="Arial" w:cs="Arial"/>
                <w:color w:val="000000" w:themeColor="text1"/>
                <w:sz w:val="22"/>
                <w:szCs w:val="22"/>
              </w:rPr>
            </w:pPr>
            <w:r w:rsidRPr="6708D22A">
              <w:rPr>
                <w:rFonts w:ascii="Arial" w:eastAsia="Arial" w:hAnsi="Arial" w:cs="Arial"/>
                <w:color w:val="000000" w:themeColor="text1"/>
                <w:sz w:val="22"/>
                <w:szCs w:val="22"/>
              </w:rPr>
              <w:t>Naraine et al. (2022)</w:t>
            </w:r>
          </w:p>
        </w:tc>
        <w:tc>
          <w:tcPr>
            <w:tcW w:w="2208" w:type="dxa"/>
            <w:tcMar>
              <w:top w:w="15" w:type="dxa"/>
              <w:left w:w="15" w:type="dxa"/>
              <w:right w:w="15" w:type="dxa"/>
            </w:tcMar>
          </w:tcPr>
          <w:p w14:paraId="387F8EB9" w14:textId="1AB72BEE"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Brand Equity (digital context)</w:t>
            </w:r>
          </w:p>
        </w:tc>
        <w:tc>
          <w:tcPr>
            <w:tcW w:w="2529" w:type="dxa"/>
            <w:tcMar>
              <w:top w:w="15" w:type="dxa"/>
              <w:left w:w="15" w:type="dxa"/>
              <w:right w:w="15" w:type="dxa"/>
            </w:tcMar>
          </w:tcPr>
          <w:p w14:paraId="46DC49BC" w14:textId="14921ED6"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Digital activation, fan engagement</w:t>
            </w:r>
          </w:p>
        </w:tc>
        <w:tc>
          <w:tcPr>
            <w:tcW w:w="1452" w:type="dxa"/>
            <w:tcMar>
              <w:top w:w="15" w:type="dxa"/>
              <w:left w:w="15" w:type="dxa"/>
              <w:right w:w="15" w:type="dxa"/>
            </w:tcMar>
          </w:tcPr>
          <w:p w14:paraId="226D891B" w14:textId="5DC0A989"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Social media analysis</w:t>
            </w:r>
          </w:p>
        </w:tc>
        <w:tc>
          <w:tcPr>
            <w:tcW w:w="2526" w:type="dxa"/>
            <w:tcMar>
              <w:top w:w="15" w:type="dxa"/>
              <w:left w:w="15" w:type="dxa"/>
              <w:right w:w="15" w:type="dxa"/>
            </w:tcMar>
          </w:tcPr>
          <w:p w14:paraId="43C464C5" w14:textId="2CDA8A09"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Digital engagement strengthens fan–brand associations</w:t>
            </w:r>
          </w:p>
        </w:tc>
        <w:tc>
          <w:tcPr>
            <w:tcW w:w="2519" w:type="dxa"/>
            <w:tcMar>
              <w:top w:w="15" w:type="dxa"/>
              <w:left w:w="15" w:type="dxa"/>
              <w:right w:w="15" w:type="dxa"/>
            </w:tcMar>
          </w:tcPr>
          <w:p w14:paraId="68A7111E" w14:textId="26A07B68"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Limited sponsor-level analysis</w:t>
            </w:r>
          </w:p>
        </w:tc>
        <w:tc>
          <w:tcPr>
            <w:tcW w:w="2527" w:type="dxa"/>
            <w:tcMar>
              <w:top w:w="15" w:type="dxa"/>
              <w:left w:w="15" w:type="dxa"/>
              <w:right w:w="15" w:type="dxa"/>
            </w:tcMar>
          </w:tcPr>
          <w:p w14:paraId="1FBAA332" w14:textId="6BA2CE9D"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Justifies inclusion of digital activation in framework</w:t>
            </w:r>
          </w:p>
        </w:tc>
      </w:tr>
      <w:tr w:rsidR="6ED1A321" w14:paraId="1BF5473D" w14:textId="77777777" w:rsidTr="6708D22A">
        <w:trPr>
          <w:trHeight w:val="585"/>
        </w:trPr>
        <w:tc>
          <w:tcPr>
            <w:cnfStyle w:val="001000000000" w:firstRow="0" w:lastRow="0" w:firstColumn="1" w:lastColumn="0" w:oddVBand="0" w:evenVBand="0" w:oddHBand="0" w:evenHBand="0" w:firstRowFirstColumn="0" w:firstRowLastColumn="0" w:lastRowFirstColumn="0" w:lastRowLastColumn="0"/>
            <w:tcW w:w="1629" w:type="dxa"/>
            <w:tcMar>
              <w:top w:w="15" w:type="dxa"/>
              <w:left w:w="15" w:type="dxa"/>
              <w:right w:w="15" w:type="dxa"/>
            </w:tcMar>
          </w:tcPr>
          <w:p w14:paraId="16B09087" w14:textId="138E1F42" w:rsidR="6ED1A321" w:rsidRDefault="29A48A51" w:rsidP="6708D22A">
            <w:pPr>
              <w:rPr>
                <w:rFonts w:ascii="Arial" w:eastAsia="Arial" w:hAnsi="Arial" w:cs="Arial"/>
                <w:color w:val="000000" w:themeColor="text1"/>
                <w:sz w:val="22"/>
                <w:szCs w:val="22"/>
              </w:rPr>
            </w:pPr>
            <w:r w:rsidRPr="6708D22A">
              <w:rPr>
                <w:rFonts w:ascii="Arial" w:eastAsia="Arial" w:hAnsi="Arial" w:cs="Arial"/>
                <w:color w:val="000000" w:themeColor="text1"/>
                <w:sz w:val="22"/>
                <w:szCs w:val="22"/>
              </w:rPr>
              <w:t>Wellington et al. (2022)</w:t>
            </w:r>
          </w:p>
        </w:tc>
        <w:tc>
          <w:tcPr>
            <w:tcW w:w="2208" w:type="dxa"/>
            <w:tcMar>
              <w:top w:w="15" w:type="dxa"/>
              <w:left w:w="15" w:type="dxa"/>
              <w:right w:w="15" w:type="dxa"/>
            </w:tcMar>
          </w:tcPr>
          <w:p w14:paraId="0531CD4F" w14:textId="66D2E4BD"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Brand Equity (activation focus)</w:t>
            </w:r>
          </w:p>
        </w:tc>
        <w:tc>
          <w:tcPr>
            <w:tcW w:w="2529" w:type="dxa"/>
            <w:tcMar>
              <w:top w:w="15" w:type="dxa"/>
              <w:left w:w="15" w:type="dxa"/>
              <w:right w:w="15" w:type="dxa"/>
            </w:tcMar>
          </w:tcPr>
          <w:p w14:paraId="66F66AEC" w14:textId="5EA0B245"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Social media activation, brand recall</w:t>
            </w:r>
          </w:p>
        </w:tc>
        <w:tc>
          <w:tcPr>
            <w:tcW w:w="1452" w:type="dxa"/>
            <w:tcMar>
              <w:top w:w="15" w:type="dxa"/>
              <w:left w:w="15" w:type="dxa"/>
              <w:right w:w="15" w:type="dxa"/>
            </w:tcMar>
          </w:tcPr>
          <w:p w14:paraId="4558FF6B" w14:textId="74F01D48"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Case studies</w:t>
            </w:r>
          </w:p>
        </w:tc>
        <w:tc>
          <w:tcPr>
            <w:tcW w:w="2526" w:type="dxa"/>
            <w:tcMar>
              <w:top w:w="15" w:type="dxa"/>
              <w:left w:w="15" w:type="dxa"/>
              <w:right w:w="15" w:type="dxa"/>
            </w:tcMar>
          </w:tcPr>
          <w:p w14:paraId="652438FA" w14:textId="177E7C4C"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Effective digital campaigns improve brand visibility</w:t>
            </w:r>
          </w:p>
        </w:tc>
        <w:tc>
          <w:tcPr>
            <w:tcW w:w="2519" w:type="dxa"/>
            <w:tcMar>
              <w:top w:w="15" w:type="dxa"/>
              <w:left w:w="15" w:type="dxa"/>
              <w:right w:w="15" w:type="dxa"/>
            </w:tcMar>
          </w:tcPr>
          <w:p w14:paraId="62ECDCF1" w14:textId="0CA9A1B0"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Not IPL-specific</w:t>
            </w:r>
          </w:p>
        </w:tc>
        <w:tc>
          <w:tcPr>
            <w:tcW w:w="2527" w:type="dxa"/>
            <w:tcMar>
              <w:top w:w="15" w:type="dxa"/>
              <w:left w:w="15" w:type="dxa"/>
              <w:right w:w="15" w:type="dxa"/>
            </w:tcMar>
          </w:tcPr>
          <w:p w14:paraId="0FC20FB2" w14:textId="241D8D68"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Reinforces role of digital activation</w:t>
            </w:r>
          </w:p>
        </w:tc>
      </w:tr>
      <w:tr w:rsidR="6ED1A321" w14:paraId="7813C1C6" w14:textId="77777777" w:rsidTr="6708D22A">
        <w:trPr>
          <w:trHeight w:val="300"/>
        </w:trPr>
        <w:tc>
          <w:tcPr>
            <w:cnfStyle w:val="001000000000" w:firstRow="0" w:lastRow="0" w:firstColumn="1" w:lastColumn="0" w:oddVBand="0" w:evenVBand="0" w:oddHBand="0" w:evenHBand="0" w:firstRowFirstColumn="0" w:firstRowLastColumn="0" w:lastRowFirstColumn="0" w:lastRowLastColumn="0"/>
            <w:tcW w:w="1629" w:type="dxa"/>
            <w:tcMar>
              <w:top w:w="15" w:type="dxa"/>
              <w:left w:w="15" w:type="dxa"/>
              <w:right w:w="15" w:type="dxa"/>
            </w:tcMar>
          </w:tcPr>
          <w:p w14:paraId="04FA474C" w14:textId="07ACEE19" w:rsidR="6ED1A321" w:rsidRDefault="29A48A51" w:rsidP="6708D22A">
            <w:pPr>
              <w:rPr>
                <w:rFonts w:ascii="Arial" w:eastAsia="Arial" w:hAnsi="Arial" w:cs="Arial"/>
                <w:color w:val="000000" w:themeColor="text1"/>
                <w:sz w:val="22"/>
                <w:szCs w:val="22"/>
              </w:rPr>
            </w:pPr>
            <w:r w:rsidRPr="6708D22A">
              <w:rPr>
                <w:rFonts w:ascii="Arial" w:eastAsia="Arial" w:hAnsi="Arial" w:cs="Arial"/>
                <w:color w:val="000000" w:themeColor="text1"/>
                <w:sz w:val="22"/>
                <w:szCs w:val="22"/>
              </w:rPr>
              <w:t>Cobb &amp; Groza (2022)</w:t>
            </w:r>
          </w:p>
        </w:tc>
        <w:tc>
          <w:tcPr>
            <w:tcW w:w="2208" w:type="dxa"/>
            <w:tcMar>
              <w:top w:w="15" w:type="dxa"/>
              <w:left w:w="15" w:type="dxa"/>
              <w:right w:w="15" w:type="dxa"/>
            </w:tcMar>
          </w:tcPr>
          <w:p w14:paraId="73D479AE" w14:textId="74666120"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Brand Equity (risk perspective)</w:t>
            </w:r>
          </w:p>
        </w:tc>
        <w:tc>
          <w:tcPr>
            <w:tcW w:w="2529" w:type="dxa"/>
            <w:tcMar>
              <w:top w:w="15" w:type="dxa"/>
              <w:left w:w="15" w:type="dxa"/>
              <w:right w:w="15" w:type="dxa"/>
            </w:tcMar>
          </w:tcPr>
          <w:p w14:paraId="294C92A6" w14:textId="2569F935"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Sponsorship misfit, negative brand effects</w:t>
            </w:r>
          </w:p>
        </w:tc>
        <w:tc>
          <w:tcPr>
            <w:tcW w:w="1452" w:type="dxa"/>
            <w:tcMar>
              <w:top w:w="15" w:type="dxa"/>
              <w:left w:w="15" w:type="dxa"/>
              <w:right w:w="15" w:type="dxa"/>
            </w:tcMar>
          </w:tcPr>
          <w:p w14:paraId="0282D63A" w14:textId="51A78B30"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Experiments</w:t>
            </w:r>
          </w:p>
        </w:tc>
        <w:tc>
          <w:tcPr>
            <w:tcW w:w="2526" w:type="dxa"/>
            <w:tcMar>
              <w:top w:w="15" w:type="dxa"/>
              <w:left w:w="15" w:type="dxa"/>
              <w:right w:w="15" w:type="dxa"/>
            </w:tcMar>
          </w:tcPr>
          <w:p w14:paraId="7C47A2C0" w14:textId="2F300F7A"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Poor fit damages brand image</w:t>
            </w:r>
          </w:p>
        </w:tc>
        <w:tc>
          <w:tcPr>
            <w:tcW w:w="2519" w:type="dxa"/>
            <w:tcMar>
              <w:top w:w="15" w:type="dxa"/>
              <w:left w:w="15" w:type="dxa"/>
              <w:right w:w="15" w:type="dxa"/>
            </w:tcMar>
          </w:tcPr>
          <w:p w14:paraId="7304C612" w14:textId="1A700455"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Limited real-world sports data</w:t>
            </w:r>
          </w:p>
        </w:tc>
        <w:tc>
          <w:tcPr>
            <w:tcW w:w="2527" w:type="dxa"/>
            <w:tcMar>
              <w:top w:w="15" w:type="dxa"/>
              <w:left w:w="15" w:type="dxa"/>
              <w:right w:w="15" w:type="dxa"/>
            </w:tcMar>
          </w:tcPr>
          <w:p w14:paraId="614D2FEE" w14:textId="5770DD63" w:rsidR="6ED1A321" w:rsidRDefault="29A48A51" w:rsidP="6708D22A">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6708D22A">
              <w:rPr>
                <w:rFonts w:ascii="Arial" w:eastAsia="Arial" w:hAnsi="Arial" w:cs="Arial"/>
                <w:color w:val="000000" w:themeColor="text1"/>
                <w:sz w:val="22"/>
                <w:szCs w:val="22"/>
              </w:rPr>
              <w:t xml:space="preserve">Highlights </w:t>
            </w:r>
            <w:r w:rsidR="3F9F437A" w:rsidRPr="6708D22A">
              <w:rPr>
                <w:rFonts w:ascii="Arial" w:eastAsia="Arial" w:hAnsi="Arial" w:cs="Arial"/>
                <w:color w:val="000000" w:themeColor="text1"/>
                <w:sz w:val="22"/>
                <w:szCs w:val="22"/>
              </w:rPr>
              <w:t>risk</w:t>
            </w:r>
            <w:r w:rsidRPr="6708D22A">
              <w:rPr>
                <w:rFonts w:ascii="Arial" w:eastAsia="Arial" w:hAnsi="Arial" w:cs="Arial"/>
                <w:color w:val="000000" w:themeColor="text1"/>
                <w:sz w:val="22"/>
                <w:szCs w:val="22"/>
              </w:rPr>
              <w:t xml:space="preserve"> of weak congruence</w:t>
            </w:r>
          </w:p>
        </w:tc>
      </w:tr>
    </w:tbl>
    <w:p w14:paraId="2E1934F0" w14:textId="1B8DE974" w:rsidR="2CB397D2" w:rsidRDefault="2CB397D2" w:rsidP="2CB397D2">
      <w:pPr>
        <w:spacing w:before="240" w:after="240"/>
        <w:jc w:val="both"/>
        <w:rPr>
          <w:rFonts w:ascii="Arial" w:eastAsia="Arial" w:hAnsi="Arial" w:cs="Arial"/>
        </w:rPr>
        <w:sectPr w:rsidR="2CB397D2" w:rsidSect="005B53CD">
          <w:headerReference w:type="default" r:id="rId13"/>
          <w:footerReference w:type="default" r:id="rId14"/>
          <w:pgSz w:w="16838" w:h="11906" w:orient="landscape"/>
          <w:pgMar w:top="720" w:right="720" w:bottom="720" w:left="720" w:header="720" w:footer="720" w:gutter="0"/>
          <w:cols w:space="720"/>
          <w:docGrid w:linePitch="360"/>
        </w:sectPr>
      </w:pPr>
    </w:p>
    <w:p w14:paraId="3E5843ED" w14:textId="6559AD9E" w:rsidR="00241C66" w:rsidRDefault="3F6F4295" w:rsidP="315A7A7F">
      <w:pPr>
        <w:pStyle w:val="Heading1"/>
      </w:pPr>
      <w:bookmarkStart w:id="38" w:name="_Toc1693163803"/>
      <w:bookmarkStart w:id="39" w:name="_Toc1985031070"/>
      <w:r>
        <w:t>2.6 Conclusion</w:t>
      </w:r>
      <w:bookmarkEnd w:id="38"/>
      <w:bookmarkEnd w:id="39"/>
      <w:r>
        <w:t xml:space="preserve"> </w:t>
      </w:r>
    </w:p>
    <w:p w14:paraId="6E0DFDB9" w14:textId="50DD146F" w:rsidR="00241C66" w:rsidRDefault="3F6F4295" w:rsidP="315A7A7F">
      <w:pPr>
        <w:spacing w:before="240" w:after="240"/>
        <w:jc w:val="both"/>
      </w:pPr>
      <w:r w:rsidRPr="315A7A7F">
        <w:rPr>
          <w:rFonts w:ascii="Arial" w:eastAsia="Arial" w:hAnsi="Arial" w:cs="Arial"/>
        </w:rPr>
        <w:t>This chapter reviewed the main academic discussions that shape our understanding of how sports sponsorship influences brand image, with a particular focus on the IPL context. The thematic review brought together four major areas of literature: the role of sponsorship as a strategic marketing tool, the importance of sponsor–team congruence, the influence of fan identification, and the growing relevance of digital activation. Across these themes, the chapter highlighted that brand image does not change through sponsorship alone. Instead, its effectiveness depends on how well the sponsor fits with the team, how strongly fans identify with the team, and how actively the brand engages audiences through digital channels.</w:t>
      </w:r>
    </w:p>
    <w:p w14:paraId="037BCEC4" w14:textId="40B68AD3" w:rsidR="00241C66" w:rsidRDefault="3F6F4295" w:rsidP="315A7A7F">
      <w:pPr>
        <w:spacing w:before="240" w:after="240"/>
        <w:jc w:val="both"/>
      </w:pPr>
      <w:r w:rsidRPr="315A7A7F">
        <w:rPr>
          <w:rFonts w:ascii="Arial" w:eastAsia="Arial" w:hAnsi="Arial" w:cs="Arial"/>
        </w:rPr>
        <w:t>The chapter also outlined the key theories that support this research—Image Transfer Theory, Social Identity Theory, and Brand Equity Theory—and showed how these frameworks help explain the psychological and marketing mechanisms behind sponsorship outcomes. Based on these insights, a conceptual framework was developed to integrate the core constructs and relationships identified in the literature. This framework will guide the empirical direction of the study and help structure the analysis in later chapters.</w:t>
      </w:r>
    </w:p>
    <w:p w14:paraId="01289AA0" w14:textId="68478F08" w:rsidR="00241C66" w:rsidRDefault="3F6F4295" w:rsidP="315A7A7F">
      <w:pPr>
        <w:spacing w:before="240" w:after="240"/>
        <w:jc w:val="both"/>
      </w:pPr>
      <w:r w:rsidRPr="7935BD89">
        <w:rPr>
          <w:rFonts w:ascii="Arial" w:eastAsia="Arial" w:hAnsi="Arial" w:cs="Arial"/>
        </w:rPr>
        <w:t>Overall, the review shows that existing research offers valuable insights but also contains gaps, especially in the IPL’s unique commercial and digital environment. These gaps justify the need for this dissertation and shape the methodological choices that will be introduced in Chapter 3.</w:t>
      </w:r>
    </w:p>
    <w:p w14:paraId="4E343360" w14:textId="1F10B808" w:rsidR="7935BD89" w:rsidRDefault="7935BD89" w:rsidP="7935BD89">
      <w:pPr>
        <w:spacing w:before="240" w:after="240"/>
        <w:jc w:val="both"/>
        <w:rPr>
          <w:rFonts w:ascii="Arial" w:eastAsia="Arial" w:hAnsi="Arial" w:cs="Arial"/>
        </w:rPr>
      </w:pPr>
    </w:p>
    <w:p w14:paraId="65F950BD" w14:textId="6026563A" w:rsidR="7935BD89" w:rsidRDefault="7935BD89" w:rsidP="7935BD89">
      <w:pPr>
        <w:spacing w:before="240" w:after="240"/>
        <w:jc w:val="both"/>
        <w:rPr>
          <w:rFonts w:ascii="Arial" w:eastAsia="Arial" w:hAnsi="Arial" w:cs="Arial"/>
        </w:rPr>
      </w:pPr>
    </w:p>
    <w:p w14:paraId="0CD1E17C" w14:textId="505F38CF" w:rsidR="7C120F34" w:rsidRDefault="7C120F34" w:rsidP="7C120F34">
      <w:pPr>
        <w:spacing w:before="240" w:after="240"/>
        <w:jc w:val="both"/>
        <w:rPr>
          <w:rFonts w:ascii="Arial" w:eastAsia="Arial" w:hAnsi="Arial" w:cs="Arial"/>
        </w:rPr>
      </w:pPr>
    </w:p>
    <w:p w14:paraId="1DA48106" w14:textId="13ADEC4C" w:rsidR="7935BD89" w:rsidRDefault="7935BD89" w:rsidP="7935BD89">
      <w:pPr>
        <w:spacing w:before="240" w:after="240"/>
        <w:jc w:val="both"/>
        <w:rPr>
          <w:rFonts w:ascii="Arial" w:eastAsia="Arial" w:hAnsi="Arial" w:cs="Arial"/>
        </w:rPr>
      </w:pPr>
    </w:p>
    <w:p w14:paraId="09D64E5D" w14:textId="26EE373E" w:rsidR="7935BD89" w:rsidRDefault="7935BD89" w:rsidP="7935BD89">
      <w:pPr>
        <w:spacing w:before="240" w:after="240"/>
        <w:jc w:val="both"/>
        <w:rPr>
          <w:rFonts w:ascii="Arial" w:eastAsia="Arial" w:hAnsi="Arial" w:cs="Arial"/>
        </w:rPr>
      </w:pPr>
    </w:p>
    <w:p w14:paraId="77D43151" w14:textId="4F87BAD6" w:rsidR="7935BD89" w:rsidRDefault="7935BD89" w:rsidP="7935BD89">
      <w:pPr>
        <w:spacing w:before="240" w:after="240"/>
        <w:jc w:val="both"/>
        <w:rPr>
          <w:rFonts w:ascii="Arial" w:eastAsia="Arial" w:hAnsi="Arial" w:cs="Arial"/>
        </w:rPr>
      </w:pPr>
    </w:p>
    <w:p w14:paraId="568692B2" w14:textId="20CA996E" w:rsidR="7935BD89" w:rsidRDefault="7935BD89" w:rsidP="7935BD89">
      <w:pPr>
        <w:spacing w:before="240" w:after="240"/>
        <w:jc w:val="both"/>
        <w:rPr>
          <w:rFonts w:ascii="Arial" w:eastAsia="Arial" w:hAnsi="Arial" w:cs="Arial"/>
        </w:rPr>
      </w:pPr>
    </w:p>
    <w:p w14:paraId="785626B4" w14:textId="0BD6B3FF" w:rsidR="7935BD89" w:rsidRDefault="7935BD89" w:rsidP="7935BD89">
      <w:pPr>
        <w:spacing w:before="240" w:after="240"/>
        <w:jc w:val="both"/>
        <w:rPr>
          <w:rFonts w:ascii="Arial" w:eastAsia="Arial" w:hAnsi="Arial" w:cs="Arial"/>
        </w:rPr>
      </w:pPr>
    </w:p>
    <w:p w14:paraId="3AA4788E" w14:textId="4F163372" w:rsidR="552AD7BB" w:rsidRDefault="552AD7BB" w:rsidP="552AD7BB">
      <w:pPr>
        <w:spacing w:before="240" w:after="240"/>
        <w:jc w:val="both"/>
        <w:rPr>
          <w:rFonts w:ascii="Arial" w:eastAsia="Arial" w:hAnsi="Arial" w:cs="Arial"/>
        </w:rPr>
      </w:pPr>
    </w:p>
    <w:p w14:paraId="005552B1" w14:textId="068A5F5A" w:rsidR="552AD7BB" w:rsidRDefault="552AD7BB" w:rsidP="552AD7BB">
      <w:pPr>
        <w:spacing w:before="240" w:after="240"/>
        <w:jc w:val="both"/>
        <w:rPr>
          <w:rFonts w:ascii="Arial" w:eastAsia="Arial" w:hAnsi="Arial" w:cs="Arial"/>
        </w:rPr>
      </w:pPr>
    </w:p>
    <w:p w14:paraId="6971017B" w14:textId="3642F917" w:rsidR="09E8B50C" w:rsidRDefault="09E8B50C" w:rsidP="7935BD89">
      <w:pPr>
        <w:jc w:val="both"/>
        <w:rPr>
          <w:rFonts w:ascii="Arial" w:eastAsia="Arial" w:hAnsi="Arial" w:cs="Arial"/>
          <w:color w:val="000000" w:themeColor="text1"/>
          <w:sz w:val="36"/>
          <w:szCs w:val="36"/>
        </w:rPr>
      </w:pPr>
      <w:r w:rsidRPr="7935BD89">
        <w:rPr>
          <w:rFonts w:ascii="Arial" w:eastAsia="Arial" w:hAnsi="Arial" w:cs="Arial"/>
          <w:b/>
          <w:bCs/>
          <w:color w:val="000000" w:themeColor="text1"/>
          <w:sz w:val="36"/>
          <w:szCs w:val="36"/>
        </w:rPr>
        <w:t>3. Research Methodology</w:t>
      </w:r>
    </w:p>
    <w:p w14:paraId="1061858E" w14:textId="4B5E1D4B" w:rsidR="09E8B50C" w:rsidRDefault="09E8B50C" w:rsidP="7935BD89">
      <w:pPr>
        <w:spacing w:before="240" w:after="240"/>
        <w:jc w:val="both"/>
        <w:rPr>
          <w:rFonts w:ascii="Aptos Display" w:eastAsia="Aptos Display" w:hAnsi="Aptos Display" w:cs="Aptos Display"/>
          <w:color w:val="0F4761" w:themeColor="accent1" w:themeShade="BF"/>
          <w:sz w:val="40"/>
          <w:szCs w:val="40"/>
        </w:rPr>
      </w:pPr>
      <w:r w:rsidRPr="7935BD89">
        <w:rPr>
          <w:rFonts w:ascii="Arial" w:eastAsia="Arial" w:hAnsi="Arial" w:cs="Arial"/>
          <w:color w:val="000000" w:themeColor="text1"/>
        </w:rPr>
        <w:t xml:space="preserve"> </w:t>
      </w:r>
      <w:r w:rsidRPr="7935BD89">
        <w:rPr>
          <w:rStyle w:val="Heading1Char"/>
          <w:rFonts w:ascii="Aptos Display" w:eastAsia="Aptos Display" w:hAnsi="Aptos Display" w:cs="Aptos Display"/>
        </w:rPr>
        <w:t>3.1 Introduction</w:t>
      </w:r>
    </w:p>
    <w:p w14:paraId="3F18E5D1" w14:textId="66111490"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This chapter explains how the research was carried out and why the chosen methods are appropriate for answering the dissertation’s aim and the research question. The study investigates how IPL sponsorship influences brand image, and this requires understanding real sponsorship cases in their actual business context. Because the research relies on publicly available information rather than interviews or surveys, a secondary-data case study design is used.</w:t>
      </w:r>
    </w:p>
    <w:p w14:paraId="44B70EC1" w14:textId="58F9F562"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The chapter first outlines the research philosophy, approach and design using the Research Onion framework. It then explains why case studies are suitable, how the specific IPL sponsorship cases were selected, what data sources were used, and how the analysis was carried out. The chapter also discusses research quality, rigour and ethical considerations. It finishes with a short summary that leads into Chapter 4.</w:t>
      </w:r>
    </w:p>
    <w:p w14:paraId="1C1B8F41" w14:textId="080F06BB" w:rsidR="09E8B50C" w:rsidRDefault="09E8B50C" w:rsidP="7935BD89">
      <w:pPr>
        <w:spacing w:before="240" w:after="240"/>
        <w:jc w:val="both"/>
        <w:rPr>
          <w:rFonts w:ascii="Arial" w:eastAsia="Arial" w:hAnsi="Arial" w:cs="Arial"/>
          <w:color w:val="000000" w:themeColor="text1"/>
        </w:rPr>
      </w:pPr>
      <w:r>
        <w:rPr>
          <w:noProof/>
        </w:rPr>
        <w:drawing>
          <wp:inline distT="0" distB="0" distL="0" distR="0" wp14:anchorId="6C0659DB" wp14:editId="20604F53">
            <wp:extent cx="5724525" cy="3705225"/>
            <wp:effectExtent l="0" t="0" r="0" b="0"/>
            <wp:docPr id="176153667" name="drawing">
              <a:extLst xmlns:a="http://schemas.openxmlformats.org/drawingml/2006/main">
                <a:ext uri="{FF2B5EF4-FFF2-40B4-BE49-F238E27FC236}">
                  <a16:creationId xmlns:a16="http://schemas.microsoft.com/office/drawing/2014/main" id="{8D2882BC-399F-444C-84F1-565A9F2E69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53667" name="Picture 176153667"/>
                    <pic:cNvPicPr/>
                  </pic:nvPicPr>
                  <pic:blipFill>
                    <a:blip r:embed="rId15">
                      <a:extLst>
                        <a:ext uri="{28A0092B-C50C-407E-A947-70E740481C1C}">
                          <a14:useLocalDpi xmlns:a14="http://schemas.microsoft.com/office/drawing/2010/main"/>
                        </a:ext>
                      </a:extLst>
                    </a:blip>
                    <a:stretch>
                      <a:fillRect/>
                    </a:stretch>
                  </pic:blipFill>
                  <pic:spPr>
                    <a:xfrm>
                      <a:off x="0" y="0"/>
                      <a:ext cx="5724525" cy="3705225"/>
                    </a:xfrm>
                    <a:prstGeom prst="rect">
                      <a:avLst/>
                    </a:prstGeom>
                  </pic:spPr>
                </pic:pic>
              </a:graphicData>
            </a:graphic>
          </wp:inline>
        </w:drawing>
      </w:r>
    </w:p>
    <w:p w14:paraId="3F44EE1D" w14:textId="30F16FC1" w:rsidR="09E8B50C" w:rsidRDefault="09E8B50C" w:rsidP="7935BD89">
      <w:pPr>
        <w:spacing w:before="240" w:after="240"/>
        <w:ind w:left="720" w:firstLine="720"/>
        <w:jc w:val="both"/>
        <w:rPr>
          <w:rFonts w:ascii="Arial" w:eastAsia="Arial" w:hAnsi="Arial" w:cs="Arial"/>
          <w:color w:val="000000" w:themeColor="text1"/>
        </w:rPr>
      </w:pPr>
      <w:r w:rsidRPr="7935BD89">
        <w:rPr>
          <w:rFonts w:ascii="Arial" w:eastAsia="Arial" w:hAnsi="Arial" w:cs="Arial"/>
          <w:b/>
          <w:bCs/>
          <w:color w:val="000000" w:themeColor="text1"/>
        </w:rPr>
        <w:t>Figure 3.1: The Research Onion (Saunders et al., 2019)</w:t>
      </w:r>
    </w:p>
    <w:p w14:paraId="5317540E" w14:textId="5D10D8DF"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A figure of Saunders et al.’s Research Onion is included to illustrate how the philosophical and methodological choices fit together.</w:t>
      </w:r>
    </w:p>
    <w:p w14:paraId="4F02E3DE" w14:textId="09DE7783" w:rsidR="09E8B50C" w:rsidRDefault="09E8B50C" w:rsidP="7935BD89">
      <w:pPr>
        <w:pStyle w:val="Heading1"/>
        <w:rPr>
          <w:rFonts w:ascii="Aptos Display" w:eastAsia="Aptos Display" w:hAnsi="Aptos Display" w:cs="Aptos Display"/>
        </w:rPr>
      </w:pPr>
      <w:bookmarkStart w:id="40" w:name="_Toc852796087"/>
      <w:bookmarkStart w:id="41" w:name="_Toc1593353086"/>
      <w:r w:rsidRPr="552AD7BB">
        <w:rPr>
          <w:rFonts w:ascii="Aptos Display" w:eastAsia="Aptos Display" w:hAnsi="Aptos Display" w:cs="Aptos Display"/>
        </w:rPr>
        <w:t>3.2 Research Philosophy, Approach and Design</w:t>
      </w:r>
      <w:bookmarkEnd w:id="40"/>
      <w:bookmarkEnd w:id="41"/>
    </w:p>
    <w:p w14:paraId="37C76CBA" w14:textId="414D44E9"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This study is positioned within an interpretivist research philosophy, as it aims to understand how sports sponsorship strategies influence brand image in the Indian Premier League (IPL) from the perspective of meaning, perception, and interpretation rather than objective measurement. Interpretivism recognises that brand image is socially constructed and shaped by fan experiences, emotions, media narratives, and contextual factors surrounding sponsorship activities (Saunders et al., 2019). Since this research explores how sponsorship is perceived by audiences and how these perceptions contribute to brand equity, an interpretivist stance is appropriate. It allows the study to focus on understanding patterns and meanings within existing sponsorship cases rather than testing predefined hypotheses.</w:t>
      </w:r>
    </w:p>
    <w:p w14:paraId="03732BE7" w14:textId="431DD934"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In terms of research approach, this study adopts an inductive approach. An inductive approach is suitable where the objective is to build understanding and insights from observed data rather than to test theory in a strictly deductive manner (Saunders et al., 2019). While Brand Equity Theory provides a guiding lens for interpreting findings, the study does not begin with formal hypotheses. Instead, it examines multiple IPL sponsorship cases and allows patterns related to sponsorship strategy, fan identification, digital activation, and brand image to emerge from the data. This approach supports the exploratory nature of the research and aligns with the use of secondary qualitative data such as industry reports, media coverage, and published case evidence.</w:t>
      </w:r>
    </w:p>
    <w:p w14:paraId="638F8980" w14:textId="3ACF45D5"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The overall research design follows a qualitative multiple case study strategy. Case study research enables an in-depth examination of contemporary phenomena within their real-life context, particularly where the boundaries between the phenomenon and its context are not clearly defined (Yin, 2018). The IPL provides a rich and complex environment where sponsorship strategies vary widely across teams and sponsors, making it well suited for case-based analysis. A multiple case design is adopted to allow comparison across different sponsorship models and to strengthen the robustness of findings through replication logic rather than statistical generalisation.</w:t>
      </w:r>
    </w:p>
    <w:p w14:paraId="19A6847E" w14:textId="64D61EBB"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Saunders et al.’s (2019) Research Onion is used as an organising framework for the methodological design of this study. The outer layers reflect the interpretivist philosophy and inductive approach, followed by the case study strategy, reliance on secondary data, and qualitative analysis techniques. This structured design ensures methodological coherence and transparency while remaining aligned with the research aim of understanding how IPL sponsorship contributes to brand image formation through the lens of brand equity. </w:t>
      </w:r>
    </w:p>
    <w:p w14:paraId="3A020B79" w14:textId="56C5A943" w:rsidR="09E8B50C" w:rsidRDefault="09E8B50C" w:rsidP="7935BD89">
      <w:pPr>
        <w:pStyle w:val="Heading1"/>
        <w:rPr>
          <w:rFonts w:ascii="Aptos Display" w:eastAsia="Aptos Display" w:hAnsi="Aptos Display" w:cs="Aptos Display"/>
        </w:rPr>
      </w:pPr>
      <w:bookmarkStart w:id="42" w:name="_Toc2090320416"/>
      <w:bookmarkStart w:id="43" w:name="_Toc682816243"/>
      <w:r w:rsidRPr="552AD7BB">
        <w:rPr>
          <w:rFonts w:ascii="Aptos Display" w:eastAsia="Aptos Display" w:hAnsi="Aptos Display" w:cs="Aptos Display"/>
        </w:rPr>
        <w:t>3.3 Justification for Case Study Methodology</w:t>
      </w:r>
      <w:bookmarkEnd w:id="42"/>
      <w:bookmarkEnd w:id="43"/>
    </w:p>
    <w:p w14:paraId="0D484FD5" w14:textId="6BA0BB3E"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Case studies are the most suitable method for this dissertation for several reasons. First, the research question focuses on how IPL sponsorship influences brand image. Case studies are widely recognised as the best way to explore “how” and “why” questions in real settings, especially when the boundaries between the phenomenon and its context are not clear (Yin, 2018). Sponsorship involves many interacting elements—team identity, digital engagement, fan culture—so understanding it requires a holistic view.</w:t>
      </w:r>
    </w:p>
    <w:p w14:paraId="38B1CE06" w14:textId="750C9817"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Second, a multi-case approach provides richer insight than a single case. By comparing different sponsorship strategies—team sponsorship, digital activation partnerships and event sponsorships—it becomes possible to identify patterns and differences across cases. This strengthens the findings and supports analytical generalisation to theory.</w:t>
      </w:r>
    </w:p>
    <w:p w14:paraId="32C24C70" w14:textId="2DFAD6AD"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Third, secondary data works particularly well in this study. IPL cases involve well-known brands with extensive public documentation, including press releases, sponsorship reports, industry analyses and media coverage. This provides enough depth for meaningful analysis while avoiding practical issues such as gaining interview access to high-profile organisations.</w:t>
      </w:r>
    </w:p>
    <w:p w14:paraId="2DADF904" w14:textId="531F637A"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Although secondary data can sometimes be biased or incomplete, these limitations are managed through triangulation, which is explained in Section 3.7.</w:t>
      </w:r>
    </w:p>
    <w:p w14:paraId="1A94F877" w14:textId="2B73FA68" w:rsidR="09E8B50C" w:rsidRDefault="09E8B50C" w:rsidP="7935BD89">
      <w:pPr>
        <w:pStyle w:val="Heading1"/>
        <w:rPr>
          <w:rFonts w:ascii="Aptos Display" w:eastAsia="Aptos Display" w:hAnsi="Aptos Display" w:cs="Aptos Display"/>
        </w:rPr>
      </w:pPr>
      <w:bookmarkStart w:id="44" w:name="_Toc1935314359"/>
      <w:bookmarkStart w:id="45" w:name="_Toc233156122"/>
      <w:r w:rsidRPr="552AD7BB">
        <w:rPr>
          <w:rFonts w:ascii="Aptos Display" w:eastAsia="Aptos Display" w:hAnsi="Aptos Display" w:cs="Aptos Display"/>
        </w:rPr>
        <w:t>3.4 Case Selection and Sampling Strategy</w:t>
      </w:r>
      <w:bookmarkEnd w:id="44"/>
      <w:bookmarkEnd w:id="45"/>
    </w:p>
    <w:p w14:paraId="6F24D75B" w14:textId="1745B7FB"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This study adopts a purposive sampling strategy to select IPL sponsorship cases that are most relevant to the research aim of understanding how sponsorship strategies influence brand image. Purposive sampling is appropriate for qualitative case study research because cases are selected deliberately based on their relevance and information richness rather than through random selection (Yin, 2018). The objective is not statistical generalisation, but analytical insight into how different sponsorship approaches operate within the IPL context.</w:t>
      </w:r>
    </w:p>
    <w:p w14:paraId="4F9F803A" w14:textId="7553FB58"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Several criteria guided the case selection process. First, each case involves a prominent IPL sponsorship that is clearly intended to influence brand image rather than purely transactional exposure. Second, sufficient and credible secondary data needed to be available, including industry reports, media coverage, sponsorship announcements, and independent commentary. Third, the cases were selected to reflect variation in sponsorship format and activation style, allowing meaningful comparison across different sponsorship models. Finally, the sponsorships are recent or ongoing, ensuring that the analysis reflects the contemporary IPL environment and current sponsorship practices.</w:t>
      </w:r>
    </w:p>
    <w:p w14:paraId="2C76C3F2" w14:textId="48768E02"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Based on these criteria, five IPL sponsorship cases were selected for this study.</w:t>
      </w:r>
    </w:p>
    <w:p w14:paraId="3C76F9C6" w14:textId="618B3A97"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The first case is </w:t>
      </w:r>
      <w:r w:rsidRPr="7935BD89">
        <w:rPr>
          <w:rFonts w:ascii="Arial" w:eastAsia="Arial" w:hAnsi="Arial" w:cs="Arial"/>
          <w:b/>
          <w:bCs/>
          <w:color w:val="000000" w:themeColor="text1"/>
        </w:rPr>
        <w:t>Qatar Airways × Royal Challengers Bengaluru (RCB)</w:t>
      </w:r>
      <w:r w:rsidRPr="7935BD89">
        <w:rPr>
          <w:rFonts w:ascii="Arial" w:eastAsia="Arial" w:hAnsi="Arial" w:cs="Arial"/>
          <w:color w:val="000000" w:themeColor="text1"/>
        </w:rPr>
        <w:t>, which represents a high-visibility team sponsorship linked to a franchise with a large and emotionally engaged fan base. This case is particularly relevant for examining how team identification and emotional attachment contribute to brand image formation.</w:t>
      </w:r>
    </w:p>
    <w:p w14:paraId="514C6916" w14:textId="726FE0C2"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The second case is </w:t>
      </w:r>
      <w:r w:rsidRPr="7935BD89">
        <w:rPr>
          <w:rFonts w:ascii="Arial" w:eastAsia="Arial" w:hAnsi="Arial" w:cs="Arial"/>
          <w:b/>
          <w:bCs/>
          <w:color w:val="000000" w:themeColor="text1"/>
        </w:rPr>
        <w:t>Etihad Airways × Chennai Super Kings (CSK)</w:t>
      </w:r>
      <w:r w:rsidRPr="7935BD89">
        <w:rPr>
          <w:rFonts w:ascii="Arial" w:eastAsia="Arial" w:hAnsi="Arial" w:cs="Arial"/>
          <w:color w:val="000000" w:themeColor="text1"/>
        </w:rPr>
        <w:t>, which also represents an airline team sponsorship but within a contrasting team context. CSK is one of the most successful and stable IPL franchises, with a strong legacy, loyal fan base, and consistent brand identity. Including this case allows comparison between two airline sponsorships operating within the same league but attached to teams with different performance histories, fan cultures, and brand narratives. This strengthens cross-case analysis by holding the sponsor industry constant while varying team context.</w:t>
      </w:r>
    </w:p>
    <w:p w14:paraId="1727446C" w14:textId="4A69EDF7"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The third case is </w:t>
      </w:r>
      <w:r w:rsidRPr="7935BD89">
        <w:rPr>
          <w:rFonts w:ascii="Arial" w:eastAsia="Arial" w:hAnsi="Arial" w:cs="Arial"/>
          <w:b/>
          <w:bCs/>
          <w:color w:val="000000" w:themeColor="text1"/>
        </w:rPr>
        <w:t xml:space="preserve">Tata Neu × IPL Title Sponsorship, </w:t>
      </w:r>
      <w:r w:rsidRPr="7935BD89">
        <w:rPr>
          <w:rFonts w:ascii="Arial" w:eastAsia="Arial" w:hAnsi="Arial" w:cs="Arial"/>
          <w:color w:val="000000" w:themeColor="text1"/>
        </w:rPr>
        <w:t>which reflects a league-level sponsorship designed to deliver nationwide exposure and rapid brand awareness for a digital super-app. This case is useful for understanding how large-scale visibility and league-wide association influence brand perceptions beyond individual teams.</w:t>
      </w:r>
    </w:p>
    <w:p w14:paraId="4B022843" w14:textId="79D1A3F6"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The fourth case is</w:t>
      </w:r>
      <w:r w:rsidRPr="7935BD89">
        <w:rPr>
          <w:rFonts w:ascii="Arial" w:eastAsia="Arial" w:hAnsi="Arial" w:cs="Arial"/>
          <w:b/>
          <w:bCs/>
          <w:color w:val="000000" w:themeColor="text1"/>
        </w:rPr>
        <w:t xml:space="preserve"> Jio × IPL Digital Platforms</w:t>
      </w:r>
      <w:r w:rsidRPr="7935BD89">
        <w:rPr>
          <w:rFonts w:ascii="Arial" w:eastAsia="Arial" w:hAnsi="Arial" w:cs="Arial"/>
          <w:color w:val="000000" w:themeColor="text1"/>
        </w:rPr>
        <w:t>, representing a technology-driven and ecosystem-based sponsorship focused on digital engagement, streaming infrastructure, and user experience through platforms such as JioCinema. This case enables examination of how embedded digital interaction contributes to brand equity through repeated functional engagement.</w:t>
      </w:r>
    </w:p>
    <w:p w14:paraId="536BDAFD" w14:textId="1901A9F7"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The fifth case is </w:t>
      </w:r>
      <w:r w:rsidRPr="7935BD89">
        <w:rPr>
          <w:rFonts w:ascii="Arial" w:eastAsia="Arial" w:hAnsi="Arial" w:cs="Arial"/>
          <w:b/>
          <w:bCs/>
          <w:color w:val="000000" w:themeColor="text1"/>
        </w:rPr>
        <w:t>CRED × IPL Event-Based Sponsorship</w:t>
      </w:r>
      <w:r w:rsidRPr="7935BD89">
        <w:rPr>
          <w:rFonts w:ascii="Arial" w:eastAsia="Arial" w:hAnsi="Arial" w:cs="Arial"/>
          <w:color w:val="000000" w:themeColor="text1"/>
        </w:rPr>
        <w:t>, which illustrates a creative and activation-led sponsorship model focused on specific in-match moments, such as the “CRED Powerplay.” This case helps assess how short-duration, but high-impact sponsorships contribute to brand image through creativity, humour, and social media amplification.</w:t>
      </w:r>
    </w:p>
    <w:p w14:paraId="060CCA6C" w14:textId="6818C0CC"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Together, these five cases provide a balanced and analytically robust set of examples across the IPL ecosystem. They vary in sponsorship scope (team, league, digital, and event-based), activation intensity, and fan engagement mechanisms. This diversity strengthens the study’s ability to identify patterns and contrasts in how sponsorship strategies influence brand image, while remaining aligned with the brand equity framework developed in Chapter 2. Detailed analysis of each case is presented in Chapter 4, followed by cross-case synthesis in Chapter 5.</w:t>
      </w:r>
    </w:p>
    <w:p w14:paraId="2E00E5B7" w14:textId="3C996317" w:rsidR="09E8B50C" w:rsidRDefault="09E8B50C" w:rsidP="7935BD89">
      <w:pPr>
        <w:pStyle w:val="Heading1"/>
        <w:rPr>
          <w:rFonts w:ascii="Aptos Display" w:eastAsia="Aptos Display" w:hAnsi="Aptos Display" w:cs="Aptos Display"/>
        </w:rPr>
      </w:pPr>
      <w:bookmarkStart w:id="46" w:name="_Toc501200225"/>
      <w:bookmarkStart w:id="47" w:name="_Toc303238491"/>
      <w:r w:rsidRPr="552AD7BB">
        <w:rPr>
          <w:rFonts w:ascii="Aptos Display" w:eastAsia="Aptos Display" w:hAnsi="Aptos Display" w:cs="Aptos Display"/>
        </w:rPr>
        <w:t>3.5 Data Sources and Data Collection</w:t>
      </w:r>
      <w:bookmarkEnd w:id="46"/>
      <w:bookmarkEnd w:id="47"/>
    </w:p>
    <w:p w14:paraId="12E97249" w14:textId="054F633C"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This study relies exclusively on secondary data to examine how IPL sponsorship strategies influence brand image. The use of secondary data is appropriate because the research focuses on well-established, high-profile sponsorship cases where extensive public information is already available. Using secondary sources also allows the study to access longitudinal and independently verified data that would be difficult to obtain through primary methods such as interviews or surveys within the time.</w:t>
      </w:r>
    </w:p>
    <w:p w14:paraId="6D307DB2" w14:textId="1E079AF4"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The main sources of data include industry and market intelligence reports, company-generated materials, business media coverage, and academic literature. Industry reports obtained through MarketLine were used to provide contextual and sector-level insights into the Indian media, digital advertising, and sports-related markets. These reports help establish the commercial environment in which IPL sponsorship operates and support understanding of market size, growth trends, and the increasing role of digital engagement. Their strength lies in offering structured, professionally compiled data; however, they tend to present aggregated insights rather than detailed firm-level processes.</w:t>
      </w:r>
    </w:p>
    <w:p w14:paraId="57323287" w14:textId="01C78A86"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Company-level sources such as official press releases, sponsorship announcements, annual reports, and brand campaign materials were also used. These sources provide direct evidence of sponsorship objectives, activation strategies, and brand positioning approaches adopted by sponsors. While such materials offer rich descriptions of sponsorship activities, they may present a positive or promotional perspective, which is addressed by cross-checking claims against independent sources.</w:t>
      </w:r>
    </w:p>
    <w:p w14:paraId="33DC941A" w14:textId="776DC3A9"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To balance this, business and industry press sources such as Financial Times, The Economic Times, and reputable marketing and sports business publications were used to provide third-party commentary and critical perspectives on IPL sponsorship deals and brand partnerships. Academic journal articles were used primarily to ground the analysis conceptually, particularly in relation to brand equity, sponsor–team congruence, fan identification, and digital activation, as developed in Chapter 2.</w:t>
      </w:r>
    </w:p>
    <w:p w14:paraId="7E1DFAA5" w14:textId="464F7F0E"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Data collection followed a structured process. Relevant documents were identified through database searches, official company websites, and media archives. Sources were screened for relevance, credibility, and recency, and only materials published within the last ten years were prioritised to ensure contemporary relevance. All collected data were systematically organised by case and mapped to the key constructs of the conceptual framework, ensuring transparency and traceability throughout the research process.</w:t>
      </w:r>
    </w:p>
    <w:p w14:paraId="3103498B" w14:textId="17C9C70D" w:rsidR="09E8B50C" w:rsidRDefault="09E8B50C" w:rsidP="7935BD89">
      <w:pPr>
        <w:pStyle w:val="Heading1"/>
        <w:jc w:val="both"/>
        <w:rPr>
          <w:rFonts w:ascii="Aptos Display" w:eastAsia="Aptos Display" w:hAnsi="Aptos Display" w:cs="Aptos Display"/>
        </w:rPr>
      </w:pPr>
      <w:bookmarkStart w:id="48" w:name="_Toc712668435"/>
      <w:bookmarkStart w:id="49" w:name="_Toc686753446"/>
      <w:r w:rsidRPr="552AD7BB">
        <w:rPr>
          <w:rFonts w:ascii="Aptos Display" w:eastAsia="Aptos Display" w:hAnsi="Aptos Display" w:cs="Aptos Display"/>
        </w:rPr>
        <w:t>3.6 Data Analysis Approach</w:t>
      </w:r>
      <w:bookmarkEnd w:id="48"/>
      <w:bookmarkEnd w:id="49"/>
    </w:p>
    <w:p w14:paraId="51DF790F" w14:textId="70D8DD54"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The analysis of secondary data in this study follows an abductive approach, consistent with the research design outlined earlier and aligned with the conceptual framework developed in Chapter 2. The analysis is guided by Brand Equity Theory and focuses on the four key themes identified in the literature review: sponsorship strategies, sponsor–team congruence, fan identification, and digital activation, and their combined influence on brand image.</w:t>
      </w:r>
    </w:p>
    <w:p w14:paraId="4BB0DA7B" w14:textId="67D67DAB"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Each case was first analysed individually using a structured within-case analysis approach. For each IPL sponsorship case, data were synthesised to build a coherent narrative covering the background of the sponsorship, the nature of the sponsorship strategy, the perceived fit between sponsor and team, the role of fan engagement, and the use of digital activation. Evidence from multiple sources was triangulated to reduce reliance on any single perspective and to enhance analytical credibility. This within-case analysis helped develop a detailed understanding of how brand image outcomes are shaped in each sponsorship context.</w:t>
      </w:r>
    </w:p>
    <w:p w14:paraId="1943D655" w14:textId="1D43F83D"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Following this, a cross-case analysis was conducted to identify similarities and differences across the selected cases. By comparing cases with different sponsorship types and activation styles, the study was able to identify patterns in how sponsorship strategies and execution mechanisms contribute to brand image formation. This comparative analysis supports analytical generalisation rather than statistical generalisation, allowing insights to be linked back to Brand Equity Theory and the conceptual framework rather than to a broader population.</w:t>
      </w:r>
    </w:p>
    <w:p w14:paraId="65E064B2" w14:textId="71ED5446"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Throughout the analysis, the conceptual framework acted as an organising lens rather than a rigid template. While the analysis was guided by predefined constructs, attention was also given to emerging insights from the data, such as variations in digital engagement intensity or differences in fan response across teams. This iterative movement between theory and data reflects the abductive nature of the study and allows refinement of understanding without departing from the theoretical focus established in Chapter 2. The outcomes of this analysis form the basis for the presentation of findings in Chapter 4 and the cross-case discussion in Chapter 5. </w:t>
      </w:r>
    </w:p>
    <w:p w14:paraId="2D5A64DA" w14:textId="1CAEAF72" w:rsidR="09E8B50C" w:rsidRDefault="09E8B50C" w:rsidP="7935BD89">
      <w:pPr>
        <w:pStyle w:val="Heading1"/>
        <w:rPr>
          <w:rFonts w:ascii="Aptos Display" w:eastAsia="Aptos Display" w:hAnsi="Aptos Display" w:cs="Aptos Display"/>
        </w:rPr>
      </w:pPr>
      <w:bookmarkStart w:id="50" w:name="_Toc1861809907"/>
      <w:bookmarkStart w:id="51" w:name="_Toc1929640860"/>
      <w:r w:rsidRPr="552AD7BB">
        <w:rPr>
          <w:rFonts w:ascii="Aptos Display" w:eastAsia="Aptos Display" w:hAnsi="Aptos Display" w:cs="Aptos Display"/>
        </w:rPr>
        <w:t>3.7 Research Quality and Rigour</w:t>
      </w:r>
      <w:bookmarkEnd w:id="50"/>
      <w:bookmarkEnd w:id="51"/>
      <w:r w:rsidRPr="552AD7BB">
        <w:rPr>
          <w:rFonts w:ascii="Aptos Display" w:eastAsia="Aptos Display" w:hAnsi="Aptos Display" w:cs="Aptos Display"/>
        </w:rPr>
        <w:t xml:space="preserve"> </w:t>
      </w:r>
    </w:p>
    <w:p w14:paraId="1CA13C2B" w14:textId="48A2E2FE"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Ensuring the quality and rigour of this research is important, particularly as the study relies on secondary data and a qualitative case study approach. Following Yin (2018), research quality is addressed through construct validity, internal validity, external validity and reliability. These criteria help ensure that the findings are credible, transparent and academically defensible.</w:t>
      </w:r>
    </w:p>
    <w:p w14:paraId="2A8B85FB" w14:textId="2F8F7994"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Construct validity was addressed by using clearly defined concepts drawn from the conceptual framework developed in Chapter 2. Key constructs such as sponsorship strategy, sponsor–team congruence, fan identification, digital activation and brand image were consistently applied across all cases. In addition, data triangulation was used by drawing evidence from multiple secondary sources, including MarketLine industry reports, company disclosures, business press and academic literature. Using multiple sources reduces the risk of relying on a single perspective and strengthens the credibility of interpretations. </w:t>
      </w:r>
    </w:p>
    <w:p w14:paraId="048F0976" w14:textId="0790A01D"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Internal validity was supported through a systematic and theory-informed analysis process. Evidence from each case was analysed in relation to the conceptual framework and Brand Equity Theory, allowing clear links to be established between sponsorship activities and brand image outcomes. Cross-case comparison further strengthened internal validity by identifying recurring patterns and explanations across different sponsorship contexts within the IPL. </w:t>
      </w:r>
    </w:p>
    <w:p w14:paraId="3CA66DDD" w14:textId="4C2E43A3"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External validity in this study is analytical rather than statistical. The aim is not to generalise findings to all sports sponsorships, but to contribute to theory by explaining how sponsorship strategies influence brand image within the IPL context. The use of multiple cases enhances analytical generalisation by allowing comparisons across different sponsorship types and organisational contexts.</w:t>
      </w:r>
    </w:p>
    <w:p w14:paraId="5B3A9981" w14:textId="16851483"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Reliability was ensured through transparent documentation of the research process. Case selection criteria, data sources and analytical steps were clearly defined, allowing the study to be replicated or reviewed by other researchers using the same approach. </w:t>
      </w:r>
    </w:p>
    <w:p w14:paraId="5DCFB0A8" w14:textId="3170CBC5" w:rsidR="09E8B50C" w:rsidRDefault="09E8B50C" w:rsidP="7935BD89">
      <w:pPr>
        <w:pStyle w:val="Heading1"/>
        <w:rPr>
          <w:rFonts w:ascii="Aptos Display" w:eastAsia="Aptos Display" w:hAnsi="Aptos Display" w:cs="Aptos Display"/>
        </w:rPr>
      </w:pPr>
      <w:bookmarkStart w:id="52" w:name="_Toc147006379"/>
      <w:bookmarkStart w:id="53" w:name="_Toc1327939583"/>
      <w:r w:rsidRPr="552AD7BB">
        <w:rPr>
          <w:rFonts w:ascii="Aptos Display" w:eastAsia="Aptos Display" w:hAnsi="Aptos Display" w:cs="Aptos Display"/>
        </w:rPr>
        <w:t>3.8 Ethical Considerations</w:t>
      </w:r>
      <w:bookmarkEnd w:id="52"/>
      <w:bookmarkEnd w:id="53"/>
      <w:r w:rsidRPr="552AD7BB">
        <w:rPr>
          <w:rFonts w:ascii="Aptos Display" w:eastAsia="Aptos Display" w:hAnsi="Aptos Display" w:cs="Aptos Display"/>
        </w:rPr>
        <w:t xml:space="preserve"> </w:t>
      </w:r>
    </w:p>
    <w:p w14:paraId="50D01974" w14:textId="6C67453F"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Although this research is based entirely on secondary data, ethical considerations remain important. All data used in the study were obtained from publicly available sources, including company websites, MarketLine reports, industry publications and reputable business media. As a result, issues related to informed consent, anonymity and confidentiality do not apply in the same way as they would in primary research.</w:t>
      </w:r>
    </w:p>
    <w:p w14:paraId="532F979A" w14:textId="51C50E35" w:rsidR="09E8B50C" w:rsidRDefault="09E8B50C"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Ethical integrity was maintained through careful attribution and accurate referencing of all sources, in line with academic standards and university guidelines. This helps avoid plagiarism and ensures intellectual honesty throughout the research process. Care was taken to represent data fairly and accurately, without selectively reporting information that could mislead or distort findings. In addition, organisational sensitivity was considered when analysing and presenting company cases. Although the organisations discussed are high-profile and publicly documented, the analysis avoids unnecessary judgement or reputational harm. Findings are presented objectively and grounded in evidence rather than opinion. The study complies with the ethical requirements of the university, and no ethical approval was required due to the exclusive use of secondary data. </w:t>
      </w:r>
    </w:p>
    <w:p w14:paraId="4326D155" w14:textId="1926B461" w:rsidR="09E8B50C" w:rsidRDefault="09E8B50C" w:rsidP="7935BD89">
      <w:pPr>
        <w:pStyle w:val="Heading1"/>
        <w:rPr>
          <w:rFonts w:ascii="Aptos Display" w:eastAsia="Aptos Display" w:hAnsi="Aptos Display" w:cs="Aptos Display"/>
        </w:rPr>
      </w:pPr>
      <w:bookmarkStart w:id="54" w:name="_Toc899506398"/>
      <w:bookmarkStart w:id="55" w:name="_Toc554181071"/>
      <w:r w:rsidRPr="552AD7BB">
        <w:rPr>
          <w:rFonts w:ascii="Aptos Display" w:eastAsia="Aptos Display" w:hAnsi="Aptos Display" w:cs="Aptos Display"/>
        </w:rPr>
        <w:t>3.9 Chapter Summary</w:t>
      </w:r>
      <w:bookmarkEnd w:id="54"/>
      <w:bookmarkEnd w:id="55"/>
      <w:r w:rsidRPr="552AD7BB">
        <w:rPr>
          <w:rFonts w:ascii="Aptos Display" w:eastAsia="Aptos Display" w:hAnsi="Aptos Display" w:cs="Aptos Display"/>
        </w:rPr>
        <w:t xml:space="preserve"> </w:t>
      </w:r>
    </w:p>
    <w:p w14:paraId="564098C5" w14:textId="53C5754D" w:rsidR="09E8B50C" w:rsidRDefault="09E8B50C" w:rsidP="552AD7BB">
      <w:pPr>
        <w:spacing w:before="240" w:after="240"/>
        <w:jc w:val="both"/>
        <w:rPr>
          <w:rFonts w:ascii="Arial" w:eastAsia="Arial" w:hAnsi="Arial" w:cs="Arial"/>
          <w:color w:val="000000" w:themeColor="text1"/>
        </w:rPr>
      </w:pPr>
      <w:r w:rsidRPr="552AD7BB">
        <w:rPr>
          <w:rFonts w:ascii="Arial" w:eastAsia="Arial" w:hAnsi="Arial" w:cs="Arial"/>
          <w:color w:val="000000" w:themeColor="text1"/>
        </w:rPr>
        <w:t>This chapter has outlined and justified the methodological approach adopted for this study. It explained the research philosophy, approach and design using Saunders et al.’s Research Onion, and justified the use of an inductive, qualitative case study strategy based on secondary data. The rationale for case selection, data sources and data analysis methods was clearly articulated, demonstrating how the research was conducted in a systematic and transparent manner. The chapter also addressed issues of research quality, rigour and ethics, showing how credibility and trustworthiness were maintained throughout the study. Overall, the methodology is appropriate for addressing the research aim and objectives and provides a solid foundation for the analysis that follows. The next chapter presents the case findings, structured according to the analytical framework developed in Chapters 2 and 3.</w:t>
      </w:r>
    </w:p>
    <w:p w14:paraId="28768B6A" w14:textId="489C5AEC" w:rsidR="63ABDF0C" w:rsidRDefault="63ABDF0C" w:rsidP="63ABDF0C">
      <w:pPr>
        <w:spacing w:before="240" w:after="240"/>
        <w:jc w:val="both"/>
        <w:rPr>
          <w:rFonts w:ascii="Arial" w:eastAsia="Arial" w:hAnsi="Arial" w:cs="Arial"/>
          <w:color w:val="000000" w:themeColor="text1"/>
        </w:rPr>
      </w:pPr>
    </w:p>
    <w:p w14:paraId="42475A0D" w14:textId="04BE4DC6" w:rsidR="63ABDF0C" w:rsidRDefault="63ABDF0C" w:rsidP="63ABDF0C">
      <w:pPr>
        <w:spacing w:before="240" w:after="240"/>
        <w:jc w:val="both"/>
        <w:rPr>
          <w:rFonts w:ascii="Arial" w:eastAsia="Arial" w:hAnsi="Arial" w:cs="Arial"/>
          <w:color w:val="000000" w:themeColor="text1"/>
        </w:rPr>
      </w:pPr>
    </w:p>
    <w:p w14:paraId="5E6E7BD2" w14:textId="0871246B" w:rsidR="63ABDF0C" w:rsidRDefault="63ABDF0C" w:rsidP="63ABDF0C">
      <w:pPr>
        <w:spacing w:before="240" w:after="240"/>
        <w:jc w:val="both"/>
        <w:rPr>
          <w:rFonts w:ascii="Arial" w:eastAsia="Arial" w:hAnsi="Arial" w:cs="Arial"/>
          <w:color w:val="000000" w:themeColor="text1"/>
        </w:rPr>
      </w:pPr>
    </w:p>
    <w:p w14:paraId="667CBF83" w14:textId="6419A27E" w:rsidR="63ABDF0C" w:rsidRDefault="63ABDF0C" w:rsidP="63ABDF0C">
      <w:pPr>
        <w:spacing w:before="240" w:after="240"/>
        <w:jc w:val="both"/>
        <w:rPr>
          <w:rFonts w:ascii="Arial" w:eastAsia="Arial" w:hAnsi="Arial" w:cs="Arial"/>
          <w:color w:val="000000" w:themeColor="text1"/>
        </w:rPr>
      </w:pPr>
    </w:p>
    <w:p w14:paraId="08FED681" w14:textId="6670D0C4" w:rsidR="63ABDF0C" w:rsidRDefault="63ABDF0C" w:rsidP="63ABDF0C">
      <w:pPr>
        <w:spacing w:before="240" w:after="240"/>
        <w:jc w:val="both"/>
        <w:rPr>
          <w:rFonts w:ascii="Arial" w:eastAsia="Arial" w:hAnsi="Arial" w:cs="Arial"/>
          <w:color w:val="000000" w:themeColor="text1"/>
        </w:rPr>
      </w:pPr>
    </w:p>
    <w:p w14:paraId="394BAA74" w14:textId="3518DAE5" w:rsidR="405AB38E" w:rsidRDefault="405AB38E" w:rsidP="405AB38E">
      <w:pPr>
        <w:spacing w:before="240" w:after="240"/>
        <w:jc w:val="both"/>
        <w:rPr>
          <w:rFonts w:ascii="Arial" w:eastAsia="Arial" w:hAnsi="Arial" w:cs="Arial"/>
          <w:color w:val="000000" w:themeColor="text1"/>
        </w:rPr>
      </w:pPr>
    </w:p>
    <w:p w14:paraId="343F74A5" w14:textId="47DB6871" w:rsidR="552AD7BB" w:rsidRDefault="552AD7BB" w:rsidP="552AD7BB">
      <w:pPr>
        <w:spacing w:before="240" w:after="240"/>
        <w:jc w:val="both"/>
        <w:rPr>
          <w:rFonts w:ascii="Arial" w:eastAsia="Arial" w:hAnsi="Arial" w:cs="Arial"/>
          <w:color w:val="000000" w:themeColor="text1"/>
        </w:rPr>
      </w:pPr>
    </w:p>
    <w:p w14:paraId="65F8084E" w14:textId="3A6AA938" w:rsidR="7935BD89" w:rsidRDefault="7935BD89" w:rsidP="7935BD89">
      <w:pPr>
        <w:spacing w:before="240" w:after="240"/>
        <w:jc w:val="both"/>
        <w:rPr>
          <w:rFonts w:ascii="Arial" w:eastAsia="Arial" w:hAnsi="Arial" w:cs="Arial"/>
          <w:color w:val="000000" w:themeColor="text1"/>
        </w:rPr>
      </w:pPr>
    </w:p>
    <w:p w14:paraId="39DE7220" w14:textId="06066534" w:rsidR="7935BD89" w:rsidRDefault="7935BD89" w:rsidP="7935BD89">
      <w:pPr>
        <w:spacing w:before="240" w:after="240"/>
        <w:jc w:val="both"/>
        <w:rPr>
          <w:rFonts w:ascii="Arial" w:eastAsia="Arial" w:hAnsi="Arial" w:cs="Arial"/>
          <w:color w:val="000000" w:themeColor="text1"/>
        </w:rPr>
      </w:pPr>
    </w:p>
    <w:p w14:paraId="18EF58DC" w14:textId="5CC663A6" w:rsidR="49EBD922" w:rsidRDefault="49EBD922" w:rsidP="7935BD89">
      <w:pPr>
        <w:jc w:val="both"/>
        <w:rPr>
          <w:rFonts w:ascii="Arial" w:eastAsia="Arial" w:hAnsi="Arial" w:cs="Arial"/>
          <w:color w:val="000000" w:themeColor="text1"/>
          <w:sz w:val="32"/>
          <w:szCs w:val="32"/>
        </w:rPr>
      </w:pPr>
    </w:p>
    <w:p w14:paraId="6D29FEF8" w14:textId="3BF1F31D" w:rsidR="469B3969" w:rsidRDefault="469B3969" w:rsidP="469B3969">
      <w:pPr>
        <w:jc w:val="both"/>
        <w:rPr>
          <w:rFonts w:ascii="Arial" w:eastAsia="Arial" w:hAnsi="Arial" w:cs="Arial"/>
          <w:color w:val="000000" w:themeColor="text1"/>
          <w:sz w:val="32"/>
          <w:szCs w:val="32"/>
        </w:rPr>
      </w:pPr>
    </w:p>
    <w:p w14:paraId="590510E2" w14:textId="7E64C873" w:rsidR="469B3969" w:rsidRDefault="469B3969" w:rsidP="469B3969">
      <w:pPr>
        <w:jc w:val="both"/>
        <w:rPr>
          <w:rFonts w:ascii="Arial" w:eastAsia="Arial" w:hAnsi="Arial" w:cs="Arial"/>
          <w:color w:val="000000" w:themeColor="text1"/>
          <w:sz w:val="32"/>
          <w:szCs w:val="32"/>
        </w:rPr>
      </w:pPr>
    </w:p>
    <w:p w14:paraId="6EDBB8C4" w14:textId="346FCC68" w:rsidR="469B3969" w:rsidRDefault="469B3969" w:rsidP="469B3969">
      <w:pPr>
        <w:jc w:val="both"/>
        <w:rPr>
          <w:rFonts w:ascii="Arial" w:eastAsia="Arial" w:hAnsi="Arial" w:cs="Arial"/>
          <w:color w:val="000000" w:themeColor="text1"/>
          <w:sz w:val="32"/>
          <w:szCs w:val="32"/>
        </w:rPr>
      </w:pPr>
    </w:p>
    <w:p w14:paraId="668FBE82" w14:textId="13D41B49" w:rsidR="7DE757E4" w:rsidRDefault="7DE757E4" w:rsidP="7DE757E4">
      <w:pPr>
        <w:jc w:val="both"/>
        <w:rPr>
          <w:rFonts w:ascii="Arial" w:eastAsia="Arial" w:hAnsi="Arial" w:cs="Arial"/>
          <w:color w:val="000000" w:themeColor="text1"/>
          <w:sz w:val="32"/>
          <w:szCs w:val="32"/>
        </w:rPr>
      </w:pPr>
    </w:p>
    <w:p w14:paraId="6B429557" w14:textId="4C7FB3F3" w:rsidR="7DE757E4" w:rsidRDefault="7DE757E4" w:rsidP="552AD7BB">
      <w:pPr>
        <w:jc w:val="both"/>
        <w:rPr>
          <w:rFonts w:ascii="Arial" w:eastAsia="Arial" w:hAnsi="Arial" w:cs="Arial"/>
          <w:color w:val="000000" w:themeColor="text1"/>
          <w:sz w:val="32"/>
          <w:szCs w:val="32"/>
        </w:rPr>
      </w:pPr>
    </w:p>
    <w:p w14:paraId="39AFFE63" w14:textId="094BB08D" w:rsidR="49EBD922" w:rsidRDefault="49EBD922" w:rsidP="7935BD89">
      <w:pPr>
        <w:spacing w:before="240" w:after="240"/>
        <w:jc w:val="both"/>
        <w:rPr>
          <w:rFonts w:ascii="Arial" w:eastAsia="Arial" w:hAnsi="Arial" w:cs="Arial"/>
          <w:color w:val="000000" w:themeColor="text1"/>
          <w:sz w:val="36"/>
          <w:szCs w:val="36"/>
        </w:rPr>
      </w:pPr>
      <w:r w:rsidRPr="7935BD89">
        <w:rPr>
          <w:rFonts w:ascii="Arial" w:eastAsia="Arial" w:hAnsi="Arial" w:cs="Arial"/>
          <w:b/>
          <w:bCs/>
          <w:color w:val="000000" w:themeColor="text1"/>
          <w:sz w:val="36"/>
          <w:szCs w:val="36"/>
        </w:rPr>
        <w:t xml:space="preserve">4. Findings </w:t>
      </w:r>
    </w:p>
    <w:p w14:paraId="474EDB7A" w14:textId="3D2B47F1" w:rsidR="49EBD922" w:rsidRDefault="49EBD922" w:rsidP="7935BD89">
      <w:pPr>
        <w:pStyle w:val="Heading1"/>
        <w:rPr>
          <w:rFonts w:ascii="Aptos Display" w:eastAsia="Aptos Display" w:hAnsi="Aptos Display" w:cs="Aptos Display"/>
        </w:rPr>
      </w:pPr>
      <w:bookmarkStart w:id="56" w:name="_Toc1922853346"/>
      <w:bookmarkStart w:id="57" w:name="_Toc638123620"/>
      <w:r w:rsidRPr="552AD7BB">
        <w:rPr>
          <w:rFonts w:ascii="Aptos Display" w:eastAsia="Aptos Display" w:hAnsi="Aptos Display" w:cs="Aptos Display"/>
        </w:rPr>
        <w:t>4.1 Introduction</w:t>
      </w:r>
      <w:bookmarkEnd w:id="56"/>
      <w:bookmarkEnd w:id="57"/>
    </w:p>
    <w:p w14:paraId="2D135337" w14:textId="2EA6FF5D"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This chapter presents the findings from the selected IPL sponsorship cases using secondary data. The purpose is to show, in a clear and evidence-based way, how different sponsorship strategies in the IPL may influence brand image. Following the conceptual framework developed in Chapter 2, the chapter focuses on how sponsorship activities (such as the sponsorship type and visibility, the fit between sponsor and team, and the use of digital activation) are linked to brand-image outcomes that reflect brand equity, such as stronger brand associations, improved perceptions, and higher brand salience. The chapter is structured by case. Each case includes a short background, a description of the sponsorship arrangement, and key evidence from credible sources (industry reports, news coverage, company communications, and published market data). The final part of each case summarises what the evidence suggests about brand image effects, so that patterns can be compared across cases in Chapter 5. This approach keeps the findings organised and consistent with the research design described in Chapter 3.</w:t>
      </w:r>
    </w:p>
    <w:p w14:paraId="348679B3" w14:textId="77D5054E" w:rsidR="49EBD922" w:rsidRDefault="49EBD922" w:rsidP="7935BD89">
      <w:pPr>
        <w:pStyle w:val="Heading1"/>
        <w:rPr>
          <w:rFonts w:ascii="Aptos Display" w:eastAsia="Aptos Display" w:hAnsi="Aptos Display" w:cs="Aptos Display"/>
        </w:rPr>
      </w:pPr>
      <w:bookmarkStart w:id="58" w:name="_Toc449746963"/>
      <w:bookmarkStart w:id="59" w:name="_Toc1906803133"/>
      <w:r w:rsidRPr="552AD7BB">
        <w:rPr>
          <w:rFonts w:ascii="Aptos Display" w:eastAsia="Aptos Display" w:hAnsi="Aptos Display" w:cs="Aptos Display"/>
        </w:rPr>
        <w:t>4.2 Overview of the Case Studies</w:t>
      </w:r>
      <w:bookmarkEnd w:id="58"/>
      <w:bookmarkEnd w:id="59"/>
      <w:r w:rsidRPr="552AD7BB">
        <w:rPr>
          <w:rFonts w:ascii="Aptos Display" w:eastAsia="Aptos Display" w:hAnsi="Aptos Display" w:cs="Aptos Display"/>
        </w:rPr>
        <w:t xml:space="preserve"> </w:t>
      </w:r>
    </w:p>
    <w:p w14:paraId="5689D579" w14:textId="17CB4C43"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This chapter analyses five sponsorship cases from the Indian Premier League (IPL) to examine how different sponsorship strategies influence brand image. The cases were selected to reflect variation in sponsorship type, brand category, and activation style, while remaining aligned with the brand equity framework developed in Chapter 2. The five cases include two airline team sponsorships (RCB × Qatar Airways and CSK × Etihad Airways), a league title sponsorship (Tata Neu), a digital ecosystem partnership (Jio), and an event-based sponsorship (CRED).</w:t>
      </w:r>
    </w:p>
    <w:p w14:paraId="64F1DBE5" w14:textId="5A4C6BC4"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The inclusion of two airline sponsorship cases allows for more focused comparison within a single industry, while the remaining cases provide contrast across sponsorship formats and activation approaches. Together, these cases offer a comprehensive view of how brand image is shaped through visibility, congruence, fan engagement, and activation quality in the IPL context. The findings are based on secondary data sources, including industry reports, business media, and brand communications.</w:t>
      </w:r>
    </w:p>
    <w:p w14:paraId="23DED7E4" w14:textId="77CD6C8E" w:rsidR="49EBD922" w:rsidRDefault="49EBD922" w:rsidP="7935BD89">
      <w:pPr>
        <w:pStyle w:val="Heading1"/>
        <w:rPr>
          <w:rFonts w:ascii="Aptos Display" w:eastAsia="Aptos Display" w:hAnsi="Aptos Display" w:cs="Aptos Display"/>
        </w:rPr>
      </w:pPr>
      <w:bookmarkStart w:id="60" w:name="_Toc1392180009"/>
      <w:bookmarkStart w:id="61" w:name="_Toc1732025635"/>
      <w:r w:rsidRPr="552AD7BB">
        <w:rPr>
          <w:rFonts w:ascii="Aptos Display" w:eastAsia="Aptos Display" w:hAnsi="Aptos Display" w:cs="Aptos Display"/>
        </w:rPr>
        <w:t>4.3 Case Study 1: Royal Challengers Bangalore (RCB) And Qatar Airways Sponsorship Case</w:t>
      </w:r>
      <w:bookmarkEnd w:id="60"/>
      <w:bookmarkEnd w:id="61"/>
    </w:p>
    <w:p w14:paraId="4A5B8311" w14:textId="6171BA91" w:rsidR="49EBD922" w:rsidRDefault="49EBD922" w:rsidP="7935BD89">
      <w:pPr>
        <w:pStyle w:val="Heading2"/>
        <w:rPr>
          <w:rFonts w:ascii="Aptos Display" w:eastAsia="Aptos Display" w:hAnsi="Aptos Display" w:cs="Aptos Display"/>
        </w:rPr>
      </w:pPr>
      <w:bookmarkStart w:id="62" w:name="_Toc950549690"/>
      <w:bookmarkStart w:id="63" w:name="_Toc1307670593"/>
      <w:r w:rsidRPr="552AD7BB">
        <w:rPr>
          <w:rFonts w:ascii="Aptos Display" w:eastAsia="Aptos Display" w:hAnsi="Aptos Display" w:cs="Aptos Display"/>
        </w:rPr>
        <w:t>4.3.1 Background</w:t>
      </w:r>
      <w:bookmarkEnd w:id="62"/>
      <w:bookmarkEnd w:id="63"/>
      <w:r w:rsidRPr="552AD7BB">
        <w:rPr>
          <w:rFonts w:ascii="Aptos Display" w:eastAsia="Aptos Display" w:hAnsi="Aptos Display" w:cs="Aptos Display"/>
        </w:rPr>
        <w:t xml:space="preserve"> </w:t>
      </w:r>
    </w:p>
    <w:p w14:paraId="28A0D410" w14:textId="43577920"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Royal Challengers Bangalore (RCB) is one of the most popular franchises in the Indian Premier League (IPL), known for its strong fan following and high digital engagement. Despite limited on-field success, RCB consistently attracts large audiences and maintains a premium brand image. In 2023, Qatar Airways became the principal sponsor of RCB, forming a partnership between a global premium airline and a high-visibility IPL team. For Qatar Airways, the Indian market represents a strategically important growth region, and IPL sponsorship offered access to a young, urban, and digitally active audience (Financial Times, 2023). </w:t>
      </w:r>
    </w:p>
    <w:p w14:paraId="07EA1648" w14:textId="41AC4331" w:rsidR="49EBD922" w:rsidRDefault="49EBD922" w:rsidP="7935BD89">
      <w:pPr>
        <w:pStyle w:val="Heading2"/>
        <w:rPr>
          <w:rFonts w:ascii="Aptos Display" w:eastAsia="Aptos Display" w:hAnsi="Aptos Display" w:cs="Aptos Display"/>
        </w:rPr>
      </w:pPr>
      <w:bookmarkStart w:id="64" w:name="_Toc962061508"/>
      <w:bookmarkStart w:id="65" w:name="_Toc759754940"/>
      <w:r w:rsidRPr="552AD7BB">
        <w:rPr>
          <w:rFonts w:ascii="Aptos Display" w:eastAsia="Aptos Display" w:hAnsi="Aptos Display" w:cs="Aptos Display"/>
        </w:rPr>
        <w:t>4.3.2 Challenge / Opportunity</w:t>
      </w:r>
      <w:bookmarkEnd w:id="64"/>
      <w:bookmarkEnd w:id="65"/>
      <w:r w:rsidRPr="552AD7BB">
        <w:rPr>
          <w:rFonts w:ascii="Aptos Display" w:eastAsia="Aptos Display" w:hAnsi="Aptos Display" w:cs="Aptos Display"/>
        </w:rPr>
        <w:t xml:space="preserve"> </w:t>
      </w:r>
    </w:p>
    <w:p w14:paraId="578BA38F" w14:textId="76630251"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The key opportunity for Qatar Airways was to strengthen brand awareness and premium brand associations in India through IPL exposure. According to brand equity theory, repeated exposure in emotionally engaging contexts enhances brand awareness and perceived quality (Aaker, 1991; Keller, 2013). However, the challenge lay in ensuring sponsor–team congruence. As an international airline brand, Qatar Airways needed to ensure that its association with a cricket franchise felt authentic and credible to Indian fans, rather than appearing as a purely commercial partnership (Kamath et al., 2020). </w:t>
      </w:r>
    </w:p>
    <w:p w14:paraId="7650436A" w14:textId="75D69618" w:rsidR="49EBD922" w:rsidRDefault="49EBD922" w:rsidP="7935BD89">
      <w:pPr>
        <w:pStyle w:val="Heading2"/>
        <w:rPr>
          <w:rFonts w:ascii="Aptos Display" w:eastAsia="Aptos Display" w:hAnsi="Aptos Display" w:cs="Aptos Display"/>
        </w:rPr>
      </w:pPr>
      <w:bookmarkStart w:id="66" w:name="_Toc2121546094"/>
      <w:bookmarkStart w:id="67" w:name="_Toc267734292"/>
      <w:r w:rsidRPr="552AD7BB">
        <w:rPr>
          <w:rFonts w:ascii="Aptos Display" w:eastAsia="Aptos Display" w:hAnsi="Aptos Display" w:cs="Aptos Display"/>
        </w:rPr>
        <w:t>4.3.3 Sponsorship Approach &amp; Implementation</w:t>
      </w:r>
      <w:bookmarkEnd w:id="66"/>
      <w:bookmarkEnd w:id="67"/>
      <w:r w:rsidRPr="552AD7BB">
        <w:rPr>
          <w:rFonts w:ascii="Aptos Display" w:eastAsia="Aptos Display" w:hAnsi="Aptos Display" w:cs="Aptos Display"/>
        </w:rPr>
        <w:t xml:space="preserve"> </w:t>
      </w:r>
    </w:p>
    <w:p w14:paraId="0467460A" w14:textId="628ACE9B"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The sponsorship combined high-visibility jersey branding with digital and fan-based activation. Qatar Airways’ logo appeared prominently on RCB jerseys, training kits, and match-day assets, ensuring consistent exposure during live broadcasts. Beyond visual visibility, the airline engaged fans through co-branded digital campaigns, social media content, and behind-the-scenes collaborations with RCB. This integrated activation approach aligns with sponsorship literature, which highlights that active engagement enhances sponsorship effectiveness beyond passive logo exposure (Cornwell &amp; Kwon, 2021). </w:t>
      </w:r>
    </w:p>
    <w:p w14:paraId="4BB32213" w14:textId="7CD51B2A" w:rsidR="49EBD922" w:rsidRDefault="49EBD922" w:rsidP="7935BD89">
      <w:pPr>
        <w:pStyle w:val="Heading2"/>
        <w:rPr>
          <w:rFonts w:ascii="Aptos Display" w:eastAsia="Aptos Display" w:hAnsi="Aptos Display" w:cs="Aptos Display"/>
        </w:rPr>
      </w:pPr>
      <w:bookmarkStart w:id="68" w:name="_Toc815118690"/>
      <w:bookmarkStart w:id="69" w:name="_Toc1588157369"/>
      <w:r w:rsidRPr="552AD7BB">
        <w:rPr>
          <w:rFonts w:ascii="Aptos Display" w:eastAsia="Aptos Display" w:hAnsi="Aptos Display" w:cs="Aptos Display"/>
        </w:rPr>
        <w:t>4.3.4 Outcomes / Results</w:t>
      </w:r>
      <w:bookmarkEnd w:id="68"/>
      <w:bookmarkEnd w:id="69"/>
      <w:r w:rsidRPr="552AD7BB">
        <w:rPr>
          <w:rFonts w:ascii="Aptos Display" w:eastAsia="Aptos Display" w:hAnsi="Aptos Display" w:cs="Aptos Display"/>
        </w:rPr>
        <w:t xml:space="preserve"> </w:t>
      </w:r>
    </w:p>
    <w:p w14:paraId="3BFD8EF1" w14:textId="37D0F67E"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Industry reports and media analysis suggest that the partnership contributed positively to Qatar Airways’ brand image in India by reinforcing perceptions of prestige, global connectivity, and quality (GroupM ESP, 2024). From a brand equity perspective, the sponsorship supported brand awareness, perceived quality, and favourable associations. The emotional connection between RCB and its fans likely amplified these effects, supporting the idea that team-based sponsorship can generate strong image transfer when supported by active engagement (Biscaia et al., 2013). </w:t>
      </w:r>
    </w:p>
    <w:p w14:paraId="73BA50AD" w14:textId="171817F1" w:rsidR="49EBD922" w:rsidRDefault="49EBD922" w:rsidP="7935BD89">
      <w:pPr>
        <w:pStyle w:val="Heading1"/>
        <w:rPr>
          <w:rFonts w:ascii="Aptos Display" w:eastAsia="Aptos Display" w:hAnsi="Aptos Display" w:cs="Aptos Display"/>
        </w:rPr>
      </w:pPr>
      <w:bookmarkStart w:id="70" w:name="_Toc2008004239"/>
      <w:bookmarkStart w:id="71" w:name="_Toc1532079400"/>
      <w:r w:rsidRPr="552AD7BB">
        <w:rPr>
          <w:rFonts w:ascii="Aptos Display" w:eastAsia="Aptos Display" w:hAnsi="Aptos Display" w:cs="Aptos Display"/>
        </w:rPr>
        <w:t>4.4 Case Study 2: Tata Neu – IPL Title Sponsorship</w:t>
      </w:r>
      <w:bookmarkEnd w:id="70"/>
      <w:bookmarkEnd w:id="71"/>
    </w:p>
    <w:p w14:paraId="706BB89B" w14:textId="52B83CF5" w:rsidR="49EBD922" w:rsidRDefault="49EBD922" w:rsidP="7935BD89">
      <w:pPr>
        <w:pStyle w:val="Heading2"/>
        <w:rPr>
          <w:rFonts w:ascii="Aptos Display" w:eastAsia="Aptos Display" w:hAnsi="Aptos Display" w:cs="Aptos Display"/>
        </w:rPr>
      </w:pPr>
      <w:bookmarkStart w:id="72" w:name="_Toc1993805506"/>
      <w:bookmarkStart w:id="73" w:name="_Toc241669984"/>
      <w:r w:rsidRPr="552AD7BB">
        <w:rPr>
          <w:rFonts w:ascii="Aptos Display" w:eastAsia="Aptos Display" w:hAnsi="Aptos Display" w:cs="Aptos Display"/>
        </w:rPr>
        <w:t>4.4.1 Background</w:t>
      </w:r>
      <w:bookmarkEnd w:id="72"/>
      <w:bookmarkEnd w:id="73"/>
      <w:r w:rsidRPr="552AD7BB">
        <w:rPr>
          <w:rFonts w:ascii="Aptos Display" w:eastAsia="Aptos Display" w:hAnsi="Aptos Display" w:cs="Aptos Display"/>
        </w:rPr>
        <w:t xml:space="preserve"> </w:t>
      </w:r>
    </w:p>
    <w:p w14:paraId="55C3B5F6" w14:textId="0FC7994F"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Tata Neu became the title sponsor of the IPL in 2022, marking a major branding initiative by the Tata Group. Tata Neu is a digital super-app integrating services across retail, travel, finance, and lifestyle. At the time of sponsorship, Tata Neu was still establishing itself in a highly competitive digital platform market. The IPL offered unmatched national reach across television and digital platforms, making it an ideal vehicle for rapid brand building (Kroll, 2022). </w:t>
      </w:r>
    </w:p>
    <w:p w14:paraId="049DA064" w14:textId="456B63E5" w:rsidR="49EBD922" w:rsidRDefault="49EBD922" w:rsidP="7935BD89">
      <w:pPr>
        <w:pStyle w:val="Heading2"/>
        <w:rPr>
          <w:rFonts w:ascii="Aptos Display" w:eastAsia="Aptos Display" w:hAnsi="Aptos Display" w:cs="Aptos Display"/>
        </w:rPr>
      </w:pPr>
      <w:bookmarkStart w:id="74" w:name="_Toc36170727"/>
      <w:bookmarkStart w:id="75" w:name="_Toc1832232172"/>
      <w:r w:rsidRPr="552AD7BB">
        <w:rPr>
          <w:rFonts w:ascii="Aptos Display" w:eastAsia="Aptos Display" w:hAnsi="Aptos Display" w:cs="Aptos Display"/>
        </w:rPr>
        <w:t>4.4.2 Challenge / Opportunity</w:t>
      </w:r>
      <w:bookmarkEnd w:id="74"/>
      <w:bookmarkEnd w:id="75"/>
      <w:r w:rsidRPr="552AD7BB">
        <w:rPr>
          <w:rFonts w:ascii="Aptos Display" w:eastAsia="Aptos Display" w:hAnsi="Aptos Display" w:cs="Aptos Display"/>
        </w:rPr>
        <w:t xml:space="preserve"> </w:t>
      </w:r>
    </w:p>
    <w:p w14:paraId="5932AB1F" w14:textId="244B8652"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The main opportunity was to build brand awareness and credibility quickly. Title sponsorship provided continuous exposure, which is particularly important for new digital platforms seeking legitimacy (Aaker, 1991). However, the challenge was to convert visibility into meaningful brand perceptions rather than superficial recall. Without effective activation, the sponsorship risked being perceived as repetitive but shallow. </w:t>
      </w:r>
    </w:p>
    <w:p w14:paraId="04C72B2A" w14:textId="0A9B6E5E" w:rsidR="49EBD922" w:rsidRDefault="49EBD922" w:rsidP="7935BD89">
      <w:pPr>
        <w:pStyle w:val="Heading2"/>
        <w:rPr>
          <w:rFonts w:ascii="Aptos Display" w:eastAsia="Aptos Display" w:hAnsi="Aptos Display" w:cs="Aptos Display"/>
        </w:rPr>
      </w:pPr>
      <w:bookmarkStart w:id="76" w:name="_Toc793875188"/>
      <w:bookmarkStart w:id="77" w:name="_Toc89529118"/>
      <w:r w:rsidRPr="552AD7BB">
        <w:rPr>
          <w:rFonts w:ascii="Aptos Display" w:eastAsia="Aptos Display" w:hAnsi="Aptos Display" w:cs="Aptos Display"/>
        </w:rPr>
        <w:t>4.4.3 Sponsorship Approach &amp; Implementation</w:t>
      </w:r>
      <w:bookmarkEnd w:id="76"/>
      <w:bookmarkEnd w:id="77"/>
      <w:r w:rsidRPr="552AD7BB">
        <w:rPr>
          <w:rFonts w:ascii="Aptos Display" w:eastAsia="Aptos Display" w:hAnsi="Aptos Display" w:cs="Aptos Display"/>
        </w:rPr>
        <w:t xml:space="preserve"> </w:t>
      </w:r>
    </w:p>
    <w:p w14:paraId="1048BD6F" w14:textId="5C42E9DC"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Tata Neu adopted an integrated activation strategy that linked IPL exposure with app usage. The brand featured prominently in match broadcasts, official IPL communications, and digital media. Activation included app-based rewards, cashback offers, and cross-promotions with other Tata brands. This approach connected IPL moments with practical consumer benefits, supporting deeper engagement rather than passive exposure (Cornwell &amp; Kwon, 2021). </w:t>
      </w:r>
    </w:p>
    <w:p w14:paraId="76B0EC95" w14:textId="4BF63175" w:rsidR="49EBD922" w:rsidRDefault="49EBD922" w:rsidP="7935BD89">
      <w:pPr>
        <w:pStyle w:val="Heading2"/>
        <w:rPr>
          <w:rFonts w:ascii="Aptos Display" w:eastAsia="Aptos Display" w:hAnsi="Aptos Display" w:cs="Aptos Display"/>
        </w:rPr>
      </w:pPr>
      <w:bookmarkStart w:id="78" w:name="_Toc1709545221"/>
      <w:bookmarkStart w:id="79" w:name="_Toc1592726250"/>
      <w:r w:rsidRPr="552AD7BB">
        <w:rPr>
          <w:rFonts w:ascii="Aptos Display" w:eastAsia="Aptos Display" w:hAnsi="Aptos Display" w:cs="Aptos Display"/>
        </w:rPr>
        <w:t>4.4.4 Outcomes / Results</w:t>
      </w:r>
      <w:bookmarkEnd w:id="78"/>
      <w:bookmarkEnd w:id="79"/>
      <w:r w:rsidRPr="552AD7BB">
        <w:rPr>
          <w:rFonts w:ascii="Aptos Display" w:eastAsia="Aptos Display" w:hAnsi="Aptos Display" w:cs="Aptos Display"/>
        </w:rPr>
        <w:t xml:space="preserve"> </w:t>
      </w:r>
    </w:p>
    <w:p w14:paraId="3BC5FCE8" w14:textId="20603E92"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Evidence suggests that Tata Neu’s title sponsorship significantly increased brand familiarity and trust among Indian consumers (D&amp;P Advisory, 2023). From a brand equity perspective, the sponsorship strengthened brand awareness and perceived quality, positioning Tata Neu as a credible, large-scale digital platform backed by the Tata brand. </w:t>
      </w:r>
    </w:p>
    <w:p w14:paraId="53ECF3AF" w14:textId="63693040" w:rsidR="49EBD922" w:rsidRDefault="49EBD922" w:rsidP="7935BD89">
      <w:pPr>
        <w:pStyle w:val="Heading1"/>
        <w:rPr>
          <w:rFonts w:ascii="Aptos Display" w:eastAsia="Aptos Display" w:hAnsi="Aptos Display" w:cs="Aptos Display"/>
        </w:rPr>
      </w:pPr>
      <w:bookmarkStart w:id="80" w:name="_Toc1108412216"/>
      <w:bookmarkStart w:id="81" w:name="_Toc1666025031"/>
      <w:r w:rsidRPr="552AD7BB">
        <w:rPr>
          <w:rFonts w:ascii="Aptos Display" w:eastAsia="Aptos Display" w:hAnsi="Aptos Display" w:cs="Aptos Display"/>
        </w:rPr>
        <w:t>4.5 Case Study 3: Reliance Jio – Digital Ecosystem Sponsorship</w:t>
      </w:r>
      <w:bookmarkEnd w:id="80"/>
      <w:bookmarkEnd w:id="81"/>
      <w:r w:rsidRPr="552AD7BB">
        <w:rPr>
          <w:rFonts w:ascii="Aptos Display" w:eastAsia="Aptos Display" w:hAnsi="Aptos Display" w:cs="Aptos Display"/>
        </w:rPr>
        <w:t xml:space="preserve"> </w:t>
      </w:r>
    </w:p>
    <w:p w14:paraId="2CE2D9B9" w14:textId="0B2DE12B" w:rsidR="49EBD922" w:rsidRDefault="49EBD922" w:rsidP="7935BD89">
      <w:pPr>
        <w:pStyle w:val="Heading2"/>
        <w:rPr>
          <w:rFonts w:ascii="Aptos Display" w:eastAsia="Aptos Display" w:hAnsi="Aptos Display" w:cs="Aptos Display"/>
        </w:rPr>
      </w:pPr>
      <w:bookmarkStart w:id="82" w:name="_Toc1397700121"/>
      <w:bookmarkStart w:id="83" w:name="_Toc1988042592"/>
      <w:r w:rsidRPr="552AD7BB">
        <w:rPr>
          <w:rFonts w:ascii="Aptos Display" w:eastAsia="Aptos Display" w:hAnsi="Aptos Display" w:cs="Aptos Display"/>
        </w:rPr>
        <w:t>4.5.1 Background</w:t>
      </w:r>
      <w:bookmarkEnd w:id="82"/>
      <w:bookmarkEnd w:id="83"/>
      <w:r w:rsidRPr="552AD7BB">
        <w:rPr>
          <w:rFonts w:ascii="Aptos Display" w:eastAsia="Aptos Display" w:hAnsi="Aptos Display" w:cs="Aptos Display"/>
        </w:rPr>
        <w:t xml:space="preserve"> </w:t>
      </w:r>
    </w:p>
    <w:p w14:paraId="63D0E5F6" w14:textId="58B91894"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Reliance Jio’s involvement in the IPL is primarily digital, focusing on streaming and fan engagement through platforms such as JioCinema. Rather than traditional logo-based sponsorship, Jio positioned itself as a core part of the IPL viewing experience. This strategy aligns with Jio’s broader objective of being seen as an innovative, consumer-centric digital brand (GroupM ESP, 2024). </w:t>
      </w:r>
    </w:p>
    <w:p w14:paraId="63B01712" w14:textId="57EF9A99" w:rsidR="49EBD922" w:rsidRDefault="49EBD922" w:rsidP="7935BD89">
      <w:pPr>
        <w:spacing w:before="240" w:after="240"/>
        <w:jc w:val="both"/>
        <w:rPr>
          <w:rFonts w:ascii="Aptos Display" w:eastAsia="Aptos Display" w:hAnsi="Aptos Display" w:cs="Aptos Display"/>
          <w:color w:val="0F4761" w:themeColor="accent1" w:themeShade="BF"/>
          <w:sz w:val="32"/>
          <w:szCs w:val="32"/>
        </w:rPr>
      </w:pPr>
      <w:bookmarkStart w:id="84" w:name="_Toc497585423"/>
      <w:bookmarkStart w:id="85" w:name="_Toc836742699"/>
      <w:r w:rsidRPr="552AD7BB">
        <w:rPr>
          <w:rStyle w:val="Heading2Char"/>
          <w:rFonts w:ascii="Aptos Display" w:eastAsia="Aptos Display" w:hAnsi="Aptos Display" w:cs="Aptos Display"/>
        </w:rPr>
        <w:t>4.5.2 Challenge / Opportunity</w:t>
      </w:r>
      <w:bookmarkEnd w:id="84"/>
      <w:bookmarkEnd w:id="85"/>
      <w:r w:rsidRPr="552AD7BB">
        <w:rPr>
          <w:rStyle w:val="Heading2Char"/>
          <w:rFonts w:ascii="Aptos Display" w:eastAsia="Aptos Display" w:hAnsi="Aptos Display" w:cs="Aptos Display"/>
        </w:rPr>
        <w:t xml:space="preserve"> </w:t>
      </w:r>
    </w:p>
    <w:p w14:paraId="7D1F8E3B" w14:textId="4E4E4375"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The opportunity for Jio was to reinforce its leadership in digital streaming and telecommunications by delivering a high-quality IPL viewing experience. However, the challenge was operational reliability, as any service failures during live matches could negatively impact brand perceptions (Keller, 2013). </w:t>
      </w:r>
    </w:p>
    <w:p w14:paraId="39AD1A51" w14:textId="536D1BFA" w:rsidR="49EBD922" w:rsidRDefault="49EBD922" w:rsidP="7935BD89">
      <w:pPr>
        <w:pStyle w:val="Heading2"/>
        <w:rPr>
          <w:rFonts w:ascii="Aptos Display" w:eastAsia="Aptos Display" w:hAnsi="Aptos Display" w:cs="Aptos Display"/>
        </w:rPr>
      </w:pPr>
      <w:bookmarkStart w:id="86" w:name="_Toc565573095"/>
      <w:bookmarkStart w:id="87" w:name="_Toc1252989935"/>
      <w:r w:rsidRPr="552AD7BB">
        <w:rPr>
          <w:rFonts w:ascii="Aptos Display" w:eastAsia="Aptos Display" w:hAnsi="Aptos Display" w:cs="Aptos Display"/>
        </w:rPr>
        <w:t>4.5.3 Sponsorship Approach &amp; Implementation</w:t>
      </w:r>
      <w:bookmarkEnd w:id="86"/>
      <w:bookmarkEnd w:id="87"/>
      <w:r w:rsidRPr="552AD7BB">
        <w:rPr>
          <w:rFonts w:ascii="Aptos Display" w:eastAsia="Aptos Display" w:hAnsi="Aptos Display" w:cs="Aptos Display"/>
        </w:rPr>
        <w:t xml:space="preserve"> </w:t>
      </w:r>
    </w:p>
    <w:p w14:paraId="31B62CA1" w14:textId="2D46B881"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Jio offered free IPL streaming with interactive features, multiple camera angles, and personalised viewing options. This functional sponsorship approach embedded the brand directly into the consumption experience rather than relying on symbolic visibility alone. Such experiential engagement is widely recognised as a strong driver of perceived quality and brand equity (Cornwell &amp; Kwon, 2021). </w:t>
      </w:r>
    </w:p>
    <w:p w14:paraId="06513A1E" w14:textId="0931F045" w:rsidR="49EBD922" w:rsidRDefault="49EBD922" w:rsidP="7935BD89">
      <w:pPr>
        <w:pStyle w:val="Heading2"/>
        <w:rPr>
          <w:rFonts w:ascii="Aptos Display" w:eastAsia="Aptos Display" w:hAnsi="Aptos Display" w:cs="Aptos Display"/>
        </w:rPr>
      </w:pPr>
      <w:bookmarkStart w:id="88" w:name="_Toc2017399271"/>
      <w:bookmarkStart w:id="89" w:name="_Toc1422330386"/>
      <w:r w:rsidRPr="552AD7BB">
        <w:rPr>
          <w:rFonts w:ascii="Aptos Display" w:eastAsia="Aptos Display" w:hAnsi="Aptos Display" w:cs="Aptos Display"/>
        </w:rPr>
        <w:t>4.5.4 Outcomes / Results</w:t>
      </w:r>
      <w:bookmarkEnd w:id="88"/>
      <w:bookmarkEnd w:id="89"/>
      <w:r w:rsidRPr="552AD7BB">
        <w:rPr>
          <w:rFonts w:ascii="Aptos Display" w:eastAsia="Aptos Display" w:hAnsi="Aptos Display" w:cs="Aptos Display"/>
        </w:rPr>
        <w:t xml:space="preserve"> </w:t>
      </w:r>
    </w:p>
    <w:p w14:paraId="0836F3CA" w14:textId="521A0F73"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Industry evidence indicates high engagement and strong platform usage during the IPL, reinforcing Jio’s image as an innovative and accessible digital leader (D&amp;P Advisory, 2023). The sponsorship strengthened perceived quality and reliability, demonstrating how functional value delivery can build durable brand equity. </w:t>
      </w:r>
    </w:p>
    <w:p w14:paraId="6DC5FC96" w14:textId="6FA734E5" w:rsidR="49EBD922" w:rsidRDefault="49EBD922" w:rsidP="7935BD89">
      <w:pPr>
        <w:pStyle w:val="Heading1"/>
        <w:rPr>
          <w:rFonts w:ascii="Aptos Display" w:eastAsia="Aptos Display" w:hAnsi="Aptos Display" w:cs="Aptos Display"/>
        </w:rPr>
      </w:pPr>
      <w:bookmarkStart w:id="90" w:name="_Toc1760999403"/>
      <w:bookmarkStart w:id="91" w:name="_Toc639179362"/>
      <w:r w:rsidRPr="552AD7BB">
        <w:rPr>
          <w:rFonts w:ascii="Aptos Display" w:eastAsia="Aptos Display" w:hAnsi="Aptos Display" w:cs="Aptos Display"/>
        </w:rPr>
        <w:t>4.6 Case Study 4: CRED – Event-Based IPL Sponsorship</w:t>
      </w:r>
      <w:bookmarkEnd w:id="90"/>
      <w:bookmarkEnd w:id="91"/>
    </w:p>
    <w:p w14:paraId="2E54DDC1" w14:textId="699A5BF4" w:rsidR="49EBD922" w:rsidRDefault="49EBD922" w:rsidP="7935BD89">
      <w:pPr>
        <w:pStyle w:val="Heading2"/>
        <w:rPr>
          <w:rFonts w:ascii="Aptos Display" w:eastAsia="Aptos Display" w:hAnsi="Aptos Display" w:cs="Aptos Display"/>
        </w:rPr>
      </w:pPr>
      <w:bookmarkStart w:id="92" w:name="_Toc529146805"/>
      <w:bookmarkStart w:id="93" w:name="_Toc1231821836"/>
      <w:r w:rsidRPr="552AD7BB">
        <w:rPr>
          <w:rFonts w:ascii="Aptos Display" w:eastAsia="Aptos Display" w:hAnsi="Aptos Display" w:cs="Aptos Display"/>
        </w:rPr>
        <w:t>4.6.1 Background</w:t>
      </w:r>
      <w:bookmarkEnd w:id="92"/>
      <w:bookmarkEnd w:id="93"/>
      <w:r w:rsidRPr="552AD7BB">
        <w:rPr>
          <w:rFonts w:ascii="Aptos Display" w:eastAsia="Aptos Display" w:hAnsi="Aptos Display" w:cs="Aptos Display"/>
        </w:rPr>
        <w:t xml:space="preserve"> </w:t>
      </w:r>
    </w:p>
    <w:p w14:paraId="06A77B83" w14:textId="74B7FF3B"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CRED is a premium fintech brand known for its distinctive marketing and exclusive positioning. In the IPL, CRED adopted an event-based sponsorship approach through the “CRED Powerplay,” gaining visibility during specific match moments rather than continuous exposure (GroupM ESP, 2024). </w:t>
      </w:r>
    </w:p>
    <w:p w14:paraId="69F1844A" w14:textId="1E886A76" w:rsidR="49EBD922" w:rsidRDefault="49EBD922" w:rsidP="7935BD89">
      <w:pPr>
        <w:pStyle w:val="Heading2"/>
        <w:rPr>
          <w:rFonts w:ascii="Aptos Display" w:eastAsia="Aptos Display" w:hAnsi="Aptos Display" w:cs="Aptos Display"/>
        </w:rPr>
      </w:pPr>
      <w:bookmarkStart w:id="94" w:name="_Toc1167307578"/>
      <w:bookmarkStart w:id="95" w:name="_Toc1200682521"/>
      <w:r w:rsidRPr="552AD7BB">
        <w:rPr>
          <w:rFonts w:ascii="Aptos Display" w:eastAsia="Aptos Display" w:hAnsi="Aptos Display" w:cs="Aptos Display"/>
        </w:rPr>
        <w:t>4.6.2 Challenge / Opportunity</w:t>
      </w:r>
      <w:bookmarkEnd w:id="94"/>
      <w:bookmarkEnd w:id="95"/>
      <w:r w:rsidRPr="552AD7BB">
        <w:rPr>
          <w:rFonts w:ascii="Aptos Display" w:eastAsia="Aptos Display" w:hAnsi="Aptos Display" w:cs="Aptos Display"/>
        </w:rPr>
        <w:t xml:space="preserve"> </w:t>
      </w:r>
    </w:p>
    <w:p w14:paraId="4C423C3A" w14:textId="5FEE9237"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The opportunity was to build strong brand recall and differentiation in a cluttered advertising environment. However, limited exposure time posed a challenge, requiring strong creative execution to generate lasting impact (Keller, 2013). </w:t>
      </w:r>
    </w:p>
    <w:p w14:paraId="505CBC36" w14:textId="7C327A2F" w:rsidR="49EBD922" w:rsidRDefault="49EBD922" w:rsidP="7935BD89">
      <w:pPr>
        <w:pStyle w:val="Heading2"/>
        <w:rPr>
          <w:rFonts w:ascii="Aptos Display" w:eastAsia="Aptos Display" w:hAnsi="Aptos Display" w:cs="Aptos Display"/>
        </w:rPr>
      </w:pPr>
      <w:bookmarkStart w:id="96" w:name="_Toc416770037"/>
      <w:bookmarkStart w:id="97" w:name="_Toc1393389767"/>
      <w:r w:rsidRPr="552AD7BB">
        <w:rPr>
          <w:rFonts w:ascii="Aptos Display" w:eastAsia="Aptos Display" w:hAnsi="Aptos Display" w:cs="Aptos Display"/>
        </w:rPr>
        <w:t>4.6.3 Sponsorship Approach &amp; Implementation</w:t>
      </w:r>
      <w:bookmarkEnd w:id="96"/>
      <w:bookmarkEnd w:id="97"/>
      <w:r w:rsidRPr="552AD7BB">
        <w:rPr>
          <w:rFonts w:ascii="Aptos Display" w:eastAsia="Aptos Display" w:hAnsi="Aptos Display" w:cs="Aptos Display"/>
        </w:rPr>
        <w:t xml:space="preserve"> </w:t>
      </w:r>
    </w:p>
    <w:p w14:paraId="60FD8934" w14:textId="1B9408F2"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CRED combined in-match sponsorship with creative advertising, celebrity endorsements, and strong social media activation. IPL moments were amplified through digital content, memes, and online engagement, extending the reach beyond live broadcasts. Research suggests that such symbolic and emotional activation enhances sponsorship effectiveness (Cornwell &amp; Kwon, 2021). </w:t>
      </w:r>
    </w:p>
    <w:p w14:paraId="5FE8F4E2" w14:textId="54999D0C" w:rsidR="49EBD922" w:rsidRDefault="49EBD922" w:rsidP="7935BD89">
      <w:pPr>
        <w:pStyle w:val="Heading2"/>
        <w:rPr>
          <w:rFonts w:ascii="Aptos Display" w:eastAsia="Aptos Display" w:hAnsi="Aptos Display" w:cs="Aptos Display"/>
        </w:rPr>
      </w:pPr>
      <w:bookmarkStart w:id="98" w:name="_Toc1278622300"/>
      <w:bookmarkStart w:id="99" w:name="_Toc458492052"/>
      <w:r w:rsidRPr="552AD7BB">
        <w:rPr>
          <w:rFonts w:ascii="Aptos Display" w:eastAsia="Aptos Display" w:hAnsi="Aptos Display" w:cs="Aptos Display"/>
        </w:rPr>
        <w:t>4.6.4 Outcomes / Results</w:t>
      </w:r>
      <w:bookmarkEnd w:id="98"/>
      <w:bookmarkEnd w:id="99"/>
      <w:r w:rsidRPr="552AD7BB">
        <w:rPr>
          <w:rFonts w:ascii="Aptos Display" w:eastAsia="Aptos Display" w:hAnsi="Aptos Display" w:cs="Aptos Display"/>
        </w:rPr>
        <w:t xml:space="preserve"> </w:t>
      </w:r>
    </w:p>
    <w:p w14:paraId="2E9756F3" w14:textId="2BB18228"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Media commentary indicates high brand recall and strong associations with creativity and premium positioning. From a brand equity perspective, the sponsorship strengthened brand distinctiveness and personality, highlighting how event-based sponsorship can be effective when supported by creative activation. </w:t>
      </w:r>
    </w:p>
    <w:p w14:paraId="5A58A588" w14:textId="50BF333C" w:rsidR="49EBD922" w:rsidRDefault="49EBD922" w:rsidP="7935BD89">
      <w:pPr>
        <w:pStyle w:val="Heading1"/>
        <w:rPr>
          <w:rFonts w:ascii="Aptos Display" w:eastAsia="Aptos Display" w:hAnsi="Aptos Display" w:cs="Aptos Display"/>
        </w:rPr>
      </w:pPr>
      <w:bookmarkStart w:id="100" w:name="_Toc336432120"/>
      <w:bookmarkStart w:id="101" w:name="_Toc562942015"/>
      <w:r w:rsidRPr="552AD7BB">
        <w:rPr>
          <w:rFonts w:ascii="Aptos Display" w:eastAsia="Aptos Display" w:hAnsi="Aptos Display" w:cs="Aptos Display"/>
        </w:rPr>
        <w:t>4.7 Case Study 5: Etihad Airways × Chennai Super Kings (CSK)</w:t>
      </w:r>
      <w:bookmarkEnd w:id="100"/>
      <w:bookmarkEnd w:id="101"/>
      <w:r w:rsidRPr="552AD7BB">
        <w:rPr>
          <w:rFonts w:ascii="Aptos Display" w:eastAsia="Aptos Display" w:hAnsi="Aptos Display" w:cs="Aptos Display"/>
        </w:rPr>
        <w:t xml:space="preserve"> </w:t>
      </w:r>
    </w:p>
    <w:p w14:paraId="516ABC8E" w14:textId="2C503379" w:rsidR="49EBD922" w:rsidRDefault="49EBD922" w:rsidP="7935BD89">
      <w:pPr>
        <w:pStyle w:val="Heading2"/>
        <w:rPr>
          <w:rFonts w:ascii="Aptos Display" w:eastAsia="Aptos Display" w:hAnsi="Aptos Display" w:cs="Aptos Display"/>
        </w:rPr>
      </w:pPr>
      <w:bookmarkStart w:id="102" w:name="_Toc1117612476"/>
      <w:bookmarkStart w:id="103" w:name="_Toc494115508"/>
      <w:r w:rsidRPr="552AD7BB">
        <w:rPr>
          <w:rFonts w:ascii="Aptos Display" w:eastAsia="Aptos Display" w:hAnsi="Aptos Display" w:cs="Aptos Display"/>
        </w:rPr>
        <w:t>4.7.1 Background</w:t>
      </w:r>
      <w:bookmarkEnd w:id="102"/>
      <w:bookmarkEnd w:id="103"/>
      <w:r w:rsidRPr="552AD7BB">
        <w:rPr>
          <w:rFonts w:ascii="Aptos Display" w:eastAsia="Aptos Display" w:hAnsi="Aptos Display" w:cs="Aptos Display"/>
        </w:rPr>
        <w:t xml:space="preserve"> </w:t>
      </w:r>
    </w:p>
    <w:p w14:paraId="16244A7B" w14:textId="1D5A7E64"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Etihad Airways is a global full-service airline based in Abu Dhabi, operating across international markets with a premium brand positioning. In the IPL, Etihad became an official sponsor of Chennai Super Kings (CSK), one of the league’s most successful and widely supported franchises. CSK is known for its strong brand identity, consistent on-field performance, and a loyal, multi-generational fan base. The partnership provided Etihad with access to a highly engaged Indian audience while aligning the airline with a franchise associated with excellence, reliability, and long-term success. </w:t>
      </w:r>
    </w:p>
    <w:p w14:paraId="10585A7B" w14:textId="41602779" w:rsidR="49EBD922" w:rsidRDefault="49EBD922" w:rsidP="7935BD89">
      <w:pPr>
        <w:pStyle w:val="Heading2"/>
        <w:rPr>
          <w:rFonts w:ascii="Aptos Display" w:eastAsia="Aptos Display" w:hAnsi="Aptos Display" w:cs="Aptos Display"/>
        </w:rPr>
      </w:pPr>
      <w:bookmarkStart w:id="104" w:name="_Toc1048363213"/>
      <w:bookmarkStart w:id="105" w:name="_Toc1579375416"/>
      <w:r w:rsidRPr="552AD7BB">
        <w:rPr>
          <w:rFonts w:ascii="Aptos Display" w:eastAsia="Aptos Display" w:hAnsi="Aptos Display" w:cs="Aptos Display"/>
        </w:rPr>
        <w:t>4.7.2 Challenge / Opportunity</w:t>
      </w:r>
      <w:bookmarkEnd w:id="104"/>
      <w:bookmarkEnd w:id="105"/>
      <w:r w:rsidRPr="552AD7BB">
        <w:rPr>
          <w:rFonts w:ascii="Aptos Display" w:eastAsia="Aptos Display" w:hAnsi="Aptos Display" w:cs="Aptos Display"/>
        </w:rPr>
        <w:t xml:space="preserve"> </w:t>
      </w:r>
    </w:p>
    <w:p w14:paraId="24D5B9F1" w14:textId="4C6D5000"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For Etihad Airways, the key opportunity was to strengthen brand visibility and emotional connection in the Indian market, which is strategically important for international air travel. As a premium airline competing with both global and regional carriers, Etihad needed to enhance brand salience and positive associations rather than focus on short-term sales outcomes. The challenge lay in achieving meaningful differentiation through sports sponsorship in a cluttered IPL environment where multiple brands compete for audience attention. </w:t>
      </w:r>
    </w:p>
    <w:p w14:paraId="469DDD88" w14:textId="67503153" w:rsidR="49EBD922" w:rsidRDefault="49EBD922" w:rsidP="7935BD89">
      <w:pPr>
        <w:pStyle w:val="Heading2"/>
        <w:rPr>
          <w:rFonts w:ascii="Aptos Display" w:eastAsia="Aptos Display" w:hAnsi="Aptos Display" w:cs="Aptos Display"/>
        </w:rPr>
      </w:pPr>
      <w:bookmarkStart w:id="106" w:name="_Toc1924741970"/>
      <w:bookmarkStart w:id="107" w:name="_Toc2011166433"/>
      <w:r w:rsidRPr="552AD7BB">
        <w:rPr>
          <w:rFonts w:ascii="Aptos Display" w:eastAsia="Aptos Display" w:hAnsi="Aptos Display" w:cs="Aptos Display"/>
        </w:rPr>
        <w:t>4.7.3 Sponsorship Approach and Implementation</w:t>
      </w:r>
      <w:bookmarkEnd w:id="106"/>
      <w:bookmarkEnd w:id="107"/>
      <w:r w:rsidRPr="552AD7BB">
        <w:rPr>
          <w:rFonts w:ascii="Aptos Display" w:eastAsia="Aptos Display" w:hAnsi="Aptos Display" w:cs="Aptos Display"/>
        </w:rPr>
        <w:t xml:space="preserve"> </w:t>
      </w:r>
    </w:p>
    <w:p w14:paraId="313E30D5" w14:textId="27DB1A29"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 xml:space="preserve">Etihad’s sponsorship focused on team association rather than league-wide exposure. Brand visibility was achieved through jersey placement, perimeter advertising, and digital content linked to CSK’s matches and fan engagement activities. The airline leveraged CSK’s strong social media presence and match-day broadcasts to reinforce repeated exposure throughout the tournament. Unlike activation-heavy digital sponsors, Etihad adopted a more traditional sponsorship approach centred on consistent visual presence and association with a high-performing team brand. </w:t>
      </w:r>
    </w:p>
    <w:p w14:paraId="5D48E318" w14:textId="258069D3" w:rsidR="49EBD922" w:rsidRDefault="49EBD922" w:rsidP="7935BD89">
      <w:pPr>
        <w:pStyle w:val="Heading2"/>
        <w:jc w:val="both"/>
        <w:rPr>
          <w:rFonts w:ascii="Aptos Display" w:eastAsia="Aptos Display" w:hAnsi="Aptos Display" w:cs="Aptos Display"/>
        </w:rPr>
      </w:pPr>
      <w:bookmarkStart w:id="108" w:name="_Toc1855896537"/>
      <w:bookmarkStart w:id="109" w:name="_Toc1915786202"/>
      <w:r w:rsidRPr="552AD7BB">
        <w:rPr>
          <w:rFonts w:ascii="Aptos Display" w:eastAsia="Aptos Display" w:hAnsi="Aptos Display" w:cs="Aptos Display"/>
        </w:rPr>
        <w:t>4.7.4 Outcomes and Brand Image Implications</w:t>
      </w:r>
      <w:bookmarkEnd w:id="108"/>
      <w:bookmarkEnd w:id="109"/>
      <w:r w:rsidRPr="552AD7BB">
        <w:rPr>
          <w:rFonts w:ascii="Aptos Display" w:eastAsia="Aptos Display" w:hAnsi="Aptos Display" w:cs="Aptos Display"/>
        </w:rPr>
        <w:t xml:space="preserve"> </w:t>
      </w:r>
    </w:p>
    <w:p w14:paraId="234A66F3" w14:textId="6BA4A098" w:rsidR="49EBD922" w:rsidRDefault="49EBD922" w:rsidP="7935BD89">
      <w:pPr>
        <w:spacing w:before="240" w:after="240"/>
        <w:jc w:val="both"/>
        <w:rPr>
          <w:rFonts w:ascii="Arial" w:eastAsia="Arial" w:hAnsi="Arial" w:cs="Arial"/>
          <w:color w:val="000000" w:themeColor="text1"/>
        </w:rPr>
      </w:pPr>
      <w:r w:rsidRPr="7935BD89">
        <w:rPr>
          <w:rFonts w:ascii="Arial" w:eastAsia="Arial" w:hAnsi="Arial" w:cs="Arial"/>
          <w:color w:val="000000" w:themeColor="text1"/>
        </w:rPr>
        <w:t>The sponsorship contributed to reinforcing Etihad’s brand image as premium, reliable, and globally recognised. Association with CSK supported positive image transfer by linking the airline with success, professionalism, and fan loyalty. From a brand equity perspective, the partnership primarily strengthened brand awareness and brand associations rather than immediate behavioural outcomes (Aaker, 1991; Keller, 1993). Compared to digital-first sponsors such as Jio, Etihad’s impact relied more on symbolic alignment and repeated exposure than functional interaction. Nevertheless, the case demonstrates that team-based sponsorship in the IPL can effectively support international brand positioning when congruence and franchise strength are high (Cornwell, 2019).</w:t>
      </w:r>
    </w:p>
    <w:p w14:paraId="14A1A708" w14:textId="14CCA396" w:rsidR="49EBD922" w:rsidRDefault="49EBD922" w:rsidP="7935BD89">
      <w:pPr>
        <w:pStyle w:val="Heading1"/>
        <w:rPr>
          <w:rFonts w:ascii="Aptos Display" w:eastAsia="Aptos Display" w:hAnsi="Aptos Display" w:cs="Aptos Display"/>
        </w:rPr>
      </w:pPr>
      <w:bookmarkStart w:id="110" w:name="_Toc2086613732"/>
      <w:bookmarkStart w:id="111" w:name="_Toc745870900"/>
      <w:r w:rsidRPr="552AD7BB">
        <w:rPr>
          <w:rFonts w:ascii="Aptos Display" w:eastAsia="Aptos Display" w:hAnsi="Aptos Display" w:cs="Aptos Display"/>
        </w:rPr>
        <w:t>4.8 cross case analysis</w:t>
      </w:r>
      <w:bookmarkEnd w:id="110"/>
      <w:bookmarkEnd w:id="111"/>
    </w:p>
    <w:p w14:paraId="7AEA8C1F" w14:textId="3850F127" w:rsidR="404B2333" w:rsidRDefault="404B2333" w:rsidP="552AD7BB">
      <w:pPr>
        <w:jc w:val="both"/>
        <w:rPr>
          <w:rFonts w:ascii="Arial" w:eastAsia="Arial" w:hAnsi="Arial" w:cs="Arial"/>
          <w:color w:val="000000" w:themeColor="text1"/>
        </w:rPr>
        <w:sectPr w:rsidR="404B2333" w:rsidSect="00F00DBF">
          <w:headerReference w:type="default" r:id="rId16"/>
          <w:footerReference w:type="default" r:id="rId17"/>
          <w:pgSz w:w="11906" w:h="16838"/>
          <w:pgMar w:top="1440" w:right="1440" w:bottom="1440" w:left="1440" w:header="720" w:footer="720" w:gutter="0"/>
          <w:cols w:space="720"/>
          <w:docGrid w:linePitch="360"/>
        </w:sectPr>
      </w:pPr>
      <w:r w:rsidRPr="552AD7BB">
        <w:rPr>
          <w:rFonts w:ascii="Arial" w:eastAsia="Arial" w:hAnsi="Arial" w:cs="Arial"/>
          <w:color w:val="000000" w:themeColor="text1"/>
        </w:rPr>
        <w:t>The cross-case comparison highlights both common patterns and meaningful differences in how IPL sponsorship strategies influence brand image outcomes. Across all five cases, visibility emerges as a necessary foundation for brand building; however, the way visibility is achieved and activated varies considerably. League-level and ecosystem sponsorships, such as Tata Neu and Jio, generated sustained exposure across the tournament, supporting rapid brand awareness and perceived credibility. In contrast, team-based sponsorships, including RCB × Qatar Airways and CSK × Etihad Airways, relied more on emotional association and symbolic fit, transferring values such as prestige, trust, and global stature from the team to the sponsor. Event-based sponsorship, as seen with CRED, demonstrated that even limited-duration exposure can produce strong brand recall when supported by distinctive and creative activation. Overall, the table shows that sponsorship scale alone does not determine brand image outcomes; instead, alignment between sponsorship type, activation approach, and brand positioning is critical. These findings reinforce brand equity theory by illustrating how awareness, associations, and perceived quality are built through different sponsorship mechanisms within the IPL context and provide a structured foundation for the cross-case synthesis developed in the next chapt</w:t>
      </w:r>
      <w:r w:rsidR="006A2CBD" w:rsidRPr="552AD7BB">
        <w:rPr>
          <w:rFonts w:ascii="Arial" w:eastAsia="Arial" w:hAnsi="Arial" w:cs="Arial"/>
          <w:color w:val="000000" w:themeColor="text1"/>
        </w:rPr>
        <w:t>er</w:t>
      </w:r>
      <w:r w:rsidR="53086A30" w:rsidRPr="552AD7BB">
        <w:rPr>
          <w:rFonts w:ascii="Arial" w:eastAsia="Arial" w:hAnsi="Arial" w:cs="Arial"/>
          <w:color w:val="000000" w:themeColor="text1"/>
        </w:rPr>
        <w:t>.</w:t>
      </w:r>
    </w:p>
    <w:tbl>
      <w:tblPr>
        <w:tblStyle w:val="GridTable5Dark-Accent2"/>
        <w:tblW w:w="0" w:type="auto"/>
        <w:tblLook w:val="06A0" w:firstRow="1" w:lastRow="0" w:firstColumn="1" w:lastColumn="0" w:noHBand="1" w:noVBand="1"/>
      </w:tblPr>
      <w:tblGrid>
        <w:gridCol w:w="2315"/>
        <w:gridCol w:w="2320"/>
        <w:gridCol w:w="2340"/>
        <w:gridCol w:w="2324"/>
        <w:gridCol w:w="2327"/>
        <w:gridCol w:w="2322"/>
      </w:tblGrid>
      <w:tr w:rsidR="552AD7BB" w14:paraId="3624442A" w14:textId="77777777" w:rsidTr="552AD7BB">
        <w:trPr>
          <w:cnfStyle w:val="100000000000" w:firstRow="1" w:lastRow="0" w:firstColumn="0" w:lastColumn="0" w:oddVBand="0" w:evenVBand="0" w:oddHBand="0" w:evenHBand="0" w:firstRowFirstColumn="0" w:firstRowLastColumn="0" w:lastRowFirstColumn="0" w:lastRowLastColumn="0"/>
          <w:trHeight w:val="2010"/>
        </w:trPr>
        <w:tc>
          <w:tcPr>
            <w:cnfStyle w:val="001000000000" w:firstRow="0" w:lastRow="0" w:firstColumn="1" w:lastColumn="0" w:oddVBand="0" w:evenVBand="0" w:oddHBand="0" w:evenHBand="0" w:firstRowFirstColumn="0" w:firstRowLastColumn="0" w:lastRowFirstColumn="0" w:lastRowLastColumn="0"/>
            <w:tcW w:w="2345" w:type="dxa"/>
            <w:tcMar>
              <w:left w:w="105" w:type="dxa"/>
              <w:right w:w="105" w:type="dxa"/>
            </w:tcMar>
            <w:vAlign w:val="center"/>
          </w:tcPr>
          <w:p w14:paraId="14220108" w14:textId="0BA7C881" w:rsidR="552AD7BB" w:rsidRDefault="552AD7BB" w:rsidP="552AD7BB">
            <w:pPr>
              <w:jc w:val="center"/>
              <w:rPr>
                <w:rFonts w:ascii="Arial" w:eastAsia="Arial" w:hAnsi="Arial" w:cs="Arial"/>
                <w:color w:val="000000" w:themeColor="text1"/>
                <w:sz w:val="22"/>
                <w:szCs w:val="22"/>
              </w:rPr>
            </w:pPr>
            <w:r w:rsidRPr="552AD7BB">
              <w:rPr>
                <w:rFonts w:ascii="Arial" w:eastAsia="Arial" w:hAnsi="Arial" w:cs="Arial"/>
                <w:b w:val="0"/>
                <w:bCs w:val="0"/>
                <w:color w:val="000000" w:themeColor="text1"/>
                <w:sz w:val="22"/>
                <w:szCs w:val="22"/>
              </w:rPr>
              <w:t>Case</w:t>
            </w:r>
          </w:p>
        </w:tc>
        <w:tc>
          <w:tcPr>
            <w:tcW w:w="2345" w:type="dxa"/>
            <w:tcMar>
              <w:left w:w="105" w:type="dxa"/>
              <w:right w:w="105" w:type="dxa"/>
            </w:tcMar>
            <w:vAlign w:val="center"/>
          </w:tcPr>
          <w:p w14:paraId="13A3E566" w14:textId="02886FBE" w:rsidR="552AD7BB" w:rsidRDefault="552AD7BB" w:rsidP="552AD7BB">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themeColor="text1"/>
                <w:sz w:val="22"/>
                <w:szCs w:val="22"/>
              </w:rPr>
            </w:pPr>
            <w:r w:rsidRPr="552AD7BB">
              <w:rPr>
                <w:rFonts w:ascii="Arial" w:eastAsia="Arial" w:hAnsi="Arial" w:cs="Arial"/>
                <w:b w:val="0"/>
                <w:bCs w:val="0"/>
                <w:color w:val="000000" w:themeColor="text1"/>
                <w:sz w:val="22"/>
                <w:szCs w:val="22"/>
              </w:rPr>
              <w:t>Sponsorship Type</w:t>
            </w:r>
          </w:p>
        </w:tc>
        <w:tc>
          <w:tcPr>
            <w:tcW w:w="2345" w:type="dxa"/>
            <w:tcMar>
              <w:left w:w="105" w:type="dxa"/>
              <w:right w:w="105" w:type="dxa"/>
            </w:tcMar>
            <w:vAlign w:val="center"/>
          </w:tcPr>
          <w:p w14:paraId="669B669A" w14:textId="56452B4D" w:rsidR="552AD7BB" w:rsidRDefault="552AD7BB" w:rsidP="552AD7BB">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themeColor="text1"/>
                <w:sz w:val="22"/>
                <w:szCs w:val="22"/>
              </w:rPr>
            </w:pPr>
            <w:r w:rsidRPr="552AD7BB">
              <w:rPr>
                <w:rFonts w:ascii="Arial" w:eastAsia="Arial" w:hAnsi="Arial" w:cs="Arial"/>
                <w:b w:val="0"/>
                <w:bCs w:val="0"/>
                <w:color w:val="000000" w:themeColor="text1"/>
                <w:sz w:val="22"/>
                <w:szCs w:val="22"/>
              </w:rPr>
              <w:t>Challenge / Opportunity</w:t>
            </w:r>
          </w:p>
        </w:tc>
        <w:tc>
          <w:tcPr>
            <w:tcW w:w="2345" w:type="dxa"/>
            <w:tcMar>
              <w:left w:w="105" w:type="dxa"/>
              <w:right w:w="105" w:type="dxa"/>
            </w:tcMar>
            <w:vAlign w:val="center"/>
          </w:tcPr>
          <w:p w14:paraId="120CE236" w14:textId="0252E16C" w:rsidR="552AD7BB" w:rsidRDefault="552AD7BB" w:rsidP="552AD7BB">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themeColor="text1"/>
                <w:sz w:val="22"/>
                <w:szCs w:val="22"/>
              </w:rPr>
            </w:pPr>
            <w:r w:rsidRPr="552AD7BB">
              <w:rPr>
                <w:rFonts w:ascii="Arial" w:eastAsia="Arial" w:hAnsi="Arial" w:cs="Arial"/>
                <w:b w:val="0"/>
                <w:bCs w:val="0"/>
                <w:color w:val="000000" w:themeColor="text1"/>
                <w:sz w:val="22"/>
                <w:szCs w:val="22"/>
              </w:rPr>
              <w:t>Sponsorship Approach</w:t>
            </w:r>
          </w:p>
        </w:tc>
        <w:tc>
          <w:tcPr>
            <w:tcW w:w="2345" w:type="dxa"/>
            <w:tcMar>
              <w:left w:w="105" w:type="dxa"/>
              <w:right w:w="105" w:type="dxa"/>
            </w:tcMar>
            <w:vAlign w:val="center"/>
          </w:tcPr>
          <w:p w14:paraId="7F975900" w14:textId="07B805D3" w:rsidR="552AD7BB" w:rsidRDefault="552AD7BB" w:rsidP="552AD7BB">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themeColor="text1"/>
                <w:sz w:val="22"/>
                <w:szCs w:val="22"/>
              </w:rPr>
            </w:pPr>
            <w:r w:rsidRPr="552AD7BB">
              <w:rPr>
                <w:rFonts w:ascii="Arial" w:eastAsia="Arial" w:hAnsi="Arial" w:cs="Arial"/>
                <w:b w:val="0"/>
                <w:bCs w:val="0"/>
                <w:color w:val="000000" w:themeColor="text1"/>
                <w:sz w:val="22"/>
                <w:szCs w:val="22"/>
              </w:rPr>
              <w:t>Implementation / Activation</w:t>
            </w:r>
          </w:p>
        </w:tc>
        <w:tc>
          <w:tcPr>
            <w:tcW w:w="2345" w:type="dxa"/>
            <w:tcMar>
              <w:left w:w="105" w:type="dxa"/>
              <w:right w:w="105" w:type="dxa"/>
            </w:tcMar>
            <w:vAlign w:val="center"/>
          </w:tcPr>
          <w:p w14:paraId="50A432F0" w14:textId="5911B483" w:rsidR="552AD7BB" w:rsidRDefault="552AD7BB" w:rsidP="552AD7BB">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000000" w:themeColor="text1"/>
                <w:sz w:val="22"/>
                <w:szCs w:val="22"/>
              </w:rPr>
            </w:pPr>
            <w:r w:rsidRPr="552AD7BB">
              <w:rPr>
                <w:rFonts w:ascii="Arial" w:eastAsia="Arial" w:hAnsi="Arial" w:cs="Arial"/>
                <w:b w:val="0"/>
                <w:bCs w:val="0"/>
                <w:color w:val="000000" w:themeColor="text1"/>
                <w:sz w:val="22"/>
                <w:szCs w:val="22"/>
              </w:rPr>
              <w:t>Brand Image Outcomes</w:t>
            </w:r>
          </w:p>
        </w:tc>
      </w:tr>
      <w:tr w:rsidR="552AD7BB" w14:paraId="4F3B9812" w14:textId="77777777" w:rsidTr="552AD7BB">
        <w:trPr>
          <w:trHeight w:val="2730"/>
        </w:trPr>
        <w:tc>
          <w:tcPr>
            <w:cnfStyle w:val="001000000000" w:firstRow="0" w:lastRow="0" w:firstColumn="1" w:lastColumn="0" w:oddVBand="0" w:evenVBand="0" w:oddHBand="0" w:evenHBand="0" w:firstRowFirstColumn="0" w:firstRowLastColumn="0" w:lastRowFirstColumn="0" w:lastRowLastColumn="0"/>
            <w:tcW w:w="2345" w:type="dxa"/>
            <w:tcMar>
              <w:left w:w="105" w:type="dxa"/>
              <w:right w:w="105" w:type="dxa"/>
            </w:tcMar>
            <w:vAlign w:val="center"/>
          </w:tcPr>
          <w:p w14:paraId="6E4CC8FE" w14:textId="010D5895" w:rsidR="552AD7BB" w:rsidRDefault="552AD7BB" w:rsidP="552AD7BB">
            <w:pPr>
              <w:jc w:val="center"/>
              <w:rPr>
                <w:rFonts w:ascii="Arial" w:eastAsia="Arial" w:hAnsi="Arial" w:cs="Arial"/>
                <w:color w:val="000000" w:themeColor="text1"/>
                <w:sz w:val="22"/>
                <w:szCs w:val="22"/>
              </w:rPr>
            </w:pPr>
            <w:r w:rsidRPr="552AD7BB">
              <w:rPr>
                <w:rFonts w:ascii="Arial" w:eastAsia="Arial" w:hAnsi="Arial" w:cs="Arial"/>
                <w:b w:val="0"/>
                <w:bCs w:val="0"/>
                <w:color w:val="000000" w:themeColor="text1"/>
                <w:sz w:val="22"/>
                <w:szCs w:val="22"/>
              </w:rPr>
              <w:t>RCB × Qatar Airways</w:t>
            </w:r>
          </w:p>
        </w:tc>
        <w:tc>
          <w:tcPr>
            <w:tcW w:w="2345" w:type="dxa"/>
            <w:tcMar>
              <w:left w:w="105" w:type="dxa"/>
              <w:right w:w="105" w:type="dxa"/>
            </w:tcMar>
          </w:tcPr>
          <w:p w14:paraId="61E91F48" w14:textId="1E802E4D"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Team sponsorship</w:t>
            </w:r>
          </w:p>
        </w:tc>
        <w:tc>
          <w:tcPr>
            <w:tcW w:w="2345" w:type="dxa"/>
            <w:tcMar>
              <w:left w:w="105" w:type="dxa"/>
              <w:right w:w="105" w:type="dxa"/>
            </w:tcMar>
          </w:tcPr>
          <w:p w14:paraId="2B87FEA4" w14:textId="574A7776"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Increase brand awareness and premium brand relevance in the Indian market by associating with a popular IPL franchise while ensuring cultural and emotional fit with Indian cricket fans.</w:t>
            </w:r>
          </w:p>
        </w:tc>
        <w:tc>
          <w:tcPr>
            <w:tcW w:w="2345" w:type="dxa"/>
            <w:tcMar>
              <w:left w:w="105" w:type="dxa"/>
              <w:right w:w="105" w:type="dxa"/>
            </w:tcMar>
          </w:tcPr>
          <w:p w14:paraId="382948A2" w14:textId="6D872B85"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Premium team sponsorship focused on symbolic alignment between a global airline brand and a high-profile IPL team.</w:t>
            </w:r>
          </w:p>
        </w:tc>
        <w:tc>
          <w:tcPr>
            <w:tcW w:w="2345" w:type="dxa"/>
            <w:tcMar>
              <w:left w:w="105" w:type="dxa"/>
              <w:right w:w="105" w:type="dxa"/>
            </w:tcMar>
          </w:tcPr>
          <w:p w14:paraId="2E4D6A27" w14:textId="7BCAA6A1"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Jersey branding during matches, repeated broadcast exposure, co-branded digital campaigns, social media engagement with RCB players, and fan-focused promotional content.</w:t>
            </w:r>
          </w:p>
        </w:tc>
        <w:tc>
          <w:tcPr>
            <w:tcW w:w="2345" w:type="dxa"/>
            <w:tcMar>
              <w:left w:w="105" w:type="dxa"/>
              <w:right w:w="105" w:type="dxa"/>
            </w:tcMar>
          </w:tcPr>
          <w:p w14:paraId="7BB8BF3B" w14:textId="7DDA5AD5"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Enhanced brand awareness in India, stronger associations with prestige and global connectivity, and emotional brand linkage through RCB’s loyal fan base.</w:t>
            </w:r>
          </w:p>
        </w:tc>
      </w:tr>
      <w:tr w:rsidR="552AD7BB" w14:paraId="3B3E6E84" w14:textId="77777777" w:rsidTr="552AD7BB">
        <w:trPr>
          <w:trHeight w:val="2460"/>
        </w:trPr>
        <w:tc>
          <w:tcPr>
            <w:cnfStyle w:val="001000000000" w:firstRow="0" w:lastRow="0" w:firstColumn="1" w:lastColumn="0" w:oddVBand="0" w:evenVBand="0" w:oddHBand="0" w:evenHBand="0" w:firstRowFirstColumn="0" w:firstRowLastColumn="0" w:lastRowFirstColumn="0" w:lastRowLastColumn="0"/>
            <w:tcW w:w="2345" w:type="dxa"/>
            <w:tcMar>
              <w:left w:w="105" w:type="dxa"/>
              <w:right w:w="105" w:type="dxa"/>
            </w:tcMar>
            <w:vAlign w:val="center"/>
          </w:tcPr>
          <w:p w14:paraId="51EC264B" w14:textId="1E16A160" w:rsidR="552AD7BB" w:rsidRDefault="552AD7BB" w:rsidP="552AD7BB">
            <w:pPr>
              <w:jc w:val="center"/>
              <w:rPr>
                <w:rFonts w:ascii="Arial" w:eastAsia="Arial" w:hAnsi="Arial" w:cs="Arial"/>
                <w:color w:val="000000" w:themeColor="text1"/>
                <w:sz w:val="22"/>
                <w:szCs w:val="22"/>
              </w:rPr>
            </w:pPr>
            <w:r w:rsidRPr="552AD7BB">
              <w:rPr>
                <w:rFonts w:ascii="Arial" w:eastAsia="Arial" w:hAnsi="Arial" w:cs="Arial"/>
                <w:b w:val="0"/>
                <w:bCs w:val="0"/>
                <w:color w:val="000000" w:themeColor="text1"/>
                <w:sz w:val="22"/>
                <w:szCs w:val="22"/>
              </w:rPr>
              <w:t>CSK × Etihad Airways</w:t>
            </w:r>
          </w:p>
        </w:tc>
        <w:tc>
          <w:tcPr>
            <w:tcW w:w="2345" w:type="dxa"/>
            <w:tcMar>
              <w:left w:w="105" w:type="dxa"/>
              <w:right w:w="105" w:type="dxa"/>
            </w:tcMar>
          </w:tcPr>
          <w:p w14:paraId="5851DC8D" w14:textId="1239B66C"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Team sponsorship</w:t>
            </w:r>
          </w:p>
        </w:tc>
        <w:tc>
          <w:tcPr>
            <w:tcW w:w="2345" w:type="dxa"/>
            <w:tcMar>
              <w:left w:w="105" w:type="dxa"/>
              <w:right w:w="105" w:type="dxa"/>
            </w:tcMar>
          </w:tcPr>
          <w:p w14:paraId="03C25D40" w14:textId="7A91297A"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Strengthen brand trust and premium positioning in a competitive airline market by associating with a successful and highly respected IPL franchise.</w:t>
            </w:r>
          </w:p>
        </w:tc>
        <w:tc>
          <w:tcPr>
            <w:tcW w:w="2345" w:type="dxa"/>
            <w:tcMar>
              <w:left w:w="105" w:type="dxa"/>
              <w:right w:w="105" w:type="dxa"/>
            </w:tcMar>
          </w:tcPr>
          <w:p w14:paraId="596EDB5B" w14:textId="75DE5F10"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Team-based sponsorship aligned with CSK’s values of consistency, reliability, and long-term success.</w:t>
            </w:r>
          </w:p>
        </w:tc>
        <w:tc>
          <w:tcPr>
            <w:tcW w:w="2345" w:type="dxa"/>
            <w:tcMar>
              <w:left w:w="105" w:type="dxa"/>
              <w:right w:w="105" w:type="dxa"/>
            </w:tcMar>
          </w:tcPr>
          <w:p w14:paraId="729B3754" w14:textId="0D3602FA"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Jersey and perimeter branding, repeated match-day exposure, association with CSK’s winning image, and digital content linked to team identity and performance.</w:t>
            </w:r>
          </w:p>
        </w:tc>
        <w:tc>
          <w:tcPr>
            <w:tcW w:w="2345" w:type="dxa"/>
            <w:tcMar>
              <w:left w:w="105" w:type="dxa"/>
              <w:right w:w="105" w:type="dxa"/>
            </w:tcMar>
          </w:tcPr>
          <w:p w14:paraId="7C58AEAC" w14:textId="6E0F7DD9"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Improved perceptions of trust, reliability, and premium global image, supported by positive image transfer from CSK’s strong on-field performance.</w:t>
            </w:r>
          </w:p>
        </w:tc>
      </w:tr>
      <w:tr w:rsidR="552AD7BB" w14:paraId="7E30C414" w14:textId="77777777" w:rsidTr="552AD7BB">
        <w:trPr>
          <w:trHeight w:val="2520"/>
        </w:trPr>
        <w:tc>
          <w:tcPr>
            <w:cnfStyle w:val="001000000000" w:firstRow="0" w:lastRow="0" w:firstColumn="1" w:lastColumn="0" w:oddVBand="0" w:evenVBand="0" w:oddHBand="0" w:evenHBand="0" w:firstRowFirstColumn="0" w:firstRowLastColumn="0" w:lastRowFirstColumn="0" w:lastRowLastColumn="0"/>
            <w:tcW w:w="2345" w:type="dxa"/>
            <w:tcMar>
              <w:left w:w="105" w:type="dxa"/>
              <w:right w:w="105" w:type="dxa"/>
            </w:tcMar>
            <w:vAlign w:val="center"/>
          </w:tcPr>
          <w:p w14:paraId="16FA2041" w14:textId="0ADF0469" w:rsidR="552AD7BB" w:rsidRDefault="552AD7BB" w:rsidP="552AD7BB">
            <w:pPr>
              <w:jc w:val="center"/>
              <w:rPr>
                <w:rFonts w:ascii="Arial" w:eastAsia="Arial" w:hAnsi="Arial" w:cs="Arial"/>
                <w:color w:val="000000" w:themeColor="text1"/>
                <w:sz w:val="22"/>
                <w:szCs w:val="22"/>
              </w:rPr>
            </w:pPr>
            <w:r w:rsidRPr="552AD7BB">
              <w:rPr>
                <w:rFonts w:ascii="Arial" w:eastAsia="Arial" w:hAnsi="Arial" w:cs="Arial"/>
                <w:b w:val="0"/>
                <w:bCs w:val="0"/>
                <w:color w:val="000000" w:themeColor="text1"/>
                <w:sz w:val="22"/>
                <w:szCs w:val="22"/>
              </w:rPr>
              <w:t>Tata Neu (IPL Title Sponsor)</w:t>
            </w:r>
          </w:p>
        </w:tc>
        <w:tc>
          <w:tcPr>
            <w:tcW w:w="2345" w:type="dxa"/>
            <w:tcMar>
              <w:left w:w="105" w:type="dxa"/>
              <w:right w:w="105" w:type="dxa"/>
            </w:tcMar>
          </w:tcPr>
          <w:p w14:paraId="2F21E49C" w14:textId="0670EDDC"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League title sponsorship</w:t>
            </w:r>
          </w:p>
        </w:tc>
        <w:tc>
          <w:tcPr>
            <w:tcW w:w="2345" w:type="dxa"/>
            <w:tcMar>
              <w:left w:w="105" w:type="dxa"/>
              <w:right w:w="105" w:type="dxa"/>
            </w:tcMar>
          </w:tcPr>
          <w:p w14:paraId="4A5177FF" w14:textId="76CB9544"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Rapidly build brand awareness and legitimacy for a newly launched digital super-app in a crowded digital platform market.</w:t>
            </w:r>
          </w:p>
        </w:tc>
        <w:tc>
          <w:tcPr>
            <w:tcW w:w="2345" w:type="dxa"/>
            <w:tcMar>
              <w:left w:w="105" w:type="dxa"/>
              <w:right w:w="105" w:type="dxa"/>
            </w:tcMar>
          </w:tcPr>
          <w:p w14:paraId="6156E8EF" w14:textId="0448CF78"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League-wide title sponsorship providing maximum visibility and credibility through association with the IPL brand.</w:t>
            </w:r>
          </w:p>
        </w:tc>
        <w:tc>
          <w:tcPr>
            <w:tcW w:w="2345" w:type="dxa"/>
            <w:tcMar>
              <w:left w:w="105" w:type="dxa"/>
              <w:right w:w="105" w:type="dxa"/>
            </w:tcMar>
          </w:tcPr>
          <w:p w14:paraId="6CF6EB48" w14:textId="0178844D"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Continuous broadcast visibility, IPL naming rights, app-based rewards during the tournament, cashback offers, and cross-promotion of Tata Group brands.</w:t>
            </w:r>
          </w:p>
        </w:tc>
        <w:tc>
          <w:tcPr>
            <w:tcW w:w="2345" w:type="dxa"/>
            <w:tcMar>
              <w:left w:w="105" w:type="dxa"/>
              <w:right w:w="105" w:type="dxa"/>
            </w:tcMar>
          </w:tcPr>
          <w:p w14:paraId="5BBE3775" w14:textId="496DD8A8"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High brand awareness increased perceived credibility and trust, and early-stage brand equity development supported by Tata Group reputation.</w:t>
            </w:r>
          </w:p>
        </w:tc>
      </w:tr>
      <w:tr w:rsidR="552AD7BB" w14:paraId="4B25B41C" w14:textId="77777777" w:rsidTr="552AD7BB">
        <w:trPr>
          <w:trHeight w:val="2460"/>
        </w:trPr>
        <w:tc>
          <w:tcPr>
            <w:cnfStyle w:val="001000000000" w:firstRow="0" w:lastRow="0" w:firstColumn="1" w:lastColumn="0" w:oddVBand="0" w:evenVBand="0" w:oddHBand="0" w:evenHBand="0" w:firstRowFirstColumn="0" w:firstRowLastColumn="0" w:lastRowFirstColumn="0" w:lastRowLastColumn="0"/>
            <w:tcW w:w="2345" w:type="dxa"/>
            <w:tcMar>
              <w:left w:w="105" w:type="dxa"/>
              <w:right w:w="105" w:type="dxa"/>
            </w:tcMar>
            <w:vAlign w:val="center"/>
          </w:tcPr>
          <w:p w14:paraId="432107EF" w14:textId="6AE3A803" w:rsidR="552AD7BB" w:rsidRDefault="552AD7BB" w:rsidP="552AD7BB">
            <w:pPr>
              <w:jc w:val="center"/>
              <w:rPr>
                <w:rFonts w:ascii="Arial" w:eastAsia="Arial" w:hAnsi="Arial" w:cs="Arial"/>
                <w:color w:val="000000" w:themeColor="text1"/>
                <w:sz w:val="22"/>
                <w:szCs w:val="22"/>
              </w:rPr>
            </w:pPr>
            <w:r w:rsidRPr="552AD7BB">
              <w:rPr>
                <w:rFonts w:ascii="Arial" w:eastAsia="Arial" w:hAnsi="Arial" w:cs="Arial"/>
                <w:b w:val="0"/>
                <w:bCs w:val="0"/>
                <w:color w:val="000000" w:themeColor="text1"/>
                <w:sz w:val="22"/>
                <w:szCs w:val="22"/>
              </w:rPr>
              <w:t>Jio (Digital Ecosystem Partner)</w:t>
            </w:r>
          </w:p>
        </w:tc>
        <w:tc>
          <w:tcPr>
            <w:tcW w:w="2345" w:type="dxa"/>
            <w:tcMar>
              <w:left w:w="105" w:type="dxa"/>
              <w:right w:w="105" w:type="dxa"/>
            </w:tcMar>
          </w:tcPr>
          <w:p w14:paraId="7D0A9CB0" w14:textId="562FC151"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Digital / ecosystem sponsorship</w:t>
            </w:r>
          </w:p>
        </w:tc>
        <w:tc>
          <w:tcPr>
            <w:tcW w:w="2345" w:type="dxa"/>
            <w:tcMar>
              <w:left w:w="105" w:type="dxa"/>
              <w:right w:w="105" w:type="dxa"/>
            </w:tcMar>
          </w:tcPr>
          <w:p w14:paraId="3AF7353E" w14:textId="23FD5956"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Reinforce leadership in digital streaming and telecommunications while differentiating from competitors through superior user experience.</w:t>
            </w:r>
          </w:p>
        </w:tc>
        <w:tc>
          <w:tcPr>
            <w:tcW w:w="2345" w:type="dxa"/>
            <w:tcMar>
              <w:left w:w="105" w:type="dxa"/>
              <w:right w:w="105" w:type="dxa"/>
            </w:tcMar>
          </w:tcPr>
          <w:p w14:paraId="69A1838A" w14:textId="5AD7EAF8"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Digital integration strategy embedding the brand directly into IPL content consumption.</w:t>
            </w:r>
          </w:p>
        </w:tc>
        <w:tc>
          <w:tcPr>
            <w:tcW w:w="2345" w:type="dxa"/>
            <w:tcMar>
              <w:left w:w="105" w:type="dxa"/>
              <w:right w:w="105" w:type="dxa"/>
            </w:tcMar>
          </w:tcPr>
          <w:p w14:paraId="5FD57408" w14:textId="378B2FA7"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Free IPL streaming on JioCinema, interactive viewing features, multiple camera angles, personalised content, and platform-based engagement.</w:t>
            </w:r>
          </w:p>
        </w:tc>
        <w:tc>
          <w:tcPr>
            <w:tcW w:w="2345" w:type="dxa"/>
            <w:tcMar>
              <w:left w:w="105" w:type="dxa"/>
              <w:right w:w="105" w:type="dxa"/>
            </w:tcMar>
          </w:tcPr>
          <w:p w14:paraId="73381703" w14:textId="0BCD88F7"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Strong perceptions of innovation, accessibility, and service quality, leading to higher perceived value and stronger experiential brand equity.</w:t>
            </w:r>
          </w:p>
        </w:tc>
      </w:tr>
      <w:tr w:rsidR="552AD7BB" w14:paraId="79E16C99" w14:textId="77777777" w:rsidTr="552AD7BB">
        <w:trPr>
          <w:trHeight w:val="2415"/>
        </w:trPr>
        <w:tc>
          <w:tcPr>
            <w:cnfStyle w:val="001000000000" w:firstRow="0" w:lastRow="0" w:firstColumn="1" w:lastColumn="0" w:oddVBand="0" w:evenVBand="0" w:oddHBand="0" w:evenHBand="0" w:firstRowFirstColumn="0" w:firstRowLastColumn="0" w:lastRowFirstColumn="0" w:lastRowLastColumn="0"/>
            <w:tcW w:w="2345" w:type="dxa"/>
            <w:tcMar>
              <w:left w:w="105" w:type="dxa"/>
              <w:right w:w="105" w:type="dxa"/>
            </w:tcMar>
            <w:vAlign w:val="center"/>
          </w:tcPr>
          <w:p w14:paraId="31D7242B" w14:textId="55BDF298" w:rsidR="552AD7BB" w:rsidRDefault="552AD7BB" w:rsidP="552AD7BB">
            <w:pPr>
              <w:jc w:val="center"/>
              <w:rPr>
                <w:rFonts w:ascii="Arial" w:eastAsia="Arial" w:hAnsi="Arial" w:cs="Arial"/>
                <w:color w:val="000000" w:themeColor="text1"/>
                <w:sz w:val="22"/>
                <w:szCs w:val="22"/>
              </w:rPr>
            </w:pPr>
            <w:r w:rsidRPr="552AD7BB">
              <w:rPr>
                <w:rFonts w:ascii="Arial" w:eastAsia="Arial" w:hAnsi="Arial" w:cs="Arial"/>
                <w:b w:val="0"/>
                <w:bCs w:val="0"/>
                <w:color w:val="000000" w:themeColor="text1"/>
                <w:sz w:val="22"/>
                <w:szCs w:val="22"/>
              </w:rPr>
              <w:t>CRED (Event-Based Sponsor)</w:t>
            </w:r>
          </w:p>
        </w:tc>
        <w:tc>
          <w:tcPr>
            <w:tcW w:w="2345" w:type="dxa"/>
            <w:tcMar>
              <w:left w:w="105" w:type="dxa"/>
              <w:right w:w="105" w:type="dxa"/>
            </w:tcMar>
          </w:tcPr>
          <w:p w14:paraId="1429EB4F" w14:textId="6C16A28F"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Event-based sponsorship</w:t>
            </w:r>
          </w:p>
        </w:tc>
        <w:tc>
          <w:tcPr>
            <w:tcW w:w="2345" w:type="dxa"/>
            <w:tcMar>
              <w:left w:w="105" w:type="dxa"/>
              <w:right w:w="105" w:type="dxa"/>
            </w:tcMar>
          </w:tcPr>
          <w:p w14:paraId="1A725DDB" w14:textId="57D3EEF8"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Create strong brand recall and differentiation in a highly cluttered advertising environment with limited exposure time.</w:t>
            </w:r>
          </w:p>
        </w:tc>
        <w:tc>
          <w:tcPr>
            <w:tcW w:w="2345" w:type="dxa"/>
            <w:tcMar>
              <w:left w:w="105" w:type="dxa"/>
              <w:right w:w="105" w:type="dxa"/>
            </w:tcMar>
          </w:tcPr>
          <w:p w14:paraId="29799606" w14:textId="2EC5BFCE"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High-impact, short-duration sponsorship focused on symbolic and creative differentiation.</w:t>
            </w:r>
          </w:p>
        </w:tc>
        <w:tc>
          <w:tcPr>
            <w:tcW w:w="2345" w:type="dxa"/>
            <w:tcMar>
              <w:left w:w="105" w:type="dxa"/>
              <w:right w:w="105" w:type="dxa"/>
            </w:tcMar>
          </w:tcPr>
          <w:p w14:paraId="59E96BA9" w14:textId="3B3121FB"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“CRED Powerplay” in-match branding, humorous and celebrity-driven advertising, social media amplification, and meme-based digital engagement.</w:t>
            </w:r>
          </w:p>
        </w:tc>
        <w:tc>
          <w:tcPr>
            <w:tcW w:w="2345" w:type="dxa"/>
            <w:tcMar>
              <w:left w:w="105" w:type="dxa"/>
              <w:right w:w="105" w:type="dxa"/>
            </w:tcMar>
          </w:tcPr>
          <w:p w14:paraId="1936AB61" w14:textId="12663270" w:rsidR="552AD7BB" w:rsidRDefault="552AD7BB" w:rsidP="552AD7BB">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000000" w:themeColor="text1"/>
                <w:sz w:val="22"/>
                <w:szCs w:val="22"/>
              </w:rPr>
            </w:pPr>
            <w:r w:rsidRPr="552AD7BB">
              <w:rPr>
                <w:rFonts w:ascii="Arial" w:eastAsia="Arial" w:hAnsi="Arial" w:cs="Arial"/>
                <w:color w:val="000000" w:themeColor="text1"/>
                <w:sz w:val="22"/>
                <w:szCs w:val="22"/>
              </w:rPr>
              <w:t>Distinctive and modern brand image, high memorability, strong brand personality, and premium positioning despite limited exposure duration.</w:t>
            </w:r>
          </w:p>
        </w:tc>
      </w:tr>
    </w:tbl>
    <w:p w14:paraId="35F55006" w14:textId="0A39021C" w:rsidR="72C03B03" w:rsidRDefault="72C03B03" w:rsidP="552AD7BB">
      <w:pPr>
        <w:jc w:val="both"/>
        <w:rPr>
          <w:rFonts w:ascii="Arial" w:eastAsia="Arial" w:hAnsi="Arial" w:cs="Arial"/>
          <w:color w:val="000000" w:themeColor="text1"/>
        </w:rPr>
      </w:pPr>
    </w:p>
    <w:p w14:paraId="1B6CE887" w14:textId="44E9F06F" w:rsidR="72C03B03" w:rsidRDefault="00CA64B3" w:rsidP="552AD7BB">
      <w:pPr>
        <w:spacing w:before="240" w:after="240"/>
        <w:ind w:left="720"/>
        <w:jc w:val="both"/>
        <w:rPr>
          <w:rFonts w:ascii="Arial Nova" w:eastAsia="Arial Nova" w:hAnsi="Arial Nova" w:cs="Arial Nova"/>
          <w:color w:val="000000" w:themeColor="text1"/>
        </w:rPr>
        <w:sectPr w:rsidR="72C03B03">
          <w:footerReference w:type="default" r:id="rId18"/>
          <w:pgSz w:w="16838" w:h="11906" w:orient="landscape"/>
          <w:pgMar w:top="1440" w:right="1440" w:bottom="1440" w:left="1440" w:header="720" w:footer="720" w:gutter="0"/>
          <w:cols w:space="720"/>
          <w:docGrid w:linePitch="360"/>
        </w:sectPr>
      </w:pPr>
      <w:r>
        <w:rPr>
          <w:rFonts w:ascii="Arial Nova" w:eastAsia="Arial Nova" w:hAnsi="Arial Nova" w:cs="Arial Nova"/>
          <w:b/>
          <w:bCs/>
          <w:color w:val="000000" w:themeColor="text1"/>
        </w:rPr>
        <w:t xml:space="preserve">        </w:t>
      </w:r>
      <w:r>
        <w:tab/>
      </w:r>
      <w:r>
        <w:tab/>
      </w:r>
      <w:r>
        <w:rPr>
          <w:rFonts w:ascii="Arial Nova" w:eastAsia="Arial Nova" w:hAnsi="Arial Nova" w:cs="Arial Nova"/>
          <w:b/>
          <w:bCs/>
          <w:color w:val="000000" w:themeColor="text1"/>
        </w:rPr>
        <w:t xml:space="preserve">  </w:t>
      </w:r>
      <w:r w:rsidR="7E783D00" w:rsidRPr="552AD7BB">
        <w:rPr>
          <w:rFonts w:ascii="Arial Nova" w:eastAsia="Arial Nova" w:hAnsi="Arial Nova" w:cs="Arial Nova"/>
          <w:b/>
          <w:bCs/>
          <w:color w:val="000000" w:themeColor="text1"/>
        </w:rPr>
        <w:t xml:space="preserve">  </w:t>
      </w:r>
      <w:r w:rsidR="5EBC21B5" w:rsidRPr="61CEAF30">
        <w:rPr>
          <w:rFonts w:ascii="Arial Nova" w:eastAsia="Arial Nova" w:hAnsi="Arial Nova" w:cs="Arial Nova"/>
          <w:b/>
          <w:bCs/>
          <w:color w:val="000000" w:themeColor="text1"/>
        </w:rPr>
        <w:t xml:space="preserve"> </w:t>
      </w:r>
      <w:r w:rsidRPr="61CEAF30">
        <w:rPr>
          <w:rFonts w:ascii="Arial Nova" w:eastAsia="Arial Nova" w:hAnsi="Arial Nova" w:cs="Arial Nova"/>
          <w:b/>
          <w:bCs/>
          <w:color w:val="000000" w:themeColor="text1"/>
        </w:rPr>
        <w:t xml:space="preserve">  </w:t>
      </w:r>
      <w:r w:rsidR="7E783D00" w:rsidRPr="61CEAF30">
        <w:rPr>
          <w:rFonts w:ascii="Arial Nova" w:eastAsia="Arial Nova" w:hAnsi="Arial Nova" w:cs="Arial Nova"/>
          <w:b/>
          <w:bCs/>
          <w:color w:val="000000" w:themeColor="text1"/>
        </w:rPr>
        <w:t xml:space="preserve">  </w:t>
      </w:r>
      <w:r w:rsidR="3CCB8229" w:rsidRPr="552AD7BB">
        <w:rPr>
          <w:rFonts w:ascii="Arial Nova" w:eastAsia="Arial Nova" w:hAnsi="Arial Nova" w:cs="Arial Nova"/>
          <w:b/>
          <w:bCs/>
          <w:color w:val="000000" w:themeColor="text1"/>
        </w:rPr>
        <w:t>Table 4.1: Comparison of IPL Sponsorship Strategies and Brand Image Outcomes</w:t>
      </w:r>
    </w:p>
    <w:p w14:paraId="7AB52FA1" w14:textId="2FCC38B1" w:rsidR="49EBD922" w:rsidRDefault="36FFD439" w:rsidP="6708D22A">
      <w:pPr>
        <w:pStyle w:val="Heading2"/>
        <w:rPr>
          <w:rFonts w:ascii="Aptos Display" w:eastAsia="Aptos Display" w:hAnsi="Aptos Display" w:cs="Aptos Display"/>
        </w:rPr>
      </w:pPr>
      <w:bookmarkStart w:id="112" w:name="_Toc915863823"/>
      <w:bookmarkStart w:id="113" w:name="_Toc1055867079"/>
      <w:r w:rsidRPr="552AD7BB">
        <w:rPr>
          <w:rFonts w:ascii="Aptos Display" w:eastAsia="Aptos Display" w:hAnsi="Aptos Display" w:cs="Aptos Display"/>
        </w:rPr>
        <w:t>4.9 Chapter Summary</w:t>
      </w:r>
      <w:bookmarkEnd w:id="112"/>
      <w:bookmarkEnd w:id="113"/>
      <w:r w:rsidRPr="552AD7BB">
        <w:rPr>
          <w:rFonts w:ascii="Aptos Display" w:eastAsia="Aptos Display" w:hAnsi="Aptos Display" w:cs="Aptos Display"/>
        </w:rPr>
        <w:t xml:space="preserve"> </w:t>
      </w:r>
    </w:p>
    <w:p w14:paraId="77444B4A" w14:textId="0022EAB2" w:rsidR="49EBD922"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This chapter presented four IPL sponsorship case studies to examine how different sponsorship strategies influence brand image. The cases highlighted clear differences in how brand equity is built depending on sponsorship type and activation approach. The RCB–Qatar Airways partnership showed how team sponsorship supported emotional brand associations and perceived prestige. Tata Neu’s title sponsorship demonstrated the role of scale and repetition in building brand awareness and trust. Jio’s digital-focused involvement illustrated how embedding a brand into the consumption experience can strengthen perceived quality and loyalty. Finally, CRED’s event-based sponsorship highlighted the importance of creativity and symbolic meaning in building brand salience despite limited exposure. Across all cases, the findings suggest that sponsorship effectiveness in the IPL depends not only on visibility but also on strategic fit, activation quality, and alignment with brand equity dimensions such as awareness, associations, and perceived quality. These insights provide a strong foundation for cross-case analysis and theoretical discussion in Chapter 5, where similarities and differences across cases will be examined in more depth.</w:t>
      </w:r>
    </w:p>
    <w:p w14:paraId="623103C8" w14:textId="3B72D3C7" w:rsidR="49EBD922" w:rsidRDefault="49EBD922" w:rsidP="6708D22A">
      <w:pPr>
        <w:spacing w:before="240" w:after="240"/>
        <w:jc w:val="both"/>
        <w:rPr>
          <w:rFonts w:ascii="Arial Nova" w:eastAsia="Arial Nova" w:hAnsi="Arial Nova" w:cs="Arial Nova"/>
          <w:color w:val="000000" w:themeColor="text1"/>
        </w:rPr>
      </w:pPr>
    </w:p>
    <w:p w14:paraId="1369CF4C" w14:textId="6890BA78" w:rsidR="00241C66" w:rsidRDefault="00241C66" w:rsidP="6708D22A">
      <w:pPr>
        <w:spacing w:before="240" w:after="240"/>
        <w:jc w:val="both"/>
        <w:rPr>
          <w:rFonts w:ascii="Arial Nova" w:eastAsia="Arial Nova" w:hAnsi="Arial Nova" w:cs="Arial Nova"/>
          <w:color w:val="000000" w:themeColor="text1"/>
        </w:rPr>
      </w:pPr>
    </w:p>
    <w:p w14:paraId="67323790" w14:textId="2EA4D063" w:rsidR="00241C66" w:rsidRDefault="00241C66" w:rsidP="6708D22A">
      <w:pPr>
        <w:spacing w:before="240" w:after="240"/>
        <w:jc w:val="both"/>
        <w:rPr>
          <w:rFonts w:ascii="Arial Nova" w:eastAsia="Arial Nova" w:hAnsi="Arial Nova" w:cs="Arial Nova"/>
          <w:color w:val="000000" w:themeColor="text1"/>
        </w:rPr>
      </w:pPr>
    </w:p>
    <w:p w14:paraId="16643421" w14:textId="067E793E" w:rsidR="00241C66" w:rsidRDefault="00241C66" w:rsidP="6708D22A">
      <w:pPr>
        <w:spacing w:before="240" w:after="240"/>
        <w:jc w:val="both"/>
        <w:rPr>
          <w:rFonts w:ascii="Arial Nova" w:eastAsia="Arial Nova" w:hAnsi="Arial Nova" w:cs="Arial Nova"/>
          <w:color w:val="000000" w:themeColor="text1"/>
        </w:rPr>
      </w:pPr>
    </w:p>
    <w:p w14:paraId="5D823709" w14:textId="20AC60FA" w:rsidR="00241C66" w:rsidRDefault="00241C66" w:rsidP="6708D22A">
      <w:pPr>
        <w:spacing w:before="240" w:after="240"/>
        <w:jc w:val="both"/>
        <w:rPr>
          <w:rFonts w:ascii="Arial Nova" w:eastAsia="Arial Nova" w:hAnsi="Arial Nova" w:cs="Arial Nova"/>
          <w:color w:val="000000" w:themeColor="text1"/>
        </w:rPr>
      </w:pPr>
    </w:p>
    <w:p w14:paraId="6EDA92ED" w14:textId="349E4839" w:rsidR="00241C66" w:rsidRDefault="00241C66" w:rsidP="6708D22A">
      <w:pPr>
        <w:spacing w:before="240" w:after="240"/>
        <w:jc w:val="both"/>
        <w:rPr>
          <w:rFonts w:ascii="Arial Nova" w:eastAsia="Arial Nova" w:hAnsi="Arial Nova" w:cs="Arial Nova"/>
          <w:color w:val="000000" w:themeColor="text1"/>
        </w:rPr>
      </w:pPr>
    </w:p>
    <w:p w14:paraId="00DF28E4" w14:textId="01D7F057" w:rsidR="00241C66" w:rsidRDefault="00241C66" w:rsidP="6708D22A">
      <w:pPr>
        <w:spacing w:before="240" w:after="240"/>
        <w:jc w:val="both"/>
        <w:rPr>
          <w:rFonts w:ascii="Arial Nova" w:eastAsia="Arial Nova" w:hAnsi="Arial Nova" w:cs="Arial Nova"/>
          <w:color w:val="000000" w:themeColor="text1"/>
        </w:rPr>
      </w:pPr>
    </w:p>
    <w:p w14:paraId="7B0AED9A" w14:textId="02DCF3E7" w:rsidR="00241C66" w:rsidRDefault="00241C66" w:rsidP="6708D22A">
      <w:pPr>
        <w:spacing w:before="240" w:after="240"/>
        <w:jc w:val="both"/>
        <w:rPr>
          <w:rFonts w:ascii="Arial Nova" w:eastAsia="Arial Nova" w:hAnsi="Arial Nova" w:cs="Arial Nova"/>
          <w:color w:val="000000" w:themeColor="text1"/>
        </w:rPr>
      </w:pPr>
    </w:p>
    <w:p w14:paraId="7C72519F" w14:textId="2C5E0A40" w:rsidR="00241C66" w:rsidRDefault="00241C66" w:rsidP="6708D22A">
      <w:pPr>
        <w:spacing w:before="240" w:after="240"/>
        <w:jc w:val="both"/>
        <w:rPr>
          <w:rFonts w:ascii="Arial Nova" w:eastAsia="Arial Nova" w:hAnsi="Arial Nova" w:cs="Arial Nova"/>
          <w:color w:val="000000" w:themeColor="text1"/>
        </w:rPr>
      </w:pPr>
    </w:p>
    <w:p w14:paraId="4BD6E9E2" w14:textId="655299A1" w:rsidR="1C05D039" w:rsidRDefault="1C05D039" w:rsidP="1C05D039">
      <w:pPr>
        <w:spacing w:before="240" w:after="240"/>
        <w:jc w:val="both"/>
        <w:rPr>
          <w:rFonts w:ascii="Arial Nova" w:eastAsia="Arial Nova" w:hAnsi="Arial Nova" w:cs="Arial Nova"/>
          <w:color w:val="000000" w:themeColor="text1"/>
        </w:rPr>
      </w:pPr>
    </w:p>
    <w:p w14:paraId="315555BB" w14:textId="020C38E2" w:rsidR="00241C66" w:rsidRDefault="00241C66" w:rsidP="6708D22A">
      <w:pPr>
        <w:spacing w:before="240" w:after="240"/>
        <w:jc w:val="both"/>
        <w:rPr>
          <w:rFonts w:ascii="Arial Nova" w:eastAsia="Arial Nova" w:hAnsi="Arial Nova" w:cs="Arial Nova"/>
          <w:color w:val="000000" w:themeColor="text1"/>
        </w:rPr>
      </w:pPr>
    </w:p>
    <w:p w14:paraId="7F49A3FE" w14:textId="2F6A0D10" w:rsidR="00241C66" w:rsidRDefault="00241C66" w:rsidP="6708D22A">
      <w:pPr>
        <w:spacing w:before="240" w:after="240"/>
        <w:jc w:val="both"/>
        <w:rPr>
          <w:rFonts w:ascii="Arial Nova" w:eastAsia="Arial Nova" w:hAnsi="Arial Nova" w:cs="Arial Nova"/>
          <w:color w:val="000000" w:themeColor="text1"/>
        </w:rPr>
      </w:pPr>
    </w:p>
    <w:p w14:paraId="61840264" w14:textId="05D3B517" w:rsidR="00241C66" w:rsidRDefault="00241C66" w:rsidP="6708D22A">
      <w:pPr>
        <w:spacing w:before="240" w:after="240"/>
        <w:jc w:val="both"/>
        <w:rPr>
          <w:rFonts w:ascii="Arial Nova" w:eastAsia="Arial Nova" w:hAnsi="Arial Nova" w:cs="Arial Nova"/>
          <w:color w:val="000000" w:themeColor="text1"/>
        </w:rPr>
      </w:pPr>
    </w:p>
    <w:p w14:paraId="4D515A9E" w14:textId="3FB1BD66" w:rsidR="552AD7BB" w:rsidRDefault="552AD7BB" w:rsidP="552AD7BB">
      <w:pPr>
        <w:spacing w:before="240" w:after="240"/>
        <w:jc w:val="both"/>
        <w:rPr>
          <w:rFonts w:ascii="Arial Nova" w:eastAsia="Arial Nova" w:hAnsi="Arial Nova" w:cs="Arial Nova"/>
          <w:color w:val="000000" w:themeColor="text1"/>
        </w:rPr>
      </w:pPr>
    </w:p>
    <w:p w14:paraId="16D7030F" w14:textId="41C152DC" w:rsidR="00241C66" w:rsidRDefault="36FFD439" w:rsidP="6708D22A">
      <w:pPr>
        <w:spacing w:before="240" w:after="240"/>
        <w:jc w:val="both"/>
        <w:rPr>
          <w:rFonts w:ascii="Arial" w:eastAsia="Arial" w:hAnsi="Arial" w:cs="Arial"/>
          <w:color w:val="000000" w:themeColor="text1"/>
          <w:sz w:val="32"/>
          <w:szCs w:val="32"/>
        </w:rPr>
      </w:pPr>
      <w:r w:rsidRPr="6708D22A">
        <w:rPr>
          <w:rFonts w:ascii="Arial" w:eastAsia="Arial" w:hAnsi="Arial" w:cs="Arial"/>
          <w:b/>
          <w:bCs/>
          <w:color w:val="000000" w:themeColor="text1"/>
          <w:sz w:val="32"/>
          <w:szCs w:val="32"/>
        </w:rPr>
        <w:t>Chapter 5 – Discussion</w:t>
      </w:r>
    </w:p>
    <w:p w14:paraId="20915876" w14:textId="2FF09607" w:rsidR="00241C66" w:rsidRDefault="36FFD439" w:rsidP="6708D22A">
      <w:pPr>
        <w:pStyle w:val="Heading1"/>
        <w:rPr>
          <w:rFonts w:ascii="Aptos Display" w:eastAsia="Aptos Display" w:hAnsi="Aptos Display" w:cs="Aptos Display"/>
        </w:rPr>
      </w:pPr>
      <w:bookmarkStart w:id="114" w:name="_Toc459152973"/>
      <w:bookmarkStart w:id="115" w:name="_Toc2056512686"/>
      <w:r w:rsidRPr="552AD7BB">
        <w:rPr>
          <w:rFonts w:ascii="Aptos Display" w:eastAsia="Aptos Display" w:hAnsi="Aptos Display" w:cs="Aptos Display"/>
        </w:rPr>
        <w:t>5.1 Introduction</w:t>
      </w:r>
      <w:bookmarkEnd w:id="114"/>
      <w:bookmarkEnd w:id="115"/>
    </w:p>
    <w:p w14:paraId="4CD1C79A" w14:textId="00962E5C"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This chapter discusses the findings presented in Chapter 4 and interprets them in relation to the research aim, research question, and the theoretical framework established earlier in the dissertation. While Chapter 4 focused on presenting the case evidence for each IPL sponsorship arrangement, this chapter moves beyond description to provide a deeper analytical understanding of how different sponsorship strategies influence brand image in the Indian Premier League (IPL) context.</w:t>
      </w:r>
    </w:p>
    <w:p w14:paraId="4F73D0A4" w14:textId="44CBA887"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The discussion is guided by brand equity theory, which was identified in Chapter 2 as the central theoretical lens for this study. Brand equity theory helps explain how sponsorship activities contribute to brand awareness, perceived quality, brand associations, and overall brand image. By applying this theory, the chapter examines how the observed sponsorship approaches across the four cases—team sponsorship, title sponsorship, digital ecosystem sponsorship, and event-based sponsorship—translate into brand image outcomes.</w:t>
      </w:r>
    </w:p>
    <w:p w14:paraId="6CDFDA7E" w14:textId="30DC7E0B"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Rather than analysing each case separately again, this chapter adopts a cross-case thematic approach, drawing comparisons and contrasts across the four cases discussed in Chapter 4. This approach allows patterns, similarities, and differences to be identified, helping to explain why certain sponsorship strategies appear more effective than others in building brand image. The discussion is structured around key themes derived from the literature review and conceptual framework, including sponsorship visibility, activation intensity, digital engagement, and emotional brand associations.</w:t>
      </w:r>
    </w:p>
    <w:p w14:paraId="3512AF9E" w14:textId="607C814E"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Overall, this chapter aims to demonstrate how the empirical findings support, extend, or challenge existing literature on sports sponsorship and brand equity, while also providing a clearer understanding of sponsorship effectiveness within the IPL. The insights developed here form the basis for the practical and theoretical implications presented in Chapter 6.</w:t>
      </w:r>
    </w:p>
    <w:p w14:paraId="4A1F7400" w14:textId="15C80364" w:rsidR="00241C66" w:rsidRDefault="36FFD439" w:rsidP="6708D22A">
      <w:pPr>
        <w:pStyle w:val="Heading1"/>
        <w:rPr>
          <w:rFonts w:ascii="Aptos Display" w:eastAsia="Aptos Display" w:hAnsi="Aptos Display" w:cs="Aptos Display"/>
        </w:rPr>
      </w:pPr>
      <w:bookmarkStart w:id="116" w:name="_Toc862445003"/>
      <w:bookmarkStart w:id="117" w:name="_Toc1974198071"/>
      <w:r w:rsidRPr="552AD7BB">
        <w:rPr>
          <w:rFonts w:ascii="Aptos Display" w:eastAsia="Aptos Display" w:hAnsi="Aptos Display" w:cs="Aptos Display"/>
        </w:rPr>
        <w:t>5.2 Analytical Framework and Logic</w:t>
      </w:r>
      <w:bookmarkEnd w:id="116"/>
      <w:bookmarkEnd w:id="117"/>
      <w:r w:rsidRPr="552AD7BB">
        <w:rPr>
          <w:rFonts w:ascii="Aptos Display" w:eastAsia="Aptos Display" w:hAnsi="Aptos Display" w:cs="Aptos Display"/>
        </w:rPr>
        <w:t xml:space="preserve"> </w:t>
      </w:r>
    </w:p>
    <w:p w14:paraId="680FC361" w14:textId="72928330"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This study uses brand equity theory as the main analytical lens to interpret and compare the findings from the four IPL sponsorship case studies presented in Chapter 4. As discussed in Chapter 2, brand equity theory explains how marketing activities, including sports sponsorship, contribute to brand value through key dimensions such as brand awareness, brand associations, perceived quality, and brand loyalty (Aaker, 1991; Keller, 1993). These dimensions provide a suitable framework for understanding how different sponsorship strategies influence brand image in the IPL context. </w:t>
      </w:r>
    </w:p>
    <w:p w14:paraId="238230EA" w14:textId="1C8F8983"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The analysis in this chapter is structured around the core constructs identified in the literature review, rather than around individual cases. This approach allows for a cross-case synthesis, where patterns and differences across sponsorship types can be examined systematically. Specifically, the discussion focuses on how sponsorship strategies (team sponsorship, title sponsorship, digital ecosystem sponsorship, and event-based sponsorship) contribute to brand image outcomes by shaping brand awareness, emotional associations, and perceived brand credibility.</w:t>
      </w:r>
    </w:p>
    <w:p w14:paraId="19EC4F9F" w14:textId="62A77D75"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The logic of analysis follows a theme-based structure, aligned directly with the themes developed in Chapter 2. First, the discussion examines how sponsorship visibility and scale influence brand awareness across cases. Second, it analyses the role of sponsor–property fit and activation strategies in shaping favourable brand associations. Third, it considers how consumer engagement and experiential exposure, particularly through digital platforms, affect perceived quality and brand credibility. Finally, the analysis reflects on how repeated exposure and consistent activation contribute to longer-term brand equity outcomes.</w:t>
      </w:r>
    </w:p>
    <w:p w14:paraId="5661B963" w14:textId="243AFCAC"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Evidence from Chapter 4 is used selectively to support each theme, drawing on multiple cases where relevant rather than repeating full case narratives. This approach enables comparison between different sponsorship models and highlights both convergence and divergence between empirical findings and existing literature. Overall, this analytical framework ensures that the discussion remains tightly linked to the theoretical foundations established in Chapter 2, while providing a coherent and structured interpretation of the IPL sponsorship cases.</w:t>
      </w:r>
    </w:p>
    <w:p w14:paraId="434C113D" w14:textId="30017C82" w:rsidR="00241C66" w:rsidRDefault="36FFD439" w:rsidP="6708D22A">
      <w:pPr>
        <w:pStyle w:val="Heading1"/>
        <w:rPr>
          <w:rFonts w:ascii="Aptos Display" w:eastAsia="Aptos Display" w:hAnsi="Aptos Display" w:cs="Aptos Display"/>
        </w:rPr>
      </w:pPr>
      <w:bookmarkStart w:id="118" w:name="_Toc978880200"/>
      <w:bookmarkStart w:id="119" w:name="_Toc796602611"/>
      <w:r w:rsidRPr="552AD7BB">
        <w:rPr>
          <w:rFonts w:ascii="Aptos Display" w:eastAsia="Aptos Display" w:hAnsi="Aptos Display" w:cs="Aptos Display"/>
        </w:rPr>
        <w:t>5.3 Cross-Case Synthesis and Discussion of Findings</w:t>
      </w:r>
      <w:bookmarkEnd w:id="118"/>
      <w:bookmarkEnd w:id="119"/>
      <w:r w:rsidRPr="552AD7BB">
        <w:rPr>
          <w:rFonts w:ascii="Aptos Display" w:eastAsia="Aptos Display" w:hAnsi="Aptos Display" w:cs="Aptos Display"/>
        </w:rPr>
        <w:t xml:space="preserve"> </w:t>
      </w:r>
    </w:p>
    <w:p w14:paraId="11F05622" w14:textId="2060FACA"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This section synthesises findings across the four IPL sponsorship cases to identify common patterns and differences in how sponsorship strategies influence brand image. Rather than discussing each case separately, the analysis is organised around key themes derived from brand equity theory and the literature reviewed in Chapter 2. This cross-case approach enables a deeper understanding of how different sponsorship models contribute to brand image outcomes in the IPL context.</w:t>
      </w:r>
    </w:p>
    <w:p w14:paraId="37EEA66A" w14:textId="73F3C517" w:rsidR="00241C66" w:rsidRDefault="36FFD439" w:rsidP="6708D22A">
      <w:pPr>
        <w:pStyle w:val="Heading2"/>
        <w:rPr>
          <w:rFonts w:ascii="Aptos Display" w:eastAsia="Aptos Display" w:hAnsi="Aptos Display" w:cs="Aptos Display"/>
        </w:rPr>
      </w:pPr>
      <w:bookmarkStart w:id="120" w:name="_Toc363162125"/>
      <w:bookmarkStart w:id="121" w:name="_Toc1563515359"/>
      <w:r w:rsidRPr="552AD7BB">
        <w:rPr>
          <w:rFonts w:ascii="Aptos Display" w:eastAsia="Aptos Display" w:hAnsi="Aptos Display" w:cs="Aptos Display"/>
        </w:rPr>
        <w:t>5.3.1 Sponsorship Visibility and Brand Awareness</w:t>
      </w:r>
      <w:bookmarkEnd w:id="120"/>
      <w:bookmarkEnd w:id="121"/>
      <w:r w:rsidRPr="552AD7BB">
        <w:rPr>
          <w:rFonts w:ascii="Aptos Display" w:eastAsia="Aptos Display" w:hAnsi="Aptos Display" w:cs="Aptos Display"/>
        </w:rPr>
        <w:t xml:space="preserve"> </w:t>
      </w:r>
    </w:p>
    <w:p w14:paraId="3C5346FD" w14:textId="2669C323"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Prior sponsorship literature consistently highlights visibility as a foundational mechanism through which sponsorship influences brand awareness. Brand equity theory suggests that repeated and prominent exposure increases brand salience, making a brand more likely to be recalled and recognised by consumers (Aaker, 1991; Keller, 1993). In large-scale sporting events such as the IPL, visibility is amplified due to high television ratings, extensive digital coverage, and strong fan engagement, creating an ideal context for awareness-building through sponsorship (Cornwell, 2019). </w:t>
      </w:r>
    </w:p>
    <w:p w14:paraId="48BC8C6C" w14:textId="0B578701"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Evidence from the five IPL cases strongly supports this dominant view. League-level and ecosystem sponsorships, such as Tata Neu’s title sponsorship and Jio’s digital partnership, generated the highest and most consistent levels of exposure throughout the tournament. Tata Neu benefited from continuous visual presence across match broadcasts, official IPL branding, and advertising breaks, which helped establish rapid brand awareness for a relatively new digital platform. Similarly, Jio achieved awareness not only through visual branding but by embedding its service directly into the viewing experience via free IPL streaming on JioCinema. This aligns with prior research suggesting that frequent exposure across multiple touchpoints strengthens brand recall and familiarity (Keller, 2013). </w:t>
      </w:r>
    </w:p>
    <w:p w14:paraId="6EB283D4" w14:textId="64564A49"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Team-based airline sponsorships, including RCB × Qatar Airways and CSK × Etihad Airways, demonstrate a slightly different visibility dynamic. In both cases, jersey branding and repeated team associations provided sustained exposure across matches, media coverage, and fan-generated content. However, the strength of awareness was reinforced by the emotional attachment fans have with their teams. This supports the view that visibility is more effective when combined with affective engagement, rather than relying on exposure alone (Cornwell &amp; Kwon, 2021). Although airlines are not directly related to cricket consumption, their premium and global positioning enabled strong brand recognition through repeated association with high-profile franchises. </w:t>
      </w:r>
    </w:p>
    <w:p w14:paraId="51D1497B" w14:textId="265F03F4"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In contrast, CRED’s event-based sponsorship relied on short-duration but highly noticeable visibility during specific match moments, such as the “CRED Powerplay.” While this exposure was less continuous, its distinctive placement and creative execution contributed to strong brand recall. This finding nuances the literature by showing that awareness can also be built through high-impact visibility, even when exposure duration is limited. </w:t>
      </w:r>
    </w:p>
    <w:p w14:paraId="108ACA00" w14:textId="06F27B24"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Overall, the cross-case evidence confirms that sponsorship visibility is a necessary condition for building brand awareness in the IPL. However, the findings extend existing literature by showing that different sponsorship formats achieve awareness through distinct visibility pathways—continuous exposure, embedded usage, emotional association, or high-impact moments—rather than through frequency alone.</w:t>
      </w:r>
    </w:p>
    <w:p w14:paraId="3FF5FCA1" w14:textId="672DE36A" w:rsidR="00241C66" w:rsidRDefault="36FFD439" w:rsidP="6708D22A">
      <w:pPr>
        <w:pStyle w:val="Heading2"/>
        <w:rPr>
          <w:rFonts w:ascii="Aptos Display" w:eastAsia="Aptos Display" w:hAnsi="Aptos Display" w:cs="Aptos Display"/>
        </w:rPr>
      </w:pPr>
      <w:bookmarkStart w:id="122" w:name="_Toc523844043"/>
      <w:bookmarkStart w:id="123" w:name="_Toc2026746611"/>
      <w:r w:rsidRPr="552AD7BB">
        <w:rPr>
          <w:rFonts w:ascii="Aptos Display" w:eastAsia="Aptos Display" w:hAnsi="Aptos Display" w:cs="Aptos Display"/>
        </w:rPr>
        <w:t>5.3.2 Sponsorship Activation, Digital Engagement, and Fan Experience</w:t>
      </w:r>
      <w:bookmarkEnd w:id="122"/>
      <w:bookmarkEnd w:id="123"/>
    </w:p>
    <w:p w14:paraId="038D59FF" w14:textId="6941C3EF"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While sponsorship visibility is important for building initial awareness, the findings across the IPL cases indicate that activation and digital engagement are central to developing stronger brand image outcomes. Brand equity theory suggests that brand value increases when consumers actively interact with a brand and form meaningful associations through experience, rather than through passive exposure alone (Aaker, 1991; Keller, 2009). In the sponsorship context, activation refers to the ways in which sponsors bring the partnership to life through digital platforms, experiential elements, and fan-focused interactions (Cornwell, 2019). </w:t>
      </w:r>
    </w:p>
    <w:p w14:paraId="57D7F5BC" w14:textId="2CFA472E"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Evidence from the five IPL cases highlights clear differences in how activation and engagement influenced brand image. Jio represents the strongest example of digital activation, as the brand was directly embedded into the IPL viewing experience through JioCinema. This integration allowed fans to interact with the brand while watching matches, transforming sponsorship from a symbolic association into a functional experience. As a result, Jio’s sponsorship contributed to perceptions of innovation, accessibility, and service quality. This supports Keller’s (2009) argument that repeated positive usage experiences strengthen perceived quality and brand loyalty. </w:t>
      </w:r>
    </w:p>
    <w:p w14:paraId="5A28DC34" w14:textId="68EB34DD" w:rsidR="00241C66" w:rsidRDefault="36FFD439" w:rsidP="469B3969">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CRED also demonstrates the importance of activation, despite being an event-based sponsor with shorter exposure duration. The “CRED Powerplay” moments were amplified through creative advertising, celebrity endorsements, and social media engagement. These digital extensions encouraged fan interaction and discussion beyond the live match, helping CRED build a distinctive and modern brand image. This shows that even limited visibility can generate strong brand meaning when supported by engaging and memorable activation strategies (Cornwell, 2019). </w:t>
      </w:r>
    </w:p>
    <w:p w14:paraId="0C033566" w14:textId="5C590E76"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For the airline sponsorships, RCB × Qatar Airways and CSK × Etihad, activation played a more emotional and symbolic role. These partnerships relied less on direct product interaction and more on digital storytelling, match-day content, and fan-oriented branding linked to team identity. Engagement occurred through association with passionate fan bases rather than through service usage. This form of engagement helped the airline brands feel relevant within the IPL environment and supported emotional image transfer, which aligns with brand equity theory’s emphasis on affective associations (Aaker, 1991). Tata Neu occupies a hybrid position between visibility and engagement. While its title sponsorship ensured extensive exposure, the findings suggest that stronger image outcomes were achieved when this visibility was reinforced through app-based rewards, ecosystem integration, and digital incentives. This indicates that even large-scale sponsorships require activation elements that provide value or interaction to audiences to strengthen brand meaning. </w:t>
      </w:r>
    </w:p>
    <w:p w14:paraId="3D6E41E1" w14:textId="6F674F16"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Overall, the cross-case findings clearly show that digital activation and fan engagement act as key mechanisms linking sponsorship exposure to brand image development. In the IPL’s highly cluttered and entertainment-driven environment, sponsorships that prioritise interactive and experience-based activation are more likely to move beyond awareness and contribute to deeper brand equity outcomes (Cornwell &amp; Kwon, 2021; Kunkel et al., 2020). </w:t>
      </w:r>
    </w:p>
    <w:p w14:paraId="06C3D882" w14:textId="20328BE6" w:rsidR="00241C66" w:rsidRDefault="36FFD439" w:rsidP="6708D22A">
      <w:pPr>
        <w:pStyle w:val="Heading2"/>
        <w:rPr>
          <w:rFonts w:ascii="Aptos Display" w:eastAsia="Aptos Display" w:hAnsi="Aptos Display" w:cs="Aptos Display"/>
        </w:rPr>
      </w:pPr>
      <w:bookmarkStart w:id="124" w:name="_Toc1761134776"/>
      <w:bookmarkStart w:id="125" w:name="_Toc736720350"/>
      <w:r w:rsidRPr="552AD7BB">
        <w:rPr>
          <w:rFonts w:ascii="Aptos Display" w:eastAsia="Aptos Display" w:hAnsi="Aptos Display" w:cs="Aptos Display"/>
        </w:rPr>
        <w:t>5.3.3 Sponsor–Property Congruence and Brand Associations</w:t>
      </w:r>
      <w:bookmarkEnd w:id="124"/>
      <w:bookmarkEnd w:id="125"/>
      <w:r w:rsidRPr="552AD7BB">
        <w:rPr>
          <w:rFonts w:ascii="Aptos Display" w:eastAsia="Aptos Display" w:hAnsi="Aptos Display" w:cs="Aptos Display"/>
        </w:rPr>
        <w:t xml:space="preserve"> </w:t>
      </w:r>
    </w:p>
    <w:p w14:paraId="521F332F" w14:textId="0F6D0EFC"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The literature highlights sponsor–property congruence as an important factor influencing how sponsorship affects brand image. Congruence refers to the perceived fit between the sponsor and the sponsored property, which can be functional (product-related) or symbolic (image and values-based). Brand equity theory suggests that higher perceived fit supports positive brand associations and reduces consumer scepticism, making image transfer more effective (Aaker, 1991; Keller, 1993). In sponsorship research, Gwinner and Eaton (1999) argue that even when functional similarity is weak, symbolic fit can still generate favourable brand outcomes. </w:t>
      </w:r>
    </w:p>
    <w:p w14:paraId="03892024" w14:textId="48C7E704"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The findings from the five IPL cases show that congruence operates in different but effective ways, depending on sponsorship type. In the RCB × Qatar Airways and CSK × Etihad cases, congruence is largely symbolic rather than product based. Airlines do not have a direct functional link to cricket, but alignment is created through shared values such as premium positioning, global presence, and elite performance. The strong emotional attachment fans have with teams like RCB and CSK supports image transfer, allowing airline brands to benefit from positive team associations. This supports prior research suggesting that emotional and image-based congruence can be sufficient in sports sponsorship contexts (Gwinner &amp; Eaton, 1999; Cornwell, 2019). </w:t>
      </w:r>
    </w:p>
    <w:p w14:paraId="7EB508E0" w14:textId="23C47C31"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For Tata Neu, congruence is reinforced through brand credibility and trust rather than emotional identity. As part of the Tata Group, the title sponsorship aligns with the IPL’s national reach and mass appeal, helping the brand feel legitimate and reliable. Although the app itself is not directly linked to cricket, the association with a trusted corporate brand strengthens brand associations and reduces perceived risk, which is important for digital platforms (Keller, 2009). In contrast, Jio demonstrates a more functional form of congruence. Its role as a digital ecosystem partner connects directly with how audiences consume IPL content. This close integration strengthens associations related to innovation, convenience, and technological leadership. CRED, meanwhile, relies on symbolic congruence through creativity and exclusivity. Its unconventional tone and premium positioning fit the IPL’s entertainment-driven environment, helping the brand stand out despite limited exposure time. </w:t>
      </w:r>
    </w:p>
    <w:p w14:paraId="5463D052" w14:textId="39DEFCA0"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Overall, the cross-case comparison shows that congruence does not need to be product-based to be effective. Instead, symbolic alignment, emotional connection, or functional integration can all support strong brand associations. An important interim takeaway is that sponsorship effectiveness depends less on “natural fit” and more on how convincingly the sponsor’s brand meaning aligns with the IPL property and its audience.</w:t>
      </w:r>
    </w:p>
    <w:p w14:paraId="0B531BD3" w14:textId="68E4320D" w:rsidR="00241C66" w:rsidRDefault="36FFD439" w:rsidP="6708D22A">
      <w:pPr>
        <w:pStyle w:val="Heading2"/>
        <w:rPr>
          <w:rFonts w:ascii="Aptos Display" w:eastAsia="Aptos Display" w:hAnsi="Aptos Display" w:cs="Aptos Display"/>
        </w:rPr>
      </w:pPr>
      <w:bookmarkStart w:id="126" w:name="_Toc1194072188"/>
      <w:bookmarkStart w:id="127" w:name="_Toc1521309387"/>
      <w:r w:rsidRPr="552AD7BB">
        <w:rPr>
          <w:rFonts w:ascii="Aptos Display" w:eastAsia="Aptos Display" w:hAnsi="Aptos Display" w:cs="Aptos Display"/>
        </w:rPr>
        <w:t>5.3.4 Brand Image Outcomes and Brand Equity Development</w:t>
      </w:r>
      <w:bookmarkEnd w:id="126"/>
      <w:bookmarkEnd w:id="127"/>
      <w:r w:rsidRPr="552AD7BB">
        <w:rPr>
          <w:rFonts w:ascii="Aptos Display" w:eastAsia="Aptos Display" w:hAnsi="Aptos Display" w:cs="Aptos Display"/>
        </w:rPr>
        <w:t xml:space="preserve"> </w:t>
      </w:r>
    </w:p>
    <w:p w14:paraId="16D6EBB4" w14:textId="773A197A"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The final theme focuses on how different IPL sponsorship strategies translated into brand image outcomes, which represent the ultimate objective of sponsorship investment. Brand equity theory defines brand image as a set of associations held in consumers’ minds, shaped through awareness, perceived quality, emotional responses, and loyalty over time (Aaker, 1991; Keller, 1993). The cross-case findings show that while all five sponsors achieved some level of image enhancement, the strength and nature of outcomes varied depending on sponsorship format, activation depth, and engagement intensity. </w:t>
      </w:r>
    </w:p>
    <w:p w14:paraId="076BF253" w14:textId="2F813EB2"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Across the cases, high visibility combined with engagement produced the strongest brand image outcomes. For Tata Neu, league-wide title sponsorship ensured consistent exposure, helping establish rapid awareness and legitimacy. This visibility supported early-stage brand equity by strengthening familiarity and trust, even among non-users. However, deeper image outcomes were more evident when visibility was reinforced through app-based rewards and cross-brand integration, suggesting that exposure alone was insufficient for sustained equity development. </w:t>
      </w:r>
    </w:p>
    <w:p w14:paraId="2E86FE21" w14:textId="4141C0B1"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In contrast, Jio’s brand image outcomes were driven primarily by experience rather than symbolic association. By embedding the brand directly into the IPL viewing process through JioCinema, Jio strengthened perceptions of innovation, accessibility, and service quality. This supports Keller’s (2009) view that repeated positive usage experiences contribute strongly to perceived quality and brand loyalty. Compared with Tata Neu, Jio achieved more functional and experiential brand equity outcomes rather than symbolic legitimacy. The airline sponsorship cases (RCB × Qatar Airways and CSK × Etihad) demonstrate how emotional associations influence brand image. Both airlines benefited from alignment with popular teams that command strong fan loyalty. These partnerships enhanced perceptions of prestige, global stature, and premium positioning. While neither case provided direct functional interaction, the emotional transfer from team success and fan attachment supported favourable brand associations, consistent with prior sponsorship literature (Gwinner &amp; Eaton, 1999; Cornwell, 2019). Notably, CSK’s consistent on-field success may provide more stable image reinforcement than RCB, highlighting performance as a contextual contingency. CRED’s case shows that strong brand image outcomes can still emerge from limited-duration exposure, provided activation is distinctive and engaging. Although its in-match sponsorship offered shorter visibility, creative execution and humour-driven campaigns helped build memorability and modern brand meaning. This suggests that brand equity can be enhanced through uniqueness and emotional resonance, even without continuous exposure (Cornwell &amp; Kwon, 2021). </w:t>
      </w:r>
    </w:p>
    <w:p w14:paraId="492D18C6" w14:textId="27897318"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Overall, the cross-case analysis indicates that brand image development in IPL sponsorship is cumulative and mechanism-driven. Visibility initiates awareness, engagement deepens meaning, and congruence supports positive association transfer. An important interim takeaway is that sponsorship contributes most effectively to brand equity when exposure is supported by meaningful interaction or emotional relevance, rather than relying solely on scale or frequency. </w:t>
      </w:r>
    </w:p>
    <w:p w14:paraId="25E6F500" w14:textId="559B148D" w:rsidR="00241C66" w:rsidRDefault="36FFD439" w:rsidP="6708D22A">
      <w:pPr>
        <w:pStyle w:val="Heading1"/>
        <w:rPr>
          <w:rFonts w:ascii="Aptos Display" w:eastAsia="Aptos Display" w:hAnsi="Aptos Display" w:cs="Aptos Display"/>
        </w:rPr>
      </w:pPr>
      <w:bookmarkStart w:id="128" w:name="_Toc2018208697"/>
      <w:bookmarkStart w:id="129" w:name="_Toc1979385371"/>
      <w:r w:rsidRPr="552AD7BB">
        <w:rPr>
          <w:rFonts w:ascii="Aptos Display" w:eastAsia="Aptos Display" w:hAnsi="Aptos Display" w:cs="Aptos Display"/>
        </w:rPr>
        <w:t>5.4 Integration with the Conceptual Framework</w:t>
      </w:r>
      <w:bookmarkEnd w:id="128"/>
      <w:bookmarkEnd w:id="129"/>
      <w:r w:rsidRPr="552AD7BB">
        <w:rPr>
          <w:rFonts w:ascii="Aptos Display" w:eastAsia="Aptos Display" w:hAnsi="Aptos Display" w:cs="Aptos Display"/>
        </w:rPr>
        <w:t xml:space="preserve"> </w:t>
      </w:r>
    </w:p>
    <w:p w14:paraId="56C305DE" w14:textId="78F3C729" w:rsidR="00241C66" w:rsidRDefault="36FFD439" w:rsidP="469B3969">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This section links the cross-case findings back to the conceptual framework developed in Chapter 2, which was grounded in brand equity theory. The framework proposed that IPL sponsorship strategies influence brand image through mechanisms such as sponsor–property congruence, fan engagement, and activation quality (Aaker, 1991; Keller, 1993; Cornwell, 2019). Overall, the findings from the four cases strongly support this structure, while also highlighting some refinements. Across all cases, sponsorship strategies that combined high visibility with meaningful engagement were associated with stronger brand image outcomes. </w:t>
      </w:r>
    </w:p>
    <w:p w14:paraId="20E5E33D" w14:textId="3A80FCD2"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This supports the view that sponsorship contributes to brand equity by increasing brand awareness and strengthening brand associations (Keller, 1993; Cornwell &amp; Kwon, 2021). However, the findings also show that visibility alone is insufficient. For example, while Tata Neu benefited from league-wide exposure as a title sponsor, stronger image outcomes were evident when this exposure was supported by consistent activation and trust cues linked to the Tata brand. The analysis further confirms the importance of congruence between the sponsor and the sponsored property. In the RCB × Qatar Airways case, alignment was not based on product similarity but on shared premium positioning and global brand values, which facilitated positive image transfer (Gwinner &amp; Eaton, 1999; Kamath et al., 2020). This suggests that perceived fit can be symbolic rather than functional, particularly in entertainment-led leagues such as the IPL. Fan engagement also emerged as a critical factor shaping brand image outcomes. Brands that interacted repeatedly with fans through digital platforms or service usage, such as Jio and CRED, achieved stronger emotional and experiential associations. This aligns with brand equity theory, which emphasises that repeated positive brand experiences enhance perceived quality and loyalty (Aaker, 1991; Keller, 2009). Overall, the findings validate the conceptual framework while highlighting activation quality and engagement depth as particularly influential mechanisms. </w:t>
      </w:r>
    </w:p>
    <w:p w14:paraId="32210AD3" w14:textId="223E1CC0" w:rsidR="00241C66" w:rsidRDefault="36FFD439" w:rsidP="6708D22A">
      <w:pPr>
        <w:pStyle w:val="Heading1"/>
        <w:rPr>
          <w:rFonts w:ascii="Aptos Display" w:eastAsia="Aptos Display" w:hAnsi="Aptos Display" w:cs="Aptos Display"/>
        </w:rPr>
      </w:pPr>
      <w:bookmarkStart w:id="130" w:name="_Toc662198095"/>
      <w:bookmarkStart w:id="131" w:name="_Toc617467909"/>
      <w:r w:rsidRPr="552AD7BB">
        <w:rPr>
          <w:rFonts w:ascii="Aptos Display" w:eastAsia="Aptos Display" w:hAnsi="Aptos Display" w:cs="Aptos Display"/>
        </w:rPr>
        <w:t>5.5 Robustness Considerations</w:t>
      </w:r>
      <w:bookmarkEnd w:id="130"/>
      <w:bookmarkEnd w:id="131"/>
      <w:r w:rsidRPr="552AD7BB">
        <w:rPr>
          <w:rFonts w:ascii="Aptos Display" w:eastAsia="Aptos Display" w:hAnsi="Aptos Display" w:cs="Aptos Display"/>
        </w:rPr>
        <w:t xml:space="preserve"> </w:t>
      </w:r>
    </w:p>
    <w:p w14:paraId="4ACFE837" w14:textId="3F52CFA3"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While the findings show consistent patterns across cases, several robustness considerations should be acknowledged. First, the study relies exclusively on secondary data, including industry reports, media coverage, and brand communications. Such sources may present sponsorship outcomes in a favourable light, as brands are more likely to publicise successful campaigns (Yin, 2018). To address this, data were triangulated across multiple independent sources, including industry analyses and business media, which strengthens the credibility of the findings. Second, attribution remains a challenge. Changes in brand image cannot be explained solely by IPL sponsorship, particularly for established brands such as Jio and Tata that invest heavily in broader marketing activities. However, the repeated association between IPL-related activation and positive brand perceptions across cases suggests that sponsorship played a meaningful supporting role (Cornwell, 2019; Kunkel et al., 2020). Finally, the IPL represents a unique sporting and cultural context characterised by high media intensity, celebrity involvement, and strong fan emotions. This limits direct generalisation to other leagues or markets. Nevertheless, consistent findings across different sponsorship types within the IPL enhance internal robustness and support analytical generalisation, which is appropriate for a qualitative case study approach (Yin, 2018). </w:t>
      </w:r>
    </w:p>
    <w:p w14:paraId="70559911" w14:textId="2A4FF478" w:rsidR="00241C66" w:rsidRDefault="36FFD439" w:rsidP="6708D22A">
      <w:pPr>
        <w:pStyle w:val="Heading1"/>
        <w:rPr>
          <w:rFonts w:ascii="Aptos Display" w:eastAsia="Aptos Display" w:hAnsi="Aptos Display" w:cs="Aptos Display"/>
        </w:rPr>
      </w:pPr>
      <w:bookmarkStart w:id="132" w:name="_Toc1677989071"/>
      <w:bookmarkStart w:id="133" w:name="_Toc2128597335"/>
      <w:r w:rsidRPr="552AD7BB">
        <w:rPr>
          <w:rFonts w:ascii="Aptos Display" w:eastAsia="Aptos Display" w:hAnsi="Aptos Display" w:cs="Aptos Display"/>
        </w:rPr>
        <w:t>5.6 Practical Synthesis</w:t>
      </w:r>
      <w:bookmarkEnd w:id="132"/>
      <w:bookmarkEnd w:id="133"/>
      <w:r w:rsidRPr="552AD7BB">
        <w:rPr>
          <w:rFonts w:ascii="Aptos Display" w:eastAsia="Aptos Display" w:hAnsi="Aptos Display" w:cs="Aptos Display"/>
        </w:rPr>
        <w:t xml:space="preserve"> </w:t>
      </w:r>
    </w:p>
    <w:p w14:paraId="6C8FA2E9" w14:textId="1C1BBA84"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The cross-case findings provide several insights that are directly relevant to sponsorship practice and form a bridge to the managerial implications discussed in Chapter 6. First, the analysis shows that sponsorship effectiveness depends less on sponsorship scale and more on how the sponsorship is activated. This supports prior research suggesting that activation quality is central to sponsorship success (Cornwell &amp; Kwon, 2021; Wellington et al., 2022). Second, different sponsorship formats serve different branding objectives. Team sponsorships, such as RCB × Qatar Airways, appear particularly effective for emotional brand building, while title sponsorships like Tata Neu support rapid awareness and credibility. Event-based sponsorships, as seen with CRED, can generate strong short-term recall when combined with creative execution, even with limited exposure duration (Cornwell, 2019). Third, the IPL’s highly cluttered environment amplifies both positive and negative outcomes. Poorly activated sponsorships risk being overlooked, while well-integrated strategies can significantly enhance brand equity. These insights highlight the need for strategic alignment between sponsorship objectives, activation design, and desired brand image outcomes, which are addressed further in Chapter 6. </w:t>
      </w:r>
    </w:p>
    <w:p w14:paraId="26ED6B6B" w14:textId="59812342" w:rsidR="00241C66" w:rsidRDefault="36FFD439" w:rsidP="6708D22A">
      <w:pPr>
        <w:pStyle w:val="Heading1"/>
        <w:rPr>
          <w:rFonts w:ascii="Aptos Display" w:eastAsia="Aptos Display" w:hAnsi="Aptos Display" w:cs="Aptos Display"/>
        </w:rPr>
      </w:pPr>
      <w:bookmarkStart w:id="134" w:name="_Toc1128366791"/>
      <w:bookmarkStart w:id="135" w:name="_Toc569777088"/>
      <w:r w:rsidRPr="552AD7BB">
        <w:rPr>
          <w:rFonts w:ascii="Aptos Display" w:eastAsia="Aptos Display" w:hAnsi="Aptos Display" w:cs="Aptos Display"/>
        </w:rPr>
        <w:t>5.7 Chapter Summary</w:t>
      </w:r>
      <w:bookmarkEnd w:id="134"/>
      <w:bookmarkEnd w:id="135"/>
      <w:r w:rsidRPr="552AD7BB">
        <w:rPr>
          <w:rFonts w:ascii="Aptos Display" w:eastAsia="Aptos Display" w:hAnsi="Aptos Display" w:cs="Aptos Display"/>
        </w:rPr>
        <w:t xml:space="preserve"> </w:t>
      </w:r>
    </w:p>
    <w:p w14:paraId="67F87E01" w14:textId="220282A3" w:rsidR="00241C66" w:rsidRDefault="36FFD439"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This chapter examined IPL sponsorship strategies through a cross-case analysis grounded in brand equity theory. By synthesising evidence from four distinct sponsorship cases, the chapter demonstrated that sponsorship influences brand image not only through visibility but through congruence, fan engagement, and activation quality (Aaker, 1991; Keller, 1993; Cornwell, 2019). The findings support existing sponsorship literature while extending it to the IPL context, where digital engagement and entertainment value play particularly important roles. The chapter also identified key contingencies, such as sponsorship type and engagement intensity, that shape brand image outcomes. These insights provide a strong foundation for the final chapter, which develops theoretical contributions, managerial implications, and directions for future research.</w:t>
      </w:r>
    </w:p>
    <w:p w14:paraId="05D269EF" w14:textId="225D8E74" w:rsidR="453B38E5" w:rsidRDefault="453B38E5" w:rsidP="453B38E5">
      <w:pPr>
        <w:spacing w:before="240" w:after="240"/>
        <w:jc w:val="both"/>
        <w:rPr>
          <w:rFonts w:ascii="Arial" w:eastAsia="Arial" w:hAnsi="Arial" w:cs="Arial"/>
          <w:color w:val="000000" w:themeColor="text1"/>
        </w:rPr>
      </w:pPr>
    </w:p>
    <w:p w14:paraId="4B68BD5A" w14:textId="42FC5C48" w:rsidR="453B38E5" w:rsidRDefault="453B38E5" w:rsidP="453B38E5">
      <w:pPr>
        <w:spacing w:before="240" w:after="240"/>
        <w:jc w:val="both"/>
        <w:rPr>
          <w:rFonts w:ascii="Arial" w:eastAsia="Arial" w:hAnsi="Arial" w:cs="Arial"/>
          <w:color w:val="000000" w:themeColor="text1"/>
        </w:rPr>
      </w:pPr>
    </w:p>
    <w:p w14:paraId="3AA8A464" w14:textId="75FB51E5" w:rsidR="000D69EB" w:rsidRDefault="000D69EB" w:rsidP="453B38E5">
      <w:pPr>
        <w:spacing w:before="240" w:after="240"/>
        <w:jc w:val="both"/>
        <w:rPr>
          <w:rFonts w:ascii="Arial" w:eastAsia="Arial" w:hAnsi="Arial" w:cs="Arial"/>
          <w:color w:val="000000" w:themeColor="text1"/>
        </w:rPr>
      </w:pPr>
    </w:p>
    <w:p w14:paraId="2E548CB9" w14:textId="2715F1EF" w:rsidR="000D69EB" w:rsidRDefault="000D69EB" w:rsidP="453B38E5">
      <w:pPr>
        <w:spacing w:before="240" w:after="240"/>
        <w:jc w:val="both"/>
        <w:rPr>
          <w:rFonts w:ascii="Arial" w:eastAsia="Arial" w:hAnsi="Arial" w:cs="Arial"/>
          <w:color w:val="000000" w:themeColor="text1"/>
        </w:rPr>
      </w:pPr>
    </w:p>
    <w:p w14:paraId="062B0C4E" w14:textId="548C671C" w:rsidR="000D69EB" w:rsidRDefault="000D69EB" w:rsidP="453B38E5">
      <w:pPr>
        <w:spacing w:before="240" w:after="240"/>
        <w:jc w:val="both"/>
        <w:rPr>
          <w:rFonts w:ascii="Arial" w:eastAsia="Arial" w:hAnsi="Arial" w:cs="Arial"/>
          <w:color w:val="000000" w:themeColor="text1"/>
        </w:rPr>
      </w:pPr>
    </w:p>
    <w:p w14:paraId="3F027507" w14:textId="322B1ABF" w:rsidR="000D69EB" w:rsidRDefault="000D69EB" w:rsidP="453B38E5">
      <w:pPr>
        <w:spacing w:before="240" w:after="240"/>
        <w:jc w:val="both"/>
        <w:rPr>
          <w:rFonts w:ascii="Arial" w:eastAsia="Arial" w:hAnsi="Arial" w:cs="Arial"/>
          <w:color w:val="000000" w:themeColor="text1"/>
        </w:rPr>
      </w:pPr>
    </w:p>
    <w:p w14:paraId="5341AE9B" w14:textId="3F0D25E4" w:rsidR="000D69EB" w:rsidRDefault="000D69EB" w:rsidP="453B38E5">
      <w:pPr>
        <w:spacing w:before="240" w:after="240"/>
        <w:jc w:val="both"/>
        <w:rPr>
          <w:rFonts w:ascii="Arial" w:eastAsia="Arial" w:hAnsi="Arial" w:cs="Arial"/>
          <w:color w:val="000000" w:themeColor="text1"/>
        </w:rPr>
      </w:pPr>
    </w:p>
    <w:p w14:paraId="658B083B" w14:textId="3D2C4E47" w:rsidR="000D69EB" w:rsidRDefault="000D69EB" w:rsidP="453B38E5">
      <w:pPr>
        <w:spacing w:before="240" w:after="240"/>
        <w:jc w:val="both"/>
        <w:rPr>
          <w:rFonts w:ascii="Arial" w:eastAsia="Arial" w:hAnsi="Arial" w:cs="Arial"/>
          <w:color w:val="000000" w:themeColor="text1"/>
        </w:rPr>
      </w:pPr>
    </w:p>
    <w:p w14:paraId="0D61FE5D" w14:textId="07E3C8FA" w:rsidR="00241C66" w:rsidRDefault="00241C66" w:rsidP="6708D22A">
      <w:pPr>
        <w:spacing w:before="240" w:after="240"/>
        <w:jc w:val="both"/>
        <w:rPr>
          <w:rFonts w:ascii="Arial Nova" w:eastAsia="Arial Nova" w:hAnsi="Arial Nova" w:cs="Arial Nova"/>
          <w:color w:val="000000" w:themeColor="text1"/>
        </w:rPr>
      </w:pPr>
    </w:p>
    <w:p w14:paraId="5145E33D" w14:textId="0D6EDAE3" w:rsidR="00241C66" w:rsidRDefault="00241C66" w:rsidP="6708D22A">
      <w:pPr>
        <w:spacing w:before="240" w:after="240"/>
        <w:jc w:val="both"/>
        <w:rPr>
          <w:rFonts w:ascii="Arial Nova" w:eastAsia="Arial Nova" w:hAnsi="Arial Nova" w:cs="Arial Nova"/>
          <w:color w:val="000000" w:themeColor="text1"/>
        </w:rPr>
      </w:pPr>
    </w:p>
    <w:p w14:paraId="60DFA0B9" w14:textId="71295DA7" w:rsidR="00241C66" w:rsidRDefault="00241C66" w:rsidP="6708D22A">
      <w:pPr>
        <w:spacing w:before="240" w:after="240"/>
        <w:jc w:val="both"/>
        <w:rPr>
          <w:rFonts w:ascii="Arial Nova" w:eastAsia="Arial Nova" w:hAnsi="Arial Nova" w:cs="Arial Nova"/>
          <w:color w:val="000000" w:themeColor="text1"/>
        </w:rPr>
      </w:pPr>
    </w:p>
    <w:p w14:paraId="42AE77BF" w14:textId="4279EF1D" w:rsidR="00241C66" w:rsidRDefault="00241C66" w:rsidP="6708D22A">
      <w:pPr>
        <w:spacing w:before="240" w:after="240"/>
        <w:jc w:val="both"/>
        <w:rPr>
          <w:rFonts w:ascii="Arial Nova" w:eastAsia="Arial Nova" w:hAnsi="Arial Nova" w:cs="Arial Nova"/>
          <w:color w:val="000000" w:themeColor="text1"/>
        </w:rPr>
      </w:pPr>
    </w:p>
    <w:p w14:paraId="0A85BD6C" w14:textId="0198E904" w:rsidR="00241C66" w:rsidRDefault="00241C66" w:rsidP="6708D22A">
      <w:pPr>
        <w:spacing w:before="240" w:after="240"/>
        <w:jc w:val="both"/>
        <w:rPr>
          <w:rFonts w:ascii="Arial Nova" w:eastAsia="Arial Nova" w:hAnsi="Arial Nova" w:cs="Arial Nova"/>
          <w:color w:val="000000" w:themeColor="text1"/>
        </w:rPr>
      </w:pPr>
    </w:p>
    <w:p w14:paraId="711E7809" w14:textId="5A3B8636" w:rsidR="00241C66" w:rsidRDefault="00241C66" w:rsidP="6708D22A">
      <w:pPr>
        <w:spacing w:before="240" w:after="240"/>
        <w:jc w:val="both"/>
        <w:rPr>
          <w:rFonts w:ascii="Arial Nova" w:eastAsia="Arial Nova" w:hAnsi="Arial Nova" w:cs="Arial Nova"/>
          <w:color w:val="000000" w:themeColor="text1"/>
        </w:rPr>
      </w:pPr>
    </w:p>
    <w:p w14:paraId="35CDA062" w14:textId="3384199F" w:rsidR="00241C66" w:rsidRDefault="00241C66" w:rsidP="6708D22A">
      <w:pPr>
        <w:spacing w:before="240" w:after="240"/>
        <w:jc w:val="both"/>
        <w:rPr>
          <w:rFonts w:ascii="Arial Nova" w:eastAsia="Arial Nova" w:hAnsi="Arial Nova" w:cs="Arial Nova"/>
          <w:color w:val="000000" w:themeColor="text1"/>
        </w:rPr>
      </w:pPr>
    </w:p>
    <w:p w14:paraId="0A747BAC" w14:textId="570351E0" w:rsidR="00241C66" w:rsidRDefault="00241C66" w:rsidP="6708D22A">
      <w:pPr>
        <w:spacing w:before="240" w:after="240"/>
        <w:jc w:val="both"/>
        <w:rPr>
          <w:rFonts w:ascii="Arial Nova" w:eastAsia="Arial Nova" w:hAnsi="Arial Nova" w:cs="Arial Nova"/>
          <w:color w:val="000000" w:themeColor="text1"/>
        </w:rPr>
      </w:pPr>
    </w:p>
    <w:p w14:paraId="0CDF17C2" w14:textId="7A7362D7" w:rsidR="00241C66" w:rsidRDefault="00241C66" w:rsidP="6708D22A">
      <w:pPr>
        <w:spacing w:before="240" w:after="240"/>
        <w:jc w:val="both"/>
        <w:rPr>
          <w:rFonts w:ascii="Arial Nova" w:eastAsia="Arial Nova" w:hAnsi="Arial Nova" w:cs="Arial Nova"/>
          <w:color w:val="000000" w:themeColor="text1"/>
        </w:rPr>
      </w:pPr>
    </w:p>
    <w:p w14:paraId="1AB91570" w14:textId="12F9B519" w:rsidR="00241C66" w:rsidRDefault="00241C66" w:rsidP="6708D22A">
      <w:pPr>
        <w:spacing w:before="240" w:after="240"/>
        <w:jc w:val="both"/>
        <w:rPr>
          <w:rFonts w:ascii="Arial Nova" w:eastAsia="Arial Nova" w:hAnsi="Arial Nova" w:cs="Arial Nova"/>
          <w:color w:val="000000" w:themeColor="text1"/>
        </w:rPr>
      </w:pPr>
    </w:p>
    <w:p w14:paraId="1E203C54" w14:textId="577FD044" w:rsidR="257D0FD0" w:rsidRDefault="257D0FD0" w:rsidP="257D0FD0">
      <w:pPr>
        <w:spacing w:before="240" w:after="240"/>
        <w:jc w:val="both"/>
        <w:rPr>
          <w:rFonts w:ascii="Arial Nova" w:eastAsia="Arial Nova" w:hAnsi="Arial Nova" w:cs="Arial Nova"/>
          <w:color w:val="000000" w:themeColor="text1"/>
        </w:rPr>
      </w:pPr>
    </w:p>
    <w:p w14:paraId="49758156" w14:textId="7B664E4A" w:rsidR="257D0FD0" w:rsidRDefault="257D0FD0" w:rsidP="257D0FD0">
      <w:pPr>
        <w:spacing w:before="240" w:after="240"/>
        <w:jc w:val="both"/>
        <w:rPr>
          <w:rFonts w:ascii="Arial Nova" w:eastAsia="Arial Nova" w:hAnsi="Arial Nova" w:cs="Arial Nova"/>
          <w:color w:val="000000" w:themeColor="text1"/>
        </w:rPr>
      </w:pPr>
    </w:p>
    <w:p w14:paraId="18D75F8B" w14:textId="3F08DC04" w:rsidR="257D0FD0" w:rsidRDefault="257D0FD0" w:rsidP="257D0FD0">
      <w:pPr>
        <w:spacing w:before="240" w:after="240"/>
        <w:jc w:val="both"/>
        <w:rPr>
          <w:rFonts w:ascii="Arial Nova" w:eastAsia="Arial Nova" w:hAnsi="Arial Nova" w:cs="Arial Nova"/>
          <w:color w:val="000000" w:themeColor="text1"/>
        </w:rPr>
      </w:pPr>
    </w:p>
    <w:p w14:paraId="1C6D19AA" w14:textId="7D084B79" w:rsidR="552AD7BB" w:rsidRDefault="552AD7BB" w:rsidP="552AD7BB">
      <w:pPr>
        <w:spacing w:before="240" w:after="240"/>
        <w:jc w:val="both"/>
        <w:rPr>
          <w:rFonts w:ascii="Arial Nova" w:eastAsia="Arial Nova" w:hAnsi="Arial Nova" w:cs="Arial Nova"/>
          <w:color w:val="000000" w:themeColor="text1"/>
        </w:rPr>
      </w:pPr>
    </w:p>
    <w:p w14:paraId="09718CE6" w14:textId="01DF9140" w:rsidR="00241C66" w:rsidRDefault="097DA317" w:rsidP="6708D22A">
      <w:pPr>
        <w:spacing w:before="240" w:after="240"/>
        <w:jc w:val="both"/>
        <w:rPr>
          <w:rFonts w:ascii="Arial" w:eastAsia="Arial" w:hAnsi="Arial" w:cs="Arial"/>
          <w:color w:val="000000" w:themeColor="text1"/>
          <w:sz w:val="32"/>
          <w:szCs w:val="32"/>
        </w:rPr>
      </w:pPr>
      <w:r w:rsidRPr="6708D22A">
        <w:rPr>
          <w:rFonts w:ascii="Arial" w:eastAsia="Arial" w:hAnsi="Arial" w:cs="Arial"/>
          <w:b/>
          <w:bCs/>
          <w:color w:val="000000" w:themeColor="text1"/>
          <w:sz w:val="32"/>
          <w:szCs w:val="32"/>
        </w:rPr>
        <w:t>Chapter 6 – conclusion</w:t>
      </w:r>
    </w:p>
    <w:p w14:paraId="65483790" w14:textId="58332B82" w:rsidR="00241C66" w:rsidRDefault="097DA317" w:rsidP="6708D22A">
      <w:pPr>
        <w:pStyle w:val="Heading1"/>
        <w:rPr>
          <w:rFonts w:ascii="Aptos Display" w:eastAsia="Aptos Display" w:hAnsi="Aptos Display" w:cs="Aptos Display"/>
        </w:rPr>
      </w:pPr>
      <w:bookmarkStart w:id="136" w:name="_Toc2085744684"/>
      <w:bookmarkStart w:id="137" w:name="_Toc1226107680"/>
      <w:r w:rsidRPr="552AD7BB">
        <w:rPr>
          <w:rFonts w:ascii="Aptos Display" w:eastAsia="Aptos Display" w:hAnsi="Aptos Display" w:cs="Aptos Display"/>
        </w:rPr>
        <w:t>6.1 Introduction</w:t>
      </w:r>
      <w:bookmarkEnd w:id="136"/>
      <w:bookmarkEnd w:id="137"/>
    </w:p>
    <w:p w14:paraId="52EEB10B" w14:textId="72C4AF2F"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This chapter concludes the dissertation by bringing together the key insights from the study and highlighting their implications for theory and practice. The purpose of this chapter is to summarise the main findings, discuss their theoretical and managerial relevance, acknowledge the limitations of the research, and suggest directions for future studies. The study examined how different IPL sponsorship strategies influence brand image, using brand equity theory as the core theoretical lens. A qualitative, secondary-data, multi-case study approach was adopted, with five IPL sponsorship cases analysed in Chapter 4 and synthesised through cross-case analysis in Chapter 5. By integrating evidence from the cases with existing literature, this chapter reflects on what the findings mean for sponsorship research and for managers designing sponsorship strategies in high-visibility sporting contexts such as the IPL. The chapter is structured to first summarise key findings, followed by theoretical implications, managerial implications, limitations, future research directions, and a final concluding statement.</w:t>
      </w:r>
    </w:p>
    <w:p w14:paraId="301C5D7D" w14:textId="26E4A54D" w:rsidR="00241C66" w:rsidRDefault="097DA317" w:rsidP="6708D22A">
      <w:pPr>
        <w:pStyle w:val="Heading1"/>
        <w:rPr>
          <w:rFonts w:ascii="Aptos Display" w:eastAsia="Aptos Display" w:hAnsi="Aptos Display" w:cs="Aptos Display"/>
        </w:rPr>
      </w:pPr>
      <w:bookmarkStart w:id="138" w:name="_Toc782083747"/>
      <w:bookmarkStart w:id="139" w:name="_Toc1662444184"/>
      <w:r w:rsidRPr="552AD7BB">
        <w:rPr>
          <w:rFonts w:ascii="Aptos Display" w:eastAsia="Aptos Display" w:hAnsi="Aptos Display" w:cs="Aptos Display"/>
        </w:rPr>
        <w:t>6.2 Brief Summary of Key Findings</w:t>
      </w:r>
      <w:bookmarkEnd w:id="138"/>
      <w:bookmarkEnd w:id="139"/>
      <w:r w:rsidRPr="552AD7BB">
        <w:rPr>
          <w:rFonts w:ascii="Aptos Display" w:eastAsia="Aptos Display" w:hAnsi="Aptos Display" w:cs="Aptos Display"/>
        </w:rPr>
        <w:t xml:space="preserve"> </w:t>
      </w:r>
    </w:p>
    <w:p w14:paraId="38C15E3A" w14:textId="1D6A779D"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This study identified several consistent patterns regarding how IPL sponsorship strategies influence brand image through the lens of brand equity theory. Overall, the findings show that sponsorship effectiveness depends not only on visibility, but on how sponsorships are activated and experienced by audiences. </w:t>
      </w:r>
    </w:p>
    <w:p w14:paraId="2A686F5E" w14:textId="2936EF9C"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First, sponsorship visibility emerged as a necessary foundation for building brand awareness. High-visibility formats such as title sponsorships, ecosystem partnerships, and team jersey sponsorships ensured repeated exposure and supported strong brand recall. However, visibility alone was not sufficient to generate deeper brand image outcomes. </w:t>
      </w:r>
    </w:p>
    <w:p w14:paraId="2E830BBE" w14:textId="2314189A"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Second, sponsorship activation and fan engagement were found to play a critical role in strengthening brand associations and perceived quality. Brands that embedded themselves into the fan experience through digital platforms, interactive content, or experiential elements achieved stronger emotional connections. This supports brand equity literature suggesting that active engagement contributes more to brand image than passive exposure (Aaker, 1991; Keller, 2009). </w:t>
      </w:r>
    </w:p>
    <w:p w14:paraId="6BD4E583" w14:textId="15B2F339"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Third, sponsor–property congruence influenced the effectiveness of image transfer. Both symbolic alignment (e.g., premium or global brand positioning) and functional alignment (e.g., digital integration) were found to support positive brand associations, depending on sponsorship type. Finally, the findings show that strong brand image outcomes are most likely when visibility, activation quality, and congruence work together. Where these elements were weak or inconsistent, brand image effects were more limited. Overall, the results highlight that sponsorship in highly cluttered environments like the IPL requires strategic activation rather than reliance on scale alone.</w:t>
      </w:r>
    </w:p>
    <w:p w14:paraId="560FAEE6" w14:textId="311334B6" w:rsidR="00241C66" w:rsidRDefault="097DA317" w:rsidP="6708D22A">
      <w:pPr>
        <w:pStyle w:val="Heading1"/>
        <w:rPr>
          <w:rFonts w:ascii="Aptos Display" w:eastAsia="Aptos Display" w:hAnsi="Aptos Display" w:cs="Aptos Display"/>
        </w:rPr>
      </w:pPr>
      <w:bookmarkStart w:id="140" w:name="_Toc183615992"/>
      <w:bookmarkStart w:id="141" w:name="_Toc1997020411"/>
      <w:r w:rsidRPr="552AD7BB">
        <w:rPr>
          <w:rFonts w:ascii="Aptos Display" w:eastAsia="Aptos Display" w:hAnsi="Aptos Display" w:cs="Aptos Display"/>
        </w:rPr>
        <w:t>6.3 Theoretical Implications</w:t>
      </w:r>
      <w:bookmarkEnd w:id="140"/>
      <w:bookmarkEnd w:id="141"/>
      <w:r w:rsidRPr="552AD7BB">
        <w:rPr>
          <w:rFonts w:ascii="Aptos Display" w:eastAsia="Aptos Display" w:hAnsi="Aptos Display" w:cs="Aptos Display"/>
        </w:rPr>
        <w:t xml:space="preserve"> </w:t>
      </w:r>
    </w:p>
    <w:p w14:paraId="655EF8B3" w14:textId="3EEBE0F9"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This study makes several theoretical contributions to the sponsorship and brand equity literature by extending existing theory into the context of the Indian Premier League (IPL). Grounded in brand equity theory, the findings clarify how sponsorship strategies influence brand image through a combination of visibility, activation, engagement, and congruence mechanisms. Rather than introducing new theories, the study refines and contextualises established concepts using cross-case evidence from five IPL sponsorship cases. </w:t>
      </w:r>
    </w:p>
    <w:p w14:paraId="782119EE" w14:textId="629403EE"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First, the study contributes by clarifying the role of brand equity theory in explaining sponsorship outcomes in high-clutter, entertainment-driven environments. Brand equity theory proposes that brand value is built through dimensions such as awareness, associations, perceived quality, and loyalty (Aaker, 1991; Keller, 1993). The findings support this view by showing that sponsorship visibility is a foundational condition for awareness, but that deeper brand equity outcomes depend on how sponsorships are activated and experienced. This extends prior sponsorship research by demonstrating that visibility alone is insufficient in modern digital sport contexts. Instead, sponsorship effectiveness increasingly depends on engagement-led mechanisms, particularly where audiences interact with brands through digital platforms and experiential touchpoints, as seen in the Jio and CRED cases. </w:t>
      </w:r>
    </w:p>
    <w:p w14:paraId="260D9B06" w14:textId="4317D665"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Second, the study identifies important boundary conditions under which sponsorship–brand relationships are strengthened or weakened. The cross-case analysis shows that the effectiveness of sponsorship varies by sponsorship type and activation depth. For example, title sponsorships such as Tata Neu benefit strongly from scale and credibility effects, but their brand image impact is contingent on complementary activation strategies that reinforce trust and usefulness. Similarly, airline team sponsorships (RCB × Qatar Airways and CSK × Etihad) demonstrate that symbolic congruence can compensate for weak functional fit, but outcomes are influenced by team performance, fan loyalty, and emotional attachment. These findings qualify existing literature by showing that canonical relationships between sponsorship and brand image do not hold uniformly; instead, they are shaped by contextual factors such as sponsorship format, brand maturity, and audience engagement intensity (Cornwell, 2019; Cornwell &amp; Kwon, 2021). </w:t>
      </w:r>
    </w:p>
    <w:p w14:paraId="188EBA46" w14:textId="5E0E5C39"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Third, the study provides insight into the mechanisms through which sponsorship influences brand image. The cases highlight three key mechanisms: repeated exposure, experiential interaction, and emotional association. Visibility initiates awareness, activation enables interaction, and congruence facilitates positive image transfer. For digital and platform-based sponsors such as Jio, functional interaction through service usage acted as a powerful mechanism for perceived quality and innovation. In contrast, brands such as CRED relied on creative distinctiveness and emotional resonance to achieve memorability despite limited exposure duration. These process-level insights help explain how sponsorship works, not just whether it works, responding to calls in the literature for greater attention to sponsorship mechanisms rather than outcomes alone (Keller, 2009; Kunkel et al., 2020). </w:t>
      </w:r>
    </w:p>
    <w:p w14:paraId="6A3F1D3C" w14:textId="454867CB"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Fourth, the findings contribute to an integrative refinement of the conceptual framework developed in Chapter 2. The original framework proposed that sponsorship strategies influence brand image through visibility, congruence, and engagement. The cross-case synthesis in Chapter 5 confirms this structure but also highlights the central role of activation quality as a linking mechanism between exposure and brand equity outcomes. While no new constructs were introduced, the findings suggest that activation and engagement function as mediators that shape the strength of brand associations and perceived quality. This refinement strengthens the explanatory power of the framework by showing that brand image outcomes emerge cumulatively rather than linearly.</w:t>
      </w:r>
    </w:p>
    <w:p w14:paraId="00A2029A" w14:textId="0D108B57"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In terms of literature positioning, the study supports foundational brand equity theory (Aaker, 1991; Keller, 1993) while extending sponsorship research into contemporary, digitally mediated sport environments. The findings corroborate prior work on sponsorship activation (Cornwell, 2019) and experiential branding (Keller, 2009), while offering empirical evidence from the IPL context, which remains underexplored in academic literature. Rather than contradicting existing theory, the study adds nuance by showing how traditional sponsorship principles operate differently across sponsorship formats and brand categories. </w:t>
      </w:r>
    </w:p>
    <w:p w14:paraId="4A8F6757" w14:textId="2D822C10"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Finally, the study’s theoretical insights are analytically generalisable to similar contexts characterised by high media intensity, strong fan cultures, and digital consumption, such as other global sports leagues or entertainment platforms. However, the findings are most transferable to settings where sponsorship operates as part of a broader digital and experiential ecosystem, rather than as a standalone promotional tool.</w:t>
      </w:r>
    </w:p>
    <w:p w14:paraId="16959AF6" w14:textId="2F93C9E9" w:rsidR="00241C66" w:rsidRDefault="097DA317" w:rsidP="6708D22A">
      <w:pPr>
        <w:pStyle w:val="Heading1"/>
        <w:rPr>
          <w:rFonts w:ascii="Aptos Display" w:eastAsia="Aptos Display" w:hAnsi="Aptos Display" w:cs="Aptos Display"/>
        </w:rPr>
      </w:pPr>
      <w:bookmarkStart w:id="142" w:name="_Toc331965458"/>
      <w:bookmarkStart w:id="143" w:name="_Toc1877027911"/>
      <w:r w:rsidRPr="552AD7BB">
        <w:rPr>
          <w:rFonts w:ascii="Aptos Display" w:eastAsia="Aptos Display" w:hAnsi="Aptos Display" w:cs="Aptos Display"/>
        </w:rPr>
        <w:t>6.4 Managerial Implications</w:t>
      </w:r>
      <w:bookmarkEnd w:id="142"/>
      <w:bookmarkEnd w:id="143"/>
      <w:r w:rsidRPr="552AD7BB">
        <w:rPr>
          <w:rFonts w:ascii="Aptos Display" w:eastAsia="Aptos Display" w:hAnsi="Aptos Display" w:cs="Aptos Display"/>
        </w:rPr>
        <w:t xml:space="preserve"> </w:t>
      </w:r>
    </w:p>
    <w:p w14:paraId="13AAFC0F" w14:textId="05CE605A"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This study offers several practical implications for managers designing and evaluating sponsorship strategies in high-profile sporting environments such as the IPL. By translating the cross-case findings into actionable guidance, this section highlights how organisations can improve sponsorship effectiveness by focusing not only on scale, but also on activation quality, engagement depth, and strategic fit. </w:t>
      </w:r>
    </w:p>
    <w:p w14:paraId="330D5DC8" w14:textId="53998039"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First, managers should recognise that sponsorship visibility is necessary but not sufficient for achieving strong brand image outcomes. The cases show that large-scale sponsorships, such as league title or ecosystem partnerships, can rapidly build awareness, particularly for new or expanding brands. However, visibility alone does not guarantee favourable brand perceptions. Managers should therefore avoid treating sponsorship as a logo-placement exercise and instead plan visibility as the first step in a broader brand-building strategy. To implement this effectively, organisations should align sponsorship visibility with clear brand objectives (e.g., awareness, credibility, innovation) and track metrics such as unaided recall, brand salience, and reach across broadcast and digital platforms. </w:t>
      </w:r>
    </w:p>
    <w:p w14:paraId="6A455BC7" w14:textId="60BCB966"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Second, activation and fan engagement should be treated as the core drivers of sponsorship value. The findings show that brands that invested in interactive and experiential activation achieved stronger and more differentiated brand image outcomes. For example, digital integration, platform usage, or creative in-match activations allowed brands to move beyond passive exposure and create meaningful consumer interaction. Managers should therefore allocate sufficient resources to activation planning, ensuring that sponsorship budgets are not overly concentrated on rights fees alone. Key enablers include digital capability, cross-functional coordination between marketing and technology teams, and clear activation timelines aligned with the tournament schedule. Engagement metrics such as app usage, social media interaction, time spent, and campaign participation rates should be monitored alongside traditional awareness measures. </w:t>
      </w:r>
    </w:p>
    <w:p w14:paraId="756D631D" w14:textId="7B8EC333"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Third, sponsor–property congruence should be strategically managed rather than assumed. The study demonstrates that effective fit does not need to be product-based; symbolic alignment, emotional resonance, or functional integration can all support positive brand associations. For managers, this means that sponsorship selection should be guided by brand positioning and desired associations, not just audience size. For example, premium or global brands may benefit from association with successful, aspirational teams, while digital or service-based brands may gain more from functional integration into the fan experience. Managers should test perceived fit through consumer research and sentiment analysis and adjust messaging to reinforce alignment where natural fit is weak. </w:t>
      </w:r>
    </w:p>
    <w:p w14:paraId="624234FE" w14:textId="48EC1E80"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Fourth, different sponsorship formats serve different branding objectives, and managers should choose formats accordingly. Title sponsorships are particularly effective for rapid awareness and legitimacy building, especially for newer brands. Team sponsorships are well suited for emotional brand building through fan identity and loyalty. Event-based sponsorships, while limited in duration, can generate strong short-term recall if creatively executed. Managers should therefore avoid a one-size-fits-all approach and instead match sponsorship format to strategic goals, brand maturity, and budget constraints. Success should be evaluated using a mix of short-term metrics (recall, engagement spikes) and longer-term indicators (brand image, trust, loyalty). </w:t>
      </w:r>
    </w:p>
    <w:p w14:paraId="59BD32DB" w14:textId="152CB259"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Finally, the IPL’s highly cluttered environment highlights the risk of under-activated sponsorships being overlooked. Managers should treat sponsorship as an ongoing engagement platform rather than a seasonal campaign. Continuous storytelling, digital extensions, and post-event engagement can help sustain brand impact beyond the tournament. Overall, the findings suggest that sponsorship effectiveness depends less on how big the sponsorship is and more on how strategically it is designed, activated, and measured.</w:t>
      </w:r>
    </w:p>
    <w:p w14:paraId="6FA5D62D" w14:textId="7909B420" w:rsidR="00241C66" w:rsidRDefault="097DA317" w:rsidP="6708D22A">
      <w:pPr>
        <w:pStyle w:val="Heading1"/>
        <w:rPr>
          <w:rFonts w:ascii="Aptos Display" w:eastAsia="Aptos Display" w:hAnsi="Aptos Display" w:cs="Aptos Display"/>
        </w:rPr>
      </w:pPr>
      <w:bookmarkStart w:id="144" w:name="_Toc1904458590"/>
      <w:bookmarkStart w:id="145" w:name="_Toc829554960"/>
      <w:r w:rsidRPr="552AD7BB">
        <w:rPr>
          <w:rFonts w:ascii="Aptos Display" w:eastAsia="Aptos Display" w:hAnsi="Aptos Display" w:cs="Aptos Display"/>
        </w:rPr>
        <w:t>6.5 Limitations and Directions for Future Research</w:t>
      </w:r>
      <w:bookmarkEnd w:id="144"/>
      <w:bookmarkEnd w:id="145"/>
      <w:r w:rsidRPr="552AD7BB">
        <w:rPr>
          <w:rFonts w:ascii="Aptos Display" w:eastAsia="Aptos Display" w:hAnsi="Aptos Display" w:cs="Aptos Display"/>
        </w:rPr>
        <w:t xml:space="preserve"> </w:t>
      </w:r>
    </w:p>
    <w:p w14:paraId="74F9244F" w14:textId="53B551CE"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While this study provides meaningful insights into the role of IPL sponsorship in shaping brand image, several limitations should be acknowledged. Recognising these limitations is important for interpreting the findings appropriately and for guiding future research in this area. </w:t>
      </w:r>
    </w:p>
    <w:p w14:paraId="5397B00D" w14:textId="5731C3C1"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 xml:space="preserve">First, the study relies entirely on secondary data, including industry reports, media coverage, company communications, and prior academic literature. Although these sources are widely used in qualitative case study research, they may reflect a positive bias, as organisations are more likely to publicise successful sponsorship outcomes. To mitigate this issue, data were triangulated across multiple independent sources; however, the absence of primary data such as interviews or consumer surveys limits the ability to directly capture audience perceptions (Yin, 2018). </w:t>
      </w:r>
    </w:p>
    <w:p w14:paraId="4B2D310D" w14:textId="5835636F" w:rsidR="00241C66" w:rsidRDefault="097DA317" w:rsidP="552AD7BB">
      <w:pPr>
        <w:spacing w:before="240" w:after="240"/>
        <w:jc w:val="both"/>
        <w:rPr>
          <w:rFonts w:ascii="Arial" w:eastAsia="Arial" w:hAnsi="Arial" w:cs="Arial"/>
          <w:color w:val="000000" w:themeColor="text1"/>
        </w:rPr>
      </w:pPr>
      <w:r w:rsidRPr="552AD7BB">
        <w:rPr>
          <w:rFonts w:ascii="Arial" w:eastAsia="Arial" w:hAnsi="Arial" w:cs="Arial"/>
          <w:color w:val="000000" w:themeColor="text1"/>
        </w:rPr>
        <w:t xml:space="preserve">Second, attribution remains a key challenge. Changes in brand image and brand equity cannot be attributed solely to IPL sponsorship activities, particularly for well-established brands such as Tata and Jio that engage in extensive marketing beyond sport sponsorship. While consistent patterns across cases suggest that sponsorship played a meaningful role, the study cannot isolate its effects from other concurrent branding efforts. This reflects a common limitation in sponsorship research, where causal relationships are difficult to establish using observational data (Cornwell, 2019). </w:t>
      </w:r>
    </w:p>
    <w:p w14:paraId="4EC62159" w14:textId="249B8711" w:rsidR="00241C66" w:rsidRDefault="097DA317" w:rsidP="6708D22A">
      <w:pPr>
        <w:spacing w:before="240" w:after="240"/>
        <w:jc w:val="both"/>
        <w:rPr>
          <w:rFonts w:ascii="Arial" w:eastAsia="Arial" w:hAnsi="Arial" w:cs="Arial"/>
          <w:color w:val="000000" w:themeColor="text1"/>
        </w:rPr>
      </w:pPr>
      <w:r w:rsidRPr="552AD7BB">
        <w:rPr>
          <w:rFonts w:ascii="Arial" w:eastAsia="Arial" w:hAnsi="Arial" w:cs="Arial"/>
          <w:color w:val="000000" w:themeColor="text1"/>
        </w:rPr>
        <w:t xml:space="preserve">Third, the study is context-specific, focusing exclusively on the Indian Premier League. The IPL represents a unique environment characterised by intense media exposure, celebrity involvement, and strong emotional fan engagement. As a result, the findings may not be directly generalisable to smaller leagues, non-sporting events, or markets with lower media intensity. However, the analytical generalisation achieved through cross-case comparison remains appropriate for theory-building purposes (Yin, 2018). </w:t>
      </w:r>
    </w:p>
    <w:p w14:paraId="2685DD84" w14:textId="702B6800" w:rsidR="00241C66" w:rsidRDefault="097DA317" w:rsidP="6708D22A">
      <w:pPr>
        <w:spacing w:before="240" w:after="240"/>
        <w:jc w:val="both"/>
        <w:rPr>
          <w:rFonts w:ascii="Arial" w:eastAsia="Arial" w:hAnsi="Arial" w:cs="Arial"/>
          <w:color w:val="000000" w:themeColor="text1"/>
        </w:rPr>
      </w:pPr>
      <w:r w:rsidRPr="6708D22A">
        <w:rPr>
          <w:rFonts w:ascii="Arial" w:eastAsia="Arial" w:hAnsi="Arial" w:cs="Arial"/>
          <w:color w:val="000000" w:themeColor="text1"/>
        </w:rPr>
        <w:t>Future research could address these limitations in several ways. First, primary research methods, such as fan surveys, interviews, or experiments, could be used to directly measure brand perceptions and test the proposed mechanisms empirically. Second, longitudinal studies could examine how sponsorship-driven brand image evolves over multiple seasons, rather than within a single tournament cycle. Third, future studies could explore comparative contexts, such as sponsorships in other sports leagues or international markets, to assess the transferability of the findings. Finally, mixed-method approaches combining qualitative case analysis with quantitative brand metrics would further strengthen understanding of how sponsorship contributes to brand equity over time.</w:t>
      </w:r>
    </w:p>
    <w:p w14:paraId="51565DE8" w14:textId="12163963" w:rsidR="00241C66" w:rsidRDefault="097DA317" w:rsidP="6708D22A">
      <w:pPr>
        <w:pStyle w:val="Heading1"/>
        <w:rPr>
          <w:rFonts w:ascii="Aptos Display" w:eastAsia="Aptos Display" w:hAnsi="Aptos Display" w:cs="Aptos Display"/>
        </w:rPr>
      </w:pPr>
      <w:bookmarkStart w:id="146" w:name="_Toc2074606902"/>
      <w:bookmarkStart w:id="147" w:name="_Toc1855210544"/>
      <w:r w:rsidRPr="552AD7BB">
        <w:rPr>
          <w:rFonts w:ascii="Aptos Display" w:eastAsia="Aptos Display" w:hAnsi="Aptos Display" w:cs="Aptos Display"/>
        </w:rPr>
        <w:t>6.6 Closing Statement</w:t>
      </w:r>
      <w:bookmarkEnd w:id="146"/>
      <w:bookmarkEnd w:id="147"/>
      <w:r w:rsidRPr="552AD7BB">
        <w:rPr>
          <w:rFonts w:ascii="Aptos Display" w:eastAsia="Aptos Display" w:hAnsi="Aptos Display" w:cs="Aptos Display"/>
        </w:rPr>
        <w:t xml:space="preserve"> </w:t>
      </w:r>
    </w:p>
    <w:p w14:paraId="24913DF2" w14:textId="44928901" w:rsidR="097DA317" w:rsidRDefault="097DA317" w:rsidP="552AD7BB">
      <w:pPr>
        <w:spacing w:before="240" w:after="240"/>
        <w:jc w:val="both"/>
        <w:rPr>
          <w:rFonts w:ascii="Arial" w:eastAsia="Arial" w:hAnsi="Arial" w:cs="Arial"/>
        </w:rPr>
      </w:pPr>
      <w:r w:rsidRPr="552AD7BB">
        <w:rPr>
          <w:rFonts w:ascii="Arial" w:eastAsia="Arial" w:hAnsi="Arial" w:cs="Arial"/>
          <w:color w:val="000000" w:themeColor="text1"/>
        </w:rPr>
        <w:t>This dissertation examined how IPL sponsorship strategies influence brand image using a multi-case, literature-grounded approach. By integrating brand equity theory with cross-case evidence, the study shows that sponsorship effectiveness depends not only on visibility, but on activation quality, digital engagement, and perceived congruence with the sponsored property. The findings contribute to both theory and practice by clarifying the mechanisms through which sponsorship builds brand equity in entertainment-driven contexts. These insights are most applicable to high-exposure sports leagues and digitally mature brands seeking emotional and experiential brand differentiation.</w:t>
      </w:r>
    </w:p>
    <w:p w14:paraId="31BB421D" w14:textId="58C9B98F" w:rsidR="552AD7BB" w:rsidRDefault="552AD7BB" w:rsidP="552AD7BB">
      <w:pPr>
        <w:spacing w:before="240" w:after="240"/>
        <w:jc w:val="both"/>
        <w:rPr>
          <w:rFonts w:ascii="Arial" w:eastAsia="Arial" w:hAnsi="Arial" w:cs="Arial"/>
          <w:color w:val="000000" w:themeColor="text1"/>
        </w:rPr>
      </w:pPr>
    </w:p>
    <w:p w14:paraId="5DBA38FF" w14:textId="61CE30DE" w:rsidR="552AD7BB" w:rsidRDefault="552AD7BB" w:rsidP="552AD7BB">
      <w:pPr>
        <w:spacing w:before="240" w:after="240"/>
        <w:jc w:val="both"/>
        <w:rPr>
          <w:rFonts w:ascii="Arial" w:eastAsia="Arial" w:hAnsi="Arial" w:cs="Arial"/>
          <w:color w:val="000000" w:themeColor="text1"/>
        </w:rPr>
      </w:pPr>
    </w:p>
    <w:p w14:paraId="1916DAD7" w14:textId="2BF4CD2B" w:rsidR="552AD7BB" w:rsidRDefault="552AD7BB" w:rsidP="552AD7BB">
      <w:pPr>
        <w:spacing w:before="240" w:after="240"/>
        <w:jc w:val="both"/>
        <w:rPr>
          <w:rFonts w:ascii="Arial" w:eastAsia="Arial" w:hAnsi="Arial" w:cs="Arial"/>
          <w:color w:val="000000" w:themeColor="text1"/>
        </w:rPr>
      </w:pPr>
    </w:p>
    <w:p w14:paraId="59505EB7" w14:textId="07D5DE1F" w:rsidR="552AD7BB" w:rsidRDefault="552AD7BB" w:rsidP="552AD7BB">
      <w:pPr>
        <w:spacing w:before="240" w:after="240"/>
        <w:jc w:val="both"/>
        <w:rPr>
          <w:rFonts w:ascii="Arial" w:eastAsia="Arial" w:hAnsi="Arial" w:cs="Arial"/>
          <w:color w:val="000000" w:themeColor="text1"/>
        </w:rPr>
      </w:pPr>
    </w:p>
    <w:p w14:paraId="0364D9B6" w14:textId="673C7FE7" w:rsidR="00BB1143" w:rsidRDefault="00BB1143" w:rsidP="552AD7BB">
      <w:pPr>
        <w:spacing w:before="240" w:after="240"/>
        <w:jc w:val="both"/>
        <w:rPr>
          <w:rFonts w:ascii="Arial" w:eastAsia="Arial" w:hAnsi="Arial" w:cs="Arial"/>
          <w:color w:val="000000" w:themeColor="text1"/>
        </w:rPr>
      </w:pPr>
    </w:p>
    <w:p w14:paraId="2CF6994B" w14:textId="19599B86" w:rsidR="00BB1143" w:rsidRDefault="00BB1143" w:rsidP="552AD7BB">
      <w:pPr>
        <w:spacing w:before="240" w:after="240"/>
        <w:jc w:val="both"/>
        <w:rPr>
          <w:rFonts w:ascii="Arial" w:eastAsia="Arial" w:hAnsi="Arial" w:cs="Arial"/>
          <w:color w:val="000000" w:themeColor="text1"/>
        </w:rPr>
      </w:pPr>
    </w:p>
    <w:p w14:paraId="5494934F" w14:textId="22A4F7AF" w:rsidR="00BB1143" w:rsidRDefault="00BB1143" w:rsidP="552AD7BB">
      <w:pPr>
        <w:spacing w:before="240" w:after="240"/>
        <w:jc w:val="both"/>
        <w:rPr>
          <w:rFonts w:ascii="Arial" w:eastAsia="Arial" w:hAnsi="Arial" w:cs="Arial"/>
          <w:color w:val="000000" w:themeColor="text1"/>
        </w:rPr>
      </w:pPr>
    </w:p>
    <w:p w14:paraId="5AF47CC2" w14:textId="31B2A99D" w:rsidR="00BB1143" w:rsidRDefault="00BB1143" w:rsidP="552AD7BB">
      <w:pPr>
        <w:spacing w:before="240" w:after="240"/>
        <w:jc w:val="both"/>
        <w:rPr>
          <w:rFonts w:ascii="Arial" w:eastAsia="Arial" w:hAnsi="Arial" w:cs="Arial"/>
          <w:color w:val="000000" w:themeColor="text1"/>
        </w:rPr>
      </w:pPr>
    </w:p>
    <w:p w14:paraId="4EB62577" w14:textId="4E280B26" w:rsidR="00BB1143" w:rsidRDefault="00BB1143" w:rsidP="552AD7BB">
      <w:pPr>
        <w:spacing w:before="240" w:after="240"/>
        <w:jc w:val="both"/>
        <w:rPr>
          <w:rFonts w:ascii="Arial" w:eastAsia="Arial" w:hAnsi="Arial" w:cs="Arial"/>
          <w:color w:val="000000" w:themeColor="text1"/>
        </w:rPr>
      </w:pPr>
    </w:p>
    <w:p w14:paraId="13C25701" w14:textId="145757D4" w:rsidR="552AD7BB" w:rsidRDefault="552AD7BB" w:rsidP="552AD7BB">
      <w:pPr>
        <w:spacing w:before="240" w:after="240"/>
        <w:jc w:val="both"/>
        <w:rPr>
          <w:rFonts w:ascii="Arial" w:eastAsia="Arial" w:hAnsi="Arial" w:cs="Arial"/>
          <w:color w:val="000000" w:themeColor="text1"/>
        </w:rPr>
      </w:pPr>
    </w:p>
    <w:p w14:paraId="653143E0" w14:textId="4962A810" w:rsidR="1840D043" w:rsidRDefault="1840D043" w:rsidP="552AD7BB">
      <w:pPr>
        <w:pStyle w:val="Heading1"/>
        <w:spacing w:before="240" w:after="240"/>
        <w:jc w:val="both"/>
        <w:rPr>
          <w:rFonts w:ascii="Aptos Display" w:eastAsia="Aptos Display" w:hAnsi="Aptos Display" w:cs="Aptos Display"/>
        </w:rPr>
      </w:pPr>
      <w:bookmarkStart w:id="148" w:name="_Toc1020492548"/>
      <w:bookmarkStart w:id="149" w:name="_Toc1370718091"/>
      <w:r w:rsidRPr="552AD7BB">
        <w:rPr>
          <w:rFonts w:ascii="Aptos Display" w:eastAsia="Aptos Display" w:hAnsi="Aptos Display" w:cs="Aptos Display"/>
        </w:rPr>
        <w:t>References</w:t>
      </w:r>
      <w:bookmarkEnd w:id="148"/>
      <w:bookmarkEnd w:id="149"/>
      <w:r w:rsidRPr="552AD7BB">
        <w:rPr>
          <w:rFonts w:ascii="Aptos Display" w:eastAsia="Aptos Display" w:hAnsi="Aptos Display" w:cs="Aptos Display"/>
        </w:rPr>
        <w:t xml:space="preserve"> </w:t>
      </w:r>
    </w:p>
    <w:p w14:paraId="451CF2F2" w14:textId="603762C6"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Aaker, D.A. (1991) Managing Brand Equity: Capitalizing on the Value of a Brand Name. New York: Free Press.</w:t>
      </w:r>
    </w:p>
    <w:p w14:paraId="5739FEB7" w14:textId="7F73949B"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Abreu Novais, M. and Arcodia, C. (2013) ‘Measuring the effects of event sponsorship: theoretical foundations and empirical results’, Journal of Travel &amp; Tourism Marketing, 30(8), pp. 795–812.</w:t>
      </w:r>
    </w:p>
    <w:p w14:paraId="437B1945" w14:textId="78E970F3"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BCCI (2023) IPL Media Rights Announcement. Board of Control for Cricket in India.</w:t>
      </w:r>
    </w:p>
    <w:p w14:paraId="6DA7E6C8" w14:textId="2F8B2DB5"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Bisaccia, R., Correia, A., Ross, S., Rosado, A. and Maroco, J. (2013) ‘Sport sponsorship: the relationship between team loyalty, sponsorship awareness and purchase intentions’, Journal of Sport Management, 27(4), pp. 288–302.</w:t>
      </w:r>
    </w:p>
    <w:p w14:paraId="0E2C6F78" w14:textId="00B24485"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Bian, X. and Cork, A. (2025) ‘Digital fan engagement and sponsorship value creation’, Journal of Interactive Marketing, 61, pp. 45–58.</w:t>
      </w:r>
    </w:p>
    <w:p w14:paraId="5C323D83" w14:textId="6AB2B0A5"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Blakey, P., Morse, A. and Blakey, J. (2011) Sport Marketing. London: Sage.</w:t>
      </w:r>
    </w:p>
    <w:p w14:paraId="333174A6" w14:textId="739CDE8B"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Burton, N., Chadwick, S. and Parnell, D. (2024) ‘Experiential sponsorship and fan immersion’, Sport Management Review, 27(1), pp. 12–27.</w:t>
      </w:r>
    </w:p>
    <w:p w14:paraId="1EE7A4D2" w14:textId="5C11AA58"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Chiu, W., Won, D. and Bae, J.S. (2020) ‘Internal marketing, brand knowledge and brand loyalty’, Journal of Brand Management, 27(1), pp. 48–65.</w:t>
      </w:r>
    </w:p>
    <w:p w14:paraId="6FE5898D" w14:textId="2AD92B39"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Cobb, M. and Groza, M.D. (2022) ‘When sponsorship goes wrong: consumer responses to sponsor–event misfit’, Psychology &amp; Marketing, 39(3), pp. 558–572.</w:t>
      </w:r>
    </w:p>
    <w:p w14:paraId="595FDD70" w14:textId="2DA8A075"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Cornwell, T.B. (2019) Sponsorship in Marketing: Effective Communication through Sports, Arts and Events. London: Routledge.</w:t>
      </w:r>
    </w:p>
    <w:p w14:paraId="056D5F57" w14:textId="4992374A"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Cornwell, T.B. and Kwon, Y. (2021) ‘Sponsorship-linked marketing: research surpluses and shortages’, Journal of the Academy of Marketing Science, 49, pp. 607–629.</w:t>
      </w:r>
    </w:p>
    <w:p w14:paraId="70DA721E" w14:textId="6FD4B869"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D&amp;P Advisory (2023) IPL Brand Valuation Study. Duff &amp; Phelps India.</w:t>
      </w:r>
    </w:p>
    <w:p w14:paraId="16BA45B5" w14:textId="40D90FE0"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Donlan, L. (2013) ‘Brand associations and image transfer in sports sponsorship’, International Journal of Sports Marketing &amp; Sponsorship, 14(2), pp. 17–32.</w:t>
      </w:r>
    </w:p>
    <w:p w14:paraId="2BBA65E6" w14:textId="042BAB0E"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Donlan, L. (2014) ‘An empirical assessment of sponsor–event congruence’, Journal of Marketing Communications, 20(1–2), pp. 57–72.</w:t>
      </w:r>
    </w:p>
    <w:p w14:paraId="5EF6CC3C" w14:textId="006593A2"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Financial Times (2023) Qatar Airways expands India marketing via IPL.</w:t>
      </w:r>
    </w:p>
    <w:p w14:paraId="4613C7A7" w14:textId="33171310"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GroupM ESP (2024) India Sports Sponsorship Report.</w:t>
      </w:r>
    </w:p>
    <w:p w14:paraId="0FCC3164" w14:textId="4D7C4015"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Gwinner, K. and Eaton, J. (1999) ‘Building brand image through event sponsorship’, Journal of Advertising, 28(4), pp. 47–57.</w:t>
      </w:r>
    </w:p>
    <w:p w14:paraId="5B99AA82" w14:textId="5C08DE63"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Jain, S., Roy, S. and Das, G. (2025) ‘Sports sponsorship and brand loyalty’, Journal of Business Research, 162, Article 113856.</w:t>
      </w:r>
    </w:p>
    <w:p w14:paraId="4CCC0183" w14:textId="41C470C2"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Jensen, J.A., Wakefield, K. and Cornwell, T.B. (2024) ‘Standardising sponsorship measurement’, Journal of Advertising Research, 64(1), pp. 5–18.</w:t>
      </w:r>
    </w:p>
    <w:p w14:paraId="1FA6F6BD" w14:textId="431B8F70"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Kamath, G.B., Babu, S. and Rajan, S. (2020) ‘Effect of sponsor–team congruence in the IPL’, South Asian Journal of Marketing, 1(2), pp. 94–109.</w:t>
      </w:r>
    </w:p>
    <w:p w14:paraId="621182A2" w14:textId="3118E1F2"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Keller, K.L. (1993) ‘Conceptualizing, measuring, and managing customer-based brand equity’, Journal of Marketing, 57(1), pp. 1–22.</w:t>
      </w:r>
    </w:p>
    <w:p w14:paraId="1C730D0C" w14:textId="20F18185"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Keller, K.L. (2009) Strategic Brand Management. 4th edn. Harlow: Pearson.</w:t>
      </w:r>
    </w:p>
    <w:p w14:paraId="436A5DF5" w14:textId="6BDA6186"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Keller, K.L. (2013) Strategic Brand Management. 4th edn. Harlow: Pearson.</w:t>
      </w:r>
    </w:p>
    <w:p w14:paraId="29F44090" w14:textId="16893CD2"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Kim, Y., Kim, S. and Kim, J. (2017) ‘The impact of sponsorship communication’, Journal of Promotion Management, 23(4), pp. 529–549.</w:t>
      </w:r>
    </w:p>
    <w:p w14:paraId="1A4AAEC0" w14:textId="538D87F8"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Kunkel, T., Doyle, J.P. and Funk, D.C. (2020) ‘Exploring sport brand architecture’, Journal of Sport Management, 34(2), pp. 124–139.</w:t>
      </w:r>
    </w:p>
    <w:p w14:paraId="510568E3" w14:textId="4E696C42"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Kunkel, T., Lock, D. and Doyle, J.P. (2022) ‘Digital transformation of sport brands’, European Sport Management Quarterly, 22(1), pp. 3–24.</w:t>
      </w:r>
    </w:p>
    <w:p w14:paraId="4A10F34A" w14:textId="24CBA1D0"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KPMG (2024) Business of Sports in India.</w:t>
      </w:r>
    </w:p>
    <w:p w14:paraId="18FBEFAB" w14:textId="4E2B2FE3"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Kroll (2019; 2022) Brand Finance IPL Valuation Reports.</w:t>
      </w:r>
    </w:p>
    <w:p w14:paraId="247BADB1" w14:textId="2B983599"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KPMG (2024) Business of Sports in India.</w:t>
      </w:r>
    </w:p>
    <w:p w14:paraId="64461402" w14:textId="4904003D"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Kroll (2019; 2022) Brand Finance IPL Valuation Reports.</w:t>
      </w:r>
    </w:p>
    <w:p w14:paraId="1A08B5D8" w14:textId="5697F18E"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 xml:space="preserve">Lee, J.S., Cornwell, T.B. and Babiak, K. (2019) ‘Developing sponsorship-linked corporate associations’, Journal of Business Ethics, 156, pp. 421–437. </w:t>
      </w:r>
    </w:p>
    <w:p w14:paraId="7A0733A5" w14:textId="43A40C55"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MarketLine (2024) India Media Industry Report.</w:t>
      </w:r>
    </w:p>
    <w:p w14:paraId="4DB8A9EA" w14:textId="34DC4C84"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MarketLine (2024) India Digital Advertising Report.</w:t>
      </w:r>
    </w:p>
    <w:p w14:paraId="6E9D2760" w14:textId="2D278A7A"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Mastro Martino, B. and Naraine, M.L. (2020) ‘Sport sponsorship and digital engagement’, Sport Management Review, 23(1), pp. 132–146.</w:t>
      </w:r>
    </w:p>
    <w:p w14:paraId="1C77C0BB" w14:textId="572380A0"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Melovic, B., Backovic-Vulic, T. and Dabic, M. (2019) ‘Sports sponsorship and consumer attitudes’, Journal of Business Research, 95, pp. 130–140.</w:t>
      </w:r>
    </w:p>
    <w:p w14:paraId="0CB5A183" w14:textId="5524A532"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Naraine, M.L., Dixon, M.A. and Vanderkooi, K. (2022) ‘Social media engagement and sponsorship’, Journal of Sport Management, 36(1), pp. 54–68.</w:t>
      </w:r>
    </w:p>
    <w:p w14:paraId="66000D0B" w14:textId="3FF0DF46"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PwC (2023) Global Sports Survey.</w:t>
      </w:r>
    </w:p>
    <w:p w14:paraId="35EC99AA" w14:textId="103172BA"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Rai, A., Jha, S. and Sharma, R. (2022) ‘Fan identification in IPL’, International Journal of Sports Marketing &amp; Sponsorship, 23(3), pp. 457–475.</w:t>
      </w:r>
    </w:p>
    <w:p w14:paraId="57E406B3" w14:textId="553EC736"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Riscarroli, G., Santi, M. and Corazza, L. (2015) ‘Sponsor fit and authenticity’, Journal of Brand Management, 22(1), pp. 28–44.</w:t>
      </w:r>
    </w:p>
    <w:p w14:paraId="469DAB3C" w14:textId="0EFA1DEE"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Saunders, M., Lewis, P. and Thornhill, A. (2019) Research Methods for Business Students. 8th edn. Harlow: Pearson.</w:t>
      </w:r>
    </w:p>
    <w:p w14:paraId="24910B08" w14:textId="3D31DBBC"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Shin, H., Kim, K. and Hur, W.M. (2022) ‘Sponsorship congruence and trust’, Journal of Marketing Communications, 28(6), pp. 620–638.</w:t>
      </w:r>
    </w:p>
    <w:p w14:paraId="1C04DE30" w14:textId="00827AFE"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The Hindu Business Line (2024) IPL advertising and sponsorship growth.</w:t>
      </w:r>
    </w:p>
    <w:p w14:paraId="40E86DD4" w14:textId="60AB90F7"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Thomas, S. (2014) ‘Measuring sponsorship effectiveness’, International Journal of Sports Marketing &amp; Sponsorship, 15(4), pp. 34–50.</w:t>
      </w:r>
    </w:p>
    <w:p w14:paraId="7AE3F134" w14:textId="20684134"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Trail, G.T., Kim, M. and Won, D. (2024) ‘Sport consumer behaviour in digital environments’, Sport Marketing Quarterly, 33(1), pp. 1–15.</w:t>
      </w:r>
    </w:p>
    <w:p w14:paraId="713BFF80" w14:textId="2160C300"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Trivedi, J. (2020) ‘Impact of sports sponsorship on brand equity’, Journal of Indian Business Research, 12(1), pp. 1–16.</w:t>
      </w:r>
    </w:p>
    <w:p w14:paraId="0C61BE2B" w14:textId="404BE37F"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Wellington, J., Naraine, M.L. and Parent, M.M. (2022) ‘Social media activation in sport sponsorship’, Sport Management Review, 25(3), pp. 432–447.</w:t>
      </w:r>
    </w:p>
    <w:p w14:paraId="0D4B0E17" w14:textId="3C08DF1D" w:rsidR="1840D043" w:rsidRDefault="1840D043" w:rsidP="552AD7BB">
      <w:pPr>
        <w:jc w:val="both"/>
        <w:rPr>
          <w:rFonts w:ascii="Arial" w:eastAsia="Arial" w:hAnsi="Arial" w:cs="Arial"/>
          <w:color w:val="000000" w:themeColor="text1"/>
        </w:rPr>
      </w:pPr>
      <w:r w:rsidRPr="552AD7BB">
        <w:rPr>
          <w:rFonts w:ascii="Arial" w:eastAsia="Arial" w:hAnsi="Arial" w:cs="Arial"/>
          <w:color w:val="000000" w:themeColor="text1"/>
        </w:rPr>
        <w:t>Yin, R.K. (2018) Case Study Research and Applications. 6th edn. Thousand Oaks: Sage.</w:t>
      </w:r>
    </w:p>
    <w:p w14:paraId="41DB859E" w14:textId="367C99FB" w:rsidR="1840D043" w:rsidRDefault="1840D043" w:rsidP="552AD7BB">
      <w:pPr>
        <w:spacing w:before="240" w:after="240"/>
        <w:jc w:val="both"/>
        <w:rPr>
          <w:rFonts w:ascii="Arial" w:eastAsia="Arial" w:hAnsi="Arial" w:cs="Arial"/>
          <w:color w:val="000000" w:themeColor="text1"/>
        </w:rPr>
      </w:pPr>
      <w:r w:rsidRPr="552AD7BB">
        <w:rPr>
          <w:rFonts w:ascii="Arial" w:eastAsia="Arial" w:hAnsi="Arial" w:cs="Arial"/>
          <w:color w:val="000000" w:themeColor="text1"/>
        </w:rPr>
        <w:t>Yousaf, S., Amin, I. and Gupta, S. (2018) ‘Brand engagement through digital sponsorship’, Journal of Brand Management, 25(6), pp. 577–592.</w:t>
      </w:r>
      <w:r>
        <w:tab/>
      </w:r>
      <w:r>
        <w:br/>
      </w:r>
    </w:p>
    <w:p w14:paraId="02D68223" w14:textId="313C1780" w:rsidR="552AD7BB" w:rsidRDefault="552AD7BB" w:rsidP="552AD7BB">
      <w:pPr>
        <w:spacing w:before="240" w:after="240"/>
        <w:jc w:val="both"/>
        <w:rPr>
          <w:rFonts w:ascii="Arial" w:eastAsia="Arial" w:hAnsi="Arial" w:cs="Arial"/>
          <w:color w:val="000000" w:themeColor="text1"/>
        </w:rPr>
      </w:pPr>
    </w:p>
    <w:p w14:paraId="1C3DB5C5" w14:textId="7F2BA449" w:rsidR="552AD7BB" w:rsidRDefault="552AD7BB" w:rsidP="552AD7BB">
      <w:pPr>
        <w:spacing w:before="240" w:after="240"/>
        <w:jc w:val="both"/>
        <w:rPr>
          <w:rFonts w:ascii="Arial" w:eastAsia="Arial" w:hAnsi="Arial" w:cs="Arial"/>
          <w:color w:val="000000" w:themeColor="text1"/>
        </w:rPr>
      </w:pPr>
    </w:p>
    <w:p w14:paraId="49D0C2A0" w14:textId="56F31CBE" w:rsidR="552AD7BB" w:rsidRDefault="552AD7BB" w:rsidP="552AD7BB">
      <w:pPr>
        <w:spacing w:before="240" w:after="240"/>
        <w:jc w:val="both"/>
        <w:rPr>
          <w:rFonts w:ascii="Arial" w:eastAsia="Arial" w:hAnsi="Arial" w:cs="Arial"/>
          <w:color w:val="000000" w:themeColor="text1"/>
        </w:rPr>
      </w:pPr>
    </w:p>
    <w:sectPr w:rsidR="552AD7BB">
      <w:headerReference w:type="default" r:id="rId19"/>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537F8" w14:textId="77777777" w:rsidR="005B4D2E" w:rsidRDefault="005B4D2E">
      <w:pPr>
        <w:spacing w:after="0" w:line="240" w:lineRule="auto"/>
      </w:pPr>
      <w:r>
        <w:separator/>
      </w:r>
    </w:p>
  </w:endnote>
  <w:endnote w:type="continuationSeparator" w:id="0">
    <w:p w14:paraId="44F5CEB0" w14:textId="77777777" w:rsidR="005B4D2E" w:rsidRDefault="005B4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9C16D19" w14:paraId="7F8D75ED" w14:textId="77777777" w:rsidTr="29C16D19">
      <w:trPr>
        <w:trHeight w:val="300"/>
      </w:trPr>
      <w:tc>
        <w:tcPr>
          <w:tcW w:w="3005" w:type="dxa"/>
        </w:tcPr>
        <w:p w14:paraId="01CB75F8" w14:textId="059079F8" w:rsidR="29C16D19" w:rsidRDefault="29C16D19" w:rsidP="29C16D19">
          <w:pPr>
            <w:pStyle w:val="Header"/>
            <w:ind w:left="-115"/>
          </w:pPr>
        </w:p>
      </w:tc>
      <w:tc>
        <w:tcPr>
          <w:tcW w:w="3005" w:type="dxa"/>
        </w:tcPr>
        <w:p w14:paraId="2BCA29F5" w14:textId="5F4D5240" w:rsidR="29C16D19" w:rsidRDefault="29C16D19" w:rsidP="29C16D19">
          <w:pPr>
            <w:pStyle w:val="Header"/>
            <w:jc w:val="center"/>
          </w:pPr>
        </w:p>
      </w:tc>
      <w:tc>
        <w:tcPr>
          <w:tcW w:w="3005" w:type="dxa"/>
        </w:tcPr>
        <w:p w14:paraId="7EF80CF4" w14:textId="03E707E4" w:rsidR="29C16D19" w:rsidRDefault="29C16D19" w:rsidP="29C16D19">
          <w:pPr>
            <w:pStyle w:val="Header"/>
            <w:ind w:right="-115"/>
            <w:jc w:val="right"/>
          </w:pPr>
          <w:r>
            <w:fldChar w:fldCharType="begin"/>
          </w:r>
          <w:r>
            <w:instrText>PAGE</w:instrText>
          </w:r>
          <w:r>
            <w:fldChar w:fldCharType="separate"/>
          </w:r>
          <w:r w:rsidR="00E214B4">
            <w:rPr>
              <w:noProof/>
            </w:rPr>
            <w:t>1</w:t>
          </w:r>
          <w:r>
            <w:fldChar w:fldCharType="end"/>
          </w:r>
        </w:p>
      </w:tc>
    </w:tr>
  </w:tbl>
  <w:p w14:paraId="17F97781" w14:textId="0C5EEAF1" w:rsidR="29C16D19" w:rsidRDefault="29C16D19" w:rsidP="29C16D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9C16D19" w14:paraId="565BA25C" w14:textId="77777777" w:rsidTr="29C16D19">
      <w:trPr>
        <w:trHeight w:val="300"/>
      </w:trPr>
      <w:tc>
        <w:tcPr>
          <w:tcW w:w="3005" w:type="dxa"/>
        </w:tcPr>
        <w:p w14:paraId="492DE38F" w14:textId="2B244F69" w:rsidR="29C16D19" w:rsidRDefault="29C16D19" w:rsidP="29C16D19">
          <w:pPr>
            <w:pStyle w:val="Header"/>
            <w:ind w:left="-115"/>
          </w:pPr>
        </w:p>
      </w:tc>
      <w:tc>
        <w:tcPr>
          <w:tcW w:w="3005" w:type="dxa"/>
        </w:tcPr>
        <w:p w14:paraId="346013A7" w14:textId="2C24E5A9" w:rsidR="29C16D19" w:rsidRDefault="29C16D19" w:rsidP="29C16D19">
          <w:pPr>
            <w:pStyle w:val="Header"/>
            <w:jc w:val="center"/>
          </w:pPr>
        </w:p>
      </w:tc>
      <w:tc>
        <w:tcPr>
          <w:tcW w:w="3005" w:type="dxa"/>
        </w:tcPr>
        <w:p w14:paraId="5765B1F5" w14:textId="512662C9" w:rsidR="29C16D19" w:rsidRDefault="29C16D19" w:rsidP="29C16D19">
          <w:pPr>
            <w:pStyle w:val="Header"/>
            <w:ind w:right="-115"/>
            <w:jc w:val="right"/>
          </w:pPr>
          <w:r>
            <w:fldChar w:fldCharType="begin"/>
          </w:r>
          <w:r>
            <w:instrText>PAGE</w:instrText>
          </w:r>
          <w:r>
            <w:fldChar w:fldCharType="separate"/>
          </w:r>
          <w:r w:rsidR="00E214B4">
            <w:rPr>
              <w:noProof/>
            </w:rPr>
            <w:t>1</w:t>
          </w:r>
          <w:r>
            <w:fldChar w:fldCharType="end"/>
          </w:r>
        </w:p>
      </w:tc>
    </w:tr>
  </w:tbl>
  <w:p w14:paraId="70A6DC1A" w14:textId="2B6A3554" w:rsidR="29C16D19" w:rsidRDefault="29C16D19" w:rsidP="29C16D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5130"/>
      <w:gridCol w:w="5130"/>
      <w:gridCol w:w="5130"/>
    </w:tblGrid>
    <w:tr w:rsidR="6708D22A" w14:paraId="3FF956EE" w14:textId="77777777" w:rsidTr="29C16D19">
      <w:trPr>
        <w:trHeight w:val="300"/>
      </w:trPr>
      <w:tc>
        <w:tcPr>
          <w:tcW w:w="5130" w:type="dxa"/>
        </w:tcPr>
        <w:p w14:paraId="22F5F58D" w14:textId="5AAB7A8F" w:rsidR="6708D22A" w:rsidRDefault="6708D22A" w:rsidP="6708D22A">
          <w:pPr>
            <w:pStyle w:val="Header"/>
            <w:ind w:left="-115"/>
          </w:pPr>
        </w:p>
      </w:tc>
      <w:tc>
        <w:tcPr>
          <w:tcW w:w="5130" w:type="dxa"/>
        </w:tcPr>
        <w:p w14:paraId="22537F00" w14:textId="0A53B95F" w:rsidR="6708D22A" w:rsidRDefault="6708D22A" w:rsidP="6708D22A">
          <w:pPr>
            <w:pStyle w:val="Header"/>
            <w:jc w:val="center"/>
          </w:pPr>
        </w:p>
      </w:tc>
      <w:tc>
        <w:tcPr>
          <w:tcW w:w="5130" w:type="dxa"/>
        </w:tcPr>
        <w:p w14:paraId="7CAF9C52" w14:textId="48A89242" w:rsidR="6708D22A" w:rsidRDefault="6708D22A" w:rsidP="6708D22A">
          <w:pPr>
            <w:pStyle w:val="Header"/>
            <w:ind w:right="-115"/>
            <w:jc w:val="right"/>
          </w:pPr>
          <w:r>
            <w:fldChar w:fldCharType="begin"/>
          </w:r>
          <w:r>
            <w:instrText>PAGE</w:instrText>
          </w:r>
          <w:r>
            <w:fldChar w:fldCharType="separate"/>
          </w:r>
          <w:r w:rsidR="00E214B4">
            <w:rPr>
              <w:noProof/>
            </w:rPr>
            <w:t>18</w:t>
          </w:r>
          <w:r>
            <w:fldChar w:fldCharType="end"/>
          </w:r>
        </w:p>
      </w:tc>
    </w:tr>
  </w:tbl>
  <w:p w14:paraId="3CBB1998" w14:textId="3053570C" w:rsidR="6708D22A" w:rsidRDefault="6708D22A" w:rsidP="6708D22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708D22A" w14:paraId="3E718B67" w14:textId="77777777" w:rsidTr="29C16D19">
      <w:trPr>
        <w:trHeight w:val="300"/>
      </w:trPr>
      <w:tc>
        <w:tcPr>
          <w:tcW w:w="3005" w:type="dxa"/>
        </w:tcPr>
        <w:p w14:paraId="3B3C78C6" w14:textId="18EA093C" w:rsidR="6708D22A" w:rsidRDefault="6708D22A" w:rsidP="6708D22A">
          <w:pPr>
            <w:pStyle w:val="Header"/>
            <w:ind w:left="-115"/>
          </w:pPr>
        </w:p>
      </w:tc>
      <w:tc>
        <w:tcPr>
          <w:tcW w:w="3005" w:type="dxa"/>
        </w:tcPr>
        <w:p w14:paraId="21A72BEF" w14:textId="57E60871" w:rsidR="6708D22A" w:rsidRDefault="6708D22A" w:rsidP="6708D22A">
          <w:pPr>
            <w:pStyle w:val="Header"/>
            <w:jc w:val="center"/>
          </w:pPr>
        </w:p>
      </w:tc>
      <w:tc>
        <w:tcPr>
          <w:tcW w:w="3005" w:type="dxa"/>
        </w:tcPr>
        <w:p w14:paraId="24C75A82" w14:textId="05FFD4A2" w:rsidR="6708D22A" w:rsidRDefault="6708D22A" w:rsidP="6708D22A">
          <w:pPr>
            <w:pStyle w:val="Header"/>
            <w:ind w:right="-115"/>
            <w:jc w:val="right"/>
          </w:pPr>
          <w:r>
            <w:fldChar w:fldCharType="begin"/>
          </w:r>
          <w:r>
            <w:instrText>PAGE</w:instrText>
          </w:r>
          <w:r>
            <w:fldChar w:fldCharType="separate"/>
          </w:r>
          <w:r w:rsidR="00E214B4">
            <w:rPr>
              <w:noProof/>
            </w:rPr>
            <w:t>19</w:t>
          </w:r>
          <w:r>
            <w:fldChar w:fldCharType="end"/>
          </w:r>
        </w:p>
      </w:tc>
    </w:tr>
  </w:tbl>
  <w:p w14:paraId="224E2418" w14:textId="0386EFB1" w:rsidR="6708D22A" w:rsidRDefault="6708D22A" w:rsidP="6708D22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6E69E" w14:textId="77777777" w:rsidR="00A638AF" w:rsidRDefault="00A638A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708D22A" w14:paraId="5E69606F" w14:textId="77777777" w:rsidTr="29C16D19">
      <w:trPr>
        <w:trHeight w:val="300"/>
      </w:trPr>
      <w:tc>
        <w:tcPr>
          <w:tcW w:w="3005" w:type="dxa"/>
        </w:tcPr>
        <w:p w14:paraId="1525B5B2" w14:textId="38E619E7" w:rsidR="6708D22A" w:rsidRDefault="6708D22A" w:rsidP="6708D22A">
          <w:pPr>
            <w:pStyle w:val="Header"/>
            <w:ind w:left="-115"/>
          </w:pPr>
        </w:p>
      </w:tc>
      <w:tc>
        <w:tcPr>
          <w:tcW w:w="3005" w:type="dxa"/>
        </w:tcPr>
        <w:p w14:paraId="6F7625AB" w14:textId="4191EC5A" w:rsidR="6708D22A" w:rsidRDefault="6708D22A" w:rsidP="6708D22A">
          <w:pPr>
            <w:pStyle w:val="Header"/>
            <w:jc w:val="center"/>
          </w:pPr>
        </w:p>
      </w:tc>
      <w:tc>
        <w:tcPr>
          <w:tcW w:w="3005" w:type="dxa"/>
        </w:tcPr>
        <w:p w14:paraId="40FE8871" w14:textId="35257847" w:rsidR="6708D22A" w:rsidRDefault="6708D22A" w:rsidP="6708D22A">
          <w:pPr>
            <w:pStyle w:val="Header"/>
            <w:ind w:right="-115"/>
            <w:jc w:val="right"/>
          </w:pPr>
          <w:r>
            <w:fldChar w:fldCharType="begin"/>
          </w:r>
          <w:r>
            <w:instrText>PAGE</w:instrText>
          </w:r>
          <w:r>
            <w:fldChar w:fldCharType="separate"/>
          </w:r>
          <w:r w:rsidR="00E214B4">
            <w:rPr>
              <w:noProof/>
            </w:rPr>
            <w:t>37</w:t>
          </w:r>
          <w:r>
            <w:fldChar w:fldCharType="end"/>
          </w:r>
        </w:p>
      </w:tc>
    </w:tr>
  </w:tbl>
  <w:p w14:paraId="0D9A4967" w14:textId="57CFDD90" w:rsidR="6708D22A" w:rsidRDefault="6708D22A" w:rsidP="6708D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ACB3C" w14:textId="77777777" w:rsidR="005B4D2E" w:rsidRDefault="005B4D2E">
      <w:pPr>
        <w:spacing w:after="0" w:line="240" w:lineRule="auto"/>
      </w:pPr>
      <w:r>
        <w:separator/>
      </w:r>
    </w:p>
  </w:footnote>
  <w:footnote w:type="continuationSeparator" w:id="0">
    <w:p w14:paraId="7F7AB69E" w14:textId="77777777" w:rsidR="005B4D2E" w:rsidRDefault="005B4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9C16D19" w14:paraId="3323A030" w14:textId="77777777" w:rsidTr="29C16D19">
      <w:trPr>
        <w:trHeight w:val="300"/>
      </w:trPr>
      <w:tc>
        <w:tcPr>
          <w:tcW w:w="3005" w:type="dxa"/>
        </w:tcPr>
        <w:p w14:paraId="114A4E18" w14:textId="14A6146E" w:rsidR="29C16D19" w:rsidRDefault="29C16D19" w:rsidP="29C16D19">
          <w:pPr>
            <w:pStyle w:val="Header"/>
            <w:ind w:left="-115"/>
          </w:pPr>
        </w:p>
      </w:tc>
      <w:tc>
        <w:tcPr>
          <w:tcW w:w="3005" w:type="dxa"/>
        </w:tcPr>
        <w:p w14:paraId="089D203F" w14:textId="456A029D" w:rsidR="29C16D19" w:rsidRDefault="29C16D19" w:rsidP="29C16D19">
          <w:pPr>
            <w:pStyle w:val="Header"/>
            <w:jc w:val="center"/>
          </w:pPr>
        </w:p>
      </w:tc>
      <w:tc>
        <w:tcPr>
          <w:tcW w:w="3005" w:type="dxa"/>
        </w:tcPr>
        <w:p w14:paraId="107E2395" w14:textId="29BD4D4D" w:rsidR="29C16D19" w:rsidRDefault="29C16D19" w:rsidP="29C16D19">
          <w:pPr>
            <w:pStyle w:val="Header"/>
            <w:ind w:right="-115"/>
            <w:jc w:val="right"/>
          </w:pPr>
        </w:p>
      </w:tc>
    </w:tr>
  </w:tbl>
  <w:p w14:paraId="0DFB9168" w14:textId="355B425F" w:rsidR="29C16D19" w:rsidRDefault="29C16D19" w:rsidP="29C16D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9C16D19" w14:paraId="17C475D6" w14:textId="77777777" w:rsidTr="29C16D19">
      <w:trPr>
        <w:trHeight w:val="300"/>
      </w:trPr>
      <w:tc>
        <w:tcPr>
          <w:tcW w:w="3005" w:type="dxa"/>
        </w:tcPr>
        <w:p w14:paraId="6B291B1B" w14:textId="5262E75D" w:rsidR="29C16D19" w:rsidRDefault="29C16D19" w:rsidP="29C16D19">
          <w:pPr>
            <w:pStyle w:val="Header"/>
            <w:ind w:left="-115"/>
          </w:pPr>
        </w:p>
      </w:tc>
      <w:tc>
        <w:tcPr>
          <w:tcW w:w="3005" w:type="dxa"/>
        </w:tcPr>
        <w:p w14:paraId="24F8F6EB" w14:textId="3C5B8538" w:rsidR="29C16D19" w:rsidRDefault="29C16D19" w:rsidP="29C16D19">
          <w:pPr>
            <w:pStyle w:val="Header"/>
            <w:jc w:val="center"/>
          </w:pPr>
        </w:p>
      </w:tc>
      <w:tc>
        <w:tcPr>
          <w:tcW w:w="3005" w:type="dxa"/>
        </w:tcPr>
        <w:p w14:paraId="4FA1736B" w14:textId="0399EF16" w:rsidR="29C16D19" w:rsidRDefault="29C16D19" w:rsidP="29C16D19">
          <w:pPr>
            <w:pStyle w:val="Header"/>
            <w:ind w:right="-115"/>
            <w:jc w:val="right"/>
          </w:pPr>
        </w:p>
      </w:tc>
    </w:tr>
  </w:tbl>
  <w:p w14:paraId="221BBD48" w14:textId="23AE1B09" w:rsidR="29C16D19" w:rsidRDefault="29C16D19" w:rsidP="29C16D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5130"/>
      <w:gridCol w:w="5130"/>
      <w:gridCol w:w="5130"/>
    </w:tblGrid>
    <w:tr w:rsidR="6708D22A" w14:paraId="5A8CAD32" w14:textId="77777777" w:rsidTr="6708D22A">
      <w:trPr>
        <w:trHeight w:val="300"/>
      </w:trPr>
      <w:tc>
        <w:tcPr>
          <w:tcW w:w="5130" w:type="dxa"/>
        </w:tcPr>
        <w:p w14:paraId="027227CD" w14:textId="512F4414" w:rsidR="6708D22A" w:rsidRDefault="6708D22A" w:rsidP="6708D22A">
          <w:pPr>
            <w:pStyle w:val="Header"/>
            <w:ind w:left="-115"/>
          </w:pPr>
        </w:p>
      </w:tc>
      <w:tc>
        <w:tcPr>
          <w:tcW w:w="5130" w:type="dxa"/>
        </w:tcPr>
        <w:p w14:paraId="1970208C" w14:textId="4B0EBAC0" w:rsidR="6708D22A" w:rsidRDefault="6708D22A" w:rsidP="6708D22A">
          <w:pPr>
            <w:pStyle w:val="Header"/>
            <w:jc w:val="center"/>
          </w:pPr>
        </w:p>
      </w:tc>
      <w:tc>
        <w:tcPr>
          <w:tcW w:w="5130" w:type="dxa"/>
        </w:tcPr>
        <w:p w14:paraId="08EF059E" w14:textId="37C80264" w:rsidR="6708D22A" w:rsidRDefault="6708D22A" w:rsidP="6708D22A">
          <w:pPr>
            <w:pStyle w:val="Header"/>
            <w:ind w:right="-115"/>
            <w:jc w:val="right"/>
          </w:pPr>
        </w:p>
      </w:tc>
    </w:tr>
  </w:tbl>
  <w:p w14:paraId="6F7CEC33" w14:textId="135CB17C" w:rsidR="6708D22A" w:rsidRDefault="6708D22A" w:rsidP="6708D22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708D22A" w14:paraId="3D71FCC3" w14:textId="77777777" w:rsidTr="6708D22A">
      <w:trPr>
        <w:trHeight w:val="300"/>
      </w:trPr>
      <w:tc>
        <w:tcPr>
          <w:tcW w:w="3005" w:type="dxa"/>
        </w:tcPr>
        <w:p w14:paraId="395AB53E" w14:textId="21DC075A" w:rsidR="6708D22A" w:rsidRDefault="6708D22A" w:rsidP="6708D22A">
          <w:pPr>
            <w:pStyle w:val="Header"/>
            <w:ind w:left="-115"/>
          </w:pPr>
        </w:p>
      </w:tc>
      <w:tc>
        <w:tcPr>
          <w:tcW w:w="3005" w:type="dxa"/>
        </w:tcPr>
        <w:p w14:paraId="7A7747EA" w14:textId="52CD5F0C" w:rsidR="6708D22A" w:rsidRDefault="6708D22A" w:rsidP="6708D22A">
          <w:pPr>
            <w:pStyle w:val="Header"/>
            <w:jc w:val="center"/>
          </w:pPr>
        </w:p>
      </w:tc>
      <w:tc>
        <w:tcPr>
          <w:tcW w:w="3005" w:type="dxa"/>
        </w:tcPr>
        <w:p w14:paraId="74FF1720" w14:textId="5A77A131" w:rsidR="6708D22A" w:rsidRDefault="6708D22A" w:rsidP="6708D22A">
          <w:pPr>
            <w:pStyle w:val="Header"/>
            <w:ind w:right="-115"/>
            <w:jc w:val="right"/>
          </w:pPr>
        </w:p>
      </w:tc>
    </w:tr>
  </w:tbl>
  <w:p w14:paraId="326AAB32" w14:textId="6B83A752" w:rsidR="6708D22A" w:rsidRDefault="6708D22A" w:rsidP="6708D22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708D22A" w14:paraId="5FEEBBC9" w14:textId="77777777" w:rsidTr="6708D22A">
      <w:trPr>
        <w:trHeight w:val="300"/>
      </w:trPr>
      <w:tc>
        <w:tcPr>
          <w:tcW w:w="3005" w:type="dxa"/>
        </w:tcPr>
        <w:p w14:paraId="5C4F081F" w14:textId="0D32A41E" w:rsidR="6708D22A" w:rsidRDefault="6708D22A" w:rsidP="6708D22A">
          <w:pPr>
            <w:pStyle w:val="Header"/>
            <w:ind w:left="-115"/>
          </w:pPr>
        </w:p>
      </w:tc>
      <w:tc>
        <w:tcPr>
          <w:tcW w:w="3005" w:type="dxa"/>
        </w:tcPr>
        <w:p w14:paraId="462B25D0" w14:textId="49B84C47" w:rsidR="6708D22A" w:rsidRDefault="6708D22A" w:rsidP="6708D22A">
          <w:pPr>
            <w:pStyle w:val="Header"/>
            <w:jc w:val="center"/>
          </w:pPr>
        </w:p>
      </w:tc>
      <w:tc>
        <w:tcPr>
          <w:tcW w:w="3005" w:type="dxa"/>
        </w:tcPr>
        <w:p w14:paraId="35B59344" w14:textId="6FEB660F" w:rsidR="6708D22A" w:rsidRDefault="6708D22A" w:rsidP="6708D22A">
          <w:pPr>
            <w:pStyle w:val="Header"/>
            <w:ind w:right="-115"/>
            <w:jc w:val="right"/>
          </w:pPr>
        </w:p>
      </w:tc>
    </w:tr>
  </w:tbl>
  <w:p w14:paraId="1AE11DBF" w14:textId="79D87692" w:rsidR="6708D22A" w:rsidRDefault="6708D22A" w:rsidP="6708D22A">
    <w:pPr>
      <w:pStyle w:val="Header"/>
    </w:pPr>
  </w:p>
</w:hdr>
</file>

<file path=word/intelligence2.xml><?xml version="1.0" encoding="utf-8"?>
<int2:intelligence xmlns:int2="http://schemas.microsoft.com/office/intelligence/2020/intelligence" xmlns:oel="http://schemas.microsoft.com/office/2019/extlst">
  <int2:observations>
    <int2:textHash int2:hashCode="kxwCYjY6fv+a0R" int2:id="32QvHLSv">
      <int2:state int2:value="Rejected" int2:type="spell"/>
    </int2:textHash>
    <int2:textHash int2:hashCode="oEUrSPl+JJ4OP7" int2:id="5YTqfxmL">
      <int2:state int2:value="Rejected" int2:type="spell"/>
    </int2:textHash>
    <int2:textHash int2:hashCode="D9JKVyBVI7JtJz" int2:id="9IMAREFF">
      <int2:state int2:value="Rejected" int2:type="spell"/>
    </int2:textHash>
    <int2:textHash int2:hashCode="YzUoqywYODRF/8" int2:id="HnGQI19Q">
      <int2:state int2:value="Rejected" int2:type="spell"/>
    </int2:textHash>
    <int2:textHash int2:hashCode="bKU5g5cBZWo2xh" int2:id="KLNNDYUb">
      <int2:state int2:value="Rejected" int2:type="spell"/>
    </int2:textHash>
    <int2:textHash int2:hashCode="Y7rxyEYEGk+h8X" int2:id="S9TgIaND">
      <int2:state int2:value="Rejected" int2:type="spell"/>
    </int2:textHash>
    <int2:textHash int2:hashCode="NRitq6g3gazfZT" int2:id="SYOkAwvN">
      <int2:state int2:value="Rejected" int2:type="spell"/>
    </int2:textHash>
    <int2:textHash int2:hashCode="w/I8l6Q5i7CO6+" int2:id="bKFaqgxt">
      <int2:state int2:value="Rejected" int2:type="spell"/>
    </int2:textHash>
    <int2:textHash int2:hashCode="LbgfKRsE9uUXhJ" int2:id="nMZo1ha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203A64"/>
    <w:multiLevelType w:val="hybridMultilevel"/>
    <w:tmpl w:val="FFFFFFFF"/>
    <w:lvl w:ilvl="0" w:tplc="855811FC">
      <w:start w:val="1"/>
      <w:numFmt w:val="decimal"/>
      <w:lvlText w:val="%1."/>
      <w:lvlJc w:val="left"/>
      <w:pPr>
        <w:ind w:left="720" w:hanging="360"/>
      </w:pPr>
      <w:rPr>
        <w:rFonts w:ascii="Arial" w:hAnsi="Arial" w:hint="default"/>
      </w:rPr>
    </w:lvl>
    <w:lvl w:ilvl="1" w:tplc="5F84A1BC">
      <w:start w:val="1"/>
      <w:numFmt w:val="lowerLetter"/>
      <w:lvlText w:val="%2."/>
      <w:lvlJc w:val="left"/>
      <w:pPr>
        <w:ind w:left="1440" w:hanging="360"/>
      </w:pPr>
    </w:lvl>
    <w:lvl w:ilvl="2" w:tplc="5126789E">
      <w:start w:val="1"/>
      <w:numFmt w:val="lowerRoman"/>
      <w:lvlText w:val="%3."/>
      <w:lvlJc w:val="right"/>
      <w:pPr>
        <w:ind w:left="2160" w:hanging="180"/>
      </w:pPr>
    </w:lvl>
    <w:lvl w:ilvl="3" w:tplc="D6FE5366">
      <w:start w:val="1"/>
      <w:numFmt w:val="decimal"/>
      <w:lvlText w:val="%4."/>
      <w:lvlJc w:val="left"/>
      <w:pPr>
        <w:ind w:left="2880" w:hanging="360"/>
      </w:pPr>
    </w:lvl>
    <w:lvl w:ilvl="4" w:tplc="BF64FD34">
      <w:start w:val="1"/>
      <w:numFmt w:val="lowerLetter"/>
      <w:lvlText w:val="%5."/>
      <w:lvlJc w:val="left"/>
      <w:pPr>
        <w:ind w:left="3600" w:hanging="360"/>
      </w:pPr>
    </w:lvl>
    <w:lvl w:ilvl="5" w:tplc="61F08880">
      <w:start w:val="1"/>
      <w:numFmt w:val="lowerRoman"/>
      <w:lvlText w:val="%6."/>
      <w:lvlJc w:val="right"/>
      <w:pPr>
        <w:ind w:left="4320" w:hanging="180"/>
      </w:pPr>
    </w:lvl>
    <w:lvl w:ilvl="6" w:tplc="04686124">
      <w:start w:val="1"/>
      <w:numFmt w:val="decimal"/>
      <w:lvlText w:val="%7."/>
      <w:lvlJc w:val="left"/>
      <w:pPr>
        <w:ind w:left="5040" w:hanging="360"/>
      </w:pPr>
    </w:lvl>
    <w:lvl w:ilvl="7" w:tplc="34A271E8">
      <w:start w:val="1"/>
      <w:numFmt w:val="lowerLetter"/>
      <w:lvlText w:val="%8."/>
      <w:lvlJc w:val="left"/>
      <w:pPr>
        <w:ind w:left="5760" w:hanging="360"/>
      </w:pPr>
    </w:lvl>
    <w:lvl w:ilvl="8" w:tplc="424820DA">
      <w:start w:val="1"/>
      <w:numFmt w:val="lowerRoman"/>
      <w:lvlText w:val="%9."/>
      <w:lvlJc w:val="right"/>
      <w:pPr>
        <w:ind w:left="6480" w:hanging="180"/>
      </w:pPr>
    </w:lvl>
  </w:abstractNum>
  <w:num w:numId="1" w16cid:durableId="1446582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F04608"/>
    <w:rsid w:val="000024F6"/>
    <w:rsid w:val="00003CED"/>
    <w:rsid w:val="00013DEC"/>
    <w:rsid w:val="00015302"/>
    <w:rsid w:val="00021D10"/>
    <w:rsid w:val="00030033"/>
    <w:rsid w:val="0003399B"/>
    <w:rsid w:val="00034125"/>
    <w:rsid w:val="00036629"/>
    <w:rsid w:val="0003782F"/>
    <w:rsid w:val="0004755A"/>
    <w:rsid w:val="0005451F"/>
    <w:rsid w:val="000565B8"/>
    <w:rsid w:val="000569FD"/>
    <w:rsid w:val="000570D5"/>
    <w:rsid w:val="000601E8"/>
    <w:rsid w:val="00060E40"/>
    <w:rsid w:val="000710B8"/>
    <w:rsid w:val="000728F0"/>
    <w:rsid w:val="00073C1E"/>
    <w:rsid w:val="000768D8"/>
    <w:rsid w:val="00097A83"/>
    <w:rsid w:val="00097CC7"/>
    <w:rsid w:val="000A5593"/>
    <w:rsid w:val="000A6031"/>
    <w:rsid w:val="000B1E98"/>
    <w:rsid w:val="000B27C0"/>
    <w:rsid w:val="000C1ECF"/>
    <w:rsid w:val="000C5345"/>
    <w:rsid w:val="000D2516"/>
    <w:rsid w:val="000D4D23"/>
    <w:rsid w:val="000D561A"/>
    <w:rsid w:val="000D69EB"/>
    <w:rsid w:val="000E41B2"/>
    <w:rsid w:val="000F2146"/>
    <w:rsid w:val="00102454"/>
    <w:rsid w:val="00105E6B"/>
    <w:rsid w:val="001069EA"/>
    <w:rsid w:val="00106B21"/>
    <w:rsid w:val="001108B4"/>
    <w:rsid w:val="0011367D"/>
    <w:rsid w:val="00115683"/>
    <w:rsid w:val="001159D3"/>
    <w:rsid w:val="00120155"/>
    <w:rsid w:val="00130EFF"/>
    <w:rsid w:val="0013163F"/>
    <w:rsid w:val="001339CC"/>
    <w:rsid w:val="001344BB"/>
    <w:rsid w:val="001433EA"/>
    <w:rsid w:val="00150B49"/>
    <w:rsid w:val="00154E5B"/>
    <w:rsid w:val="001614F6"/>
    <w:rsid w:val="00161F64"/>
    <w:rsid w:val="00187112"/>
    <w:rsid w:val="00187E54"/>
    <w:rsid w:val="00190284"/>
    <w:rsid w:val="001903C6"/>
    <w:rsid w:val="00194A9F"/>
    <w:rsid w:val="001A0D74"/>
    <w:rsid w:val="001A30FE"/>
    <w:rsid w:val="001B1898"/>
    <w:rsid w:val="001B7A32"/>
    <w:rsid w:val="001C0591"/>
    <w:rsid w:val="001C1AE4"/>
    <w:rsid w:val="001D667F"/>
    <w:rsid w:val="001E147A"/>
    <w:rsid w:val="001E6F43"/>
    <w:rsid w:val="001F03FF"/>
    <w:rsid w:val="001F4BE8"/>
    <w:rsid w:val="0020328E"/>
    <w:rsid w:val="002248C6"/>
    <w:rsid w:val="00225E64"/>
    <w:rsid w:val="002276B8"/>
    <w:rsid w:val="00230009"/>
    <w:rsid w:val="00230C5D"/>
    <w:rsid w:val="00240D6C"/>
    <w:rsid w:val="00241C66"/>
    <w:rsid w:val="00271064"/>
    <w:rsid w:val="00283F5B"/>
    <w:rsid w:val="00285C04"/>
    <w:rsid w:val="00286424"/>
    <w:rsid w:val="00287525"/>
    <w:rsid w:val="002877E6"/>
    <w:rsid w:val="00291BF1"/>
    <w:rsid w:val="00292AA0"/>
    <w:rsid w:val="002A57BB"/>
    <w:rsid w:val="002A72A6"/>
    <w:rsid w:val="002B2EFD"/>
    <w:rsid w:val="002D0A2B"/>
    <w:rsid w:val="002D11F9"/>
    <w:rsid w:val="002E4E45"/>
    <w:rsid w:val="002E5BD3"/>
    <w:rsid w:val="002F1D10"/>
    <w:rsid w:val="002F41AE"/>
    <w:rsid w:val="002F5D34"/>
    <w:rsid w:val="002F6B1A"/>
    <w:rsid w:val="002F770A"/>
    <w:rsid w:val="00303B26"/>
    <w:rsid w:val="00303EC4"/>
    <w:rsid w:val="003104CA"/>
    <w:rsid w:val="00314034"/>
    <w:rsid w:val="0032094A"/>
    <w:rsid w:val="0032579B"/>
    <w:rsid w:val="00325E73"/>
    <w:rsid w:val="00327EAF"/>
    <w:rsid w:val="003322B9"/>
    <w:rsid w:val="00335CE5"/>
    <w:rsid w:val="00340401"/>
    <w:rsid w:val="00342DE5"/>
    <w:rsid w:val="00375569"/>
    <w:rsid w:val="00394E38"/>
    <w:rsid w:val="00396BDA"/>
    <w:rsid w:val="003A4736"/>
    <w:rsid w:val="003B011B"/>
    <w:rsid w:val="003B42D9"/>
    <w:rsid w:val="003C604E"/>
    <w:rsid w:val="003D008A"/>
    <w:rsid w:val="003D12D7"/>
    <w:rsid w:val="003D1C02"/>
    <w:rsid w:val="003D490C"/>
    <w:rsid w:val="003D72C1"/>
    <w:rsid w:val="003D776B"/>
    <w:rsid w:val="003D7B6E"/>
    <w:rsid w:val="003E635F"/>
    <w:rsid w:val="003E780E"/>
    <w:rsid w:val="003F2324"/>
    <w:rsid w:val="003F7EFB"/>
    <w:rsid w:val="004034CB"/>
    <w:rsid w:val="004106EC"/>
    <w:rsid w:val="00425310"/>
    <w:rsid w:val="00426286"/>
    <w:rsid w:val="004340CA"/>
    <w:rsid w:val="0043592F"/>
    <w:rsid w:val="00436A11"/>
    <w:rsid w:val="004402B6"/>
    <w:rsid w:val="004450C8"/>
    <w:rsid w:val="00445A31"/>
    <w:rsid w:val="004468F9"/>
    <w:rsid w:val="00452A7C"/>
    <w:rsid w:val="00453F48"/>
    <w:rsid w:val="004762EE"/>
    <w:rsid w:val="004833E1"/>
    <w:rsid w:val="004867B2"/>
    <w:rsid w:val="00491A52"/>
    <w:rsid w:val="004967B8"/>
    <w:rsid w:val="004A4AA2"/>
    <w:rsid w:val="004B56AC"/>
    <w:rsid w:val="004C225C"/>
    <w:rsid w:val="004C4868"/>
    <w:rsid w:val="004D634F"/>
    <w:rsid w:val="004F2D96"/>
    <w:rsid w:val="005014ED"/>
    <w:rsid w:val="00502EAE"/>
    <w:rsid w:val="005068C0"/>
    <w:rsid w:val="00524682"/>
    <w:rsid w:val="0052727D"/>
    <w:rsid w:val="00535DEE"/>
    <w:rsid w:val="00537F7E"/>
    <w:rsid w:val="00542C03"/>
    <w:rsid w:val="0054399E"/>
    <w:rsid w:val="00544BC3"/>
    <w:rsid w:val="005558E4"/>
    <w:rsid w:val="005565C3"/>
    <w:rsid w:val="00561611"/>
    <w:rsid w:val="00563B36"/>
    <w:rsid w:val="00566258"/>
    <w:rsid w:val="005708FA"/>
    <w:rsid w:val="00571283"/>
    <w:rsid w:val="00576456"/>
    <w:rsid w:val="0057698B"/>
    <w:rsid w:val="00581507"/>
    <w:rsid w:val="00591AA1"/>
    <w:rsid w:val="00595432"/>
    <w:rsid w:val="005A277A"/>
    <w:rsid w:val="005A3560"/>
    <w:rsid w:val="005A7C98"/>
    <w:rsid w:val="005B0FA2"/>
    <w:rsid w:val="005B4D2E"/>
    <w:rsid w:val="005B53CD"/>
    <w:rsid w:val="005B5B0E"/>
    <w:rsid w:val="005C1C59"/>
    <w:rsid w:val="005DF665"/>
    <w:rsid w:val="005E388C"/>
    <w:rsid w:val="005E4801"/>
    <w:rsid w:val="005E5A2E"/>
    <w:rsid w:val="005F3695"/>
    <w:rsid w:val="005F4057"/>
    <w:rsid w:val="00603365"/>
    <w:rsid w:val="00603947"/>
    <w:rsid w:val="00611EAF"/>
    <w:rsid w:val="006145B2"/>
    <w:rsid w:val="00621D90"/>
    <w:rsid w:val="006269D7"/>
    <w:rsid w:val="0063036B"/>
    <w:rsid w:val="006331C9"/>
    <w:rsid w:val="00640BAD"/>
    <w:rsid w:val="0066236E"/>
    <w:rsid w:val="00662850"/>
    <w:rsid w:val="00663C74"/>
    <w:rsid w:val="00666858"/>
    <w:rsid w:val="006714CC"/>
    <w:rsid w:val="00673D0E"/>
    <w:rsid w:val="00676563"/>
    <w:rsid w:val="00677588"/>
    <w:rsid w:val="0068001F"/>
    <w:rsid w:val="0068065B"/>
    <w:rsid w:val="006816B0"/>
    <w:rsid w:val="00682792"/>
    <w:rsid w:val="00685276"/>
    <w:rsid w:val="006908C9"/>
    <w:rsid w:val="006908E4"/>
    <w:rsid w:val="00693E01"/>
    <w:rsid w:val="006948A2"/>
    <w:rsid w:val="006A06EA"/>
    <w:rsid w:val="006A0B0D"/>
    <w:rsid w:val="006A1843"/>
    <w:rsid w:val="006A2CBD"/>
    <w:rsid w:val="006A334E"/>
    <w:rsid w:val="006A3A39"/>
    <w:rsid w:val="006A5ED3"/>
    <w:rsid w:val="006B2754"/>
    <w:rsid w:val="006B6B28"/>
    <w:rsid w:val="006C2232"/>
    <w:rsid w:val="006C3C0D"/>
    <w:rsid w:val="006C3F1B"/>
    <w:rsid w:val="006E0AC3"/>
    <w:rsid w:val="006F141B"/>
    <w:rsid w:val="00706506"/>
    <w:rsid w:val="00707562"/>
    <w:rsid w:val="00712FDA"/>
    <w:rsid w:val="007229D7"/>
    <w:rsid w:val="00726940"/>
    <w:rsid w:val="00732A76"/>
    <w:rsid w:val="00740754"/>
    <w:rsid w:val="0075086C"/>
    <w:rsid w:val="00777DB0"/>
    <w:rsid w:val="00781530"/>
    <w:rsid w:val="0078189C"/>
    <w:rsid w:val="007863BD"/>
    <w:rsid w:val="00787294"/>
    <w:rsid w:val="007A0BE2"/>
    <w:rsid w:val="007A600A"/>
    <w:rsid w:val="007A60B4"/>
    <w:rsid w:val="007B697E"/>
    <w:rsid w:val="0080168B"/>
    <w:rsid w:val="00810C50"/>
    <w:rsid w:val="00811B5C"/>
    <w:rsid w:val="00812AFF"/>
    <w:rsid w:val="00813343"/>
    <w:rsid w:val="00815170"/>
    <w:rsid w:val="008157A4"/>
    <w:rsid w:val="008176D1"/>
    <w:rsid w:val="0082289D"/>
    <w:rsid w:val="00822B20"/>
    <w:rsid w:val="00822C0D"/>
    <w:rsid w:val="00825B4D"/>
    <w:rsid w:val="00830B56"/>
    <w:rsid w:val="00830D1E"/>
    <w:rsid w:val="00835113"/>
    <w:rsid w:val="0085085E"/>
    <w:rsid w:val="00854984"/>
    <w:rsid w:val="00855578"/>
    <w:rsid w:val="00861C1B"/>
    <w:rsid w:val="00872D74"/>
    <w:rsid w:val="008775A3"/>
    <w:rsid w:val="00880ACB"/>
    <w:rsid w:val="008821C3"/>
    <w:rsid w:val="0088621D"/>
    <w:rsid w:val="00891524"/>
    <w:rsid w:val="0089644D"/>
    <w:rsid w:val="008A50B9"/>
    <w:rsid w:val="008A74EC"/>
    <w:rsid w:val="008B076D"/>
    <w:rsid w:val="008C1EC7"/>
    <w:rsid w:val="008E2FA2"/>
    <w:rsid w:val="008E5D79"/>
    <w:rsid w:val="008E6785"/>
    <w:rsid w:val="008F2A96"/>
    <w:rsid w:val="008F4613"/>
    <w:rsid w:val="008F4D8B"/>
    <w:rsid w:val="008F4E77"/>
    <w:rsid w:val="00912903"/>
    <w:rsid w:val="00916D0A"/>
    <w:rsid w:val="00917EE5"/>
    <w:rsid w:val="009201FF"/>
    <w:rsid w:val="009327DC"/>
    <w:rsid w:val="00943551"/>
    <w:rsid w:val="0094370E"/>
    <w:rsid w:val="0094388D"/>
    <w:rsid w:val="009460F4"/>
    <w:rsid w:val="009468EF"/>
    <w:rsid w:val="00950BA8"/>
    <w:rsid w:val="00951C17"/>
    <w:rsid w:val="00960EFE"/>
    <w:rsid w:val="00962116"/>
    <w:rsid w:val="00965556"/>
    <w:rsid w:val="00965882"/>
    <w:rsid w:val="00967D52"/>
    <w:rsid w:val="009802E7"/>
    <w:rsid w:val="009A0F4C"/>
    <w:rsid w:val="009C08DF"/>
    <w:rsid w:val="009D1C84"/>
    <w:rsid w:val="009D5FA1"/>
    <w:rsid w:val="009D6D53"/>
    <w:rsid w:val="009E3210"/>
    <w:rsid w:val="009F3AEE"/>
    <w:rsid w:val="009F53E3"/>
    <w:rsid w:val="009F7ECB"/>
    <w:rsid w:val="00A06A0F"/>
    <w:rsid w:val="00A0731A"/>
    <w:rsid w:val="00A11F55"/>
    <w:rsid w:val="00A1405B"/>
    <w:rsid w:val="00A156E8"/>
    <w:rsid w:val="00A27B17"/>
    <w:rsid w:val="00A31E21"/>
    <w:rsid w:val="00A34AFE"/>
    <w:rsid w:val="00A426A6"/>
    <w:rsid w:val="00A52FDB"/>
    <w:rsid w:val="00A638AF"/>
    <w:rsid w:val="00A64AF8"/>
    <w:rsid w:val="00A67438"/>
    <w:rsid w:val="00A7177C"/>
    <w:rsid w:val="00A7283A"/>
    <w:rsid w:val="00A81F60"/>
    <w:rsid w:val="00A85D23"/>
    <w:rsid w:val="00A87A2A"/>
    <w:rsid w:val="00A95AC5"/>
    <w:rsid w:val="00AA1F31"/>
    <w:rsid w:val="00AA1FE3"/>
    <w:rsid w:val="00AA711D"/>
    <w:rsid w:val="00AB3990"/>
    <w:rsid w:val="00AB5404"/>
    <w:rsid w:val="00AC74FB"/>
    <w:rsid w:val="00AC783B"/>
    <w:rsid w:val="00AD1279"/>
    <w:rsid w:val="00AE1121"/>
    <w:rsid w:val="00AF49D7"/>
    <w:rsid w:val="00AF5210"/>
    <w:rsid w:val="00B00305"/>
    <w:rsid w:val="00B0542F"/>
    <w:rsid w:val="00B1027A"/>
    <w:rsid w:val="00B12A1F"/>
    <w:rsid w:val="00B20377"/>
    <w:rsid w:val="00B40F03"/>
    <w:rsid w:val="00B520B4"/>
    <w:rsid w:val="00B531BA"/>
    <w:rsid w:val="00B53513"/>
    <w:rsid w:val="00B70A35"/>
    <w:rsid w:val="00B818BE"/>
    <w:rsid w:val="00B84E71"/>
    <w:rsid w:val="00B8576F"/>
    <w:rsid w:val="00B91861"/>
    <w:rsid w:val="00B92B5F"/>
    <w:rsid w:val="00B931E3"/>
    <w:rsid w:val="00BA6434"/>
    <w:rsid w:val="00BA6A45"/>
    <w:rsid w:val="00BB1143"/>
    <w:rsid w:val="00BB2B4C"/>
    <w:rsid w:val="00BB6551"/>
    <w:rsid w:val="00BB7839"/>
    <w:rsid w:val="00BB7D47"/>
    <w:rsid w:val="00BC6344"/>
    <w:rsid w:val="00BD4581"/>
    <w:rsid w:val="00BE2894"/>
    <w:rsid w:val="00BE5B64"/>
    <w:rsid w:val="00BF0C09"/>
    <w:rsid w:val="00BF4894"/>
    <w:rsid w:val="00C00592"/>
    <w:rsid w:val="00C02E6A"/>
    <w:rsid w:val="00C047DC"/>
    <w:rsid w:val="00C05E10"/>
    <w:rsid w:val="00C1383E"/>
    <w:rsid w:val="00C24AA4"/>
    <w:rsid w:val="00C302DB"/>
    <w:rsid w:val="00C367F0"/>
    <w:rsid w:val="00C36CB5"/>
    <w:rsid w:val="00C413FF"/>
    <w:rsid w:val="00C4625B"/>
    <w:rsid w:val="00C5058D"/>
    <w:rsid w:val="00C57153"/>
    <w:rsid w:val="00C7093B"/>
    <w:rsid w:val="00C70C9D"/>
    <w:rsid w:val="00C76DC2"/>
    <w:rsid w:val="00C80076"/>
    <w:rsid w:val="00C85754"/>
    <w:rsid w:val="00C8C26B"/>
    <w:rsid w:val="00C9151C"/>
    <w:rsid w:val="00C9326A"/>
    <w:rsid w:val="00CA1221"/>
    <w:rsid w:val="00CA338D"/>
    <w:rsid w:val="00CA3904"/>
    <w:rsid w:val="00CA44F2"/>
    <w:rsid w:val="00CA5463"/>
    <w:rsid w:val="00CA64B3"/>
    <w:rsid w:val="00CB7875"/>
    <w:rsid w:val="00CC12A5"/>
    <w:rsid w:val="00CC1DB4"/>
    <w:rsid w:val="00CC4125"/>
    <w:rsid w:val="00CC41B8"/>
    <w:rsid w:val="00CC4A75"/>
    <w:rsid w:val="00CE0949"/>
    <w:rsid w:val="00CF2C4E"/>
    <w:rsid w:val="00D04477"/>
    <w:rsid w:val="00D07658"/>
    <w:rsid w:val="00D11A11"/>
    <w:rsid w:val="00D259E6"/>
    <w:rsid w:val="00D354E0"/>
    <w:rsid w:val="00D44791"/>
    <w:rsid w:val="00D5544D"/>
    <w:rsid w:val="00D573D3"/>
    <w:rsid w:val="00D63770"/>
    <w:rsid w:val="00D63DEE"/>
    <w:rsid w:val="00D7786F"/>
    <w:rsid w:val="00D82338"/>
    <w:rsid w:val="00D82BEC"/>
    <w:rsid w:val="00D90E43"/>
    <w:rsid w:val="00DA7E8F"/>
    <w:rsid w:val="00DB053C"/>
    <w:rsid w:val="00DB2BAA"/>
    <w:rsid w:val="00DC5D7F"/>
    <w:rsid w:val="00DC6044"/>
    <w:rsid w:val="00DC628B"/>
    <w:rsid w:val="00DE11B5"/>
    <w:rsid w:val="00DF0F15"/>
    <w:rsid w:val="00DF221F"/>
    <w:rsid w:val="00DF598D"/>
    <w:rsid w:val="00DF6860"/>
    <w:rsid w:val="00DF68E8"/>
    <w:rsid w:val="00DF731F"/>
    <w:rsid w:val="00E06B96"/>
    <w:rsid w:val="00E167B9"/>
    <w:rsid w:val="00E214B4"/>
    <w:rsid w:val="00E269EB"/>
    <w:rsid w:val="00E3518E"/>
    <w:rsid w:val="00E5525F"/>
    <w:rsid w:val="00E55D21"/>
    <w:rsid w:val="00E61C24"/>
    <w:rsid w:val="00E862E6"/>
    <w:rsid w:val="00E92B42"/>
    <w:rsid w:val="00E94CDE"/>
    <w:rsid w:val="00EB8A92"/>
    <w:rsid w:val="00EC3958"/>
    <w:rsid w:val="00EC5F59"/>
    <w:rsid w:val="00ED123D"/>
    <w:rsid w:val="00ED2F3F"/>
    <w:rsid w:val="00ED4C44"/>
    <w:rsid w:val="00EE2491"/>
    <w:rsid w:val="00EE6308"/>
    <w:rsid w:val="00EF0AEE"/>
    <w:rsid w:val="00EF256C"/>
    <w:rsid w:val="00EF3DC5"/>
    <w:rsid w:val="00EF5B55"/>
    <w:rsid w:val="00F00DBF"/>
    <w:rsid w:val="00F05CBA"/>
    <w:rsid w:val="00F20D86"/>
    <w:rsid w:val="00F21084"/>
    <w:rsid w:val="00F32A04"/>
    <w:rsid w:val="00F33FCE"/>
    <w:rsid w:val="00F42DCA"/>
    <w:rsid w:val="00F4769E"/>
    <w:rsid w:val="00F51F17"/>
    <w:rsid w:val="00F70B6F"/>
    <w:rsid w:val="00F82430"/>
    <w:rsid w:val="00F82818"/>
    <w:rsid w:val="00F90B5A"/>
    <w:rsid w:val="00F95C43"/>
    <w:rsid w:val="00F97F05"/>
    <w:rsid w:val="00FA0E3D"/>
    <w:rsid w:val="00FA47D4"/>
    <w:rsid w:val="00FA65F4"/>
    <w:rsid w:val="00FB1073"/>
    <w:rsid w:val="00FC2526"/>
    <w:rsid w:val="00FE54A9"/>
    <w:rsid w:val="00FF09AD"/>
    <w:rsid w:val="00FF42C9"/>
    <w:rsid w:val="00FF42FF"/>
    <w:rsid w:val="0110DD06"/>
    <w:rsid w:val="019B2420"/>
    <w:rsid w:val="01E8156B"/>
    <w:rsid w:val="029F8FEB"/>
    <w:rsid w:val="0326CB54"/>
    <w:rsid w:val="040173EC"/>
    <w:rsid w:val="0424C746"/>
    <w:rsid w:val="0450B966"/>
    <w:rsid w:val="04920E6F"/>
    <w:rsid w:val="04933381"/>
    <w:rsid w:val="050EBC98"/>
    <w:rsid w:val="06079E5F"/>
    <w:rsid w:val="06B38636"/>
    <w:rsid w:val="06D02D18"/>
    <w:rsid w:val="073CD71C"/>
    <w:rsid w:val="0755798F"/>
    <w:rsid w:val="08388312"/>
    <w:rsid w:val="086C2745"/>
    <w:rsid w:val="0890BCE8"/>
    <w:rsid w:val="097DA317"/>
    <w:rsid w:val="098AE325"/>
    <w:rsid w:val="09B1884B"/>
    <w:rsid w:val="09E7CAA9"/>
    <w:rsid w:val="09E8B50C"/>
    <w:rsid w:val="0A16ACFB"/>
    <w:rsid w:val="0A26E330"/>
    <w:rsid w:val="0A298C7E"/>
    <w:rsid w:val="0B0FEF15"/>
    <w:rsid w:val="0BC4EE3F"/>
    <w:rsid w:val="0BDDF5CF"/>
    <w:rsid w:val="0C6DE4E3"/>
    <w:rsid w:val="0C9DD96A"/>
    <w:rsid w:val="0D80B027"/>
    <w:rsid w:val="0DBA4017"/>
    <w:rsid w:val="0DCF59F1"/>
    <w:rsid w:val="0DD89D02"/>
    <w:rsid w:val="0E3A0F02"/>
    <w:rsid w:val="0E455639"/>
    <w:rsid w:val="0ECB3B53"/>
    <w:rsid w:val="0ED9CC85"/>
    <w:rsid w:val="0EFBCA31"/>
    <w:rsid w:val="0F75785E"/>
    <w:rsid w:val="0F7B535F"/>
    <w:rsid w:val="0FA9C75A"/>
    <w:rsid w:val="0FB32C71"/>
    <w:rsid w:val="1102B63A"/>
    <w:rsid w:val="1113FA58"/>
    <w:rsid w:val="111F1102"/>
    <w:rsid w:val="1144A627"/>
    <w:rsid w:val="1158C5EB"/>
    <w:rsid w:val="11ADF059"/>
    <w:rsid w:val="11B9363B"/>
    <w:rsid w:val="140764BC"/>
    <w:rsid w:val="14207AA8"/>
    <w:rsid w:val="147C7B25"/>
    <w:rsid w:val="159DDB4B"/>
    <w:rsid w:val="15C0A31B"/>
    <w:rsid w:val="1684610F"/>
    <w:rsid w:val="16BABD52"/>
    <w:rsid w:val="17159195"/>
    <w:rsid w:val="1778F0F0"/>
    <w:rsid w:val="17DC36BB"/>
    <w:rsid w:val="1837DC14"/>
    <w:rsid w:val="1840D043"/>
    <w:rsid w:val="18433EE7"/>
    <w:rsid w:val="18998420"/>
    <w:rsid w:val="18C10702"/>
    <w:rsid w:val="1948BA9B"/>
    <w:rsid w:val="1992CD7A"/>
    <w:rsid w:val="19B52F97"/>
    <w:rsid w:val="19D30380"/>
    <w:rsid w:val="1AEA6575"/>
    <w:rsid w:val="1B3F5BE7"/>
    <w:rsid w:val="1B6213AC"/>
    <w:rsid w:val="1C05D039"/>
    <w:rsid w:val="1C1EA89A"/>
    <w:rsid w:val="1C20F9E8"/>
    <w:rsid w:val="1C34B313"/>
    <w:rsid w:val="1C360CFB"/>
    <w:rsid w:val="1C3E4A6F"/>
    <w:rsid w:val="1C4536D8"/>
    <w:rsid w:val="1C7A92A6"/>
    <w:rsid w:val="1CAB2EE9"/>
    <w:rsid w:val="1CB4FCE0"/>
    <w:rsid w:val="1D66D35E"/>
    <w:rsid w:val="1DDB2563"/>
    <w:rsid w:val="1DE84BF4"/>
    <w:rsid w:val="1E0216EA"/>
    <w:rsid w:val="1E1FEB93"/>
    <w:rsid w:val="1E73F664"/>
    <w:rsid w:val="1F05B560"/>
    <w:rsid w:val="1FC5311A"/>
    <w:rsid w:val="20049575"/>
    <w:rsid w:val="201CC6C8"/>
    <w:rsid w:val="2051E2DC"/>
    <w:rsid w:val="20BA45E3"/>
    <w:rsid w:val="20DDF6C2"/>
    <w:rsid w:val="20E94BE8"/>
    <w:rsid w:val="21AABA99"/>
    <w:rsid w:val="21CE635F"/>
    <w:rsid w:val="21FFD835"/>
    <w:rsid w:val="22B2F659"/>
    <w:rsid w:val="22D428EA"/>
    <w:rsid w:val="2327BDCE"/>
    <w:rsid w:val="23BD7A46"/>
    <w:rsid w:val="23CCF428"/>
    <w:rsid w:val="23D0D78A"/>
    <w:rsid w:val="245D9287"/>
    <w:rsid w:val="2473559C"/>
    <w:rsid w:val="2491585C"/>
    <w:rsid w:val="257908A8"/>
    <w:rsid w:val="257D0FD0"/>
    <w:rsid w:val="25BA4129"/>
    <w:rsid w:val="25E8AF01"/>
    <w:rsid w:val="25FAAA78"/>
    <w:rsid w:val="262E4EA9"/>
    <w:rsid w:val="26B9B6D6"/>
    <w:rsid w:val="2734E8F0"/>
    <w:rsid w:val="285B5140"/>
    <w:rsid w:val="287797B2"/>
    <w:rsid w:val="28C02645"/>
    <w:rsid w:val="29118752"/>
    <w:rsid w:val="29218A5C"/>
    <w:rsid w:val="2947E568"/>
    <w:rsid w:val="29A48A51"/>
    <w:rsid w:val="29C16D19"/>
    <w:rsid w:val="2A02092D"/>
    <w:rsid w:val="2A0819E0"/>
    <w:rsid w:val="2A77706E"/>
    <w:rsid w:val="2B47A1D9"/>
    <w:rsid w:val="2BBEC73A"/>
    <w:rsid w:val="2BD9F579"/>
    <w:rsid w:val="2C39C2A3"/>
    <w:rsid w:val="2C6BAA51"/>
    <w:rsid w:val="2C865DD7"/>
    <w:rsid w:val="2CB397D2"/>
    <w:rsid w:val="2CF38026"/>
    <w:rsid w:val="2D1DA122"/>
    <w:rsid w:val="2D2F6FAF"/>
    <w:rsid w:val="2D5F27F4"/>
    <w:rsid w:val="2D671AF3"/>
    <w:rsid w:val="2D8E789E"/>
    <w:rsid w:val="2DAD3DE8"/>
    <w:rsid w:val="2DF428AC"/>
    <w:rsid w:val="2E7ACE14"/>
    <w:rsid w:val="2F43122A"/>
    <w:rsid w:val="2FFFB96D"/>
    <w:rsid w:val="3029717B"/>
    <w:rsid w:val="304FD2B6"/>
    <w:rsid w:val="30CAD064"/>
    <w:rsid w:val="3123355A"/>
    <w:rsid w:val="315A7A7F"/>
    <w:rsid w:val="321B9F98"/>
    <w:rsid w:val="3226D2EB"/>
    <w:rsid w:val="33B6D6F0"/>
    <w:rsid w:val="3435EDAF"/>
    <w:rsid w:val="34396CF6"/>
    <w:rsid w:val="34CF40A5"/>
    <w:rsid w:val="34F734B6"/>
    <w:rsid w:val="3594D222"/>
    <w:rsid w:val="35D1E7A7"/>
    <w:rsid w:val="3643DA93"/>
    <w:rsid w:val="36FFD439"/>
    <w:rsid w:val="37D7BE75"/>
    <w:rsid w:val="383C80EE"/>
    <w:rsid w:val="388DE59C"/>
    <w:rsid w:val="3908ABE9"/>
    <w:rsid w:val="390CD4E8"/>
    <w:rsid w:val="3923C4C6"/>
    <w:rsid w:val="398F4636"/>
    <w:rsid w:val="39C3CF63"/>
    <w:rsid w:val="3AFEF8BC"/>
    <w:rsid w:val="3B03C0F8"/>
    <w:rsid w:val="3B04EB6A"/>
    <w:rsid w:val="3B5ADCA5"/>
    <w:rsid w:val="3BC6EAA1"/>
    <w:rsid w:val="3BFB33E7"/>
    <w:rsid w:val="3C17383B"/>
    <w:rsid w:val="3C1A2017"/>
    <w:rsid w:val="3CA2D2AF"/>
    <w:rsid w:val="3CC7CD4F"/>
    <w:rsid w:val="3CCB8229"/>
    <w:rsid w:val="3CF59BF6"/>
    <w:rsid w:val="3D21D01B"/>
    <w:rsid w:val="3D64D8F6"/>
    <w:rsid w:val="3DDBF2B4"/>
    <w:rsid w:val="3E135AE8"/>
    <w:rsid w:val="3E61877F"/>
    <w:rsid w:val="3EC99BCF"/>
    <w:rsid w:val="3F1E7C56"/>
    <w:rsid w:val="3F6D93F9"/>
    <w:rsid w:val="3F6F4295"/>
    <w:rsid w:val="3F9E838C"/>
    <w:rsid w:val="3F9F437A"/>
    <w:rsid w:val="3FC155C0"/>
    <w:rsid w:val="404B2333"/>
    <w:rsid w:val="405AB38E"/>
    <w:rsid w:val="40C73786"/>
    <w:rsid w:val="411A2F06"/>
    <w:rsid w:val="420A9B3C"/>
    <w:rsid w:val="42DAD05E"/>
    <w:rsid w:val="42F2CB72"/>
    <w:rsid w:val="43A6F8A7"/>
    <w:rsid w:val="43B6113A"/>
    <w:rsid w:val="442F8441"/>
    <w:rsid w:val="44DDDF16"/>
    <w:rsid w:val="44E6DCE4"/>
    <w:rsid w:val="453B38E5"/>
    <w:rsid w:val="4555ABF3"/>
    <w:rsid w:val="45FE8F8F"/>
    <w:rsid w:val="461051B4"/>
    <w:rsid w:val="4655BCA0"/>
    <w:rsid w:val="46793FA5"/>
    <w:rsid w:val="467B551C"/>
    <w:rsid w:val="469B3969"/>
    <w:rsid w:val="46B5D19C"/>
    <w:rsid w:val="46ED2083"/>
    <w:rsid w:val="474CCCD5"/>
    <w:rsid w:val="47D587A7"/>
    <w:rsid w:val="4841E659"/>
    <w:rsid w:val="48539052"/>
    <w:rsid w:val="492FB71D"/>
    <w:rsid w:val="495A930B"/>
    <w:rsid w:val="498120CB"/>
    <w:rsid w:val="49A06E93"/>
    <w:rsid w:val="49B616FE"/>
    <w:rsid w:val="49C2D8BE"/>
    <w:rsid w:val="49EBD922"/>
    <w:rsid w:val="4B123AD2"/>
    <w:rsid w:val="4B6AB3C4"/>
    <w:rsid w:val="4B7881B3"/>
    <w:rsid w:val="4BAE79A6"/>
    <w:rsid w:val="4C2E2F8B"/>
    <w:rsid w:val="4D516A67"/>
    <w:rsid w:val="4D670831"/>
    <w:rsid w:val="4DED9D15"/>
    <w:rsid w:val="4DEF8F9F"/>
    <w:rsid w:val="4EADB7F2"/>
    <w:rsid w:val="4EB6F209"/>
    <w:rsid w:val="4F11C830"/>
    <w:rsid w:val="4F89038E"/>
    <w:rsid w:val="4FD5BD2E"/>
    <w:rsid w:val="4FF04608"/>
    <w:rsid w:val="4FF81AFA"/>
    <w:rsid w:val="5117D506"/>
    <w:rsid w:val="5152946A"/>
    <w:rsid w:val="51782FD5"/>
    <w:rsid w:val="525130A3"/>
    <w:rsid w:val="529C0DDB"/>
    <w:rsid w:val="52C3373B"/>
    <w:rsid w:val="53086A30"/>
    <w:rsid w:val="53202393"/>
    <w:rsid w:val="539921F7"/>
    <w:rsid w:val="53EAA250"/>
    <w:rsid w:val="5443ADEE"/>
    <w:rsid w:val="5474E7B0"/>
    <w:rsid w:val="54FBB2A5"/>
    <w:rsid w:val="552AD7BB"/>
    <w:rsid w:val="554E8411"/>
    <w:rsid w:val="555DE97E"/>
    <w:rsid w:val="557CC435"/>
    <w:rsid w:val="55BB55A1"/>
    <w:rsid w:val="56C80794"/>
    <w:rsid w:val="5764EA50"/>
    <w:rsid w:val="57651294"/>
    <w:rsid w:val="576964D3"/>
    <w:rsid w:val="578FB8C6"/>
    <w:rsid w:val="57C6E4DE"/>
    <w:rsid w:val="57E6D28B"/>
    <w:rsid w:val="58D58043"/>
    <w:rsid w:val="5902DC73"/>
    <w:rsid w:val="59084BF8"/>
    <w:rsid w:val="59135F3E"/>
    <w:rsid w:val="596C6D08"/>
    <w:rsid w:val="5994DF74"/>
    <w:rsid w:val="5A36480F"/>
    <w:rsid w:val="5A80EB08"/>
    <w:rsid w:val="5AE650A3"/>
    <w:rsid w:val="5B60DA06"/>
    <w:rsid w:val="5B8904C3"/>
    <w:rsid w:val="5BAF1469"/>
    <w:rsid w:val="5BCB545A"/>
    <w:rsid w:val="5BD7724B"/>
    <w:rsid w:val="5BEC0C21"/>
    <w:rsid w:val="5C85C96A"/>
    <w:rsid w:val="5CE1BEE5"/>
    <w:rsid w:val="5D709103"/>
    <w:rsid w:val="5D7F5BC5"/>
    <w:rsid w:val="5E12E285"/>
    <w:rsid w:val="5EBC21B5"/>
    <w:rsid w:val="5F30D4B0"/>
    <w:rsid w:val="5F4A2ABC"/>
    <w:rsid w:val="5F6F42B8"/>
    <w:rsid w:val="5F85D42C"/>
    <w:rsid w:val="5FD83721"/>
    <w:rsid w:val="603B2F69"/>
    <w:rsid w:val="60C17B22"/>
    <w:rsid w:val="60EF66EA"/>
    <w:rsid w:val="614B0477"/>
    <w:rsid w:val="6154FD5D"/>
    <w:rsid w:val="61997DAD"/>
    <w:rsid w:val="61B4EBB0"/>
    <w:rsid w:val="61BFC472"/>
    <w:rsid w:val="61CEAF30"/>
    <w:rsid w:val="61CEDFEE"/>
    <w:rsid w:val="61D0F158"/>
    <w:rsid w:val="61D3F674"/>
    <w:rsid w:val="62643AF3"/>
    <w:rsid w:val="6288FACC"/>
    <w:rsid w:val="62CFF854"/>
    <w:rsid w:val="6324812E"/>
    <w:rsid w:val="63907D42"/>
    <w:rsid w:val="639B735A"/>
    <w:rsid w:val="63ABDF0C"/>
    <w:rsid w:val="6408142F"/>
    <w:rsid w:val="6441D461"/>
    <w:rsid w:val="64CF9132"/>
    <w:rsid w:val="64D66721"/>
    <w:rsid w:val="6504B9AC"/>
    <w:rsid w:val="65162FC2"/>
    <w:rsid w:val="658880A7"/>
    <w:rsid w:val="65EBF0F8"/>
    <w:rsid w:val="6656CA12"/>
    <w:rsid w:val="667A29AF"/>
    <w:rsid w:val="6708D22A"/>
    <w:rsid w:val="673130A8"/>
    <w:rsid w:val="67366A74"/>
    <w:rsid w:val="67DD41A8"/>
    <w:rsid w:val="6801DBE9"/>
    <w:rsid w:val="68AC0762"/>
    <w:rsid w:val="69048420"/>
    <w:rsid w:val="692DDEDA"/>
    <w:rsid w:val="699E371C"/>
    <w:rsid w:val="69DF00C4"/>
    <w:rsid w:val="6A5CAAA7"/>
    <w:rsid w:val="6AE2AC38"/>
    <w:rsid w:val="6B41C4FB"/>
    <w:rsid w:val="6B4A0913"/>
    <w:rsid w:val="6C978BCB"/>
    <w:rsid w:val="6D3E3F68"/>
    <w:rsid w:val="6D643899"/>
    <w:rsid w:val="6DCF00BA"/>
    <w:rsid w:val="6EB38C5B"/>
    <w:rsid w:val="6EC2E1FA"/>
    <w:rsid w:val="6ED1A321"/>
    <w:rsid w:val="6EFF2A8A"/>
    <w:rsid w:val="6F2497AB"/>
    <w:rsid w:val="6FCC6DFB"/>
    <w:rsid w:val="702BA007"/>
    <w:rsid w:val="7045982F"/>
    <w:rsid w:val="70BA4BDA"/>
    <w:rsid w:val="70E373AC"/>
    <w:rsid w:val="713E9957"/>
    <w:rsid w:val="714EE5B1"/>
    <w:rsid w:val="7177E66C"/>
    <w:rsid w:val="71CADC0F"/>
    <w:rsid w:val="71F3C953"/>
    <w:rsid w:val="722B6F2B"/>
    <w:rsid w:val="72855EAD"/>
    <w:rsid w:val="72B8611F"/>
    <w:rsid w:val="72C03B03"/>
    <w:rsid w:val="737B89A3"/>
    <w:rsid w:val="73DDE058"/>
    <w:rsid w:val="740AAE9A"/>
    <w:rsid w:val="74AB4763"/>
    <w:rsid w:val="751BBB47"/>
    <w:rsid w:val="75549314"/>
    <w:rsid w:val="7576DD19"/>
    <w:rsid w:val="757B70EF"/>
    <w:rsid w:val="75959945"/>
    <w:rsid w:val="768292D6"/>
    <w:rsid w:val="79055200"/>
    <w:rsid w:val="7935BD89"/>
    <w:rsid w:val="79DD408A"/>
    <w:rsid w:val="79F4CD39"/>
    <w:rsid w:val="7AB118F3"/>
    <w:rsid w:val="7B76955A"/>
    <w:rsid w:val="7BEDA4D5"/>
    <w:rsid w:val="7C058D57"/>
    <w:rsid w:val="7C120F34"/>
    <w:rsid w:val="7C1D7337"/>
    <w:rsid w:val="7C4C374C"/>
    <w:rsid w:val="7DDC27F6"/>
    <w:rsid w:val="7DE757E4"/>
    <w:rsid w:val="7E716E68"/>
    <w:rsid w:val="7E783D00"/>
    <w:rsid w:val="7FDC71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FF04608"/>
  <w15:chartTrackingRefBased/>
  <w15:docId w15:val="{EB597F82-7B13-924B-B429-A999999D4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810C5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7935BD89"/>
    <w:pPr>
      <w:ind w:left="720"/>
      <w:contextualSpacing/>
    </w:pPr>
  </w:style>
  <w:style w:type="table" w:styleId="GridTable6Colorful-Accent1">
    <w:name w:val="Grid Table 6 Colorful Accent 1"/>
    <w:basedOn w:val="TableNormal"/>
    <w:uiPriority w:val="51"/>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2">
    <w:name w:val="Grid Table 5 Dark Accent 2"/>
    <w:basedOn w:val="TableNormal"/>
    <w:uiPriority w:val="50"/>
    <w:rsid w:val="006A06E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Header">
    <w:name w:val="header"/>
    <w:basedOn w:val="Normal"/>
    <w:uiPriority w:val="99"/>
    <w:unhideWhenUsed/>
    <w:rsid w:val="6708D22A"/>
    <w:pPr>
      <w:tabs>
        <w:tab w:val="center" w:pos="4680"/>
        <w:tab w:val="right" w:pos="9360"/>
      </w:tabs>
      <w:spacing w:after="0" w:line="240" w:lineRule="auto"/>
    </w:pPr>
  </w:style>
  <w:style w:type="paragraph" w:styleId="Footer">
    <w:name w:val="footer"/>
    <w:basedOn w:val="Normal"/>
    <w:uiPriority w:val="99"/>
    <w:unhideWhenUsed/>
    <w:rsid w:val="6708D22A"/>
    <w:pPr>
      <w:tabs>
        <w:tab w:val="center" w:pos="4680"/>
        <w:tab w:val="right" w:pos="9360"/>
      </w:tabs>
      <w:spacing w:after="0" w:line="240" w:lineRule="auto"/>
    </w:pPr>
  </w:style>
  <w:style w:type="character" w:styleId="Hyperlink">
    <w:name w:val="Hyperlink"/>
    <w:basedOn w:val="DefaultParagraphFont"/>
    <w:uiPriority w:val="99"/>
    <w:unhideWhenUsed/>
    <w:rsid w:val="6708D22A"/>
    <w:rPr>
      <w:color w:val="467886"/>
      <w:u w:val="single"/>
    </w:rPr>
  </w:style>
  <w:style w:type="paragraph" w:styleId="TOC1">
    <w:name w:val="toc 1"/>
    <w:basedOn w:val="Normal"/>
    <w:next w:val="Normal"/>
    <w:uiPriority w:val="39"/>
    <w:unhideWhenUsed/>
    <w:rsid w:val="6708D22A"/>
    <w:pPr>
      <w:spacing w:after="100"/>
    </w:pPr>
  </w:style>
  <w:style w:type="paragraph" w:styleId="TOC2">
    <w:name w:val="toc 2"/>
    <w:basedOn w:val="Normal"/>
    <w:next w:val="Normal"/>
    <w:uiPriority w:val="39"/>
    <w:unhideWhenUsed/>
    <w:rsid w:val="6708D22A"/>
    <w:pPr>
      <w:spacing w:after="100"/>
      <w:ind w:left="220"/>
    </w:pPr>
  </w:style>
  <w:style w:type="paragraph" w:styleId="TOC3">
    <w:name w:val="toc 3"/>
    <w:basedOn w:val="Normal"/>
    <w:next w:val="Normal"/>
    <w:uiPriority w:val="39"/>
    <w:unhideWhenUsed/>
    <w:rsid w:val="6708D22A"/>
    <w:pPr>
      <w:spacing w:after="100"/>
      <w:ind w:left="440"/>
    </w:pPr>
  </w:style>
  <w:style w:type="character" w:styleId="PageNumber">
    <w:name w:val="page number"/>
    <w:basedOn w:val="DefaultParagraphFont"/>
    <w:uiPriority w:val="99"/>
    <w:semiHidden/>
    <w:unhideWhenUsed/>
    <w:rsid w:val="009D6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header" Target="header3.xml" /><Relationship Id="rId18" Type="http://schemas.openxmlformats.org/officeDocument/2006/relationships/footer" Target="footer5.xm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footer" Target="footer2.xml" /><Relationship Id="rId17" Type="http://schemas.openxmlformats.org/officeDocument/2006/relationships/footer" Target="footer4.xml" /><Relationship Id="rId2" Type="http://schemas.openxmlformats.org/officeDocument/2006/relationships/styles" Target="styles.xml" /><Relationship Id="rId16" Type="http://schemas.openxmlformats.org/officeDocument/2006/relationships/header" Target="header4.xml" /><Relationship Id="rId20" Type="http://schemas.openxmlformats.org/officeDocument/2006/relationships/footer" Target="footer6.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image" Target="media/image3.png" /><Relationship Id="rId23" Type="http://schemas.microsoft.com/office/2020/10/relationships/intelligence" Target="intelligence2.xml" /><Relationship Id="rId10" Type="http://schemas.openxmlformats.org/officeDocument/2006/relationships/image" Target="media/image2.jpg" /><Relationship Id="rId19" Type="http://schemas.openxmlformats.org/officeDocument/2006/relationships/header" Target="header5.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oter" Target="footer3.xm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21133</Words>
  <Characters>120459</Characters>
  <Application>Microsoft Office Word</Application>
  <DocSecurity>0</DocSecurity>
  <Lines>1003</Lines>
  <Paragraphs>282</Paragraphs>
  <ScaleCrop>false</ScaleCrop>
  <Company/>
  <LinksUpToDate>false</LinksUpToDate>
  <CharactersWithSpaces>141310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Vijay Rajeshbhai Sisodiya (2423615)</dc:creator>
  <cp:keywords/>
  <dc:description/>
  <cp:lastModifiedBy>Vijay Rajeshbhai Sisodiya (2423615)</cp:lastModifiedBy>
  <cp:revision>2</cp:revision>
  <dcterms:created xsi:type="dcterms:W3CDTF">2026-02-01T22:45:00Z</dcterms:created>
  <dcterms:modified xsi:type="dcterms:W3CDTF">2026-02-01T22:45:00Z</dcterms:modified>
</cp:coreProperties>
</file>