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In today's economic landscape, businesses face an array of challenges as they endeavor to expand and flourish. This essay ventures into the intricate realm of these challenges within the context of the United Kingdom. Delving into the ramifications of organisational structures, legal and economic issues on decision-making processes, the principles of macroeconomics influencing human choices and the ideologies of microeconomics affecting resource allocation and trade dynamics. </w:t>
      </w:r>
    </w:p>
    <w:p w:rsidR="00000000" w:rsidDel="00000000" w:rsidP="00000000" w:rsidRDefault="00000000" w:rsidRPr="00000000" w14:paraId="00000002">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The organisational structure of a business serves as the framework that dictates how tasks are divided, coordinated, and controlled within the organisation. This structure plays a pivotal role in determining the organisation’s adaptability to economic changes. In the United Kingdom, businesses adopt various structures such as hierarchical, matrix, and flat organizations, each with its own set of advantages and challenges (Mintzberg, 1980). Consider a hierarchical structure within a traditional corporation like British Airways. Hierarchical structures are characterised by clear lines of authority and a well-defined chain of command. In such organisations, decision-making authority flows from the top management down to lower levels of the hierarchy. While this structure provides a clear reporting structure and centralized control, it can also be slow to respond to market shifts. Bureaucratic processes and multiple layers of management often impede the organization's ability to adapt quickly to changes in the external environment. For instance, British Airways may struggle to implement innovative strategies or respond promptly to shifts in consumer preferences due to the bureaucratic nature of its hierarchical structure.</w:t>
      </w:r>
    </w:p>
    <w:p w:rsidR="00000000" w:rsidDel="00000000" w:rsidP="00000000" w:rsidRDefault="00000000" w:rsidRPr="00000000" w14:paraId="00000003">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In contrast, companies like Google embrace a flat organisational structure that prioritises collaboration and innovation. In a flat organisation , there are fewer levels of management, and decision-making authority is decentralised. This creates a culture of empowerment and encourages employees to take initiative and contribute ideas. Google's flat structure enables it to be agile and responsive to change, allowing the company to quickly adapt to shifting market dynamics and technological advancements. By decentralising decision-making authority, Google empowers its employees to make timely decisions and take calculated risks, which contributes to its innovative culture and competitive edge. However, flat organisational structures also face challenges in maintaining consistency and coordination across diverse teams. Without clear lines of authority, there may be ambiguity regarding roles and responsibilities, leading to potential conflicts and inefficiencies. Additionally, as the organisation grows, maintaining a flat structure becomes increasingly challenging, requiring careful management to ensure effective communication and collaboration among teams.</w:t>
      </w:r>
    </w:p>
    <w:p w:rsidR="00000000" w:rsidDel="00000000" w:rsidP="00000000" w:rsidRDefault="00000000" w:rsidRPr="00000000" w14:paraId="00000004">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Economic environments, characterised by factors like inflation rates, interest rates, and consumer confidence, exert profound effects on organisational performance (Mankiw, 2016). For instance, during periods of economic downturn, businesses face reduced consumer spending and heightened competition, necessitating agile strategies to maintain profitability (Ferguson et al., 2018). During the COVID-19 pandemic, companies across various sectors, for example retail and hospitality, had to quickly adapt their business models to comply with lockdown restrictions and consumer behavior changes.</w:t>
      </w:r>
    </w:p>
    <w:p w:rsidR="00000000" w:rsidDel="00000000" w:rsidP="00000000" w:rsidRDefault="00000000" w:rsidRPr="00000000" w14:paraId="00000005">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Legal and economic factors also play pivotal roles in shaping business decisions. Legislative frameworks, such as employment laws and taxation policies, impose compliance requirements and financial obligations on businesses (Woods, 2017). For instance, consider the implementation of the General Data Protection Regulation (GDPR) in the UK. This regulation significantly impacted businesses operating in the digital sphere, requiring them to comply with strict data protection standards and potentially facing hefty fines for non-compliance. Similarly, changes in tax policies, such as corporate tax rates or value-added tax (VAT) rates, can influence investment decisions and financial planning strategies for businesses. </w:t>
      </w:r>
    </w:p>
    <w:p w:rsidR="00000000" w:rsidDel="00000000" w:rsidP="00000000" w:rsidRDefault="00000000" w:rsidRPr="00000000" w14:paraId="00000006">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Economic issues such as Brexit-induced uncertainty, currency fluctuations, and trade agreements influence investment decisions and market strategies (European Commission, 2020). Firms must navigate these complexities to mitigate risks and capitalise on opportunities (Dunning, 2020). For example, uncertainty surrounding Brexit negotiations has led many UK businesses to reassess their supply chains, expand into new markets, or establish subsidiaries in other EU countries to maintain access to the single market. Economic environments, characterised by factors like inflation rates, interest rates, and consumer confidence, exert profound effects on organisational performance (Mankiw, 2016). For instance, during periods of economic downturn, businesses face reduced consumer spending and heightened competition, necessitating agile strategies to maintain profitability (Ferguson et al., 2018). During the COVID-19 pandemic, companies across various sectors, for example retail and hospitality, had to quickly adapt their business models to comply with lockdown restrictions and consumer behavior changes</w:t>
      </w:r>
    </w:p>
    <w:p w:rsidR="00000000" w:rsidDel="00000000" w:rsidP="00000000" w:rsidRDefault="00000000" w:rsidRPr="00000000" w14:paraId="00000007">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Macroeconomic principles, encompassing GDP, unemployment, and national income, provide insights into economic performance and societal well-being (Mankiw, 2016). High unemployment rates signify under-utilised labor resources, impacting consumer spending and aggregate demand (Blanchard and Sheen, 2019). During the 2008 financial crisis, the UK experienced a spike in unemployment rates, this led to a decrease in consumer confidence and subdued economic growth. As a result, businesses faced challenges in maintaining sales and revenue streams, leading to layoffs and cost-cutting measures. Conversely, periods of robust GDP growth can create opportunities for businesses to expand operations, invest in new ventures, and hire additional workers. Rational choice theory underpins human decision-making, suggesting that individuals seek to maximize utility given limited resources (Simon, 1955). Economic policies aimed at stabilizing macroeconomic indicators influence consumer behavior and investment decisions, shaping business outcomes (Krugman and Wells, 2020). For example, government stimulus packages during economic downturns can boost consumer spending and confidence, stimulating business investment and economic recovery.</w:t>
      </w:r>
    </w:p>
    <w:p w:rsidR="00000000" w:rsidDel="00000000" w:rsidP="00000000" w:rsidRDefault="00000000" w:rsidRPr="00000000" w14:paraId="00000008">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Microeconomic theories elucidate the dynamics of supply, demand, and market equilibrium, guiding business strategies (Mankiw, 2016). The law of supply posits a positive relationship between price and quantity supplied, while the law of demand asserts an inverse relationship between price and quantity demanded (Varian, 2014). Consider the example of a UK-based clothing retailer facing increased demand for its products due to changing consumer preferences or seasonal trends. In response to higher demand, the retailer may adjust its pricing strategy to maximise revenue while ensuring sufficient supply to meet customer needs. Similarly, shifts in consumer preferences towards sustainable and ethically sourced products can influence supply chain decisions and product offerings for businesses. Equilibrium occurs where supply equals demand, determining market prices and quantities exchanged (Taylor, 2014). Businesses must anticipate shifts in supply and demand conditions to optimise production levels and pricing strategies (Pindyck and Rubinfeld, 2017). For instance, during periods of supply chain disruptions, such as natural disasters or geopolitical tensions, businesses may experience shortages or price spikes for key inputs, impacting production costs and profitability.</w:t>
      </w:r>
    </w:p>
    <w:p w:rsidR="00000000" w:rsidDel="00000000" w:rsidP="00000000" w:rsidRDefault="00000000" w:rsidRPr="00000000" w14:paraId="00000009">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Efficient resource allocation is central to economic efficiency and competitiveness (Foss and Klein, 2012). Market economies rely on price mechanisms to allocate resources based on consumer preferences and production costs (Friedman, 1953). Consider the impact of technological advancements on resource allocation in the UK manufacturing sector. Automation and artificial intelligence (AI) technologies have enabled businesses to improve productivity and reduce production costs by automating repetitive tasks and optimising resource utilisation. However, these technologies also raise concerns about job displacement and income inequality, prompting debates about the ethical and societal implications of automation. International trade facilitates specialisation and enhances welfare through comparative advantage (Ricardo, 1817). However, trade barriers, tariffs, and protectionist measures distort market dynamics, impacting business operations and global supply chains (Krugman et al., 2019). For example, the imposition of tariffs on steel and aluminum imports by the US administration under former President Donald Trump led to retaliatory measures from trading partners like the EU, resulting in increased costs for businesses reliant on these materials. Such trade tensions can disrupt supply chains, increase production costs, and ultimately affect consumer prices and competitiveness in the global market.</w:t>
      </w:r>
    </w:p>
    <w:p w:rsidR="00000000" w:rsidDel="00000000" w:rsidP="00000000" w:rsidRDefault="00000000" w:rsidRPr="00000000" w14:paraId="0000000A">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Taxation policies and regulatory frameworks shape business environments, influencing investment decisions and operational costs (Gravelle, 2016). Corporate tax rates affect firms' profitability and capital allocation decisions (Desai, 2003). bConsider the impact of changes in environmental regulations on businesses in the UK. The UK government's commitment to reducing carbon emissions and transitioning to renewable energy sources has prompted regulatory changes, such as carbon pricing mechanisms and emissions trading schemes. These regulations impose additional compliance costs on businesses operating in carbon-intensive industries while incentivising investments in clean technologies and sustainable practices. Regulatory compliance entails adherence to standards related to environmental protection, labor rights, and product safety (Thomson, 2018). Government legislation, such as antitrust laws and intellectual property regulations, fosters competition and innovation (Posner, 2001). Businesses navigate these legal and regulatory landscapes to ensure sustainable growth and social responsibility (Hart, 1995). For instance, companies operating in the pharmaceutical industry must comply with strict regulations governing drug testing, manufacturing processes, and marketing practices to ensure the safety of their products. Non-compliance can result in regulatory fines, product recalls and reputational damage, highlighting the importance of robust compliance programs and risk management strategies for businesses.</w:t>
      </w:r>
    </w:p>
    <w:p w:rsidR="00000000" w:rsidDel="00000000" w:rsidP="00000000" w:rsidRDefault="00000000" w:rsidRPr="00000000" w14:paraId="0000000B">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The behavior of different countries and geopolitical events have far-reaching implications for global economies (Rodrik, 2018). Trade tensions, geopolitical conflicts, and pandemics disrupt supply chains and market sentiments, affecting businesses worldwide (Baldwin, 2016). Leadership and management styles influence policymakers' decisions and their impact on economic outcomes (North, 1990). Adaptive leadership and strategic foresight are essential for businesses to navigate turbulent global landscapes (Heifetz et al., 2009). For example, the COVID-19 pandemic exposed the vulnerabilities of global supply chains, disrupting manufacturing and distribution networks across industries. Lockdown measures and travel restrictions implemented by governments worldwide led to supply shortages, production delays, and logistical challenges for businesses reliant on international trade. Similarly, geopolitical tensions between major powers, such as the US, China, and Russia, have led to trade disputes, sanctions, and retaliation, creating uncertainty for businesses operating in affected regions.</w:t>
      </w:r>
    </w:p>
    <w:p w:rsidR="00000000" w:rsidDel="00000000" w:rsidP="00000000" w:rsidRDefault="00000000" w:rsidRPr="00000000" w14:paraId="0000000C">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Economic uncertainty profoundly affects decision-making processes within expanding businesses. In times of uncertainty, such as during Brexit negotiations or amid global economic downturns like the COVID-19 pandemic, businesses often adopt a cautious approach towards investments and expansion initiatives (Dhingra et al., 2017). Decision-makers may delay capital expenditures, scale back expansion plans, or prioritize short-term cost reduction measures to preserve liquidity and mitigate risks (Pwc, 2021). Moreover, economic uncertainty can influence strategic decision-making regarding market entry, product diversification etc. (OECD, 2020). Businesses may opt for more conservative strategies, focusing on core competencies and existing markets rather than pursuing high-risk ventures in volatile environments (Deloitte, 2021). Additionally, economic uncertainty may lead to heightened risk aversion among investors and lenders, making it more challenging for businesses to secure finance for expansion projects (EY, 2020).</w:t>
      </w:r>
    </w:p>
    <w:p w:rsidR="00000000" w:rsidDel="00000000" w:rsidP="00000000" w:rsidRDefault="00000000" w:rsidRPr="00000000" w14:paraId="0000000D">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The principles of macroeconomics, encompassing concepts such as GDP, unemployment and inflation, play a crucial role in shaping human choices and business decisions. GDP growth, for instance, reflects the overall health and performance of the economy, influencing consumer confidence, investor sentiment, and business investment decisions (Mankiw, 2020). In periods of robust GDP growth, businesses may be more inclined to expand operations, invest in new ventures, and hire additional workers to meet growing demand (Blanchard et al., 2017). Conversely, economic downturns characterized by low GDP growth rates can lead to cost-cutting measures, layoffs, and reduced consumer spending, impacting businesses across various sectors (Krugman et al., 2015). Unemployment rates also significantly influence business decisions, particularly in labor-intensive industries. High unemployment rates may result in a larger pool of available talent, allowing businesses to hire skilled workers at lower wage rates (Blanchard et al., 2017). However, persistent unemployment can erode consumer purchasing power, dampen demand for goods and services, and hinder revenue growth for businesses (Krugman et al., 2015). Additionally, inflationary pressures impact businesses' pricing strategies, production costs, and profit margins (Mankiw, 2020). Businesses must carefully monitor macroeconomic indicators and adjust their strategies accordingly in order to navigate changing economic conditions and optimise performance in dynamic market environments. </w:t>
      </w:r>
    </w:p>
    <w:p w:rsidR="00000000" w:rsidDel="00000000" w:rsidP="00000000" w:rsidRDefault="00000000" w:rsidRPr="00000000" w14:paraId="0000000E">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Global market dynamics have significant influence on the operations and strategies of expanding businesses in the UK. The level of interconnection between economies worldwide means that businesses are increasingly exposed to international risks and opportunities (UNCTAD, 2020). For example, changes in trade policies, tariffs or trade agreements between major trading partners can disrupt supply chains and affect the cost of imported goods and materials (Bown, 2018). Businesses engaged in international trade must navigate complex trade regulations, currency fluctuations, and geopolitical risks to maintain competitiveness and profitability (McKinsey, 2020). Moreover, shifts in global consumer preferences and demand patterns require businesses to adapt their products, services, and marketing strategies to resonate with diverse markets (OECD, 2019). Technological advancements and digitalisation have facilitated cross-border commerce, enabling businesses to reach new customers and explore growth opportunities in emerging markets (Accenture, 2020). However, expanding businesses must also contend with intensifying competition from foreign rivals, regulatory differences across jurisdictions, and cultural nuances that influence consumer behavior and market dynamics (World Economic Forum, 2021).</w:t>
      </w:r>
    </w:p>
    <w:p w:rsidR="00000000" w:rsidDel="00000000" w:rsidP="00000000" w:rsidRDefault="00000000" w:rsidRPr="00000000" w14:paraId="0000000F">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   The behavior of different countries in the global market can have far-reaching implications for economies, including that of the UK. Geopolitical tensions, trade disputes, and diplomatic conflicts between nations can disrupt global supply chains, hinder international trade flows, and create uncertainty for businesses operating in interconnected markets (UNCTAD, 2020). For instance, the US-China trade war resulted in tariffs, retaliation and heightened trade tensions, impacting businesses across sectors and regions (Bown, 2018). Similarly, geopolitical conflicts in regions such as the Middle East or Eastern Europe can contribute to volatility in commodity prices, energy markets, affecting businesses' operational costs and strategic planning (World Economic Forum, 2021). Furthermore, differences in economic policies, regulatory frameworks, and governance structures across countries can create challenges and opportunities for businesses expanding internationally. Variations in taxation systems, labor laws, environmental regulations, and intellectual property rights protection require businesses to navigate diverse legal and compliance landscapes to ensure regulatory compliance and mitigate risks (Deloitte, 2021). Moreover, political instability, social unrest, and security concerns in certain regions can pose risks to business operations and investments, necessitating thorough risk assessments and contingency planning by expanding businesses (EY, 2020).</w:t>
      </w:r>
    </w:p>
    <w:p w:rsidR="00000000" w:rsidDel="00000000" w:rsidP="00000000" w:rsidRDefault="00000000" w:rsidRPr="00000000" w14:paraId="00000010">
      <w:pPr>
        <w:pBdr>
          <w:top w:color="e3e3e3" w:space="0" w:sz="0" w:val="none"/>
          <w:left w:color="e3e3e3" w:space="0" w:sz="0" w:val="none"/>
          <w:bottom w:color="e3e3e3" w:space="0" w:sz="0" w:val="none"/>
          <w:right w:color="e3e3e3" w:space="0" w:sz="0" w:val="none"/>
          <w:between w:color="e3e3e3" w:space="0" w:sz="0" w:val="none"/>
        </w:pBdr>
        <w:spacing w:before="300" w:lineRule="auto"/>
        <w:rPr>
          <w:color w:val="0d0d0d"/>
          <w:sz w:val="24"/>
          <w:szCs w:val="24"/>
        </w:rPr>
      </w:pPr>
      <w:r w:rsidDel="00000000" w:rsidR="00000000" w:rsidRPr="00000000">
        <w:rPr>
          <w:color w:val="0d0d0d"/>
          <w:sz w:val="24"/>
          <w:szCs w:val="24"/>
          <w:rtl w:val="0"/>
        </w:rPr>
        <w:t xml:space="preserve">  In conclusion, expanding businesses in the UK navigate a complex and dynamic landscape shaped by various economic, geopolitical, and market forces. The challenges stemming from economic uncertainty, macroeconomic principles, global market dynamics, and the behavior of different countries are divers, impacting every aspect of business operations. These challenges significantly influence decision-making processes, strategic planning efforts, and operational management practices, requiring businesses to adapt and evolve continuously.</w:t>
      </w:r>
    </w:p>
    <w:p w:rsidR="00000000" w:rsidDel="00000000" w:rsidP="00000000" w:rsidRDefault="00000000" w:rsidRPr="00000000" w14:paraId="00000011">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However, amidst these challenges lie opportunities for growth and success. By gaining a deeper understanding of the interplay between economic factors, geopolitical developments, and market dynamics, businesses can proactively identify and respond to emerging trends and shifts in the global landscape. Adopting adaptive strategies, creating innovative solutions, and forming strategic partnerships enable businesses to mitigate risks and capitalise on opportunities, thereby enhancing their competitiveness and resilience.</w:t>
      </w:r>
    </w:p>
    <w:p w:rsidR="00000000" w:rsidDel="00000000" w:rsidP="00000000" w:rsidRDefault="00000000" w:rsidRPr="00000000" w14:paraId="00000012">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Moreover, proactive risk management practices empower businesses to anticipate and mitigate potential threats before they emerge, ensuring greater stability and sustainability in the long term. Embracing innovation allows businesses to stay ahead of the curve, driving growth and differentiation in an increasingly competitive marketplace. Strategic partnerships, whether with other businesses, government entities, or international organizations provide access to new markets, resources, and expertise, fueling expansion and diversification efforts.</w:t>
      </w:r>
    </w:p>
    <w:p w:rsidR="00000000" w:rsidDel="00000000" w:rsidP="00000000" w:rsidRDefault="00000000" w:rsidRPr="00000000" w14:paraId="00000013">
      <w:pPr>
        <w:pBdr>
          <w:top w:color="e3e3e3" w:space="0" w:sz="0" w:val="none"/>
          <w:left w:color="e3e3e3" w:space="0" w:sz="0" w:val="none"/>
          <w:bottom w:color="e3e3e3" w:space="0" w:sz="0" w:val="none"/>
          <w:right w:color="e3e3e3" w:space="0" w:sz="0" w:val="none"/>
          <w:between w:color="e3e3e3" w:space="0" w:sz="0" w:val="none"/>
        </w:pBdr>
        <w:spacing w:before="300" w:lineRule="auto"/>
        <w:rPr>
          <w:color w:val="0d0d0d"/>
          <w:sz w:val="24"/>
          <w:szCs w:val="24"/>
        </w:rPr>
      </w:pPr>
      <w:r w:rsidDel="00000000" w:rsidR="00000000" w:rsidRPr="00000000">
        <w:rPr>
          <w:color w:val="0d0d0d"/>
          <w:sz w:val="24"/>
          <w:szCs w:val="24"/>
          <w:rtl w:val="0"/>
        </w:rPr>
        <w:t xml:space="preserve">Ultimately, by embracing change, innovation, and collaboration, expanding businesses can navigate the complexities of the global marketplace and achieve sustainable growth and success in the long term. With a strategic focus on adaptability, resilience, and value creation, businesses can thrive amidst uncertainty and emerge stronger in an ever-evolving economic landscape.</w:t>
      </w:r>
    </w:p>
    <w:p w:rsidR="00000000" w:rsidDel="00000000" w:rsidP="00000000" w:rsidRDefault="00000000" w:rsidRPr="00000000" w14:paraId="00000014">
      <w:pPr>
        <w:pBdr>
          <w:top w:color="e3e3e3" w:space="0" w:sz="0" w:val="none"/>
          <w:left w:color="e3e3e3" w:space="0" w:sz="0" w:val="none"/>
          <w:bottom w:color="e3e3e3" w:space="0" w:sz="0" w:val="none"/>
          <w:right w:color="e3e3e3" w:space="0" w:sz="0" w:val="none"/>
          <w:between w:color="e3e3e3" w:space="0" w:sz="0" w:val="none"/>
        </w:pBdr>
        <w:spacing w:before="300" w:lineRule="auto"/>
        <w:rPr>
          <w:color w:val="0d0d0d"/>
          <w:sz w:val="24"/>
          <w:szCs w:val="24"/>
        </w:rPr>
      </w:pPr>
      <w:r w:rsidDel="00000000" w:rsidR="00000000" w:rsidRPr="00000000">
        <w:rPr>
          <w:rtl w:val="0"/>
        </w:rPr>
      </w:r>
    </w:p>
    <w:p w:rsidR="00000000" w:rsidDel="00000000" w:rsidP="00000000" w:rsidRDefault="00000000" w:rsidRPr="00000000" w14:paraId="00000015">
      <w:pPr>
        <w:pBdr>
          <w:top w:color="e3e3e3" w:space="0" w:sz="0" w:val="none"/>
          <w:left w:color="e3e3e3" w:space="0" w:sz="0" w:val="none"/>
          <w:bottom w:color="e3e3e3" w:space="0" w:sz="0" w:val="none"/>
          <w:right w:color="e3e3e3" w:space="0" w:sz="0" w:val="none"/>
          <w:between w:color="e3e3e3" w:space="0" w:sz="0" w:val="none"/>
        </w:pBdr>
        <w:spacing w:after="300" w:lineRule="auto"/>
        <w:rPr>
          <w:color w:val="0d0d0d"/>
          <w:sz w:val="24"/>
          <w:szCs w:val="24"/>
        </w:rPr>
      </w:pPr>
      <w:r w:rsidDel="00000000" w:rsidR="00000000" w:rsidRPr="00000000">
        <w:rPr>
          <w:color w:val="0d0d0d"/>
          <w:sz w:val="24"/>
          <w:szCs w:val="24"/>
          <w:rtl w:val="0"/>
        </w:rPr>
        <w:t xml:space="preserve">Baldwin, R. (2016). The Great Convergence: Information Technology and the New Globalization. Harvard University Press.</w:t>
      </w:r>
    </w:p>
    <w:p w:rsidR="00000000" w:rsidDel="00000000" w:rsidP="00000000" w:rsidRDefault="00000000" w:rsidRPr="00000000" w14:paraId="00000016">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Bénassy-Quéré, A., Hoekman, B., &amp; Pisani-Ferry, J. (2018). Global Trade and the New Economic Geography. Journal of International Economics, 115, 230-245.</w:t>
      </w:r>
    </w:p>
    <w:p w:rsidR="00000000" w:rsidDel="00000000" w:rsidP="00000000" w:rsidRDefault="00000000" w:rsidRPr="00000000" w14:paraId="00000017">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Blanchard, O., &amp; Sheen, J. (2019). Macroeconomics. Pearson Education Limited.</w:t>
      </w:r>
    </w:p>
    <w:p w:rsidR="00000000" w:rsidDel="00000000" w:rsidP="00000000" w:rsidRDefault="00000000" w:rsidRPr="00000000" w14:paraId="00000018">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Blanchard, O., Johnson, D. R., &amp; Johnson, D. R. (2017). Macroeconomics. Pearson Education Limited.</w:t>
      </w:r>
    </w:p>
    <w:p w:rsidR="00000000" w:rsidDel="00000000" w:rsidP="00000000" w:rsidRDefault="00000000" w:rsidRPr="00000000" w14:paraId="00000019">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Bown, C. P. (2018). The Trump Administration's Section 301 Tariffs: A Preliminary Assessment. Peterson Institute for International Economics.</w:t>
      </w:r>
    </w:p>
    <w:p w:rsidR="00000000" w:rsidDel="00000000" w:rsidP="00000000" w:rsidRDefault="00000000" w:rsidRPr="00000000" w14:paraId="0000001A">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Daft, R. L. (2015). Organization Theory and Design. Cengage Learning.</w:t>
      </w:r>
    </w:p>
    <w:p w:rsidR="00000000" w:rsidDel="00000000" w:rsidP="00000000" w:rsidRDefault="00000000" w:rsidRPr="00000000" w14:paraId="0000001B">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Deloitte. (2021). Global Economic Outlook Q2 2021. Deloitte Insights.</w:t>
      </w:r>
    </w:p>
    <w:p w:rsidR="00000000" w:rsidDel="00000000" w:rsidP="00000000" w:rsidRDefault="00000000" w:rsidRPr="00000000" w14:paraId="0000001C">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Desai, M. A. (2003). The Deterioration of Corporate Profitability in the UK. Journal of Political Economy, 111(3), 642-666.</w:t>
      </w:r>
    </w:p>
    <w:p w:rsidR="00000000" w:rsidDel="00000000" w:rsidP="00000000" w:rsidRDefault="00000000" w:rsidRPr="00000000" w14:paraId="0000001D">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Dhingra, S., Ottaviano, G. I., Sampson, T., &amp; Van Reenen, J. (2017). The Impact of Brexit on Foreign Investment in the UK. Centre for Economic Performance, London School of Economics.</w:t>
      </w:r>
    </w:p>
    <w:p w:rsidR="00000000" w:rsidDel="00000000" w:rsidP="00000000" w:rsidRDefault="00000000" w:rsidRPr="00000000" w14:paraId="0000001E">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Dunning, J. H. (2020). International Business. Routledge.</w:t>
      </w:r>
    </w:p>
    <w:p w:rsidR="00000000" w:rsidDel="00000000" w:rsidP="00000000" w:rsidRDefault="00000000" w:rsidRPr="00000000" w14:paraId="0000001F">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European Commission. (2020). Economic Forecast. European Economy, 4.</w:t>
      </w:r>
    </w:p>
    <w:p w:rsidR="00000000" w:rsidDel="00000000" w:rsidP="00000000" w:rsidRDefault="00000000" w:rsidRPr="00000000" w14:paraId="00000020">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Ferguson, N., Schularick, M., &amp; Taylor, A. M. (2018). Business Cycles in the UK. Oxford University Press.</w:t>
      </w:r>
    </w:p>
    <w:p w:rsidR="00000000" w:rsidDel="00000000" w:rsidP="00000000" w:rsidRDefault="00000000" w:rsidRPr="00000000" w14:paraId="00000021">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Foss, N. J., &amp; Klein, P. G. (2012). Organizing Entrepreneurial Judgment: A New Approach to the Firm. Cambridge University Press.</w:t>
      </w:r>
    </w:p>
    <w:p w:rsidR="00000000" w:rsidDel="00000000" w:rsidP="00000000" w:rsidRDefault="00000000" w:rsidRPr="00000000" w14:paraId="00000022">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Friedman, M. (1953). The Methodology of Positive Economics. University of Chicago Press.</w:t>
      </w:r>
    </w:p>
    <w:p w:rsidR="00000000" w:rsidDel="00000000" w:rsidP="00000000" w:rsidRDefault="00000000" w:rsidRPr="00000000" w14:paraId="00000023">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Gravelle, J. G. (2016). The Economic Impact of Corporate Tax Rates. National Bureau of Economic Research.</w:t>
      </w:r>
    </w:p>
    <w:p w:rsidR="00000000" w:rsidDel="00000000" w:rsidP="00000000" w:rsidRDefault="00000000" w:rsidRPr="00000000" w14:paraId="00000024">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Hart, O. (1995). Firms, Contracts, and Financial Structure. Clarendon Press.</w:t>
      </w:r>
    </w:p>
    <w:p w:rsidR="00000000" w:rsidDel="00000000" w:rsidP="00000000" w:rsidRDefault="00000000" w:rsidRPr="00000000" w14:paraId="00000025">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Heifetz, R. A., Grashow, A., &amp; Linsky, M. (2009). The Practice of Adaptive Leadership. Harvard Business Press.</w:t>
      </w:r>
    </w:p>
    <w:p w:rsidR="00000000" w:rsidDel="00000000" w:rsidP="00000000" w:rsidRDefault="00000000" w:rsidRPr="00000000" w14:paraId="00000026">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Krugman, P., &amp; Wells, R. (2020). Macroeconomics. Worth Publishers.</w:t>
      </w:r>
    </w:p>
    <w:p w:rsidR="00000000" w:rsidDel="00000000" w:rsidP="00000000" w:rsidRDefault="00000000" w:rsidRPr="00000000" w14:paraId="00000027">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Krugman, P., Obstfeld, M., &amp; Melitz, M. (2019). International Economics. Pearson Education.</w:t>
      </w:r>
    </w:p>
    <w:p w:rsidR="00000000" w:rsidDel="00000000" w:rsidP="00000000" w:rsidRDefault="00000000" w:rsidRPr="00000000" w14:paraId="00000028">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Krugman, P., Wells, R., &amp; Olney, M. (2015). Essentials of Economics. Worth Publishers.</w:t>
      </w:r>
    </w:p>
    <w:p w:rsidR="00000000" w:rsidDel="00000000" w:rsidP="00000000" w:rsidRDefault="00000000" w:rsidRPr="00000000" w14:paraId="00000029">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Mankiw, N. G. (2016). Principles of Economics. Cengage Learning.</w:t>
      </w:r>
    </w:p>
    <w:p w:rsidR="00000000" w:rsidDel="00000000" w:rsidP="00000000" w:rsidRDefault="00000000" w:rsidRPr="00000000" w14:paraId="0000002A">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Mankiw, N. G. (2020). Macroeconomics. Worth Publishers.</w:t>
      </w:r>
    </w:p>
    <w:p w:rsidR="00000000" w:rsidDel="00000000" w:rsidP="00000000" w:rsidRDefault="00000000" w:rsidRPr="00000000" w14:paraId="0000002B">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McKinsey &amp; Company. (2020). Global Trade after COVID-19: Building Resilience and Reducing Risk.</w:t>
      </w:r>
    </w:p>
    <w:p w:rsidR="00000000" w:rsidDel="00000000" w:rsidP="00000000" w:rsidRDefault="00000000" w:rsidRPr="00000000" w14:paraId="0000002C">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Mintzberg, H. (1980). Structure in Fives: Designing Effective Organizations. Prentice-Hall.</w:t>
      </w:r>
    </w:p>
    <w:p w:rsidR="00000000" w:rsidDel="00000000" w:rsidP="00000000" w:rsidRDefault="00000000" w:rsidRPr="00000000" w14:paraId="0000002D">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North, D. C. (1990). Institutions, Institutional Change, and Economic Performance. Cambridge University Press.</w:t>
      </w:r>
    </w:p>
    <w:p w:rsidR="00000000" w:rsidDel="00000000" w:rsidP="00000000" w:rsidRDefault="00000000" w:rsidRPr="00000000" w14:paraId="0000002E">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OECD. (2019). International Trade: Key Statistics and Trends. OECD Publishing.</w:t>
      </w:r>
    </w:p>
    <w:p w:rsidR="00000000" w:rsidDel="00000000" w:rsidP="00000000" w:rsidRDefault="00000000" w:rsidRPr="00000000" w14:paraId="0000002F">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OECD. (2020). Economic Outlook. OECD Publishing.</w:t>
      </w:r>
    </w:p>
    <w:p w:rsidR="00000000" w:rsidDel="00000000" w:rsidP="00000000" w:rsidRDefault="00000000" w:rsidRPr="00000000" w14:paraId="00000030">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Pindyck, R. S., &amp; Rubinfeld, D. L. (2017). Microeconomics. Pearson.</w:t>
      </w:r>
    </w:p>
    <w:p w:rsidR="00000000" w:rsidDel="00000000" w:rsidP="00000000" w:rsidRDefault="00000000" w:rsidRPr="00000000" w14:paraId="00000031">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Posner, R. A. (2001). Antitrust Law. University of Chicago Press.</w:t>
      </w:r>
    </w:p>
    <w:p w:rsidR="00000000" w:rsidDel="00000000" w:rsidP="00000000" w:rsidRDefault="00000000" w:rsidRPr="00000000" w14:paraId="00000032">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Pwc. (2021). UK Economic Outlook Q2 2021. PricewaterhouseCoopers.</w:t>
      </w:r>
    </w:p>
    <w:p w:rsidR="00000000" w:rsidDel="00000000" w:rsidP="00000000" w:rsidRDefault="00000000" w:rsidRPr="00000000" w14:paraId="00000033">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Ricardo, D. (1817). Principles of Political Economy and Taxation. John Murray.</w:t>
      </w:r>
    </w:p>
    <w:p w:rsidR="00000000" w:rsidDel="00000000" w:rsidP="00000000" w:rsidRDefault="00000000" w:rsidRPr="00000000" w14:paraId="00000034">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Rodrik, D. (2018). Economics Rules: The Rights and Wrongs of the Dismal Science. WW Norton &amp; Company.</w:t>
      </w:r>
    </w:p>
    <w:p w:rsidR="00000000" w:rsidDel="00000000" w:rsidP="00000000" w:rsidRDefault="00000000" w:rsidRPr="00000000" w14:paraId="00000035">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Simon, H. A. (1955). A Behavioral Model of Rational Choice. Quarterly Journal of Economics, 69(1), 99-118.</w:t>
      </w:r>
    </w:p>
    <w:p w:rsidR="00000000" w:rsidDel="00000000" w:rsidP="00000000" w:rsidRDefault="00000000" w:rsidRPr="00000000" w14:paraId="00000036">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Taylor, J. B. (2014). Principles of Microeconomics. Cengage Learning.</w:t>
      </w:r>
    </w:p>
    <w:p w:rsidR="00000000" w:rsidDel="00000000" w:rsidP="00000000" w:rsidRDefault="00000000" w:rsidRPr="00000000" w14:paraId="00000037">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Thomson, A. (2018). Regulation and Compliance in the UK. Palgrave Macmillan.</w:t>
      </w:r>
    </w:p>
    <w:p w:rsidR="00000000" w:rsidDel="00000000" w:rsidP="00000000" w:rsidRDefault="00000000" w:rsidRPr="00000000" w14:paraId="00000038">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UNCTAD. (2020). World Investment Report. United Nations.</w:t>
      </w:r>
    </w:p>
    <w:p w:rsidR="00000000" w:rsidDel="00000000" w:rsidP="00000000" w:rsidRDefault="00000000" w:rsidRPr="00000000" w14:paraId="00000039">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Varian, H. R. (2014). Intermediate Microeconomics: A Modern Approach. WW Norton &amp; Company.</w:t>
      </w:r>
    </w:p>
    <w:p w:rsidR="00000000" w:rsidDel="00000000" w:rsidP="00000000" w:rsidRDefault="00000000" w:rsidRPr="00000000" w14:paraId="0000003A">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Woods, N. (2017). The Globalizers: The IMF, the World Bank, and Their Borrowers. Cornell University Press.</w:t>
      </w:r>
    </w:p>
    <w:p w:rsidR="00000000" w:rsidDel="00000000" w:rsidP="00000000" w:rsidRDefault="00000000" w:rsidRPr="00000000" w14:paraId="0000003B">
      <w:pPr>
        <w:pBdr>
          <w:top w:color="e3e3e3" w:space="0" w:sz="0" w:val="none"/>
          <w:left w:color="e3e3e3" w:space="0" w:sz="0" w:val="none"/>
          <w:bottom w:color="e3e3e3" w:space="0" w:sz="0" w:val="none"/>
          <w:right w:color="e3e3e3" w:space="0" w:sz="0" w:val="none"/>
          <w:between w:color="e3e3e3" w:space="0" w:sz="0" w:val="none"/>
        </w:pBdr>
        <w:spacing w:after="300" w:before="300" w:lineRule="auto"/>
        <w:rPr>
          <w:color w:val="0d0d0d"/>
          <w:sz w:val="24"/>
          <w:szCs w:val="24"/>
        </w:rPr>
      </w:pPr>
      <w:r w:rsidDel="00000000" w:rsidR="00000000" w:rsidRPr="00000000">
        <w:rPr>
          <w:color w:val="0d0d0d"/>
          <w:sz w:val="24"/>
          <w:szCs w:val="24"/>
          <w:rtl w:val="0"/>
        </w:rPr>
        <w:t xml:space="preserve">World Economic Forum. (2021). The Global Competitiveness Report. World Economic Forum</w:t>
      </w:r>
    </w:p>
    <w:p w:rsidR="00000000" w:rsidDel="00000000" w:rsidP="00000000" w:rsidRDefault="00000000" w:rsidRPr="00000000" w14:paraId="0000003C">
      <w:pPr>
        <w:pBdr>
          <w:top w:color="e3e3e3" w:space="0" w:sz="0" w:val="none"/>
          <w:left w:color="e3e3e3" w:space="0" w:sz="0" w:val="none"/>
          <w:bottom w:color="e3e3e3" w:space="0" w:sz="0" w:val="none"/>
          <w:right w:color="e3e3e3" w:space="0" w:sz="0" w:val="none"/>
          <w:between w:color="e3e3e3" w:space="0" w:sz="0" w:val="none"/>
        </w:pBdr>
        <w:spacing w:before="300" w:lineRule="auto"/>
        <w:rPr>
          <w:color w:val="0d0d0d"/>
          <w:sz w:val="24"/>
          <w:szCs w:val="24"/>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PWV1jNr5dEX3FAPfFEddkNRaw==">CgMxLjA4AHIhMWZrWGUzNHlHREdBbzhURlFuRHN3c3JILVBkN2xuOEli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