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EDAF5" w14:textId="1B2FDFD8" w:rsidR="00197E15" w:rsidRDefault="00A806E0" w:rsidP="00A806E0">
      <w:r>
        <w:t>The new curriculum for Wales aims to implement a new way of teaching and learning. The focus of this curriculum surrounds the 4 purposes which are supported by 27 statements of what matters.</w:t>
      </w:r>
      <w:r w:rsidR="003D558A">
        <w:t xml:space="preserve"> The main aim of the new curriculum is to provide both practitioners and pupils with guidance and support to achieve each purpose and statement during their time within education (Donaldson, 2015).</w:t>
      </w:r>
      <w:r>
        <w:t xml:space="preserve"> Each AOLE, method of teaching and progression in learning is designed to promote a blended approach to all teaching and learning</w:t>
      </w:r>
      <w:r w:rsidR="001D25F7">
        <w:t>;</w:t>
      </w:r>
      <w:r>
        <w:t xml:space="preserve"> in order to gain success amongst all pupils in Wales</w:t>
      </w:r>
      <w:r w:rsidR="00697115">
        <w:t xml:space="preserve"> </w:t>
      </w:r>
      <w:sdt>
        <w:sdtPr>
          <w:id w:val="569153443"/>
          <w:citation/>
        </w:sdtPr>
        <w:sdtContent>
          <w:r w:rsidR="00697115">
            <w:fldChar w:fldCharType="begin"/>
          </w:r>
          <w:r w:rsidR="00697115">
            <w:instrText xml:space="preserve"> CITATION Wel20 \l 2057 </w:instrText>
          </w:r>
          <w:r w:rsidR="00697115">
            <w:fldChar w:fldCharType="separate"/>
          </w:r>
          <w:r w:rsidR="00AA497C" w:rsidRPr="00AA497C">
            <w:rPr>
              <w:noProof/>
            </w:rPr>
            <w:t>(Welsh Government, 2020)</w:t>
          </w:r>
          <w:r w:rsidR="00697115">
            <w:fldChar w:fldCharType="end"/>
          </w:r>
        </w:sdtContent>
      </w:sdt>
      <w:r w:rsidR="00697115">
        <w:t>. In order to achieve success</w:t>
      </w:r>
      <w:r w:rsidR="001D25F7">
        <w:t>,</w:t>
      </w:r>
      <w:r w:rsidR="00697115">
        <w:t xml:space="preserve"> teaching practitioners, need to engage with the new curriculum and promote good teaching practice. </w:t>
      </w:r>
      <w:r w:rsidR="001D25F7">
        <w:t xml:space="preserve">So, as </w:t>
      </w:r>
      <w:r w:rsidR="00697115">
        <w:t>to achieve this</w:t>
      </w:r>
      <w:r w:rsidR="001D25F7">
        <w:t>,</w:t>
      </w:r>
      <w:r w:rsidR="00697115">
        <w:t xml:space="preserve"> the Welsh government created 12 pedagogical principles to guide practitioners through delivering the new curriculum effectively to all pupils.</w:t>
      </w:r>
      <w:r w:rsidR="001D25F7">
        <w:t xml:space="preserve"> Each pedagogy allows teachers to understand the ‘why’ and ‘how’ of teaching allowing them to support pupils when achieving the four purposes of education </w:t>
      </w:r>
      <w:sdt>
        <w:sdtPr>
          <w:id w:val="-1313020167"/>
          <w:citation/>
        </w:sdtPr>
        <w:sdtContent>
          <w:r w:rsidR="001D25F7">
            <w:fldChar w:fldCharType="begin"/>
          </w:r>
          <w:r w:rsidR="001D25F7">
            <w:instrText xml:space="preserve"> CITATION Don15 \l 2057 </w:instrText>
          </w:r>
          <w:r w:rsidR="001D25F7">
            <w:fldChar w:fldCharType="separate"/>
          </w:r>
          <w:r w:rsidR="00AA497C" w:rsidRPr="00AA497C">
            <w:rPr>
              <w:noProof/>
            </w:rPr>
            <w:t>(Donaldson, 2015)</w:t>
          </w:r>
          <w:r w:rsidR="001D25F7">
            <w:fldChar w:fldCharType="end"/>
          </w:r>
        </w:sdtContent>
      </w:sdt>
      <w:r w:rsidR="001D25F7">
        <w:t xml:space="preserve">. </w:t>
      </w:r>
      <w:r w:rsidR="00697115">
        <w:t xml:space="preserve"> The following discussion focuses on 3 of these pedagogies, evaluating their effectiveness within the classroom and linking each pedagogy to teaching practice. </w:t>
      </w:r>
      <w:r w:rsidR="00014B73">
        <w:t xml:space="preserve">The term, good teaching and learning means employing a blend of approaches including direct teaching, </w:t>
      </w:r>
      <w:r w:rsidR="003D558A">
        <w:t>encourages teachers to incorporate a blend of approaches and differentiation within their teaching</w:t>
      </w:r>
      <w:r w:rsidR="00014B73">
        <w:t>. Good teaching and learning sets tasks and select resources that build on previous knowledge and experience and engage interest</w:t>
      </w:r>
      <w:r w:rsidR="003D558A">
        <w:t>, encourages practitioners to support learners to achieve success by delivering engaging content which builds on what they already know</w:t>
      </w:r>
      <w:r w:rsidR="00014B73">
        <w:t xml:space="preserve">. </w:t>
      </w:r>
      <w:r w:rsidR="003D558A">
        <w:t>Finally, g</w:t>
      </w:r>
      <w:r w:rsidR="00014B73">
        <w:t>ood teaching and learning ranges within and across Areas of Learning and Experience</w:t>
      </w:r>
      <w:r w:rsidR="003D558A">
        <w:t xml:space="preserve">, promotes incorporating a range of AOLE’s into lessons and linking them to the content that’s being delivered. Each </w:t>
      </w:r>
      <w:r w:rsidR="00B9702A">
        <w:t xml:space="preserve">lesson and form of practice is supported by these principles. They develop a clear understanding of what the new curriculum wants each </w:t>
      </w:r>
      <w:r w:rsidR="00ED7DBD">
        <w:t>pupil</w:t>
      </w:r>
      <w:r w:rsidR="00B9702A">
        <w:t xml:space="preserve"> to achieve, promoting collaboration amongst all teachers, whilst gaining a clear understanding of what good practice consists of </w:t>
      </w:r>
      <w:sdt>
        <w:sdtPr>
          <w:id w:val="286629240"/>
          <w:citation/>
        </w:sdtPr>
        <w:sdtContent>
          <w:r w:rsidR="00B9702A">
            <w:fldChar w:fldCharType="begin"/>
          </w:r>
          <w:r w:rsidR="00B9702A">
            <w:instrText xml:space="preserve"> CITATION Wel201 \l 2057 </w:instrText>
          </w:r>
          <w:r w:rsidR="00B9702A">
            <w:fldChar w:fldCharType="separate"/>
          </w:r>
          <w:r w:rsidR="00AA497C" w:rsidRPr="00AA497C">
            <w:rPr>
              <w:noProof/>
            </w:rPr>
            <w:t>(Welsh Government , 2020)</w:t>
          </w:r>
          <w:r w:rsidR="00B9702A">
            <w:fldChar w:fldCharType="end"/>
          </w:r>
        </w:sdtContent>
      </w:sdt>
      <w:r w:rsidR="00B9702A">
        <w:t xml:space="preserve">. </w:t>
      </w:r>
    </w:p>
    <w:p w14:paraId="7F1CEAB1" w14:textId="77777777" w:rsidR="00D3487F" w:rsidRDefault="00D3487F" w:rsidP="00A806E0"/>
    <w:p w14:paraId="012078ED" w14:textId="77777777" w:rsidR="000C4334" w:rsidRDefault="000C4334" w:rsidP="00A806E0"/>
    <w:p w14:paraId="0748C7AF" w14:textId="61B85A6E" w:rsidR="000C4334" w:rsidRDefault="000C4334" w:rsidP="00A806E0">
      <w:r>
        <w:t>The first pedagogy discussed is, good teaching and learning means employing a blend of approaches including direct teaching. Essentially, this term suggests teachers should use a range of teaching methods within their classroom (Donaldson, 2015). Examples of different methods of practice include, student led learning, where students make their own decisions promoting independence and student choice. Group work, this can be portrayed in different ways however, usually divided by ability pupils are split into groups in order to complete tasks. Finally, peer assessment, this involves pupils evaluating each other’s work, this method encourages pupils to identify strengths and set targets for their classmates allowing them to consider learning outcomes and the importance of success criteria’s. Another example of a teaching method is direct teaching. Mentioned in the statement itself</w:t>
      </w:r>
      <w:r w:rsidR="00ED7DBD">
        <w:t>,</w:t>
      </w:r>
      <w:r>
        <w:t xml:space="preserve"> this teaching method is considered a traditional practice and most popular amongst practitioners. Hattie described direct learning as teacher led. This means the teacher is actively engaged with pupils throughout, setting learning outcomes, providing support and evaluating throughout the lesson </w:t>
      </w:r>
      <w:sdt>
        <w:sdtPr>
          <w:id w:val="-1544290436"/>
          <w:citation/>
        </w:sdtPr>
        <w:sdtContent>
          <w:r>
            <w:fldChar w:fldCharType="begin"/>
          </w:r>
          <w:r>
            <w:instrText xml:space="preserve"> CITATION Hat13 \l 2057 </w:instrText>
          </w:r>
          <w:r>
            <w:fldChar w:fldCharType="separate"/>
          </w:r>
          <w:r w:rsidR="00AA497C" w:rsidRPr="00AA497C">
            <w:rPr>
              <w:noProof/>
            </w:rPr>
            <w:t>(Hattie &amp; Yates, 2013)</w:t>
          </w:r>
          <w:r>
            <w:fldChar w:fldCharType="end"/>
          </w:r>
        </w:sdtContent>
      </w:sdt>
      <w:r>
        <w:t xml:space="preserve">. This pedagogy supports differentiation within teaching and learning. This is a crucial part of the new curriculum as each individual pupil is unique and every child </w:t>
      </w:r>
      <w:r w:rsidR="00ED7DBD">
        <w:t xml:space="preserve">learns differently. Therefore, differentiation within the classroom is crucial for the success of every pupil </w:t>
      </w:r>
      <w:sdt>
        <w:sdtPr>
          <w:id w:val="968014557"/>
          <w:citation/>
        </w:sdtPr>
        <w:sdtContent>
          <w:r w:rsidR="00ED7DBD">
            <w:fldChar w:fldCharType="begin"/>
          </w:r>
          <w:r w:rsidR="00ED7DBD">
            <w:instrText xml:space="preserve"> CITATION Gui01 \l 2057 </w:instrText>
          </w:r>
          <w:r w:rsidR="00ED7DBD">
            <w:fldChar w:fldCharType="separate"/>
          </w:r>
          <w:r w:rsidR="00AA497C" w:rsidRPr="00AA497C">
            <w:rPr>
              <w:noProof/>
            </w:rPr>
            <w:t>(Guiney &amp; O'Brien, 2001)</w:t>
          </w:r>
          <w:r w:rsidR="00ED7DBD">
            <w:fldChar w:fldCharType="end"/>
          </w:r>
        </w:sdtContent>
      </w:sdt>
      <w:r w:rsidR="00ED7DBD">
        <w:t xml:space="preserve">. </w:t>
      </w:r>
    </w:p>
    <w:p w14:paraId="37FC6C8C" w14:textId="77777777" w:rsidR="00ED7DBD" w:rsidRDefault="00ED7DBD" w:rsidP="00A806E0"/>
    <w:p w14:paraId="5D97BA13" w14:textId="4CEB11DA" w:rsidR="00ED7DBD" w:rsidRDefault="00D3487F" w:rsidP="00A806E0">
      <w:r>
        <w:t xml:space="preserve">Within relation to teaching practice, school x presented this pedagogy within each classroom, throughout the day. A blend of approaches to teaching was engraved within the </w:t>
      </w:r>
      <w:r>
        <w:lastRenderedPageBreak/>
        <w:t xml:space="preserve">classroom routine in order to ensure every pupil’s learning needs were met. For example, during the morning the teacher would carry out direct learning on the carpet with the whole class. During this time the teacher explained the outcomes expected from the day, the tasks pupils will be completing, alongside checking in on every pupil. As the day went on the class was split into mixed ability groups. Again, during this time multiple methods of teaching were utilised within the classroom. For example, some groups carried out guided learning with the teacher or LSA. During guided learning pupils still had the choice to decide the level of difficulty they would be working at. Other groups completed student led learning. This consisted of pupils deciding what task they would like to carry out in order to improve their knowledge on the topic of the term. Finally at the end of all task’s pupils carried out self-assessment and decided how they task went with the use of stickers to determine how they were feeling. This approach to the school day ensured the teacher was following the pedagogy, however, pupils were also benefiting from good practice as they had access to whatever teaching method best suited their learning. </w:t>
      </w:r>
    </w:p>
    <w:p w14:paraId="5AE31B68" w14:textId="77777777" w:rsidR="00D3487F" w:rsidRDefault="00D3487F" w:rsidP="00A806E0"/>
    <w:p w14:paraId="5B4313A3" w14:textId="10CAE997" w:rsidR="00D3487F" w:rsidRDefault="00820C57" w:rsidP="00A806E0">
      <w:r>
        <w:t xml:space="preserve">The term used to best summarise this pedagogy could be differentiation. Carol A Tomlinson has written a vast amount of literature surrounding this term and why it should be incorporated within the classroom. She suggested that a blend of approaches to teaching and learning encourages students to take control of their own learning and identify what they need to do in order to achieve their personal goals. Her writing encourages practitioners to consider the student. By doing so teaching and learning should consider a range of students all with different abilities and needs </w:t>
      </w:r>
      <w:sdt>
        <w:sdtPr>
          <w:id w:val="-1624456714"/>
          <w:citation/>
        </w:sdtPr>
        <w:sdtContent>
          <w:r>
            <w:fldChar w:fldCharType="begin"/>
          </w:r>
          <w:r>
            <w:instrText xml:space="preserve"> CITATION Tom17 \l 2057 </w:instrText>
          </w:r>
          <w:r>
            <w:fldChar w:fldCharType="separate"/>
          </w:r>
          <w:r w:rsidR="00AA497C" w:rsidRPr="00AA497C">
            <w:rPr>
              <w:noProof/>
            </w:rPr>
            <w:t>(Tomlinson, 2017)</w:t>
          </w:r>
          <w:r>
            <w:fldChar w:fldCharType="end"/>
          </w:r>
        </w:sdtContent>
      </w:sdt>
      <w:r>
        <w:t xml:space="preserve">. However, not everyone agrees with a blend of approaches within teaching and learning. For example, </w:t>
      </w:r>
      <w:r w:rsidR="00EF188C">
        <w:t xml:space="preserve">the Education Index Survey states 75% of teachers and staff within schools are stressed whilst 42% of staff believe their organisation’s culture has a negative effect on their well-being. The survey suggests 68% of staff who wanted to leave the sector considered leaving due to the volume of workload </w:t>
      </w:r>
      <w:sdt>
        <w:sdtPr>
          <w:id w:val="-2116827021"/>
          <w:citation/>
        </w:sdtPr>
        <w:sdtContent>
          <w:r w:rsidR="00EF188C">
            <w:fldChar w:fldCharType="begin"/>
          </w:r>
          <w:r w:rsidR="00EF188C">
            <w:instrText xml:space="preserve"> CITATION Sav22 \l 2057 </w:instrText>
          </w:r>
          <w:r w:rsidR="00EF188C">
            <w:fldChar w:fldCharType="separate"/>
          </w:r>
          <w:r w:rsidR="00AA497C" w:rsidRPr="00AA497C">
            <w:rPr>
              <w:noProof/>
            </w:rPr>
            <w:t>(Savill-Smith, 2022)</w:t>
          </w:r>
          <w:r w:rsidR="00EF188C">
            <w:fldChar w:fldCharType="end"/>
          </w:r>
        </w:sdtContent>
      </w:sdt>
      <w:r w:rsidR="00EF188C">
        <w:t xml:space="preserve">. Due to their </w:t>
      </w:r>
      <w:r w:rsidR="0010327D">
        <w:t>workload</w:t>
      </w:r>
      <w:r w:rsidR="00EF188C">
        <w:t xml:space="preserve"> already being ‘too much’ many teachers feel that incorporating a range of teaching approaches into every day practice may provide even more work</w:t>
      </w:r>
      <w:r w:rsidR="0010327D">
        <w:t xml:space="preserve">, contributing to the burn out crisis with education </w:t>
      </w:r>
      <w:sdt>
        <w:sdtPr>
          <w:id w:val="440264665"/>
          <w:citation/>
        </w:sdtPr>
        <w:sdtContent>
          <w:r w:rsidR="0010327D">
            <w:fldChar w:fldCharType="begin"/>
          </w:r>
          <w:r w:rsidR="0010327D">
            <w:instrText xml:space="preserve"> CITATION Smi22 \l 2057 </w:instrText>
          </w:r>
          <w:r w:rsidR="0010327D">
            <w:fldChar w:fldCharType="separate"/>
          </w:r>
          <w:r w:rsidR="00AA497C" w:rsidRPr="00AA497C">
            <w:rPr>
              <w:noProof/>
            </w:rPr>
            <w:t>(Smith, 2022)</w:t>
          </w:r>
          <w:r w:rsidR="0010327D">
            <w:fldChar w:fldCharType="end"/>
          </w:r>
        </w:sdtContent>
      </w:sdt>
      <w:r w:rsidR="0010327D">
        <w:t xml:space="preserve">. Keeping this in mind, this pedagogy may come across as increasing workload for teachers. However, the content being delivered does not change, practitioners only need to consider the methods they are incorporating into delivering said content. Taking this into consideration, I believe this pedagogy benefits not only teachers however pupils too. The new curriculum is student focused, therefore it is crucial for teachers to see through the eye on a pupil. This pedagogy encourages this exactly and ensures that individuality within the classroom is being practiced alongside being supported.  </w:t>
      </w:r>
    </w:p>
    <w:p w14:paraId="367BB5B0" w14:textId="77777777" w:rsidR="00F86152" w:rsidRDefault="00F86152" w:rsidP="00A806E0"/>
    <w:p w14:paraId="71159C4D" w14:textId="732C6E7E" w:rsidR="00F86152" w:rsidRDefault="00F86152" w:rsidP="00A806E0">
      <w:r>
        <w:t>The second pedagogy being discusses is good teaching and learning sets tasks and select resources that build on previous knowledge and experience and engage interest. This pedagogy suggests that practitioners should provide pupils with the steppingstones to success. Rather than expecting all pupils to have a widened knowledge on a particular subject teachers need to identify where each individual is at. The Welsh government provided 27 statements of what matters which pinpoint certain skills required</w:t>
      </w:r>
      <w:r w:rsidR="000C1C20">
        <w:t xml:space="preserve"> for pupils to meet</w:t>
      </w:r>
      <w:r>
        <w:t xml:space="preserve"> certain progression steps. This document will then enable teachers to provide pupils with the correct resources and skills to </w:t>
      </w:r>
      <w:r w:rsidR="000C1C20">
        <w:t>build</w:t>
      </w:r>
      <w:r>
        <w:t xml:space="preserve"> on prior knowledge and progress to the next step </w:t>
      </w:r>
      <w:sdt>
        <w:sdtPr>
          <w:id w:val="-807942656"/>
          <w:citation/>
        </w:sdtPr>
        <w:sdtContent>
          <w:r w:rsidR="000C1C20">
            <w:fldChar w:fldCharType="begin"/>
          </w:r>
          <w:r w:rsidR="000C1C20">
            <w:instrText xml:space="preserve"> CITATION Wel19 \l 2057 </w:instrText>
          </w:r>
          <w:r w:rsidR="000C1C20">
            <w:fldChar w:fldCharType="separate"/>
          </w:r>
          <w:r w:rsidR="00AA497C" w:rsidRPr="00AA497C">
            <w:rPr>
              <w:noProof/>
            </w:rPr>
            <w:t>(Welsh Government, 2019)</w:t>
          </w:r>
          <w:r w:rsidR="000C1C20">
            <w:fldChar w:fldCharType="end"/>
          </w:r>
        </w:sdtContent>
      </w:sdt>
      <w:r w:rsidR="000C1C20">
        <w:t xml:space="preserve">. Donaldson suggested teachers should focus on progression steps when delivering content and consider that not every individual will be at the same </w:t>
      </w:r>
      <w:r w:rsidR="000C1C20">
        <w:lastRenderedPageBreak/>
        <w:t xml:space="preserve">point when it comes to ability and knowledge. He stated teachers should also offer engaging experiences which not only sparks interests, however, meets the needs of each unique individual (Donaldson, 2015). </w:t>
      </w:r>
    </w:p>
    <w:p w14:paraId="54A3981D" w14:textId="77777777" w:rsidR="000C1C20" w:rsidRDefault="000C1C20" w:rsidP="00A806E0"/>
    <w:p w14:paraId="21D831E5" w14:textId="46AC4AEE" w:rsidR="000C1C20" w:rsidRDefault="000C1C20" w:rsidP="00A806E0">
      <w:r>
        <w:t xml:space="preserve">When put into practice this pedagogy can be portrayed in many ways using multiple different methods. For example, many teachers use self-assessment as a method to allow children to identify what they need to do in order to improve and build on their knowledge. For example, in school x a method called the learning pit is often used. This consists of the teacher asking a pupil if they felt they struggled with a task and what they think they need to do in order to do better next time. By doing so, pupils can also identify what they need to do next in order to progress in the future. </w:t>
      </w:r>
      <w:r w:rsidR="00DB2902">
        <w:t xml:space="preserve">It is also important that a teacher takes time to get to know </w:t>
      </w:r>
      <w:proofErr w:type="gramStart"/>
      <w:r w:rsidR="00DB2902">
        <w:t>each individual</w:t>
      </w:r>
      <w:proofErr w:type="gramEnd"/>
      <w:r w:rsidR="00DB2902">
        <w:t xml:space="preserve"> within their classroom. By doing so they will be aware of each child’s interests and what resources will engage them with their learning. </w:t>
      </w:r>
      <w:r>
        <w:t xml:space="preserve">Another method used that provides engaging resources in order to build on prior knowledge is forest schools. </w:t>
      </w:r>
      <w:r w:rsidR="00817C0D">
        <w:t xml:space="preserve">The first of its kind within the UK was created in Bridgewater during 1956. Forests schools promote the benefits of outdoor learning and providing children with experiences in the outdoor environment. It is believed forest schools provide children with experiences and skills for lifelong learning. Friedrich Froebel believed the outdoors was the best environment for children to learn and develop in </w:t>
      </w:r>
      <w:sdt>
        <w:sdtPr>
          <w:id w:val="1150716086"/>
          <w:citation/>
        </w:sdtPr>
        <w:sdtContent>
          <w:r w:rsidR="00817C0D">
            <w:fldChar w:fldCharType="begin"/>
          </w:r>
          <w:r w:rsidR="00817C0D">
            <w:instrText xml:space="preserve"> CITATION Bru12 \l 2057 </w:instrText>
          </w:r>
          <w:r w:rsidR="00817C0D">
            <w:fldChar w:fldCharType="separate"/>
          </w:r>
          <w:r w:rsidR="00AA497C" w:rsidRPr="00AA497C">
            <w:rPr>
              <w:noProof/>
            </w:rPr>
            <w:t>(Bruce, 2012)</w:t>
          </w:r>
          <w:r w:rsidR="00817C0D">
            <w:fldChar w:fldCharType="end"/>
          </w:r>
        </w:sdtContent>
      </w:sdt>
      <w:r w:rsidR="00817C0D">
        <w:t xml:space="preserve">. By providing children with an engaging environment, they can explore and develop skills they may not develop within the indoor classroom. Finally, another method observed in school x was dividing the class into groups based on ability. This provides pupils with the relevant resources and support they need based on their knowledge and abilities. Teachers use this method to allow all pupils to challenge themselves however, alongside pupils who share similar ability. This avoids children struggling silently within the classroom </w:t>
      </w:r>
      <w:r w:rsidR="00DB2902">
        <w:t xml:space="preserve">and offers support to allow all to succeed. </w:t>
      </w:r>
    </w:p>
    <w:p w14:paraId="357FBFAE" w14:textId="77777777" w:rsidR="00DB2902" w:rsidRDefault="00DB2902" w:rsidP="00A806E0"/>
    <w:p w14:paraId="17285B97" w14:textId="48D9ED24" w:rsidR="00DB2902" w:rsidRDefault="00DB2902" w:rsidP="00A806E0">
      <w:r>
        <w:t xml:space="preserve">Lee Vygotsky emphasised the ability children must learn when they use their prior knowledge, alongside support from a more knowledgeable other. He believed prior knowledge is the steppingstone that allows children to develop. He believed the zone of proximal development was the gap between prior knowledge and what a child can achieve with help from an MKO </w:t>
      </w:r>
      <w:sdt>
        <w:sdtPr>
          <w:id w:val="-1851872545"/>
          <w:citation/>
        </w:sdtPr>
        <w:sdtContent>
          <w:r w:rsidR="0096104A">
            <w:fldChar w:fldCharType="begin"/>
          </w:r>
          <w:r w:rsidR="0096104A">
            <w:instrText xml:space="preserve"> CITATION Vyg781 \l 2057 </w:instrText>
          </w:r>
          <w:r w:rsidR="0096104A">
            <w:fldChar w:fldCharType="separate"/>
          </w:r>
          <w:r w:rsidR="00AA497C" w:rsidRPr="00AA497C">
            <w:rPr>
              <w:noProof/>
            </w:rPr>
            <w:t>(Vygotsky, 1978)</w:t>
          </w:r>
          <w:r w:rsidR="0096104A">
            <w:fldChar w:fldCharType="end"/>
          </w:r>
        </w:sdtContent>
      </w:sdt>
      <w:r w:rsidR="0096104A">
        <w:t xml:space="preserve">. With this in mind, his theory suggest that this pedagogy enables children to develop with the support from their teacher. Another theory that supports this pedagogy is written by Jerome Bruner. He suggested children develop through changing experiences into knowledge </w:t>
      </w:r>
      <w:sdt>
        <w:sdtPr>
          <w:id w:val="1700429788"/>
          <w:citation/>
        </w:sdtPr>
        <w:sdtContent>
          <w:r w:rsidR="0096104A">
            <w:fldChar w:fldCharType="begin"/>
          </w:r>
          <w:r w:rsidR="0096104A">
            <w:instrText xml:space="preserve"> CITATION Bru60 \l 2057 </w:instrText>
          </w:r>
          <w:r w:rsidR="0096104A">
            <w:fldChar w:fldCharType="separate"/>
          </w:r>
          <w:r w:rsidR="00AA497C" w:rsidRPr="00AA497C">
            <w:rPr>
              <w:noProof/>
            </w:rPr>
            <w:t>(Bruner, 1960)</w:t>
          </w:r>
          <w:r w:rsidR="0096104A">
            <w:fldChar w:fldCharType="end"/>
          </w:r>
        </w:sdtContent>
      </w:sdt>
      <w:r w:rsidR="0096104A">
        <w:t xml:space="preserve">. Within the pedagogy stated above the words ‘experiencer and engage’ suggests that Bruner’s theory is being incorporated into the new curriculum and children are being provided with many opportunities that contribute to their development. However, not everybody agrees with this pedagogy. For example, </w:t>
      </w:r>
      <w:r w:rsidR="00005AC3">
        <w:t xml:space="preserve">it can be argued that society today does not offer children enough time to play outside and experience the outdoor environment. Many people also believe that as children move through education they begin to spend ‘too much’ time within the classroom and don’t receive the same engaging opportunities they did when they were younger </w:t>
      </w:r>
      <w:sdt>
        <w:sdtPr>
          <w:id w:val="1119569945"/>
          <w:citation/>
        </w:sdtPr>
        <w:sdtContent>
          <w:r w:rsidR="00005AC3">
            <w:fldChar w:fldCharType="begin"/>
          </w:r>
          <w:r w:rsidR="00005AC3">
            <w:instrText xml:space="preserve"> CITATION Pou05 \l 2057 </w:instrText>
          </w:r>
          <w:r w:rsidR="00005AC3">
            <w:fldChar w:fldCharType="separate"/>
          </w:r>
          <w:r w:rsidR="00AA497C" w:rsidRPr="00AA497C">
            <w:rPr>
              <w:noProof/>
            </w:rPr>
            <w:t>(Pound, 2005)</w:t>
          </w:r>
          <w:r w:rsidR="00005AC3">
            <w:fldChar w:fldCharType="end"/>
          </w:r>
        </w:sdtContent>
      </w:sdt>
      <w:r w:rsidR="00005AC3">
        <w:t xml:space="preserve">. However, taking into consideration the development of technology within the classroom and the use of forest schools, I believe this pedagogy clearly guides practitioners to provide pupils with engaging tasks and the support to develop throughout their education. </w:t>
      </w:r>
    </w:p>
    <w:p w14:paraId="79A6AA75" w14:textId="77777777" w:rsidR="00BB2155" w:rsidRDefault="00BB2155" w:rsidP="00A806E0"/>
    <w:p w14:paraId="6356CD4B" w14:textId="78CB2340" w:rsidR="00BB2155" w:rsidRDefault="00BB2155" w:rsidP="00A806E0">
      <w:r>
        <w:lastRenderedPageBreak/>
        <w:t xml:space="preserve">Finally, </w:t>
      </w:r>
      <w:r>
        <w:t>good teaching and learning ranges within and across Areas of Learning and Experience</w:t>
      </w:r>
      <w:r>
        <w:t xml:space="preserve"> (AOLE’s) is the third pedagogy to be discussed. This principle suggests that good practice consists of teachers incorporating multiple areas of learning into each lesson they deliver (Donaldson, 2015). When creating the new curriculum, the Welsh Government suggested that these four areas of learning should not be defined as specific subject areas however, they should in fact be unified in order to create links in knowledge and understanding, therefore, increasing development and progression within the classroom (Welsh Government, 2020. </w:t>
      </w:r>
      <w:r w:rsidR="005636D0">
        <w:t xml:space="preserve">Teachers should incorporate language literacy and communication, mathematics and digital competency into all their lessons, in order to equip all pupils with skills and knowledge they will use throughout their lifetime </w:t>
      </w:r>
      <w:sdt>
        <w:sdtPr>
          <w:id w:val="-1620291016"/>
          <w:citation/>
        </w:sdtPr>
        <w:sdtContent>
          <w:r w:rsidR="005636D0">
            <w:fldChar w:fldCharType="begin"/>
          </w:r>
          <w:r w:rsidR="005636D0">
            <w:instrText xml:space="preserve"> CITATION Wel202 \l 2057 </w:instrText>
          </w:r>
          <w:r w:rsidR="005636D0">
            <w:fldChar w:fldCharType="separate"/>
          </w:r>
          <w:r w:rsidR="00AA497C" w:rsidRPr="00AA497C">
            <w:rPr>
              <w:noProof/>
            </w:rPr>
            <w:t>(Welsh Government, 2020)</w:t>
          </w:r>
          <w:r w:rsidR="005636D0">
            <w:fldChar w:fldCharType="end"/>
          </w:r>
        </w:sdtContent>
      </w:sdt>
      <w:r w:rsidR="005636D0">
        <w:t xml:space="preserve">. With this pedagogy in mind, practitioners must carefully plan their lessons in order to incorporate and provide pupils with a wide range of relevant opportunities and experiences. </w:t>
      </w:r>
    </w:p>
    <w:p w14:paraId="36B588BC" w14:textId="77777777" w:rsidR="005636D0" w:rsidRDefault="005636D0" w:rsidP="00A806E0"/>
    <w:p w14:paraId="7DD0944B" w14:textId="6A240AEF" w:rsidR="005636D0" w:rsidRDefault="008F3BA2" w:rsidP="00A806E0">
      <w:r>
        <w:t xml:space="preserve">Teachers incorporate this pedagogy into their practice every time they cover curriculum content. For example, teaching children outdoors offers opportunities for cross curricular skills to be developed. Being outdoors improves health and well-being for all, however teaching outdoors can cover multiple AOLE’s. for example, teachers can incorporate maths into the outdoor environment simply by encouraging children to count objects or measure an area. Friedrich Froebel stated that the outdoor environment was crucial for child development </w:t>
      </w:r>
      <w:sdt>
        <w:sdtPr>
          <w:id w:val="404263935"/>
          <w:citation/>
        </w:sdtPr>
        <w:sdtContent>
          <w:r>
            <w:fldChar w:fldCharType="begin"/>
          </w:r>
          <w:r>
            <w:instrText xml:space="preserve"> CITATION Lil671 \l 2057 </w:instrText>
          </w:r>
          <w:r>
            <w:fldChar w:fldCharType="separate"/>
          </w:r>
          <w:r w:rsidR="00AA497C" w:rsidRPr="00AA497C">
            <w:rPr>
              <w:noProof/>
            </w:rPr>
            <w:t>(Lilley, 1967)</w:t>
          </w:r>
          <w:r>
            <w:fldChar w:fldCharType="end"/>
          </w:r>
        </w:sdtContent>
      </w:sdt>
      <w:r>
        <w:t xml:space="preserve">. </w:t>
      </w:r>
      <w:r w:rsidR="00DB5789">
        <w:t>Therefore,</w:t>
      </w:r>
      <w:r>
        <w:t xml:space="preserve"> by </w:t>
      </w:r>
      <w:r w:rsidR="00DB5789">
        <w:t>incorporating</w:t>
      </w:r>
      <w:r>
        <w:t xml:space="preserve"> outdoor learning, practitioners are not only following a </w:t>
      </w:r>
      <w:r w:rsidR="00DB5789">
        <w:t>pedagogy</w:t>
      </w:r>
      <w:r>
        <w:t xml:space="preserve">, </w:t>
      </w:r>
      <w:r w:rsidR="00DB5789">
        <w:t>but they are also</w:t>
      </w:r>
      <w:r>
        <w:t xml:space="preserve"> contributing to </w:t>
      </w:r>
      <w:r w:rsidR="00DB5789">
        <w:t xml:space="preserve">improving the wellbeing of pupils. Another example of this pedagogy in practice is the use of technology within the classroom. As seen in school x, many people incorporated iPads into their learning. By doing so they are widening their knowledge on digital competence. The use of the iPads also allowed practitioners to incorporate other AOLE’s into a lesson. For example, many children practiced their maths skills on specific apps and used QR codes to access instructions to the task being carried out (incorporating literacy). School x also encouraged practitioners to incorporate health and well-being into every lesson. For example, after completion of a task the teacher would ask every individual how they felt the task went. By doing so pupils </w:t>
      </w:r>
      <w:proofErr w:type="gramStart"/>
      <w:r w:rsidR="00DB5789">
        <w:t>have the opportunity to</w:t>
      </w:r>
      <w:proofErr w:type="gramEnd"/>
      <w:r w:rsidR="00DB5789">
        <w:t xml:space="preserve"> voice any concerns and discuss situations that may play on their minds otherwise. </w:t>
      </w:r>
    </w:p>
    <w:p w14:paraId="108D6984" w14:textId="77777777" w:rsidR="00DB5789" w:rsidRDefault="00DB5789" w:rsidP="00A806E0"/>
    <w:p w14:paraId="041774E1" w14:textId="11207D5A" w:rsidR="00DB5789" w:rsidRDefault="00FE65A4" w:rsidP="00A806E0">
      <w:r>
        <w:t xml:space="preserve">Many theorists wrote about the importance of creating links between the areas of learning. For example, John Comenius suggested practitioners should have a holistic view of education and consider the fact that many areas of learning cross paths and form links </w:t>
      </w:r>
      <w:sdt>
        <w:sdtPr>
          <w:id w:val="220799802"/>
          <w:citation/>
        </w:sdtPr>
        <w:sdtContent>
          <w:r>
            <w:fldChar w:fldCharType="begin"/>
          </w:r>
          <w:r>
            <w:instrText xml:space="preserve"> CITATION Com \l 2057 </w:instrText>
          </w:r>
          <w:r>
            <w:fldChar w:fldCharType="separate"/>
          </w:r>
          <w:r w:rsidR="00AA497C" w:rsidRPr="00AA497C">
            <w:rPr>
              <w:noProof/>
            </w:rPr>
            <w:t>(Anon., n.d.)</w:t>
          </w:r>
          <w:r>
            <w:fldChar w:fldCharType="end"/>
          </w:r>
        </w:sdtContent>
      </w:sdt>
      <w:r>
        <w:t xml:space="preserve">. taking his work into consideration this pedagogy supports the idea of a holistic view on education and suggests that areas of learning are no longer considered as distinct, separate subjects. </w:t>
      </w:r>
      <w:r w:rsidR="00440FDE">
        <w:t xml:space="preserve">Chris Athey also suggested that creating links in education also contributes to a child’s development. She wrote about the term schema and stated that children use schema to cognitively create links and build on prior knowledge as they make sense of new experiences or environments </w:t>
      </w:r>
      <w:sdt>
        <w:sdtPr>
          <w:id w:val="1029377422"/>
          <w:citation/>
        </w:sdtPr>
        <w:sdtContent>
          <w:r w:rsidR="00440FDE">
            <w:fldChar w:fldCharType="begin"/>
          </w:r>
          <w:r w:rsidR="00440FDE">
            <w:instrText xml:space="preserve"> CITATION Ath90 \l 2057 </w:instrText>
          </w:r>
          <w:r w:rsidR="00440FDE">
            <w:fldChar w:fldCharType="separate"/>
          </w:r>
          <w:r w:rsidR="00AA497C" w:rsidRPr="00AA497C">
            <w:rPr>
              <w:noProof/>
            </w:rPr>
            <w:t>(Athey, 1990)</w:t>
          </w:r>
          <w:r w:rsidR="00440FDE">
            <w:fldChar w:fldCharType="end"/>
          </w:r>
        </w:sdtContent>
      </w:sdt>
      <w:r w:rsidR="00440FDE">
        <w:t xml:space="preserve">. </w:t>
      </w:r>
      <w:r w:rsidR="00F5303A">
        <w:t xml:space="preserve">Her work suggests that if practitioners use a range of AOLE’s in their practice children are more likely to make links and develop their knowledge. Although they are many theorists </w:t>
      </w:r>
      <w:r w:rsidR="006935FC">
        <w:t>whose</w:t>
      </w:r>
      <w:r w:rsidR="00F5303A">
        <w:t xml:space="preserve"> work supports this pedagogy</w:t>
      </w:r>
      <w:r w:rsidR="006935FC">
        <w:t xml:space="preserve">, Skinner suggests that it is not creating links that help children learn, however children who receive positive reinforcement are more likely to remember information going forward. He believed that </w:t>
      </w:r>
      <w:r w:rsidR="00B45B7E">
        <w:t xml:space="preserve">if children were rewarded for their work, they will retain the </w:t>
      </w:r>
      <w:r w:rsidR="00B45B7E">
        <w:lastRenderedPageBreak/>
        <w:t xml:space="preserve">information they have learned for longer (Pound, 2005). However, many theorists criticise Skinner’s work as he experimented mainly with animals and humans are much more complex being therefore his work lacks a lot of reliability. Taking this into consideration, I believe that this pedagogy offers children more opportunities from lessons. There is also a great amount of evidence suggesting that when children create links between certain aspects of their learning, they are likely to have the ability to widen their knowledge and retain new information. This evidence could show that said pedagogy does not only make lessons more engaging and interesting however, children are more likely to achieve success when content is delivered and learning ranges across multiple AOLE’s.  </w:t>
      </w:r>
    </w:p>
    <w:p w14:paraId="692ABBB7" w14:textId="77777777" w:rsidR="000E6F14" w:rsidRDefault="000E6F14" w:rsidP="00A806E0"/>
    <w:p w14:paraId="1010FDC3" w14:textId="6913CCE4" w:rsidR="000E6F14" w:rsidRDefault="000E6F14" w:rsidP="00A806E0">
      <w:r>
        <w:t xml:space="preserve">After evaluating each pedagogical principle, it has become clear that they serve great importance in good teaching practice. Not only do these 12 principles guide practitioners through the new curriculum and ensure good practice, but they also provide great opportunities for good learning to take place amongst pupils. Taking the evaluation above into consideration I believe it is important that each practitioner takes each principle into consideration however, structure their own view and outlook on what good practice looks like. Each individual principle contributes to the potential success of the new curriculum as they provide a clear picture for practitioners to implement in future lessons. I will also personally build my own views on these principles that I will utilise and adopt in my own teaching practice. By doing so, I can improve my teaching and allow myself to develop my methods of teaching in practice. Firstly, I will consider different teaching methods I can incorporate into my lesson to ensure </w:t>
      </w:r>
      <w:proofErr w:type="gramStart"/>
      <w:r>
        <w:t>each individual</w:t>
      </w:r>
      <w:proofErr w:type="gramEnd"/>
      <w:r>
        <w:t xml:space="preserve"> within my class has the resources they need to develop and achieve success. I will also consider cognitive theories discussed above to incorporate multiple AOLE’s into the tasks I am leading, allowing pupils to create links between their learning. Finally, I will </w:t>
      </w:r>
      <w:r w:rsidR="0052443E">
        <w:t xml:space="preserve">also consider each unique child in my class along with their ability and provide them with relevant resources and tasks that spark their interests to ensure my lessons are engaging and gives each pupil the support they need to progress. I will be sure to evaluate these strategies in my own teaching practice during my placement. I will do this with the support of my mentor and make regular comparisons week by week, reflecting on my approach to teaching practice. </w:t>
      </w:r>
    </w:p>
    <w:p w14:paraId="49364391" w14:textId="77777777" w:rsidR="0052443E" w:rsidRDefault="0052443E" w:rsidP="00A806E0"/>
    <w:sdt>
      <w:sdtPr>
        <w:id w:val="-2081442310"/>
        <w:docPartObj>
          <w:docPartGallery w:val="Bibliographies"/>
          <w:docPartUnique/>
        </w:docPartObj>
      </w:sdtPr>
      <w:sdtEndPr>
        <w:rPr>
          <w:rFonts w:asciiTheme="minorHAnsi" w:eastAsiaTheme="minorHAnsi" w:hAnsiTheme="minorHAnsi" w:cstheme="minorBidi"/>
          <w:color w:val="auto"/>
          <w:kern w:val="2"/>
          <w:sz w:val="24"/>
          <w:szCs w:val="24"/>
          <w:lang w:val="en-GB" w:bidi="ar-SA"/>
          <w14:ligatures w14:val="standardContextual"/>
        </w:rPr>
      </w:sdtEndPr>
      <w:sdtContent>
        <w:p w14:paraId="1563418D" w14:textId="666168A1" w:rsidR="0052443E" w:rsidRDefault="0052443E">
          <w:pPr>
            <w:pStyle w:val="Heading1"/>
          </w:pPr>
          <w:r>
            <w:t>Works Cited</w:t>
          </w:r>
        </w:p>
        <w:p w14:paraId="096B5EB3" w14:textId="77777777" w:rsidR="00AA497C" w:rsidRDefault="0052443E" w:rsidP="00AA497C">
          <w:pPr>
            <w:pStyle w:val="Bibliography"/>
            <w:rPr>
              <w:noProof/>
              <w:lang w:val="en-US"/>
            </w:rPr>
          </w:pPr>
          <w:r>
            <w:fldChar w:fldCharType="begin"/>
          </w:r>
          <w:r>
            <w:instrText xml:space="preserve"> BIBLIOGRAPHY </w:instrText>
          </w:r>
          <w:r>
            <w:fldChar w:fldCharType="separate"/>
          </w:r>
          <w:r w:rsidR="00AA497C">
            <w:rPr>
              <w:noProof/>
              <w:lang w:val="en-US"/>
            </w:rPr>
            <w:t xml:space="preserve">Anon., n.d. </w:t>
          </w:r>
          <w:r w:rsidR="00AA497C">
            <w:rPr>
              <w:i/>
              <w:iCs/>
              <w:noProof/>
              <w:lang w:val="en-US"/>
            </w:rPr>
            <w:t xml:space="preserve">Comenius Foundation. </w:t>
          </w:r>
          <w:r w:rsidR="00AA497C">
            <w:rPr>
              <w:noProof/>
              <w:lang w:val="en-US"/>
            </w:rPr>
            <w:t xml:space="preserve">[Online] </w:t>
          </w:r>
          <w:r w:rsidR="00AA497C">
            <w:rPr>
              <w:noProof/>
              <w:lang w:val="en-US"/>
            </w:rPr>
            <w:br/>
            <w:t xml:space="preserve">Available at: </w:t>
          </w:r>
          <w:r w:rsidR="00AA497C">
            <w:rPr>
              <w:noProof/>
              <w:u w:val="single"/>
              <w:lang w:val="en-US"/>
            </w:rPr>
            <w:t>https://comeniusfoundation.org/index.php?id=why-comenius</w:t>
          </w:r>
        </w:p>
        <w:p w14:paraId="771C9D24" w14:textId="77777777" w:rsidR="00AA497C" w:rsidRDefault="00AA497C" w:rsidP="00AA497C">
          <w:pPr>
            <w:pStyle w:val="Bibliography"/>
            <w:rPr>
              <w:noProof/>
              <w:lang w:val="en-US"/>
            </w:rPr>
          </w:pPr>
          <w:r>
            <w:rPr>
              <w:noProof/>
              <w:lang w:val="en-US"/>
            </w:rPr>
            <w:t xml:space="preserve">Athey, C., 1990. </w:t>
          </w:r>
          <w:r>
            <w:rPr>
              <w:i/>
              <w:iCs/>
              <w:noProof/>
              <w:lang w:val="en-US"/>
            </w:rPr>
            <w:t xml:space="preserve">Extending thought in young children. </w:t>
          </w:r>
          <w:r>
            <w:rPr>
              <w:noProof/>
              <w:lang w:val="en-US"/>
            </w:rPr>
            <w:t>s.l.:Paul Chapman Publishing.</w:t>
          </w:r>
        </w:p>
        <w:p w14:paraId="1FC55D0D" w14:textId="77777777" w:rsidR="00AA497C" w:rsidRDefault="00AA497C" w:rsidP="00AA497C">
          <w:pPr>
            <w:pStyle w:val="Bibliography"/>
            <w:rPr>
              <w:noProof/>
              <w:lang w:val="en-US"/>
            </w:rPr>
          </w:pPr>
          <w:r>
            <w:rPr>
              <w:noProof/>
              <w:lang w:val="en-US"/>
            </w:rPr>
            <w:t xml:space="preserve">Bruce, T., 2012. </w:t>
          </w:r>
          <w:r>
            <w:rPr>
              <w:i/>
              <w:iCs/>
              <w:noProof/>
              <w:lang w:val="en-US"/>
            </w:rPr>
            <w:t xml:space="preserve">Early childhood practice: Froebel today. </w:t>
          </w:r>
          <w:r>
            <w:rPr>
              <w:noProof/>
              <w:lang w:val="en-US"/>
            </w:rPr>
            <w:t>s.l.:SAGE.</w:t>
          </w:r>
        </w:p>
        <w:p w14:paraId="718F6FA5" w14:textId="77777777" w:rsidR="00AA497C" w:rsidRDefault="00AA497C" w:rsidP="00AA497C">
          <w:pPr>
            <w:pStyle w:val="Bibliography"/>
            <w:rPr>
              <w:noProof/>
              <w:lang w:val="en-US"/>
            </w:rPr>
          </w:pPr>
          <w:r>
            <w:rPr>
              <w:noProof/>
              <w:lang w:val="en-US"/>
            </w:rPr>
            <w:t xml:space="preserve">Bruner, J., 1960. </w:t>
          </w:r>
          <w:r>
            <w:rPr>
              <w:i/>
              <w:iCs/>
              <w:noProof/>
              <w:lang w:val="en-US"/>
            </w:rPr>
            <w:t xml:space="preserve">The process of education. </w:t>
          </w:r>
          <w:r>
            <w:rPr>
              <w:noProof/>
              <w:lang w:val="en-US"/>
            </w:rPr>
            <w:t>s.l.:The Harvard University Press.</w:t>
          </w:r>
        </w:p>
        <w:p w14:paraId="26BB086D" w14:textId="77777777" w:rsidR="00AA497C" w:rsidRDefault="00AA497C" w:rsidP="00AA497C">
          <w:pPr>
            <w:pStyle w:val="Bibliography"/>
            <w:rPr>
              <w:noProof/>
              <w:lang w:val="en-US"/>
            </w:rPr>
          </w:pPr>
          <w:r>
            <w:rPr>
              <w:noProof/>
              <w:lang w:val="en-US"/>
            </w:rPr>
            <w:t xml:space="preserve">Donaldson, 2015. </w:t>
          </w:r>
          <w:r>
            <w:rPr>
              <w:i/>
              <w:iCs/>
              <w:noProof/>
              <w:lang w:val="en-US"/>
            </w:rPr>
            <w:t xml:space="preserve">Successful Futures, </w:t>
          </w:r>
          <w:r>
            <w:rPr>
              <w:noProof/>
              <w:lang w:val="en-US"/>
            </w:rPr>
            <w:t>s.l.: Welsh Government.</w:t>
          </w:r>
        </w:p>
        <w:p w14:paraId="703EFE42" w14:textId="77777777" w:rsidR="00AA497C" w:rsidRDefault="00AA497C" w:rsidP="00AA497C">
          <w:pPr>
            <w:pStyle w:val="Bibliography"/>
            <w:rPr>
              <w:noProof/>
              <w:lang w:val="en-US"/>
            </w:rPr>
          </w:pPr>
          <w:r>
            <w:rPr>
              <w:noProof/>
              <w:lang w:val="en-US"/>
            </w:rPr>
            <w:t xml:space="preserve">Guiney, D. &amp; O'Brien, T., 2001. </w:t>
          </w:r>
          <w:r>
            <w:rPr>
              <w:i/>
              <w:iCs/>
              <w:noProof/>
              <w:lang w:val="en-US"/>
            </w:rPr>
            <w:t xml:space="preserve">Differentiation in teaching and learning: principles and practice. </w:t>
          </w:r>
          <w:r>
            <w:rPr>
              <w:noProof/>
              <w:lang w:val="en-US"/>
            </w:rPr>
            <w:t>s.l.:Continuum.</w:t>
          </w:r>
        </w:p>
        <w:p w14:paraId="3BAD20D0" w14:textId="77777777" w:rsidR="00AA497C" w:rsidRDefault="00AA497C" w:rsidP="00AA497C">
          <w:pPr>
            <w:pStyle w:val="Bibliography"/>
            <w:rPr>
              <w:noProof/>
              <w:lang w:val="en-US"/>
            </w:rPr>
          </w:pPr>
          <w:r>
            <w:rPr>
              <w:noProof/>
              <w:lang w:val="en-US"/>
            </w:rPr>
            <w:t xml:space="preserve">Hattie &amp; Yates, 2013. </w:t>
          </w:r>
          <w:r>
            <w:rPr>
              <w:i/>
              <w:iCs/>
              <w:noProof/>
              <w:lang w:val="en-US"/>
            </w:rPr>
            <w:t xml:space="preserve">Visible learning and the science of how we learn. </w:t>
          </w:r>
          <w:r>
            <w:rPr>
              <w:noProof/>
              <w:lang w:val="en-US"/>
            </w:rPr>
            <w:t>s.l.:Routledge.</w:t>
          </w:r>
        </w:p>
        <w:p w14:paraId="7BD0A8B2" w14:textId="77777777" w:rsidR="00AA497C" w:rsidRDefault="00AA497C" w:rsidP="00AA497C">
          <w:pPr>
            <w:pStyle w:val="Bibliography"/>
            <w:rPr>
              <w:noProof/>
              <w:lang w:val="en-US"/>
            </w:rPr>
          </w:pPr>
          <w:r>
            <w:rPr>
              <w:noProof/>
              <w:lang w:val="en-US"/>
            </w:rPr>
            <w:t xml:space="preserve">Lilley, I. M., 1967. </w:t>
          </w:r>
          <w:r>
            <w:rPr>
              <w:i/>
              <w:iCs/>
              <w:noProof/>
              <w:lang w:val="en-US"/>
            </w:rPr>
            <w:t xml:space="preserve">Freidrich Froebel: a selection from his writings. </w:t>
          </w:r>
          <w:r>
            <w:rPr>
              <w:noProof/>
              <w:lang w:val="en-US"/>
            </w:rPr>
            <w:t>s.l.:Cambridge University Press.</w:t>
          </w:r>
        </w:p>
        <w:p w14:paraId="0EE4AC67" w14:textId="77777777" w:rsidR="00AA497C" w:rsidRDefault="00AA497C" w:rsidP="00AA497C">
          <w:pPr>
            <w:pStyle w:val="Bibliography"/>
            <w:rPr>
              <w:noProof/>
              <w:lang w:val="en-US"/>
            </w:rPr>
          </w:pPr>
          <w:r>
            <w:rPr>
              <w:noProof/>
              <w:lang w:val="en-US"/>
            </w:rPr>
            <w:t xml:space="preserve">Pound, L., 2005. </w:t>
          </w:r>
          <w:r>
            <w:rPr>
              <w:i/>
              <w:iCs/>
              <w:noProof/>
              <w:lang w:val="en-US"/>
            </w:rPr>
            <w:t xml:space="preserve">How children learn. </w:t>
          </w:r>
          <w:r>
            <w:rPr>
              <w:noProof/>
              <w:lang w:val="en-US"/>
            </w:rPr>
            <w:t>s.l.:Practical Pre School.</w:t>
          </w:r>
        </w:p>
        <w:p w14:paraId="75B6A915" w14:textId="77777777" w:rsidR="00AA497C" w:rsidRDefault="00AA497C" w:rsidP="00AA497C">
          <w:pPr>
            <w:pStyle w:val="Bibliography"/>
            <w:rPr>
              <w:noProof/>
              <w:lang w:val="en-US"/>
            </w:rPr>
          </w:pPr>
          <w:r>
            <w:rPr>
              <w:noProof/>
              <w:lang w:val="en-US"/>
            </w:rPr>
            <w:t xml:space="preserve">Savill-Smith, C., 2022. </w:t>
          </w:r>
          <w:r>
            <w:rPr>
              <w:i/>
              <w:iCs/>
              <w:noProof/>
              <w:lang w:val="en-US"/>
            </w:rPr>
            <w:t xml:space="preserve">Teacher wellbeing index, </w:t>
          </w:r>
          <w:r>
            <w:rPr>
              <w:noProof/>
              <w:lang w:val="en-US"/>
            </w:rPr>
            <w:t>s.l.: Education Support.</w:t>
          </w:r>
        </w:p>
        <w:p w14:paraId="7B817746" w14:textId="50437E33" w:rsidR="00AA497C" w:rsidRDefault="00AA497C" w:rsidP="00AA497C">
          <w:pPr>
            <w:pStyle w:val="Bibliography"/>
            <w:rPr>
              <w:noProof/>
              <w:lang w:val="en-US"/>
            </w:rPr>
          </w:pPr>
          <w:r>
            <w:rPr>
              <w:noProof/>
              <w:lang w:val="en-US"/>
            </w:rPr>
            <w:lastRenderedPageBreak/>
            <w:t xml:space="preserve">Smith, M., 2022. </w:t>
          </w:r>
          <w:r>
            <w:rPr>
              <w:i/>
              <w:iCs/>
              <w:noProof/>
              <w:lang w:val="en-US"/>
            </w:rPr>
            <w:t xml:space="preserve">Make It. </w:t>
          </w:r>
          <w:r>
            <w:rPr>
              <w:noProof/>
              <w:lang w:val="en-US"/>
            </w:rPr>
            <w:t xml:space="preserve">[Online] </w:t>
          </w:r>
          <w:r>
            <w:rPr>
              <w:noProof/>
              <w:lang w:val="en-US"/>
            </w:rPr>
            <w:br/>
            <w:t xml:space="preserve">Available at: </w:t>
          </w:r>
          <w:r>
            <w:rPr>
              <w:noProof/>
              <w:u w:val="single"/>
              <w:lang w:val="en-US"/>
            </w:rPr>
            <w:t>https://www.cnbc.com/2022/11/22/teachers-are-in-the-midst-of-a-burnout-crisis-it-became-intolerable.html</w:t>
          </w:r>
          <w:r>
            <w:rPr>
              <w:noProof/>
              <w:lang w:val="en-US"/>
            </w:rPr>
            <w:br/>
            <w:t>[Accessed 12 04 2023].</w:t>
          </w:r>
        </w:p>
        <w:p w14:paraId="30C9A0F5" w14:textId="77777777" w:rsidR="00AA497C" w:rsidRDefault="00AA497C" w:rsidP="00AA497C">
          <w:pPr>
            <w:pStyle w:val="Bibliography"/>
            <w:rPr>
              <w:noProof/>
              <w:lang w:val="en-US"/>
            </w:rPr>
          </w:pPr>
          <w:r>
            <w:rPr>
              <w:noProof/>
              <w:lang w:val="en-US"/>
            </w:rPr>
            <w:t xml:space="preserve">Tomlinson, C. A., 2017. </w:t>
          </w:r>
          <w:r>
            <w:rPr>
              <w:i/>
              <w:iCs/>
              <w:noProof/>
              <w:lang w:val="en-US"/>
            </w:rPr>
            <w:t xml:space="preserve">How to differentiate instruction in academically diverse classroom. </w:t>
          </w:r>
          <w:r>
            <w:rPr>
              <w:noProof/>
              <w:lang w:val="en-US"/>
            </w:rPr>
            <w:t>3rd ed. s.l.:ASCD.</w:t>
          </w:r>
        </w:p>
        <w:p w14:paraId="42309977" w14:textId="77777777" w:rsidR="00AA497C" w:rsidRDefault="00AA497C" w:rsidP="00AA497C">
          <w:pPr>
            <w:pStyle w:val="Bibliography"/>
            <w:rPr>
              <w:noProof/>
              <w:lang w:val="en-US"/>
            </w:rPr>
          </w:pPr>
          <w:r>
            <w:rPr>
              <w:noProof/>
              <w:lang w:val="en-US"/>
            </w:rPr>
            <w:t xml:space="preserve">Vygotsky, L., 1978. </w:t>
          </w:r>
          <w:r>
            <w:rPr>
              <w:i/>
              <w:iCs/>
              <w:noProof/>
              <w:lang w:val="en-US"/>
            </w:rPr>
            <w:t xml:space="preserve">Mind in society. </w:t>
          </w:r>
          <w:r>
            <w:rPr>
              <w:noProof/>
              <w:lang w:val="en-US"/>
            </w:rPr>
            <w:t>s.l.:Harvard University Press.</w:t>
          </w:r>
        </w:p>
        <w:p w14:paraId="5D7C487D" w14:textId="2ECFBD75" w:rsidR="00AA497C" w:rsidRDefault="00AA497C" w:rsidP="00AA497C">
          <w:pPr>
            <w:pStyle w:val="Bibliography"/>
            <w:rPr>
              <w:noProof/>
              <w:lang w:val="en-US"/>
            </w:rPr>
          </w:pPr>
          <w:r>
            <w:rPr>
              <w:noProof/>
              <w:lang w:val="en-US"/>
            </w:rPr>
            <w:t xml:space="preserve">Welsh Government , 2020. </w:t>
          </w:r>
          <w:r>
            <w:rPr>
              <w:i/>
              <w:iCs/>
              <w:noProof/>
              <w:lang w:val="en-US"/>
            </w:rPr>
            <w:t xml:space="preserve">Hwb Gov Wales. </w:t>
          </w:r>
          <w:r>
            <w:rPr>
              <w:noProof/>
              <w:lang w:val="en-US"/>
            </w:rPr>
            <w:t xml:space="preserve">[Online] </w:t>
          </w:r>
          <w:r>
            <w:rPr>
              <w:noProof/>
              <w:lang w:val="en-US"/>
            </w:rPr>
            <w:br/>
            <w:t xml:space="preserve">Available at: </w:t>
          </w:r>
          <w:r>
            <w:rPr>
              <w:noProof/>
              <w:u w:val="single"/>
              <w:lang w:val="en-US"/>
            </w:rPr>
            <w:t>https://hwb.gov.wales/curriculum-for-wales/designing-your-curriculum/implementation-and-practical-considerations</w:t>
          </w:r>
          <w:r>
            <w:rPr>
              <w:noProof/>
              <w:lang w:val="en-US"/>
            </w:rPr>
            <w:br/>
            <w:t>[Accessed 10 04 2023].</w:t>
          </w:r>
        </w:p>
        <w:p w14:paraId="03F5D096" w14:textId="27857C19" w:rsidR="00AA497C" w:rsidRDefault="00AA497C" w:rsidP="00AA497C">
          <w:pPr>
            <w:pStyle w:val="Bibliography"/>
            <w:rPr>
              <w:noProof/>
              <w:lang w:val="en-US"/>
            </w:rPr>
          </w:pPr>
          <w:r>
            <w:rPr>
              <w:noProof/>
              <w:lang w:val="en-US"/>
            </w:rPr>
            <w:t xml:space="preserve">Welsh Government, 2019. </w:t>
          </w:r>
          <w:r>
            <w:rPr>
              <w:i/>
              <w:iCs/>
              <w:noProof/>
              <w:lang w:val="en-US"/>
            </w:rPr>
            <w:t xml:space="preserve">Hwb Gov Wales. </w:t>
          </w:r>
          <w:r>
            <w:rPr>
              <w:noProof/>
              <w:lang w:val="en-US"/>
            </w:rPr>
            <w:t xml:space="preserve">[Online] </w:t>
          </w:r>
          <w:r>
            <w:rPr>
              <w:noProof/>
              <w:lang w:val="en-US"/>
            </w:rPr>
            <w:br/>
            <w:t xml:space="preserve">Available at: </w:t>
          </w:r>
          <w:r>
            <w:rPr>
              <w:noProof/>
              <w:u w:val="single"/>
              <w:lang w:val="en-US"/>
            </w:rPr>
            <w:t>https://hwb.gov.wales/curriculum-for-wales/health-and-well-being/statements-of-what-matters/</w:t>
          </w:r>
          <w:r>
            <w:rPr>
              <w:noProof/>
              <w:lang w:val="en-US"/>
            </w:rPr>
            <w:br/>
            <w:t>[Accessed 10 04 2023].</w:t>
          </w:r>
        </w:p>
        <w:p w14:paraId="084FB08F" w14:textId="48CB5ABC" w:rsidR="00AA497C" w:rsidRDefault="00AA497C" w:rsidP="00AA497C">
          <w:pPr>
            <w:pStyle w:val="Bibliography"/>
            <w:rPr>
              <w:noProof/>
              <w:lang w:val="en-US"/>
            </w:rPr>
          </w:pPr>
          <w:r>
            <w:rPr>
              <w:noProof/>
              <w:lang w:val="en-US"/>
            </w:rPr>
            <w:t xml:space="preserve">Welsh Government, 2020. </w:t>
          </w:r>
          <w:r>
            <w:rPr>
              <w:i/>
              <w:iCs/>
              <w:noProof/>
              <w:lang w:val="en-US"/>
            </w:rPr>
            <w:t xml:space="preserve">Hwb Gov Wales. </w:t>
          </w:r>
          <w:r>
            <w:rPr>
              <w:noProof/>
              <w:lang w:val="en-US"/>
            </w:rPr>
            <w:t xml:space="preserve">[Online] </w:t>
          </w:r>
          <w:r>
            <w:rPr>
              <w:noProof/>
              <w:lang w:val="en-US"/>
            </w:rPr>
            <w:br/>
            <w:t xml:space="preserve">Available at: </w:t>
          </w:r>
          <w:r>
            <w:rPr>
              <w:noProof/>
              <w:u w:val="single"/>
              <w:lang w:val="en-US"/>
            </w:rPr>
            <w:t>https://hwb.gov.wales/curriculum-for-wales/designing-your-curriculum/developing-a-vision-for-curriculum-design/#cross-curricular-skills</w:t>
          </w:r>
          <w:r>
            <w:rPr>
              <w:noProof/>
              <w:lang w:val="en-US"/>
            </w:rPr>
            <w:br/>
            <w:t>[Accessed 10 04 2023].</w:t>
          </w:r>
        </w:p>
        <w:p w14:paraId="74351BE9" w14:textId="01296F2C" w:rsidR="00AA497C" w:rsidRDefault="00AA497C" w:rsidP="00AA497C">
          <w:pPr>
            <w:pStyle w:val="Bibliography"/>
            <w:rPr>
              <w:noProof/>
              <w:lang w:val="en-US"/>
            </w:rPr>
          </w:pPr>
          <w:r>
            <w:rPr>
              <w:noProof/>
              <w:lang w:val="en-US"/>
            </w:rPr>
            <w:t xml:space="preserve">Welsh Government, 2020. </w:t>
          </w:r>
          <w:r>
            <w:rPr>
              <w:i/>
              <w:iCs/>
              <w:noProof/>
              <w:lang w:val="en-US"/>
            </w:rPr>
            <w:t xml:space="preserve">Hwb Gov Wales. </w:t>
          </w:r>
          <w:r>
            <w:rPr>
              <w:noProof/>
              <w:lang w:val="en-US"/>
            </w:rPr>
            <w:t xml:space="preserve">[Online] </w:t>
          </w:r>
          <w:r>
            <w:rPr>
              <w:noProof/>
              <w:lang w:val="en-US"/>
            </w:rPr>
            <w:br/>
            <w:t xml:space="preserve">Available at: </w:t>
          </w:r>
          <w:r>
            <w:rPr>
              <w:noProof/>
              <w:u w:val="single"/>
              <w:lang w:val="en-US"/>
            </w:rPr>
            <w:t>https://hwb.gov.wales/curriculum-for-wales/introduction/</w:t>
          </w:r>
          <w:r>
            <w:rPr>
              <w:noProof/>
              <w:lang w:val="en-US"/>
            </w:rPr>
            <w:br/>
            <w:t>[Accessed 2023].</w:t>
          </w:r>
        </w:p>
        <w:p w14:paraId="1BD68CC0" w14:textId="76E5BBC5" w:rsidR="0052443E" w:rsidRDefault="0052443E" w:rsidP="00AA497C">
          <w:r>
            <w:rPr>
              <w:b/>
              <w:bCs/>
            </w:rPr>
            <w:fldChar w:fldCharType="end"/>
          </w:r>
        </w:p>
      </w:sdtContent>
    </w:sdt>
    <w:p w14:paraId="21B6ED3F" w14:textId="77777777" w:rsidR="0052443E" w:rsidRPr="00A806E0" w:rsidRDefault="0052443E" w:rsidP="00A806E0"/>
    <w:sectPr w:rsidR="0052443E" w:rsidRPr="00A806E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1E8A0" w14:textId="77777777" w:rsidR="007A76B9" w:rsidRDefault="007A76B9" w:rsidP="00005AC3">
      <w:r>
        <w:separator/>
      </w:r>
    </w:p>
  </w:endnote>
  <w:endnote w:type="continuationSeparator" w:id="0">
    <w:p w14:paraId="32EE8EC0" w14:textId="77777777" w:rsidR="007A76B9" w:rsidRDefault="007A76B9" w:rsidP="00005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83CD7" w14:textId="77777777" w:rsidR="007A76B9" w:rsidRDefault="007A76B9" w:rsidP="00005AC3">
      <w:r>
        <w:separator/>
      </w:r>
    </w:p>
  </w:footnote>
  <w:footnote w:type="continuationSeparator" w:id="0">
    <w:p w14:paraId="4980D9EE" w14:textId="77777777" w:rsidR="007A76B9" w:rsidRDefault="007A76B9" w:rsidP="00005A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8D580" w14:textId="5E9DB7A1" w:rsidR="00005AC3" w:rsidRDefault="00005AC3">
    <w:pPr>
      <w:pStyle w:val="Header"/>
    </w:pPr>
    <w:r>
      <w:t>Grace Thomas 2204642</w:t>
    </w:r>
  </w:p>
  <w:p w14:paraId="65123CA8" w14:textId="77777777" w:rsidR="00005AC3" w:rsidRDefault="00005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6E0"/>
    <w:rsid w:val="00005AC3"/>
    <w:rsid w:val="00014B73"/>
    <w:rsid w:val="000C1C20"/>
    <w:rsid w:val="000C4334"/>
    <w:rsid w:val="000E6F14"/>
    <w:rsid w:val="0010327D"/>
    <w:rsid w:val="00197E15"/>
    <w:rsid w:val="001D25F7"/>
    <w:rsid w:val="00301DF6"/>
    <w:rsid w:val="003D558A"/>
    <w:rsid w:val="00440FDE"/>
    <w:rsid w:val="00443C3E"/>
    <w:rsid w:val="0052443E"/>
    <w:rsid w:val="005636D0"/>
    <w:rsid w:val="006935FC"/>
    <w:rsid w:val="00697115"/>
    <w:rsid w:val="007A76B9"/>
    <w:rsid w:val="00817C0D"/>
    <w:rsid w:val="00820C57"/>
    <w:rsid w:val="008F3BA2"/>
    <w:rsid w:val="00942426"/>
    <w:rsid w:val="0096104A"/>
    <w:rsid w:val="00A806E0"/>
    <w:rsid w:val="00AA497C"/>
    <w:rsid w:val="00B20580"/>
    <w:rsid w:val="00B45B7E"/>
    <w:rsid w:val="00B9702A"/>
    <w:rsid w:val="00BB2155"/>
    <w:rsid w:val="00D3487F"/>
    <w:rsid w:val="00DB2902"/>
    <w:rsid w:val="00DB5789"/>
    <w:rsid w:val="00ED7DBD"/>
    <w:rsid w:val="00EF188C"/>
    <w:rsid w:val="00F5303A"/>
    <w:rsid w:val="00F86152"/>
    <w:rsid w:val="00FE6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4A83B0"/>
  <w15:chartTrackingRefBased/>
  <w15:docId w15:val="{8D4BE7D5-C8B1-F34F-BCB9-E30D79740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43E"/>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5AC3"/>
    <w:pPr>
      <w:tabs>
        <w:tab w:val="center" w:pos="4513"/>
        <w:tab w:val="right" w:pos="9026"/>
      </w:tabs>
    </w:pPr>
  </w:style>
  <w:style w:type="character" w:customStyle="1" w:styleId="HeaderChar">
    <w:name w:val="Header Char"/>
    <w:basedOn w:val="DefaultParagraphFont"/>
    <w:link w:val="Header"/>
    <w:uiPriority w:val="99"/>
    <w:rsid w:val="00005AC3"/>
  </w:style>
  <w:style w:type="paragraph" w:styleId="Footer">
    <w:name w:val="footer"/>
    <w:basedOn w:val="Normal"/>
    <w:link w:val="FooterChar"/>
    <w:uiPriority w:val="99"/>
    <w:unhideWhenUsed/>
    <w:rsid w:val="00005AC3"/>
    <w:pPr>
      <w:tabs>
        <w:tab w:val="center" w:pos="4513"/>
        <w:tab w:val="right" w:pos="9026"/>
      </w:tabs>
    </w:pPr>
  </w:style>
  <w:style w:type="character" w:customStyle="1" w:styleId="FooterChar">
    <w:name w:val="Footer Char"/>
    <w:basedOn w:val="DefaultParagraphFont"/>
    <w:link w:val="Footer"/>
    <w:uiPriority w:val="99"/>
    <w:rsid w:val="00005AC3"/>
  </w:style>
  <w:style w:type="character" w:customStyle="1" w:styleId="Heading1Char">
    <w:name w:val="Heading 1 Char"/>
    <w:basedOn w:val="DefaultParagraphFont"/>
    <w:link w:val="Heading1"/>
    <w:uiPriority w:val="9"/>
    <w:rsid w:val="0052443E"/>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5244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84407">
      <w:bodyDiv w:val="1"/>
      <w:marLeft w:val="0"/>
      <w:marRight w:val="0"/>
      <w:marTop w:val="0"/>
      <w:marBottom w:val="0"/>
      <w:divBdr>
        <w:top w:val="none" w:sz="0" w:space="0" w:color="auto"/>
        <w:left w:val="none" w:sz="0" w:space="0" w:color="auto"/>
        <w:bottom w:val="none" w:sz="0" w:space="0" w:color="auto"/>
        <w:right w:val="none" w:sz="0" w:space="0" w:color="auto"/>
      </w:divBdr>
    </w:div>
    <w:div w:id="93208250">
      <w:bodyDiv w:val="1"/>
      <w:marLeft w:val="0"/>
      <w:marRight w:val="0"/>
      <w:marTop w:val="0"/>
      <w:marBottom w:val="0"/>
      <w:divBdr>
        <w:top w:val="none" w:sz="0" w:space="0" w:color="auto"/>
        <w:left w:val="none" w:sz="0" w:space="0" w:color="auto"/>
        <w:bottom w:val="none" w:sz="0" w:space="0" w:color="auto"/>
        <w:right w:val="none" w:sz="0" w:space="0" w:color="auto"/>
      </w:divBdr>
    </w:div>
    <w:div w:id="112601353">
      <w:bodyDiv w:val="1"/>
      <w:marLeft w:val="0"/>
      <w:marRight w:val="0"/>
      <w:marTop w:val="0"/>
      <w:marBottom w:val="0"/>
      <w:divBdr>
        <w:top w:val="none" w:sz="0" w:space="0" w:color="auto"/>
        <w:left w:val="none" w:sz="0" w:space="0" w:color="auto"/>
        <w:bottom w:val="none" w:sz="0" w:space="0" w:color="auto"/>
        <w:right w:val="none" w:sz="0" w:space="0" w:color="auto"/>
      </w:divBdr>
    </w:div>
    <w:div w:id="177700404">
      <w:bodyDiv w:val="1"/>
      <w:marLeft w:val="0"/>
      <w:marRight w:val="0"/>
      <w:marTop w:val="0"/>
      <w:marBottom w:val="0"/>
      <w:divBdr>
        <w:top w:val="none" w:sz="0" w:space="0" w:color="auto"/>
        <w:left w:val="none" w:sz="0" w:space="0" w:color="auto"/>
        <w:bottom w:val="none" w:sz="0" w:space="0" w:color="auto"/>
        <w:right w:val="none" w:sz="0" w:space="0" w:color="auto"/>
      </w:divBdr>
    </w:div>
    <w:div w:id="196310508">
      <w:bodyDiv w:val="1"/>
      <w:marLeft w:val="0"/>
      <w:marRight w:val="0"/>
      <w:marTop w:val="0"/>
      <w:marBottom w:val="0"/>
      <w:divBdr>
        <w:top w:val="none" w:sz="0" w:space="0" w:color="auto"/>
        <w:left w:val="none" w:sz="0" w:space="0" w:color="auto"/>
        <w:bottom w:val="none" w:sz="0" w:space="0" w:color="auto"/>
        <w:right w:val="none" w:sz="0" w:space="0" w:color="auto"/>
      </w:divBdr>
    </w:div>
    <w:div w:id="243077723">
      <w:bodyDiv w:val="1"/>
      <w:marLeft w:val="0"/>
      <w:marRight w:val="0"/>
      <w:marTop w:val="0"/>
      <w:marBottom w:val="0"/>
      <w:divBdr>
        <w:top w:val="none" w:sz="0" w:space="0" w:color="auto"/>
        <w:left w:val="none" w:sz="0" w:space="0" w:color="auto"/>
        <w:bottom w:val="none" w:sz="0" w:space="0" w:color="auto"/>
        <w:right w:val="none" w:sz="0" w:space="0" w:color="auto"/>
      </w:divBdr>
    </w:div>
    <w:div w:id="250089699">
      <w:bodyDiv w:val="1"/>
      <w:marLeft w:val="0"/>
      <w:marRight w:val="0"/>
      <w:marTop w:val="0"/>
      <w:marBottom w:val="0"/>
      <w:divBdr>
        <w:top w:val="none" w:sz="0" w:space="0" w:color="auto"/>
        <w:left w:val="none" w:sz="0" w:space="0" w:color="auto"/>
        <w:bottom w:val="none" w:sz="0" w:space="0" w:color="auto"/>
        <w:right w:val="none" w:sz="0" w:space="0" w:color="auto"/>
      </w:divBdr>
    </w:div>
    <w:div w:id="272834124">
      <w:bodyDiv w:val="1"/>
      <w:marLeft w:val="0"/>
      <w:marRight w:val="0"/>
      <w:marTop w:val="0"/>
      <w:marBottom w:val="0"/>
      <w:divBdr>
        <w:top w:val="none" w:sz="0" w:space="0" w:color="auto"/>
        <w:left w:val="none" w:sz="0" w:space="0" w:color="auto"/>
        <w:bottom w:val="none" w:sz="0" w:space="0" w:color="auto"/>
        <w:right w:val="none" w:sz="0" w:space="0" w:color="auto"/>
      </w:divBdr>
    </w:div>
    <w:div w:id="283269117">
      <w:bodyDiv w:val="1"/>
      <w:marLeft w:val="0"/>
      <w:marRight w:val="0"/>
      <w:marTop w:val="0"/>
      <w:marBottom w:val="0"/>
      <w:divBdr>
        <w:top w:val="none" w:sz="0" w:space="0" w:color="auto"/>
        <w:left w:val="none" w:sz="0" w:space="0" w:color="auto"/>
        <w:bottom w:val="none" w:sz="0" w:space="0" w:color="auto"/>
        <w:right w:val="none" w:sz="0" w:space="0" w:color="auto"/>
      </w:divBdr>
    </w:div>
    <w:div w:id="421530868">
      <w:bodyDiv w:val="1"/>
      <w:marLeft w:val="0"/>
      <w:marRight w:val="0"/>
      <w:marTop w:val="0"/>
      <w:marBottom w:val="0"/>
      <w:divBdr>
        <w:top w:val="none" w:sz="0" w:space="0" w:color="auto"/>
        <w:left w:val="none" w:sz="0" w:space="0" w:color="auto"/>
        <w:bottom w:val="none" w:sz="0" w:space="0" w:color="auto"/>
        <w:right w:val="none" w:sz="0" w:space="0" w:color="auto"/>
      </w:divBdr>
    </w:div>
    <w:div w:id="442463669">
      <w:bodyDiv w:val="1"/>
      <w:marLeft w:val="0"/>
      <w:marRight w:val="0"/>
      <w:marTop w:val="0"/>
      <w:marBottom w:val="0"/>
      <w:divBdr>
        <w:top w:val="none" w:sz="0" w:space="0" w:color="auto"/>
        <w:left w:val="none" w:sz="0" w:space="0" w:color="auto"/>
        <w:bottom w:val="none" w:sz="0" w:space="0" w:color="auto"/>
        <w:right w:val="none" w:sz="0" w:space="0" w:color="auto"/>
      </w:divBdr>
    </w:div>
    <w:div w:id="469903524">
      <w:bodyDiv w:val="1"/>
      <w:marLeft w:val="0"/>
      <w:marRight w:val="0"/>
      <w:marTop w:val="0"/>
      <w:marBottom w:val="0"/>
      <w:divBdr>
        <w:top w:val="none" w:sz="0" w:space="0" w:color="auto"/>
        <w:left w:val="none" w:sz="0" w:space="0" w:color="auto"/>
        <w:bottom w:val="none" w:sz="0" w:space="0" w:color="auto"/>
        <w:right w:val="none" w:sz="0" w:space="0" w:color="auto"/>
      </w:divBdr>
    </w:div>
    <w:div w:id="605239263">
      <w:bodyDiv w:val="1"/>
      <w:marLeft w:val="0"/>
      <w:marRight w:val="0"/>
      <w:marTop w:val="0"/>
      <w:marBottom w:val="0"/>
      <w:divBdr>
        <w:top w:val="none" w:sz="0" w:space="0" w:color="auto"/>
        <w:left w:val="none" w:sz="0" w:space="0" w:color="auto"/>
        <w:bottom w:val="none" w:sz="0" w:space="0" w:color="auto"/>
        <w:right w:val="none" w:sz="0" w:space="0" w:color="auto"/>
      </w:divBdr>
    </w:div>
    <w:div w:id="610019132">
      <w:bodyDiv w:val="1"/>
      <w:marLeft w:val="0"/>
      <w:marRight w:val="0"/>
      <w:marTop w:val="0"/>
      <w:marBottom w:val="0"/>
      <w:divBdr>
        <w:top w:val="none" w:sz="0" w:space="0" w:color="auto"/>
        <w:left w:val="none" w:sz="0" w:space="0" w:color="auto"/>
        <w:bottom w:val="none" w:sz="0" w:space="0" w:color="auto"/>
        <w:right w:val="none" w:sz="0" w:space="0" w:color="auto"/>
      </w:divBdr>
    </w:div>
    <w:div w:id="624385877">
      <w:bodyDiv w:val="1"/>
      <w:marLeft w:val="0"/>
      <w:marRight w:val="0"/>
      <w:marTop w:val="0"/>
      <w:marBottom w:val="0"/>
      <w:divBdr>
        <w:top w:val="none" w:sz="0" w:space="0" w:color="auto"/>
        <w:left w:val="none" w:sz="0" w:space="0" w:color="auto"/>
        <w:bottom w:val="none" w:sz="0" w:space="0" w:color="auto"/>
        <w:right w:val="none" w:sz="0" w:space="0" w:color="auto"/>
      </w:divBdr>
    </w:div>
    <w:div w:id="628248978">
      <w:bodyDiv w:val="1"/>
      <w:marLeft w:val="0"/>
      <w:marRight w:val="0"/>
      <w:marTop w:val="0"/>
      <w:marBottom w:val="0"/>
      <w:divBdr>
        <w:top w:val="none" w:sz="0" w:space="0" w:color="auto"/>
        <w:left w:val="none" w:sz="0" w:space="0" w:color="auto"/>
        <w:bottom w:val="none" w:sz="0" w:space="0" w:color="auto"/>
        <w:right w:val="none" w:sz="0" w:space="0" w:color="auto"/>
      </w:divBdr>
    </w:div>
    <w:div w:id="637028530">
      <w:bodyDiv w:val="1"/>
      <w:marLeft w:val="0"/>
      <w:marRight w:val="0"/>
      <w:marTop w:val="0"/>
      <w:marBottom w:val="0"/>
      <w:divBdr>
        <w:top w:val="none" w:sz="0" w:space="0" w:color="auto"/>
        <w:left w:val="none" w:sz="0" w:space="0" w:color="auto"/>
        <w:bottom w:val="none" w:sz="0" w:space="0" w:color="auto"/>
        <w:right w:val="none" w:sz="0" w:space="0" w:color="auto"/>
      </w:divBdr>
    </w:div>
    <w:div w:id="645204800">
      <w:bodyDiv w:val="1"/>
      <w:marLeft w:val="0"/>
      <w:marRight w:val="0"/>
      <w:marTop w:val="0"/>
      <w:marBottom w:val="0"/>
      <w:divBdr>
        <w:top w:val="none" w:sz="0" w:space="0" w:color="auto"/>
        <w:left w:val="none" w:sz="0" w:space="0" w:color="auto"/>
        <w:bottom w:val="none" w:sz="0" w:space="0" w:color="auto"/>
        <w:right w:val="none" w:sz="0" w:space="0" w:color="auto"/>
      </w:divBdr>
    </w:div>
    <w:div w:id="715933310">
      <w:bodyDiv w:val="1"/>
      <w:marLeft w:val="0"/>
      <w:marRight w:val="0"/>
      <w:marTop w:val="0"/>
      <w:marBottom w:val="0"/>
      <w:divBdr>
        <w:top w:val="none" w:sz="0" w:space="0" w:color="auto"/>
        <w:left w:val="none" w:sz="0" w:space="0" w:color="auto"/>
        <w:bottom w:val="none" w:sz="0" w:space="0" w:color="auto"/>
        <w:right w:val="none" w:sz="0" w:space="0" w:color="auto"/>
      </w:divBdr>
    </w:div>
    <w:div w:id="743796922">
      <w:bodyDiv w:val="1"/>
      <w:marLeft w:val="0"/>
      <w:marRight w:val="0"/>
      <w:marTop w:val="0"/>
      <w:marBottom w:val="0"/>
      <w:divBdr>
        <w:top w:val="none" w:sz="0" w:space="0" w:color="auto"/>
        <w:left w:val="none" w:sz="0" w:space="0" w:color="auto"/>
        <w:bottom w:val="none" w:sz="0" w:space="0" w:color="auto"/>
        <w:right w:val="none" w:sz="0" w:space="0" w:color="auto"/>
      </w:divBdr>
    </w:div>
    <w:div w:id="810753067">
      <w:bodyDiv w:val="1"/>
      <w:marLeft w:val="0"/>
      <w:marRight w:val="0"/>
      <w:marTop w:val="0"/>
      <w:marBottom w:val="0"/>
      <w:divBdr>
        <w:top w:val="none" w:sz="0" w:space="0" w:color="auto"/>
        <w:left w:val="none" w:sz="0" w:space="0" w:color="auto"/>
        <w:bottom w:val="none" w:sz="0" w:space="0" w:color="auto"/>
        <w:right w:val="none" w:sz="0" w:space="0" w:color="auto"/>
      </w:divBdr>
    </w:div>
    <w:div w:id="925578721">
      <w:bodyDiv w:val="1"/>
      <w:marLeft w:val="0"/>
      <w:marRight w:val="0"/>
      <w:marTop w:val="0"/>
      <w:marBottom w:val="0"/>
      <w:divBdr>
        <w:top w:val="none" w:sz="0" w:space="0" w:color="auto"/>
        <w:left w:val="none" w:sz="0" w:space="0" w:color="auto"/>
        <w:bottom w:val="none" w:sz="0" w:space="0" w:color="auto"/>
        <w:right w:val="none" w:sz="0" w:space="0" w:color="auto"/>
      </w:divBdr>
    </w:div>
    <w:div w:id="927271089">
      <w:bodyDiv w:val="1"/>
      <w:marLeft w:val="0"/>
      <w:marRight w:val="0"/>
      <w:marTop w:val="0"/>
      <w:marBottom w:val="0"/>
      <w:divBdr>
        <w:top w:val="none" w:sz="0" w:space="0" w:color="auto"/>
        <w:left w:val="none" w:sz="0" w:space="0" w:color="auto"/>
        <w:bottom w:val="none" w:sz="0" w:space="0" w:color="auto"/>
        <w:right w:val="none" w:sz="0" w:space="0" w:color="auto"/>
      </w:divBdr>
    </w:div>
    <w:div w:id="1024406084">
      <w:bodyDiv w:val="1"/>
      <w:marLeft w:val="0"/>
      <w:marRight w:val="0"/>
      <w:marTop w:val="0"/>
      <w:marBottom w:val="0"/>
      <w:divBdr>
        <w:top w:val="none" w:sz="0" w:space="0" w:color="auto"/>
        <w:left w:val="none" w:sz="0" w:space="0" w:color="auto"/>
        <w:bottom w:val="none" w:sz="0" w:space="0" w:color="auto"/>
        <w:right w:val="none" w:sz="0" w:space="0" w:color="auto"/>
      </w:divBdr>
    </w:div>
    <w:div w:id="1235505434">
      <w:bodyDiv w:val="1"/>
      <w:marLeft w:val="0"/>
      <w:marRight w:val="0"/>
      <w:marTop w:val="0"/>
      <w:marBottom w:val="0"/>
      <w:divBdr>
        <w:top w:val="none" w:sz="0" w:space="0" w:color="auto"/>
        <w:left w:val="none" w:sz="0" w:space="0" w:color="auto"/>
        <w:bottom w:val="none" w:sz="0" w:space="0" w:color="auto"/>
        <w:right w:val="none" w:sz="0" w:space="0" w:color="auto"/>
      </w:divBdr>
    </w:div>
    <w:div w:id="1249314568">
      <w:bodyDiv w:val="1"/>
      <w:marLeft w:val="0"/>
      <w:marRight w:val="0"/>
      <w:marTop w:val="0"/>
      <w:marBottom w:val="0"/>
      <w:divBdr>
        <w:top w:val="none" w:sz="0" w:space="0" w:color="auto"/>
        <w:left w:val="none" w:sz="0" w:space="0" w:color="auto"/>
        <w:bottom w:val="none" w:sz="0" w:space="0" w:color="auto"/>
        <w:right w:val="none" w:sz="0" w:space="0" w:color="auto"/>
      </w:divBdr>
    </w:div>
    <w:div w:id="1250963699">
      <w:bodyDiv w:val="1"/>
      <w:marLeft w:val="0"/>
      <w:marRight w:val="0"/>
      <w:marTop w:val="0"/>
      <w:marBottom w:val="0"/>
      <w:divBdr>
        <w:top w:val="none" w:sz="0" w:space="0" w:color="auto"/>
        <w:left w:val="none" w:sz="0" w:space="0" w:color="auto"/>
        <w:bottom w:val="none" w:sz="0" w:space="0" w:color="auto"/>
        <w:right w:val="none" w:sz="0" w:space="0" w:color="auto"/>
      </w:divBdr>
    </w:div>
    <w:div w:id="1381324347">
      <w:bodyDiv w:val="1"/>
      <w:marLeft w:val="0"/>
      <w:marRight w:val="0"/>
      <w:marTop w:val="0"/>
      <w:marBottom w:val="0"/>
      <w:divBdr>
        <w:top w:val="none" w:sz="0" w:space="0" w:color="auto"/>
        <w:left w:val="none" w:sz="0" w:space="0" w:color="auto"/>
        <w:bottom w:val="none" w:sz="0" w:space="0" w:color="auto"/>
        <w:right w:val="none" w:sz="0" w:space="0" w:color="auto"/>
      </w:divBdr>
    </w:div>
    <w:div w:id="1399785949">
      <w:bodyDiv w:val="1"/>
      <w:marLeft w:val="0"/>
      <w:marRight w:val="0"/>
      <w:marTop w:val="0"/>
      <w:marBottom w:val="0"/>
      <w:divBdr>
        <w:top w:val="none" w:sz="0" w:space="0" w:color="auto"/>
        <w:left w:val="none" w:sz="0" w:space="0" w:color="auto"/>
        <w:bottom w:val="none" w:sz="0" w:space="0" w:color="auto"/>
        <w:right w:val="none" w:sz="0" w:space="0" w:color="auto"/>
      </w:divBdr>
    </w:div>
    <w:div w:id="1453093683">
      <w:bodyDiv w:val="1"/>
      <w:marLeft w:val="0"/>
      <w:marRight w:val="0"/>
      <w:marTop w:val="0"/>
      <w:marBottom w:val="0"/>
      <w:divBdr>
        <w:top w:val="none" w:sz="0" w:space="0" w:color="auto"/>
        <w:left w:val="none" w:sz="0" w:space="0" w:color="auto"/>
        <w:bottom w:val="none" w:sz="0" w:space="0" w:color="auto"/>
        <w:right w:val="none" w:sz="0" w:space="0" w:color="auto"/>
      </w:divBdr>
    </w:div>
    <w:div w:id="1464958002">
      <w:bodyDiv w:val="1"/>
      <w:marLeft w:val="0"/>
      <w:marRight w:val="0"/>
      <w:marTop w:val="0"/>
      <w:marBottom w:val="0"/>
      <w:divBdr>
        <w:top w:val="none" w:sz="0" w:space="0" w:color="auto"/>
        <w:left w:val="none" w:sz="0" w:space="0" w:color="auto"/>
        <w:bottom w:val="none" w:sz="0" w:space="0" w:color="auto"/>
        <w:right w:val="none" w:sz="0" w:space="0" w:color="auto"/>
      </w:divBdr>
    </w:div>
    <w:div w:id="1489831186">
      <w:bodyDiv w:val="1"/>
      <w:marLeft w:val="0"/>
      <w:marRight w:val="0"/>
      <w:marTop w:val="0"/>
      <w:marBottom w:val="0"/>
      <w:divBdr>
        <w:top w:val="none" w:sz="0" w:space="0" w:color="auto"/>
        <w:left w:val="none" w:sz="0" w:space="0" w:color="auto"/>
        <w:bottom w:val="none" w:sz="0" w:space="0" w:color="auto"/>
        <w:right w:val="none" w:sz="0" w:space="0" w:color="auto"/>
      </w:divBdr>
    </w:div>
    <w:div w:id="1522669472">
      <w:bodyDiv w:val="1"/>
      <w:marLeft w:val="0"/>
      <w:marRight w:val="0"/>
      <w:marTop w:val="0"/>
      <w:marBottom w:val="0"/>
      <w:divBdr>
        <w:top w:val="none" w:sz="0" w:space="0" w:color="auto"/>
        <w:left w:val="none" w:sz="0" w:space="0" w:color="auto"/>
        <w:bottom w:val="none" w:sz="0" w:space="0" w:color="auto"/>
        <w:right w:val="none" w:sz="0" w:space="0" w:color="auto"/>
      </w:divBdr>
    </w:div>
    <w:div w:id="1683704702">
      <w:bodyDiv w:val="1"/>
      <w:marLeft w:val="0"/>
      <w:marRight w:val="0"/>
      <w:marTop w:val="0"/>
      <w:marBottom w:val="0"/>
      <w:divBdr>
        <w:top w:val="none" w:sz="0" w:space="0" w:color="auto"/>
        <w:left w:val="none" w:sz="0" w:space="0" w:color="auto"/>
        <w:bottom w:val="none" w:sz="0" w:space="0" w:color="auto"/>
        <w:right w:val="none" w:sz="0" w:space="0" w:color="auto"/>
      </w:divBdr>
    </w:div>
    <w:div w:id="1768229771">
      <w:bodyDiv w:val="1"/>
      <w:marLeft w:val="0"/>
      <w:marRight w:val="0"/>
      <w:marTop w:val="0"/>
      <w:marBottom w:val="0"/>
      <w:divBdr>
        <w:top w:val="none" w:sz="0" w:space="0" w:color="auto"/>
        <w:left w:val="none" w:sz="0" w:space="0" w:color="auto"/>
        <w:bottom w:val="none" w:sz="0" w:space="0" w:color="auto"/>
        <w:right w:val="none" w:sz="0" w:space="0" w:color="auto"/>
      </w:divBdr>
    </w:div>
    <w:div w:id="1802113049">
      <w:bodyDiv w:val="1"/>
      <w:marLeft w:val="0"/>
      <w:marRight w:val="0"/>
      <w:marTop w:val="0"/>
      <w:marBottom w:val="0"/>
      <w:divBdr>
        <w:top w:val="none" w:sz="0" w:space="0" w:color="auto"/>
        <w:left w:val="none" w:sz="0" w:space="0" w:color="auto"/>
        <w:bottom w:val="none" w:sz="0" w:space="0" w:color="auto"/>
        <w:right w:val="none" w:sz="0" w:space="0" w:color="auto"/>
      </w:divBdr>
    </w:div>
    <w:div w:id="1866747623">
      <w:bodyDiv w:val="1"/>
      <w:marLeft w:val="0"/>
      <w:marRight w:val="0"/>
      <w:marTop w:val="0"/>
      <w:marBottom w:val="0"/>
      <w:divBdr>
        <w:top w:val="none" w:sz="0" w:space="0" w:color="auto"/>
        <w:left w:val="none" w:sz="0" w:space="0" w:color="auto"/>
        <w:bottom w:val="none" w:sz="0" w:space="0" w:color="auto"/>
        <w:right w:val="none" w:sz="0" w:space="0" w:color="auto"/>
      </w:divBdr>
    </w:div>
    <w:div w:id="1918125326">
      <w:bodyDiv w:val="1"/>
      <w:marLeft w:val="0"/>
      <w:marRight w:val="0"/>
      <w:marTop w:val="0"/>
      <w:marBottom w:val="0"/>
      <w:divBdr>
        <w:top w:val="none" w:sz="0" w:space="0" w:color="auto"/>
        <w:left w:val="none" w:sz="0" w:space="0" w:color="auto"/>
        <w:bottom w:val="none" w:sz="0" w:space="0" w:color="auto"/>
        <w:right w:val="none" w:sz="0" w:space="0" w:color="auto"/>
      </w:divBdr>
    </w:div>
    <w:div w:id="2020690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b:Tag>
    <b:SourceType>InternetSite</b:SourceType>
    <b:Guid>{882A99FF-411E-504E-ADCD-07E0CF62049F}</b:Guid>
    <b:Title>Hwb Gov Wales </b:Title>
    <b:Year>2020</b:Year>
    <b:URL>https://hwb.gov.wales/curriculum-for-wales/introduction/</b:URL>
    <b:YearAccessed>2021</b:YearAccessed>
    <b:Author>
      <b:Author>
        <b:NameList>
          <b:Person>
            <b:Last>Welsh Government</b:Last>
          </b:Person>
        </b:NameList>
      </b:Author>
    </b:Author>
    <b:RefOrder>1</b:RefOrder>
  </b:Source>
  <b:Source>
    <b:Tag>Don15</b:Tag>
    <b:SourceType>Report</b:SourceType>
    <b:Guid>{52A6BDF7-E7D2-6D44-AFEA-70AC6B0D668E}</b:Guid>
    <b:Title>Successful Futures</b:Title>
    <b:Year>2015</b:Year>
    <b:Publisher>Welsh Government</b:Publisher>
    <b:Author>
      <b:Author>
        <b:NameList>
          <b:Person>
            <b:Last>Donaldson</b:Last>
          </b:Person>
        </b:NameList>
      </b:Author>
    </b:Author>
    <b:RefOrder>2</b:RefOrder>
  </b:Source>
  <b:Source>
    <b:Tag>Wel201</b:Tag>
    <b:SourceType>InternetSite</b:SourceType>
    <b:Guid>{957B0B4F-4D39-C044-9A90-63C6930A3791}</b:Guid>
    <b:Title>Hwb Gov Wales</b:Title>
    <b:Year>2020</b:Year>
    <b:URL>https://hwb.gov.wales/curriculum-for-wales/designing-your-curriculum/implementation-and-practical-considerations</b:URL>
    <b:YearAccessed>2022</b:YearAccessed>
    <b:MonthAccessed>01</b:MonthAccessed>
    <b:DayAccessed>10</b:DayAccessed>
    <b:Author>
      <b:Author>
        <b:NameList>
          <b:Person>
            <b:Last>Welsh Government </b:Last>
          </b:Person>
        </b:NameList>
      </b:Author>
    </b:Author>
    <b:RefOrder>3</b:RefOrder>
  </b:Source>
  <b:Source>
    <b:Tag>Hat13</b:Tag>
    <b:SourceType>Book</b:SourceType>
    <b:Guid>{D0C4DC44-AA89-6345-8D21-A5EB88535D76}</b:Guid>
    <b:Title>Visible learning and the science of how we learn </b:Title>
    <b:Year>2013</b:Year>
    <b:Author>
      <b:Author>
        <b:NameList>
          <b:Person>
            <b:Last>Hattie</b:Last>
          </b:Person>
          <b:Person>
            <b:Last>Yates</b:Last>
          </b:Person>
        </b:NameList>
      </b:Author>
    </b:Author>
    <b:Publisher>Routledge</b:Publisher>
    <b:RefOrder>4</b:RefOrder>
  </b:Source>
  <b:Source>
    <b:Tag>Gui01</b:Tag>
    <b:SourceType>Book</b:SourceType>
    <b:Guid>{302B7385-4813-0F47-814D-A0E8A3468739}</b:Guid>
    <b:Title>Differentiation in teaching and learning: principles and practice</b:Title>
    <b:Publisher>Continuum</b:Publisher>
    <b:Year>2001</b:Year>
    <b:Author>
      <b:Author>
        <b:NameList>
          <b:Person>
            <b:Last>Guiney</b:Last>
            <b:First>Dennis</b:First>
          </b:Person>
          <b:Person>
            <b:Last>O'Brien</b:Last>
            <b:First>Tim</b:First>
          </b:Person>
        </b:NameList>
      </b:Author>
    </b:Author>
    <b:RefOrder>5</b:RefOrder>
  </b:Source>
  <b:Source>
    <b:Tag>Tom17</b:Tag>
    <b:SourceType>Book</b:SourceType>
    <b:Guid>{F2245EC3-5F56-B644-AE41-9185CBA320E1}</b:Guid>
    <b:Title>How to differentiate instruction in academically diverse classroom</b:Title>
    <b:Publisher>ASCD</b:Publisher>
    <b:Year>2017</b:Year>
    <b:Edition>3rd</b:Edition>
    <b:Author>
      <b:Author>
        <b:NameList>
          <b:Person>
            <b:Last>Tomlinson</b:Last>
            <b:Middle>A</b:Middle>
            <b:First>Carol</b:First>
          </b:Person>
        </b:NameList>
      </b:Author>
    </b:Author>
    <b:RefOrder>6</b:RefOrder>
  </b:Source>
  <b:Source>
    <b:Tag>Sav22</b:Tag>
    <b:SourceType>Report</b:SourceType>
    <b:Guid>{98FF290F-05D9-5245-9F73-F9FF9E0B5B58}</b:Guid>
    <b:Title>Teacher wellbeing index</b:Title>
    <b:Publisher>Education Support</b:Publisher>
    <b:Year>2022</b:Year>
    <b:Author>
      <b:Author>
        <b:NameList>
          <b:Person>
            <b:Last>Savill-Smith</b:Last>
            <b:First>Carol</b:First>
          </b:Person>
        </b:NameList>
      </b:Author>
    </b:Author>
    <b:RefOrder>7</b:RefOrder>
  </b:Source>
  <b:Source>
    <b:Tag>Smi22</b:Tag>
    <b:SourceType>InternetSite</b:SourceType>
    <b:Guid>{74904E27-30DB-5342-829B-E601A627FD6E}</b:Guid>
    <b:Title>Make It</b:Title>
    <b:Year>2022</b:Year>
    <b:URL>https://www.cnbc.com/2022/11/22/teachers-are-in-the-midst-of-a-burnout-crisis-it-became-intolerable.html</b:URL>
    <b:YearAccessed>2022</b:YearAccessed>
    <b:MonthAccessed>11</b:MonthAccessed>
    <b:DayAccessed>22</b:DayAccessed>
    <b:Author>
      <b:Author>
        <b:NameList>
          <b:Person>
            <b:Last>Smith</b:Last>
            <b:First>Morgan</b:First>
          </b:Person>
        </b:NameList>
      </b:Author>
    </b:Author>
    <b:RefOrder>8</b:RefOrder>
  </b:Source>
  <b:Source>
    <b:Tag>Wel19</b:Tag>
    <b:SourceType>InternetSite</b:SourceType>
    <b:Guid>{12692F47-D7AB-BF46-ADE8-327FED83206B}</b:Guid>
    <b:Title>Hwb Gov Wales</b:Title>
    <b:URL>https://hwb.gov.wales/curriculum-for-wales/health-and-well-being/statements-of-what-matters/</b:URL>
    <b:Year>2019</b:Year>
    <b:YearAccessed>2022</b:YearAccessed>
    <b:MonthAccessed>01</b:MonthAccessed>
    <b:DayAccessed>10</b:DayAccessed>
    <b:Author>
      <b:Author>
        <b:NameList>
          <b:Person>
            <b:Last>Welsh Government</b:Last>
          </b:Person>
        </b:NameList>
      </b:Author>
    </b:Author>
    <b:RefOrder>9</b:RefOrder>
  </b:Source>
  <b:Source>
    <b:Tag>Bru12</b:Tag>
    <b:SourceType>Book</b:SourceType>
    <b:Guid>{2AC9DEB9-E9BB-EA4A-ADAD-CF170358FA5A}</b:Guid>
    <b:Title>Early childhood practice: Froebel today</b:Title>
    <b:Year>2012</b:Year>
    <b:Publisher>SAGE</b:Publisher>
    <b:Author>
      <b:Author>
        <b:NameList>
          <b:Person>
            <b:Last>Bruce</b:Last>
            <b:First>Tina</b:First>
          </b:Person>
        </b:NameList>
      </b:Author>
    </b:Author>
    <b:RefOrder>10</b:RefOrder>
  </b:Source>
  <b:Source>
    <b:Tag>Vyg781</b:Tag>
    <b:SourceType>Book</b:SourceType>
    <b:Guid>{92041888-9B3C-834E-BA3C-2B4C81436DA6}</b:Guid>
    <b:Title>Mind in society </b:Title>
    <b:Publisher>Harvard University Press</b:Publisher>
    <b:Year>1978</b:Year>
    <b:Author>
      <b:Author>
        <b:NameList>
          <b:Person>
            <b:Last>Vygotsky</b:Last>
            <b:First>Lee</b:First>
          </b:Person>
        </b:NameList>
      </b:Author>
    </b:Author>
    <b:RefOrder>11</b:RefOrder>
  </b:Source>
  <b:Source>
    <b:Tag>Bru60</b:Tag>
    <b:SourceType>Book</b:SourceType>
    <b:Guid>{6ED0CA5F-1CD6-B648-96D1-EB8630BB1927}</b:Guid>
    <b:Title>The process of education</b:Title>
    <b:Publisher>The Harvard University Press</b:Publisher>
    <b:Year>1960</b:Year>
    <b:Author>
      <b:Author>
        <b:NameList>
          <b:Person>
            <b:Last>Bruner</b:Last>
            <b:First>Jerome</b:First>
          </b:Person>
        </b:NameList>
      </b:Author>
    </b:Author>
    <b:RefOrder>12</b:RefOrder>
  </b:Source>
  <b:Source>
    <b:Tag>Pou05</b:Tag>
    <b:SourceType>Book</b:SourceType>
    <b:Guid>{C241CCC0-8D3D-5147-99C6-7929A139AA5B}</b:Guid>
    <b:Title>How children learn</b:Title>
    <b:Publisher>Practical Pre School</b:Publisher>
    <b:Year>2005</b:Year>
    <b:Author>
      <b:Author>
        <b:NameList>
          <b:Person>
            <b:Last>Pound</b:Last>
            <b:First>Linda</b:First>
          </b:Person>
        </b:NameList>
      </b:Author>
    </b:Author>
    <b:RefOrder>13</b:RefOrder>
  </b:Source>
  <b:Source>
    <b:Tag>Wel202</b:Tag>
    <b:SourceType>InternetSite</b:SourceType>
    <b:Guid>{0B454E7E-1F9C-A14D-9665-1BA469180BD6}</b:Guid>
    <b:Title>Hwb Gov Wales</b:Title>
    <b:Year>2020</b:Year>
    <b:URL>https://hwb.gov.wales/curriculum-for-wales/designing-your-curriculum/developing-a-vision-for-curriculum-design/#cross-curricular-skills</b:URL>
    <b:YearAccessed>2022</b:YearAccessed>
    <b:MonthAccessed>01</b:MonthAccessed>
    <b:DayAccessed>10</b:DayAccessed>
    <b:Author>
      <b:Author>
        <b:NameList>
          <b:Person>
            <b:Last>Welsh Government</b:Last>
          </b:Person>
        </b:NameList>
      </b:Author>
    </b:Author>
    <b:RefOrder>14</b:RefOrder>
  </b:Source>
  <b:Source>
    <b:Tag>Lil671</b:Tag>
    <b:SourceType>Book</b:SourceType>
    <b:Guid>{4A5CFCC7-2EAF-8045-8DB0-3A85130B7091}</b:Guid>
    <b:Title>Freidrich Froebel: a selection from his writings</b:Title>
    <b:Year>1967</b:Year>
    <b:Publisher>Cambridge University Press</b:Publisher>
    <b:Author>
      <b:Author>
        <b:NameList>
          <b:Person>
            <b:Last>Lilley</b:Last>
            <b:Middle>M</b:Middle>
            <b:First>Irene</b:First>
          </b:Person>
        </b:NameList>
      </b:Author>
    </b:Author>
    <b:RefOrder>15</b:RefOrder>
  </b:Source>
  <b:Source>
    <b:Tag>Com</b:Tag>
    <b:SourceType>InternetSite</b:SourceType>
    <b:Guid>{8F0F827C-2ED1-D041-B037-020B27BAB096}</b:Guid>
    <b:Title>Comenius Foundation</b:Title>
    <b:URL>https://comeniusfoundation.org/index.php?id=why-comenius</b:URL>
    <b:RefOrder>16</b:RefOrder>
  </b:Source>
  <b:Source>
    <b:Tag>Ath90</b:Tag>
    <b:SourceType>Book</b:SourceType>
    <b:Guid>{7E26CC79-69B3-F74F-85B7-60ACC8780D2E}</b:Guid>
    <b:Title>Extending thought in young children</b:Title>
    <b:Year>1990</b:Year>
    <b:Publisher>Paul Chapman Publishing</b:Publisher>
    <b:Author>
      <b:Author>
        <b:NameList>
          <b:Person>
            <b:Last>Athey</b:Last>
            <b:First>Chris</b:First>
          </b:Person>
        </b:NameList>
      </b:Author>
    </b:Author>
    <b:RefOrder>17</b:RefOrder>
  </b:Source>
</b:Sources>
</file>

<file path=customXml/itemProps1.xml><?xml version="1.0" encoding="utf-8"?>
<ds:datastoreItem xmlns:ds="http://schemas.openxmlformats.org/officeDocument/2006/customXml" ds:itemID="{B5432A15-CA49-7640-B7C2-339BC03C2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6</Pages>
  <Words>3046</Words>
  <Characters>17368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Grace</dc:creator>
  <cp:keywords/>
  <dc:description/>
  <cp:lastModifiedBy>Thomas, Grace</cp:lastModifiedBy>
  <cp:revision>4</cp:revision>
  <dcterms:created xsi:type="dcterms:W3CDTF">2023-04-11T12:03:00Z</dcterms:created>
  <dcterms:modified xsi:type="dcterms:W3CDTF">2023-04-13T21:45:00Z</dcterms:modified>
</cp:coreProperties>
</file>