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BMIH5003 Foreign Languages and Cultural Awareness</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Intercultural Competence (Report)</w:t>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Name: Mohammed Bab Al Fazal</w:t>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ID: 2118712</w:t>
      </w:r>
    </w:p>
    <w:p w:rsidR="00000000" w:rsidDel="00000000" w:rsidP="00000000" w:rsidRDefault="00000000" w:rsidRPr="00000000" w14:paraId="0000000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pPr>
      <w:bookmarkStart w:colFirst="0" w:colLast="0" w:name="_heading=h.gjdgxs" w:id="0"/>
      <w:bookmarkEnd w:id="0"/>
      <w:r w:rsidDel="00000000" w:rsidR="00000000" w:rsidRPr="00000000">
        <w:rPr>
          <w:rtl w:val="0"/>
        </w:rPr>
        <w:t xml:space="preserve">Executive Summary</w:t>
      </w:r>
    </w:p>
    <w:p w:rsidR="00000000" w:rsidDel="00000000" w:rsidP="00000000" w:rsidRDefault="00000000" w:rsidRPr="00000000" w14:paraId="00000007">
      <w:pPr>
        <w:rPr/>
      </w:pPr>
      <w:r w:rsidDel="00000000" w:rsidR="00000000" w:rsidRPr="00000000">
        <w:rPr>
          <w:rtl w:val="0"/>
        </w:rPr>
        <w:t xml:space="preserve">The report is developed based on foreign language and cultural awareness perspectives. A five-star hotel is selected headquartered in India and operating business in the UK. Firstly, the key variations between India and England, considering the Hofstede cultural dimensions, were dictated. Then, the analysis and comparison between these two countries are indicated. Thirdly, the challenges of intracultural leadership in this hospitality sector were evaluated. Finally, the three recommendations were given based on the overall circumstances. </w:t>
      </w:r>
    </w:p>
    <w:p w:rsidR="00000000" w:rsidDel="00000000" w:rsidP="00000000" w:rsidRDefault="00000000" w:rsidRPr="00000000" w14:paraId="00000008">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2f5496"/>
          <w:sz w:val="32"/>
          <w:szCs w:val="32"/>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1"/>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Main Body</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2.1 The key differences between England and India</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2.2 Analysing and comparing the two countries using the GLOBE Project’s culture and leadership study</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2.3 The challenges of intercultural leadership in the hospitality industry</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Three recommendations</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r>
          </w:hyperlink>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1fob9te" w:id="2"/>
      <w:bookmarkEnd w:id="2"/>
      <w:r w:rsidDel="00000000" w:rsidR="00000000" w:rsidRPr="00000000">
        <w:rPr>
          <w:rtl w:val="0"/>
        </w:rPr>
        <w:t xml:space="preserve">1.0 Introduction</w:t>
      </w:r>
    </w:p>
    <w:p w:rsidR="00000000" w:rsidDel="00000000" w:rsidP="00000000" w:rsidRDefault="00000000" w:rsidRPr="00000000" w14:paraId="00000016">
      <w:pPr>
        <w:rPr/>
      </w:pPr>
      <w:r w:rsidDel="00000000" w:rsidR="00000000" w:rsidRPr="00000000">
        <w:rPr>
          <w:rtl w:val="0"/>
        </w:rPr>
        <w:t xml:space="preserve">As the “Inclusivity Hotel &amp; Spa” gracefully grows into new cultural markets, maintaining a consistent brand experience is of the utmost importance. Despite potential barriers caused by cultural differences in areas such as decision-making preferences, gender conventions, and communication styles, our international team will overcome these obstacles through understanding and compassion. The firm may overcome policy discrepancies with sensitivity by proactively recognising the cultural characteristics that determine managerial expectations in England vs India. The multicultural nature of the Inclusivity brand is best expressed when every member of its varied team feels heard, respected, and appreciated.</w:t>
      </w:r>
    </w:p>
    <w:p w:rsidR="00000000" w:rsidDel="00000000" w:rsidP="00000000" w:rsidRDefault="00000000" w:rsidRPr="00000000" w14:paraId="00000017">
      <w:pPr>
        <w:pStyle w:val="Heading1"/>
        <w:rPr/>
      </w:pPr>
      <w:bookmarkStart w:colFirst="0" w:colLast="0" w:name="_heading=h.3znysh7" w:id="3"/>
      <w:bookmarkEnd w:id="3"/>
      <w:r w:rsidDel="00000000" w:rsidR="00000000" w:rsidRPr="00000000">
        <w:rPr>
          <w:rtl w:val="0"/>
        </w:rPr>
        <w:t xml:space="preserve">2.0 Main Body</w:t>
      </w:r>
    </w:p>
    <w:p w:rsidR="00000000" w:rsidDel="00000000" w:rsidP="00000000" w:rsidRDefault="00000000" w:rsidRPr="00000000" w14:paraId="00000018">
      <w:pPr>
        <w:pStyle w:val="Heading2"/>
        <w:rPr>
          <w:highlight w:val="white"/>
        </w:rPr>
      </w:pPr>
      <w:bookmarkStart w:colFirst="0" w:colLast="0" w:name="_heading=h.2et92p0" w:id="4"/>
      <w:bookmarkEnd w:id="4"/>
      <w:r w:rsidDel="00000000" w:rsidR="00000000" w:rsidRPr="00000000">
        <w:rPr>
          <w:highlight w:val="white"/>
          <w:rtl w:val="0"/>
        </w:rPr>
        <w:t xml:space="preserve">2.1 The key differences between England and India</w:t>
      </w:r>
    </w:p>
    <w:p w:rsidR="00000000" w:rsidDel="00000000" w:rsidP="00000000" w:rsidRDefault="00000000" w:rsidRPr="00000000" w14:paraId="00000019">
      <w:pPr>
        <w:rPr/>
      </w:pPr>
      <w:r w:rsidDel="00000000" w:rsidR="00000000" w:rsidRPr="00000000">
        <w:rPr>
          <w:rtl w:val="0"/>
        </w:rPr>
        <w:t xml:space="preserve">The “Inclusivity Hotel &amp; Spa” is an Indian conglomerate. I have to be well-versed in the cultural distinctions between the “Anglo” and “Southern Asian” groups as the branch’s Assistant General Manager in London, England.</w:t>
      </w:r>
    </w:p>
    <w:p w:rsidR="00000000" w:rsidDel="00000000" w:rsidP="00000000" w:rsidRDefault="00000000" w:rsidRPr="00000000" w14:paraId="0000001A">
      <w:pPr>
        <w:rPr/>
      </w:pPr>
      <w:r w:rsidDel="00000000" w:rsidR="00000000" w:rsidRPr="00000000">
        <w:rPr>
          <w:b w:val="1"/>
          <w:i w:val="1"/>
          <w:u w:val="single"/>
          <w:rtl w:val="0"/>
        </w:rPr>
        <w:t xml:space="preserve">Avoiding uncertainty:</w:t>
      </w: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t xml:space="preserve">England is more tolerant of ambiguity and less rigid in its reasoning, with a score of 35 on the uncertainty avoidance scale (TOPPAN, 2019). On the other hand, India is better at avoiding ambiguity, with a score of 40 (</w:t>
      </w:r>
      <w:r w:rsidDel="00000000" w:rsidR="00000000" w:rsidRPr="00000000">
        <w:rPr>
          <w:highlight w:val="white"/>
          <w:rtl w:val="0"/>
        </w:rPr>
        <w:t xml:space="preserve">Rehman, 2022)</w:t>
      </w:r>
      <w:r w:rsidDel="00000000" w:rsidR="00000000" w:rsidRPr="00000000">
        <w:rPr>
          <w:rtl w:val="0"/>
        </w:rPr>
        <w:t xml:space="preserve">. Workers want well-defined rules and procedures to avoid confusion. </w:t>
      </w:r>
    </w:p>
    <w:p w:rsidR="00000000" w:rsidDel="00000000" w:rsidP="00000000" w:rsidRDefault="00000000" w:rsidRPr="00000000" w14:paraId="0000001C">
      <w:pPr>
        <w:rPr>
          <w:b w:val="1"/>
          <w:i w:val="1"/>
          <w:u w:val="single"/>
        </w:rPr>
      </w:pPr>
      <w:r w:rsidDel="00000000" w:rsidR="00000000" w:rsidRPr="00000000">
        <w:rPr>
          <w:b w:val="1"/>
          <w:i w:val="1"/>
          <w:u w:val="single"/>
          <w:rtl w:val="0"/>
        </w:rPr>
        <w:t xml:space="preserve">Power distance:</w:t>
      </w:r>
    </w:p>
    <w:p w:rsidR="00000000" w:rsidDel="00000000" w:rsidP="00000000" w:rsidRDefault="00000000" w:rsidRPr="00000000" w14:paraId="0000001D">
      <w:pPr>
        <w:rPr/>
      </w:pPr>
      <w:r w:rsidDel="00000000" w:rsidR="00000000" w:rsidRPr="00000000">
        <w:rPr>
          <w:rtl w:val="0"/>
        </w:rPr>
        <w:t xml:space="preserve">“England” has a low power distance score of 35, which suggests that there is more equality across different social classes (</w:t>
      </w:r>
      <w:r w:rsidDel="00000000" w:rsidR="00000000" w:rsidRPr="00000000">
        <w:rPr>
          <w:highlight w:val="white"/>
          <w:rtl w:val="0"/>
        </w:rPr>
        <w:t xml:space="preserve">Dhaundiyal et al., 2020)</w:t>
      </w:r>
      <w:r w:rsidDel="00000000" w:rsidR="00000000" w:rsidRPr="00000000">
        <w:rPr>
          <w:rtl w:val="0"/>
        </w:rPr>
        <w:t xml:space="preserve">. In contrast, more stratification exists across hierarchical levels in India, contributing to a greater power distance score of 77 (</w:t>
      </w:r>
      <w:r w:rsidDel="00000000" w:rsidR="00000000" w:rsidRPr="00000000">
        <w:rPr>
          <w:highlight w:val="white"/>
          <w:rtl w:val="0"/>
        </w:rPr>
        <w:t xml:space="preserve">Minkov et al., 2017)</w:t>
      </w:r>
      <w:r w:rsidDel="00000000" w:rsidR="00000000" w:rsidRPr="00000000">
        <w:rPr>
          <w:rtl w:val="0"/>
        </w:rPr>
        <w:t xml:space="preserve">. Workers are used to and even embrace power imbalances. </w:t>
      </w:r>
    </w:p>
    <w:p w:rsidR="00000000" w:rsidDel="00000000" w:rsidP="00000000" w:rsidRDefault="00000000" w:rsidRPr="00000000" w14:paraId="0000001E">
      <w:pPr>
        <w:rPr/>
      </w:pPr>
      <w:r w:rsidDel="00000000" w:rsidR="00000000" w:rsidRPr="00000000">
        <w:rPr>
          <w:b w:val="1"/>
          <w:i w:val="1"/>
          <w:u w:val="single"/>
          <w:rtl w:val="0"/>
        </w:rPr>
        <w:t xml:space="preserve">Gender egalitarianism:</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England has a high level of gender equality (42 out of 100), due to the lack of clear gender roles (</w:t>
      </w:r>
      <w:r w:rsidDel="00000000" w:rsidR="00000000" w:rsidRPr="00000000">
        <w:rPr>
          <w:highlight w:val="white"/>
          <w:rtl w:val="0"/>
        </w:rPr>
        <w:t xml:space="preserve">Dhaundiyal et al., 2020)</w:t>
      </w:r>
      <w:r w:rsidDel="00000000" w:rsidR="00000000" w:rsidRPr="00000000">
        <w:rPr>
          <w:rtl w:val="0"/>
        </w:rPr>
        <w:t xml:space="preserve">. On the contrary, traditional gender norms persist in India, which ranks lower on the equality scale (score of 18) (</w:t>
      </w:r>
      <w:r w:rsidDel="00000000" w:rsidR="00000000" w:rsidRPr="00000000">
        <w:rPr>
          <w:highlight w:val="white"/>
          <w:rtl w:val="0"/>
        </w:rPr>
        <w:t xml:space="preserve">Gupta and Sukamto, 2020)</w:t>
      </w:r>
      <w:r w:rsidDel="00000000" w:rsidR="00000000" w:rsidRPr="00000000">
        <w:rPr>
          <w:rtl w:val="0"/>
        </w:rPr>
        <w:t xml:space="preserve">.</w:t>
      </w:r>
    </w:p>
    <w:p w:rsidR="00000000" w:rsidDel="00000000" w:rsidP="00000000" w:rsidRDefault="00000000" w:rsidRPr="00000000" w14:paraId="00000020">
      <w:pPr>
        <w:rPr>
          <w:b w:val="1"/>
          <w:i w:val="1"/>
          <w:u w:val="single"/>
        </w:rPr>
      </w:pPr>
      <w:r w:rsidDel="00000000" w:rsidR="00000000" w:rsidRPr="00000000">
        <w:rPr>
          <w:b w:val="1"/>
          <w:i w:val="1"/>
          <w:u w:val="single"/>
          <w:rtl w:val="0"/>
        </w:rPr>
        <w:t xml:space="preserve">Group cohesiveness: </w:t>
      </w:r>
    </w:p>
    <w:p w:rsidR="00000000" w:rsidDel="00000000" w:rsidP="00000000" w:rsidRDefault="00000000" w:rsidRPr="00000000" w14:paraId="00000021">
      <w:pPr>
        <w:rPr/>
      </w:pPr>
      <w:r w:rsidDel="00000000" w:rsidR="00000000" w:rsidRPr="00000000">
        <w:rPr>
          <w:rtl w:val="0"/>
        </w:rPr>
        <w:t xml:space="preserve">England has a higher level of individuality, with a low collective identity rating of 25 (</w:t>
      </w:r>
      <w:r w:rsidDel="00000000" w:rsidR="00000000" w:rsidRPr="00000000">
        <w:rPr>
          <w:highlight w:val="white"/>
          <w:rtl w:val="0"/>
        </w:rPr>
        <w:t xml:space="preserve">Anning-Dorson, 2019)</w:t>
      </w:r>
      <w:r w:rsidDel="00000000" w:rsidR="00000000" w:rsidRPr="00000000">
        <w:rPr>
          <w:rtl w:val="0"/>
        </w:rPr>
        <w:t xml:space="preserve">. However, India has a higher score for the importance of close-knit families and social groupings (48) (</w:t>
      </w:r>
      <w:r w:rsidDel="00000000" w:rsidR="00000000" w:rsidRPr="00000000">
        <w:rPr>
          <w:highlight w:val="white"/>
          <w:rtl w:val="0"/>
        </w:rPr>
        <w:t xml:space="preserve">Spencer et al., 2015)</w:t>
      </w:r>
      <w:r w:rsidDel="00000000" w:rsidR="00000000" w:rsidRPr="00000000">
        <w:rPr>
          <w:rtl w:val="0"/>
        </w:rPr>
        <w:t xml:space="preserve">. Employee recommendations and personal networks are frequent sources of new hires.</w:t>
      </w:r>
    </w:p>
    <w:p w:rsidR="00000000" w:rsidDel="00000000" w:rsidP="00000000" w:rsidRDefault="00000000" w:rsidRPr="00000000" w14:paraId="00000022">
      <w:pPr>
        <w:rPr/>
      </w:pPr>
      <w:r w:rsidDel="00000000" w:rsidR="00000000" w:rsidRPr="00000000">
        <w:rPr>
          <w:rtl w:val="0"/>
        </w:rPr>
        <w:t xml:space="preserve">Based on the aforementioned issues, it can be said that to maintain Inclusivity’s brand standards across branches, leadership needs to have a good grasp of these cultural elements. Facilitating cross-cultural learning across different places may be achieved by regular exchanges of best practices.</w:t>
      </w:r>
    </w:p>
    <w:p w:rsidR="00000000" w:rsidDel="00000000" w:rsidP="00000000" w:rsidRDefault="00000000" w:rsidRPr="00000000" w14:paraId="00000023">
      <w:pPr>
        <w:pStyle w:val="Heading2"/>
        <w:rPr>
          <w:highlight w:val="white"/>
        </w:rPr>
      </w:pPr>
      <w:bookmarkStart w:colFirst="0" w:colLast="0" w:name="_heading=h.tyjcwt" w:id="5"/>
      <w:bookmarkEnd w:id="5"/>
      <w:r w:rsidDel="00000000" w:rsidR="00000000" w:rsidRPr="00000000">
        <w:rPr>
          <w:highlight w:val="white"/>
          <w:rtl w:val="0"/>
        </w:rPr>
        <w:t xml:space="preserve">2.2 Analysing and comparing the two countries using the GLOBE Project’s culture and leadership study</w:t>
      </w:r>
    </w:p>
    <w:p w:rsidR="00000000" w:rsidDel="00000000" w:rsidP="00000000" w:rsidRDefault="00000000" w:rsidRPr="00000000" w14:paraId="00000024">
      <w:pPr>
        <w:rPr/>
      </w:pPr>
      <w:r w:rsidDel="00000000" w:rsidR="00000000" w:rsidRPr="00000000">
        <w:rPr>
          <w:rtl w:val="0"/>
        </w:rPr>
        <w:t xml:space="preserve">To maintain brand standards as the Inclusivity Hotel &amp; Spa develops worldwide, it is critical to comprehend leadership expectations. The crucial insights are provided by GLOBE research on leadership and culture.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Avoiding uncertainty: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a lower uncertainty avoidance score, England is more tolerant of ambiguity (TOPPAN, 2019). On the contrary, India places a premium on well-defined procedures and rules with a high score. It means that there may be repercussions for the level of independence given to branch managers in India as compared to their English counterparts as a result of this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Kaasa et al., 2014)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Group cohesiveness: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Outcomes in England’s individualistic culture are driven by performance-oriented leadership with clear objectives and incentives (low score)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Rehman,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Besides, self-protective leaders who foster a sense of safety inside cohesive teams are more effective at appealing to India’s in-group collectivism (moderate score).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Gender egalitarianism: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a high score, women comprise an equal percentage of English leadership positions. On the other hand, female representation is affected by the fact that Indian culture is still mostly male-oriented (low score)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Anning-Dorson,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aspects indicate that the inclusive principles of Inclusivity are upheld when women’s professional growth is thoughtfully expanded.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Power distinction: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an inadequate power range score, English people like managers who are accessible and egalitarian, and who act more like coaches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Minkov et 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However, Indian society reveres hierarchy and anticipates that leaders would exercise authoritative command with a higher score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Rana,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indicates that misunderstandings may be avoided by shifting from directive to collaborative methods.</w:t>
      </w:r>
    </w:p>
    <w:p w:rsidR="00000000" w:rsidDel="00000000" w:rsidP="00000000" w:rsidRDefault="00000000" w:rsidRPr="00000000" w14:paraId="00000029">
      <w:pPr>
        <w:rPr/>
      </w:pPr>
      <w:r w:rsidDel="00000000" w:rsidR="00000000" w:rsidRPr="00000000">
        <w:rPr>
          <w:rtl w:val="0"/>
        </w:rPr>
        <w:t xml:space="preserve">Considering the aforementioned issues, it can be said that identifying cultural cues in leadership expectations allows for proactive branch-to-branch communication and localised flexibility to overcome policy gaps that cause misunderstandings. Best practices should be shared via regular exchanges.</w:t>
      </w:r>
    </w:p>
    <w:p w:rsidR="00000000" w:rsidDel="00000000" w:rsidP="00000000" w:rsidRDefault="00000000" w:rsidRPr="00000000" w14:paraId="0000002A">
      <w:pPr>
        <w:pStyle w:val="Heading2"/>
        <w:rPr>
          <w:highlight w:val="white"/>
        </w:rPr>
      </w:pPr>
      <w:bookmarkStart w:colFirst="0" w:colLast="0" w:name="_heading=h.3dy6vkm" w:id="6"/>
      <w:bookmarkEnd w:id="6"/>
      <w:r w:rsidDel="00000000" w:rsidR="00000000" w:rsidRPr="00000000">
        <w:rPr>
          <w:highlight w:val="white"/>
          <w:rtl w:val="0"/>
        </w:rPr>
        <w:t xml:space="preserve">2.3 The challenges of intercultural leadership in the hospitality industry</w:t>
      </w:r>
    </w:p>
    <w:p w:rsidR="00000000" w:rsidDel="00000000" w:rsidP="00000000" w:rsidRDefault="00000000" w:rsidRPr="00000000" w14:paraId="0000002B">
      <w:pPr>
        <w:rPr/>
      </w:pPr>
      <w:r w:rsidDel="00000000" w:rsidR="00000000" w:rsidRPr="00000000">
        <w:rPr>
          <w:rtl w:val="0"/>
        </w:rPr>
        <w:t xml:space="preserve">When managing a multicultural workforce, including the need for subtlety to minimise confrontation, the hotel sector has particular leadership problems. Several issues need proactive mitigation as the “Inclusivity Hotel &amp; Spa” expands worldwide across different cultural clusters.</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Worker independence: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India emphasises group contributions, in contrast to England’s individualistic culture, which encourages individual thought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Shukla et al.,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Maintaining participation across both locations requires finding the sweet spot between decentralised authority and consensus-based decision-making.</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Communication styles: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Explicit, straightforward verbal communication is highly valued in low-context societies, such as England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Sheehan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But high context cultures, such as India’s, place a greater emphasis on linguistic implicit meaning and nonverbal clues. To prevent their messages from being misunderstood, managers should modify their approach. </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Avoiding uncertainty: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Cultures like India steer clear of uncertainty by formally outlining regulations. Having more lenient regulations is something with which England is more at ease. Aligned expectations may be achieved by finding the sweet spot between too much rigidity and too much leeway to adapt to changing circumstances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Rishi and Joshi,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Traditional roles of sexes: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Traditional gender roles in India are more stratified than in England, where there is a strong emphasis on gender equality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Rishi and Joshi,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Discriminatory tactics are thwarted when all individuals, regardless of demography, have equal opportunities to advance in their careers (Taras et al., 2021).</w:t>
      </w:r>
    </w:p>
    <w:p w:rsidR="00000000" w:rsidDel="00000000" w:rsidP="00000000" w:rsidRDefault="00000000" w:rsidRPr="00000000" w14:paraId="00000030">
      <w:pPr>
        <w:rPr/>
      </w:pPr>
      <w:r w:rsidDel="00000000" w:rsidR="00000000" w:rsidRPr="00000000">
        <w:rPr>
          <w:rtl w:val="0"/>
        </w:rPr>
        <w:t xml:space="preserve">Based on the aforementioned issues, it can be concluded that it is crucial to have inclusive leadership that is sensitive to cultural differences and unites people around shared values and objectives. Maintaining uniform standards while accommodating regional variations requires a worldwide effort to promote open discourse, empathy, and the exchange of best practices.</w:t>
      </w:r>
    </w:p>
    <w:p w:rsidR="00000000" w:rsidDel="00000000" w:rsidP="00000000" w:rsidRDefault="00000000" w:rsidRPr="00000000" w14:paraId="00000031">
      <w:pPr>
        <w:pStyle w:val="Heading2"/>
        <w:rPr/>
      </w:pPr>
      <w:bookmarkStart w:colFirst="0" w:colLast="0" w:name="_heading=h.1t3h5sf" w:id="7"/>
      <w:bookmarkEnd w:id="7"/>
      <w:r w:rsidDel="00000000" w:rsidR="00000000" w:rsidRPr="00000000">
        <w:rPr>
          <w:rtl w:val="0"/>
        </w:rPr>
        <w:t xml:space="preserve">2.4 Three recommendations</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to initiate and regularly update employees on cross-cultural training sessions. The training should include the cultural differences that exist in the hotel, namely in terms of decision-making, communication, customs, and values. Additionally, it needs to provide managers with the necessary tools to demonstrate their leadership style while maintaining high standards. </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organisation must have monthly roundtables for managers and staff to address cultural differences and share experiences. Anonymous feedback lets valid concerns be discussed in confidence. Dialogue fosters solutions that acknowledge both sides' valid demands, strengthening intercultural collaboration repeatedly. Leaders are adaptable.</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peer mentoring programme might match new workers with long-term employees from comparable cultures. Mentors sharing their cultural insights may improve onboarding. When addressing supervisors with sensitive questions, the mentored may use a reputable cultural interpreter.</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1"/>
        <w:rPr/>
      </w:pPr>
      <w:bookmarkStart w:colFirst="0" w:colLast="0" w:name="_heading=h.4d34og8" w:id="8"/>
      <w:bookmarkEnd w:id="8"/>
      <w:r w:rsidDel="00000000" w:rsidR="00000000" w:rsidRPr="00000000">
        <w:rPr>
          <w:rtl w:val="0"/>
        </w:rPr>
        <w:t xml:space="preserve">Conclusion</w:t>
      </w:r>
    </w:p>
    <w:p w:rsidR="00000000" w:rsidDel="00000000" w:rsidP="00000000" w:rsidRDefault="00000000" w:rsidRPr="00000000" w14:paraId="00000037">
      <w:pPr>
        <w:rPr/>
      </w:pPr>
      <w:r w:rsidDel="00000000" w:rsidR="00000000" w:rsidRPr="00000000">
        <w:rPr>
          <w:rtl w:val="0"/>
        </w:rPr>
        <w:t xml:space="preserve">Overall, the above indicators show that the organisation welcomes its diverse staff by offering cross-cultural training, formal mentorships, and ongoing idea exchange. The essential spirit of hospitality is seeing another's humanity. If the organisation can resolve this initial hurdle to mutual understanding, excellent service will follow. The effort required to maintain a consistent brand experience as it successfully grows into new markets is significant but worthwhile. Diversity makes the organisation unique, but learning about each other's cultures unifies us.</w:t>
      </w: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highlight w:val="white"/>
        </w:rPr>
      </w:pPr>
      <w:bookmarkStart w:colFirst="0" w:colLast="0" w:name="_heading=h.2s8eyo1" w:id="9"/>
      <w:bookmarkEnd w:id="9"/>
      <w:r w:rsidDel="00000000" w:rsidR="00000000" w:rsidRPr="00000000">
        <w:rPr>
          <w:highlight w:val="white"/>
          <w:rtl w:val="0"/>
        </w:rPr>
        <w:t xml:space="preserve">References</w:t>
      </w:r>
    </w:p>
    <w:p w:rsidR="00000000" w:rsidDel="00000000" w:rsidP="00000000" w:rsidRDefault="00000000" w:rsidRPr="00000000" w14:paraId="00000039">
      <w:pPr>
        <w:ind w:left="720" w:hanging="720"/>
        <w:rPr>
          <w:highlight w:val="white"/>
        </w:rPr>
      </w:pPr>
      <w:r w:rsidDel="00000000" w:rsidR="00000000" w:rsidRPr="00000000">
        <w:rPr>
          <w:highlight w:val="white"/>
          <w:rtl w:val="0"/>
        </w:rPr>
        <w:t xml:space="preserve">Anning-Dorson, T., (2019). Complementarity of capabilities across cultures: Innovation, customer involvement, and competitiveness of service firms across India and the UK. </w:t>
      </w:r>
      <w:r w:rsidDel="00000000" w:rsidR="00000000" w:rsidRPr="00000000">
        <w:rPr>
          <w:i w:val="1"/>
          <w:highlight w:val="white"/>
          <w:rtl w:val="0"/>
        </w:rPr>
        <w:t xml:space="preserve">Cross Cultural &amp; Strategic Management</w:t>
      </w:r>
      <w:r w:rsidDel="00000000" w:rsidR="00000000" w:rsidRPr="00000000">
        <w:rPr>
          <w:highlight w:val="white"/>
          <w:rtl w:val="0"/>
        </w:rPr>
        <w:t xml:space="preserve">, </w:t>
      </w:r>
      <w:r w:rsidDel="00000000" w:rsidR="00000000" w:rsidRPr="00000000">
        <w:rPr>
          <w:i w:val="1"/>
          <w:highlight w:val="white"/>
          <w:rtl w:val="0"/>
        </w:rPr>
        <w:t xml:space="preserve">26</w:t>
      </w:r>
      <w:r w:rsidDel="00000000" w:rsidR="00000000" w:rsidRPr="00000000">
        <w:rPr>
          <w:highlight w:val="white"/>
          <w:rtl w:val="0"/>
        </w:rPr>
        <w:t xml:space="preserve">(4), pp.567-585.</w:t>
      </w:r>
    </w:p>
    <w:p w:rsidR="00000000" w:rsidDel="00000000" w:rsidP="00000000" w:rsidRDefault="00000000" w:rsidRPr="00000000" w14:paraId="0000003A">
      <w:pPr>
        <w:ind w:left="720" w:hanging="720"/>
        <w:rPr>
          <w:highlight w:val="white"/>
        </w:rPr>
      </w:pPr>
      <w:r w:rsidDel="00000000" w:rsidR="00000000" w:rsidRPr="00000000">
        <w:rPr>
          <w:highlight w:val="white"/>
          <w:rtl w:val="0"/>
        </w:rPr>
        <w:t xml:space="preserve">Dhaundiyal, D., Chakravarty, R. and N. Joshi, A., (2020, November). Hofstede and Hobbitses: Generational Evolution of Power Distance and Masculinity in UK in Popular Literature. In </w:t>
      </w:r>
      <w:r w:rsidDel="00000000" w:rsidR="00000000" w:rsidRPr="00000000">
        <w:rPr>
          <w:i w:val="1"/>
          <w:highlight w:val="white"/>
          <w:rtl w:val="0"/>
        </w:rPr>
        <w:t xml:space="preserve">Proceedings of the 11th Indian Conference on Human-Computer Interaction</w:t>
      </w:r>
      <w:r w:rsidDel="00000000" w:rsidR="00000000" w:rsidRPr="00000000">
        <w:rPr>
          <w:highlight w:val="white"/>
          <w:rtl w:val="0"/>
        </w:rPr>
        <w:t xml:space="preserve"> (pp. 1-11).</w:t>
      </w:r>
    </w:p>
    <w:p w:rsidR="00000000" w:rsidDel="00000000" w:rsidP="00000000" w:rsidRDefault="00000000" w:rsidRPr="00000000" w14:paraId="0000003B">
      <w:pPr>
        <w:ind w:left="720" w:hanging="720"/>
        <w:rPr>
          <w:highlight w:val="white"/>
        </w:rPr>
      </w:pPr>
      <w:r w:rsidDel="00000000" w:rsidR="00000000" w:rsidRPr="00000000">
        <w:rPr>
          <w:highlight w:val="white"/>
          <w:rtl w:val="0"/>
        </w:rPr>
        <w:t xml:space="preserve">Gupta, M. and Sukamto, K.E., (2020). Cultural communicative styles: The case of India and Indonesia. </w:t>
      </w:r>
      <w:r w:rsidDel="00000000" w:rsidR="00000000" w:rsidRPr="00000000">
        <w:rPr>
          <w:i w:val="1"/>
          <w:highlight w:val="white"/>
          <w:rtl w:val="0"/>
        </w:rPr>
        <w:t xml:space="preserve">International Journal of Society, Culture &amp; Language</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(2), pp.105-120.</w:t>
      </w:r>
    </w:p>
    <w:p w:rsidR="00000000" w:rsidDel="00000000" w:rsidP="00000000" w:rsidRDefault="00000000" w:rsidRPr="00000000" w14:paraId="0000003C">
      <w:pPr>
        <w:ind w:left="720" w:hanging="720"/>
        <w:rPr>
          <w:highlight w:val="white"/>
        </w:rPr>
      </w:pPr>
      <w:r w:rsidDel="00000000" w:rsidR="00000000" w:rsidRPr="00000000">
        <w:rPr>
          <w:highlight w:val="white"/>
          <w:rtl w:val="0"/>
        </w:rPr>
        <w:t xml:space="preserve">Kaasa, A., Vadi, M. and Varblane, U., (2014). Regional cultural differences within European countries: evidence from multi-country surveys. </w:t>
      </w:r>
      <w:r w:rsidDel="00000000" w:rsidR="00000000" w:rsidRPr="00000000">
        <w:rPr>
          <w:i w:val="1"/>
          <w:highlight w:val="white"/>
          <w:rtl w:val="0"/>
        </w:rPr>
        <w:t xml:space="preserve">Management International Review</w:t>
      </w:r>
      <w:r w:rsidDel="00000000" w:rsidR="00000000" w:rsidRPr="00000000">
        <w:rPr>
          <w:highlight w:val="white"/>
          <w:rtl w:val="0"/>
        </w:rPr>
        <w:t xml:space="preserve">, </w:t>
      </w:r>
      <w:r w:rsidDel="00000000" w:rsidR="00000000" w:rsidRPr="00000000">
        <w:rPr>
          <w:i w:val="1"/>
          <w:highlight w:val="white"/>
          <w:rtl w:val="0"/>
        </w:rPr>
        <w:t xml:space="preserve">54</w:t>
      </w:r>
      <w:r w:rsidDel="00000000" w:rsidR="00000000" w:rsidRPr="00000000">
        <w:rPr>
          <w:highlight w:val="white"/>
          <w:rtl w:val="0"/>
        </w:rPr>
        <w:t xml:space="preserve">, pp.825-852.</w:t>
      </w:r>
    </w:p>
    <w:p w:rsidR="00000000" w:rsidDel="00000000" w:rsidP="00000000" w:rsidRDefault="00000000" w:rsidRPr="00000000" w14:paraId="0000003D">
      <w:pPr>
        <w:ind w:left="720" w:hanging="720"/>
        <w:rPr>
          <w:highlight w:val="white"/>
        </w:rPr>
      </w:pPr>
      <w:r w:rsidDel="00000000" w:rsidR="00000000" w:rsidRPr="00000000">
        <w:rPr>
          <w:highlight w:val="white"/>
          <w:rtl w:val="0"/>
        </w:rPr>
        <w:t xml:space="preserve">Minkov, M., Dutt, P., Schachner, M., Morales, O., Sanchez, C., Jandosova, J., Khassenbekov, Y. and Mudd, B., (2017). A revision of Hofstede’s individualism-collectivism dimension: A new national index from a 56-country study. </w:t>
      </w:r>
      <w:r w:rsidDel="00000000" w:rsidR="00000000" w:rsidRPr="00000000">
        <w:rPr>
          <w:i w:val="1"/>
          <w:highlight w:val="white"/>
          <w:rtl w:val="0"/>
        </w:rPr>
        <w:t xml:space="preserve">Cross Cultural &amp; Strategic Management</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(3), pp.386-404.</w:t>
      </w:r>
    </w:p>
    <w:p w:rsidR="00000000" w:rsidDel="00000000" w:rsidP="00000000" w:rsidRDefault="00000000" w:rsidRPr="00000000" w14:paraId="0000003E">
      <w:pPr>
        <w:ind w:left="720" w:hanging="720"/>
        <w:rPr>
          <w:highlight w:val="white"/>
        </w:rPr>
      </w:pPr>
      <w:r w:rsidDel="00000000" w:rsidR="00000000" w:rsidRPr="00000000">
        <w:rPr>
          <w:highlight w:val="white"/>
          <w:rtl w:val="0"/>
        </w:rPr>
        <w:t xml:space="preserve">Rana, M., (2018). Cultural Variations in Organisations of India and United States: A Comparative Study. </w:t>
      </w:r>
      <w:r w:rsidDel="00000000" w:rsidR="00000000" w:rsidRPr="00000000">
        <w:rPr>
          <w:i w:val="1"/>
          <w:highlight w:val="white"/>
          <w:rtl w:val="0"/>
        </w:rPr>
        <w:t xml:space="preserve">International Journal of Arts and Commerce</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(1), pp.16-28.</w:t>
      </w:r>
    </w:p>
    <w:p w:rsidR="00000000" w:rsidDel="00000000" w:rsidP="00000000" w:rsidRDefault="00000000" w:rsidRPr="00000000" w14:paraId="0000003F">
      <w:pPr>
        <w:ind w:left="720" w:hanging="720"/>
        <w:rPr>
          <w:highlight w:val="white"/>
        </w:rPr>
      </w:pPr>
      <w:r w:rsidDel="00000000" w:rsidR="00000000" w:rsidRPr="00000000">
        <w:rPr>
          <w:highlight w:val="white"/>
          <w:rtl w:val="0"/>
        </w:rPr>
        <w:t xml:space="preserve">Rehman, A.U., (2022). Consumers' perceived value of luxury goods through the lens of Hofstede cultural dimensions: A cross</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cultural study. </w:t>
      </w:r>
      <w:r w:rsidDel="00000000" w:rsidR="00000000" w:rsidRPr="00000000">
        <w:rPr>
          <w:i w:val="1"/>
          <w:highlight w:val="white"/>
          <w:rtl w:val="0"/>
        </w:rPr>
        <w:t xml:space="preserve">Journal of Public Affairs</w:t>
      </w:r>
      <w:r w:rsidDel="00000000" w:rsidR="00000000" w:rsidRPr="00000000">
        <w:rPr>
          <w:highlight w:val="white"/>
          <w:rtl w:val="0"/>
        </w:rPr>
        <w:t xml:space="preserve">, </w:t>
      </w:r>
      <w:r w:rsidDel="00000000" w:rsidR="00000000" w:rsidRPr="00000000">
        <w:rPr>
          <w:i w:val="1"/>
          <w:highlight w:val="white"/>
          <w:rtl w:val="0"/>
        </w:rPr>
        <w:t xml:space="preserve">22</w:t>
      </w:r>
      <w:r w:rsidDel="00000000" w:rsidR="00000000" w:rsidRPr="00000000">
        <w:rPr>
          <w:highlight w:val="white"/>
          <w:rtl w:val="0"/>
        </w:rPr>
        <w:t xml:space="preserve">(4), p.e2660.</w:t>
      </w:r>
    </w:p>
    <w:p w:rsidR="00000000" w:rsidDel="00000000" w:rsidP="00000000" w:rsidRDefault="00000000" w:rsidRPr="00000000" w14:paraId="00000040">
      <w:pPr>
        <w:ind w:left="720" w:hanging="720"/>
        <w:rPr>
          <w:highlight w:val="white"/>
        </w:rPr>
      </w:pPr>
      <w:r w:rsidDel="00000000" w:rsidR="00000000" w:rsidRPr="00000000">
        <w:rPr>
          <w:highlight w:val="white"/>
          <w:rtl w:val="0"/>
        </w:rPr>
        <w:t xml:space="preserve">Rishi, M. and Joshi, G., (2016). Emerging challenges for branded budget hotels in India: Thematic analysis of managers’ perceptions and customer expectations. </w:t>
      </w:r>
      <w:r w:rsidDel="00000000" w:rsidR="00000000" w:rsidRPr="00000000">
        <w:rPr>
          <w:i w:val="1"/>
          <w:highlight w:val="white"/>
          <w:rtl w:val="0"/>
        </w:rPr>
        <w:t xml:space="preserve">Worldwide Hospitality and Tourism Themes</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 pp.61-82.</w:t>
      </w:r>
    </w:p>
    <w:p w:rsidR="00000000" w:rsidDel="00000000" w:rsidP="00000000" w:rsidRDefault="00000000" w:rsidRPr="00000000" w14:paraId="00000041">
      <w:pPr>
        <w:ind w:left="720" w:hanging="720"/>
        <w:rPr>
          <w:highlight w:val="white"/>
        </w:rPr>
      </w:pPr>
      <w:r w:rsidDel="00000000" w:rsidR="00000000" w:rsidRPr="00000000">
        <w:rPr>
          <w:highlight w:val="white"/>
          <w:rtl w:val="0"/>
        </w:rPr>
        <w:t xml:space="preserve">Sheehan, M., Grant, K. and Garavan, T., (2018). Strategic talent management: A macro and micro analysis of current issues in hospitality and tourism. </w:t>
      </w:r>
      <w:r w:rsidDel="00000000" w:rsidR="00000000" w:rsidRPr="00000000">
        <w:rPr>
          <w:i w:val="1"/>
          <w:highlight w:val="white"/>
          <w:rtl w:val="0"/>
        </w:rPr>
        <w:t xml:space="preserve">Worldwide Hospitality and Tourism Themes</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(1), pp.28-41.</w:t>
      </w:r>
    </w:p>
    <w:p w:rsidR="00000000" w:rsidDel="00000000" w:rsidP="00000000" w:rsidRDefault="00000000" w:rsidRPr="00000000" w14:paraId="00000042">
      <w:pPr>
        <w:ind w:left="720" w:hanging="720"/>
        <w:rPr>
          <w:highlight w:val="white"/>
        </w:rPr>
      </w:pPr>
      <w:r w:rsidDel="00000000" w:rsidR="00000000" w:rsidRPr="00000000">
        <w:rPr>
          <w:highlight w:val="white"/>
          <w:rtl w:val="0"/>
        </w:rPr>
        <w:t xml:space="preserve">Shukla, B., Sufi, T., Joshi, M. and Sujatha, R., (2023). Leadership challenges for Indian hospitality industry during COVID-19 pandemic. </w:t>
      </w:r>
      <w:r w:rsidDel="00000000" w:rsidR="00000000" w:rsidRPr="00000000">
        <w:rPr>
          <w:i w:val="1"/>
          <w:highlight w:val="white"/>
          <w:rtl w:val="0"/>
        </w:rPr>
        <w:t xml:space="preserve">Journal of Hospitality and Tourism Insights</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(4), pp.1502-1520.</w:t>
      </w:r>
    </w:p>
    <w:p w:rsidR="00000000" w:rsidDel="00000000" w:rsidP="00000000" w:rsidRDefault="00000000" w:rsidRPr="00000000" w14:paraId="00000043">
      <w:pPr>
        <w:ind w:left="720" w:hanging="720"/>
        <w:rPr>
          <w:highlight w:val="white"/>
        </w:rPr>
      </w:pPr>
      <w:r w:rsidDel="00000000" w:rsidR="00000000" w:rsidRPr="00000000">
        <w:rPr>
          <w:highlight w:val="white"/>
          <w:rtl w:val="0"/>
        </w:rPr>
        <w:t xml:space="preserve">Spencer, J., Lilley, D. and Porter, S., (2015). The implications of cultural differences in laundry behaviours for design for sustainable behaviour: A case study between the UK, India and Brazil. </w:t>
      </w:r>
      <w:r w:rsidDel="00000000" w:rsidR="00000000" w:rsidRPr="00000000">
        <w:rPr>
          <w:i w:val="1"/>
          <w:highlight w:val="white"/>
          <w:rtl w:val="0"/>
        </w:rPr>
        <w:t xml:space="preserve">International Journal of Sustainable Engineering</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(3), pp.196-205.</w:t>
      </w:r>
    </w:p>
    <w:p w:rsidR="00000000" w:rsidDel="00000000" w:rsidP="00000000" w:rsidRDefault="00000000" w:rsidRPr="00000000" w14:paraId="00000044">
      <w:pPr>
        <w:ind w:left="720" w:hanging="720"/>
        <w:rPr/>
      </w:pPr>
      <w:r w:rsidDel="00000000" w:rsidR="00000000" w:rsidRPr="00000000">
        <w:rPr>
          <w:rtl w:val="0"/>
        </w:rPr>
        <w:t xml:space="preserve">Taras, V. </w:t>
      </w:r>
      <w:r w:rsidDel="00000000" w:rsidR="00000000" w:rsidRPr="00000000">
        <w:rPr>
          <w:i w:val="1"/>
          <w:rtl w:val="0"/>
        </w:rPr>
        <w:t xml:space="preserve">et al.</w:t>
      </w:r>
      <w:r w:rsidDel="00000000" w:rsidR="00000000" w:rsidRPr="00000000">
        <w:rPr>
          <w:rtl w:val="0"/>
        </w:rPr>
        <w:t xml:space="preserve"> (2021) </w:t>
      </w:r>
      <w:r w:rsidDel="00000000" w:rsidR="00000000" w:rsidRPr="00000000">
        <w:rPr>
          <w:i w:val="1"/>
          <w:rtl w:val="0"/>
        </w:rPr>
        <w:t xml:space="preserve">Research: How cultural differences can impact global teams</w:t>
      </w:r>
      <w:r w:rsidDel="00000000" w:rsidR="00000000" w:rsidRPr="00000000">
        <w:rPr>
          <w:rtl w:val="0"/>
        </w:rPr>
        <w:t xml:space="preserve">, </w:t>
      </w:r>
      <w:r w:rsidDel="00000000" w:rsidR="00000000" w:rsidRPr="00000000">
        <w:rPr>
          <w:i w:val="1"/>
          <w:rtl w:val="0"/>
        </w:rPr>
        <w:t xml:space="preserve">Harvard Business Review</w:t>
      </w:r>
      <w:r w:rsidDel="00000000" w:rsidR="00000000" w:rsidRPr="00000000">
        <w:rPr>
          <w:rtl w:val="0"/>
        </w:rPr>
        <w:t xml:space="preserve">. Available at: https://hbr.org/2021/06/research-how-cultural-differences-can-impact-global-teams (Accessed: 08 February 2024). </w:t>
      </w:r>
    </w:p>
    <w:p w:rsidR="00000000" w:rsidDel="00000000" w:rsidP="00000000" w:rsidRDefault="00000000" w:rsidRPr="00000000" w14:paraId="00000045">
      <w:pPr>
        <w:ind w:left="720" w:hanging="720"/>
        <w:rPr/>
      </w:pPr>
      <w:r w:rsidDel="00000000" w:rsidR="00000000" w:rsidRPr="00000000">
        <w:rPr>
          <w:rtl w:val="0"/>
        </w:rPr>
        <w:t xml:space="preserve">TOPPAN (2019) </w:t>
      </w:r>
      <w:r w:rsidDel="00000000" w:rsidR="00000000" w:rsidRPr="00000000">
        <w:rPr>
          <w:i w:val="1"/>
          <w:rtl w:val="0"/>
        </w:rPr>
        <w:t xml:space="preserve">Understanding the 6 dimensions of UK culture</w:t>
      </w:r>
      <w:r w:rsidDel="00000000" w:rsidR="00000000" w:rsidRPr="00000000">
        <w:rPr>
          <w:rtl w:val="0"/>
        </w:rPr>
        <w:t xml:space="preserve">, </w:t>
      </w:r>
      <w:r w:rsidDel="00000000" w:rsidR="00000000" w:rsidRPr="00000000">
        <w:rPr>
          <w:i w:val="1"/>
          <w:rtl w:val="0"/>
        </w:rPr>
        <w:t xml:space="preserve">TOPPAN DIGITAL LANGUAGE</w:t>
      </w:r>
      <w:r w:rsidDel="00000000" w:rsidR="00000000" w:rsidRPr="00000000">
        <w:rPr>
          <w:rtl w:val="0"/>
        </w:rPr>
        <w:t xml:space="preserve">. Available at: https://toppandigital.com/translation-blog/understanding-6-dimensions-uk-culture/ (Accessed: 08 February 2024).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 </w:t>
        <w:br w:type="textWrapping"/>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b w:val="1"/>
      <w:color w:val="222a35"/>
      <w:sz w:val="32"/>
      <w:szCs w:val="32"/>
    </w:rPr>
  </w:style>
  <w:style w:type="paragraph" w:styleId="Heading2">
    <w:name w:val="heading 2"/>
    <w:basedOn w:val="Normal"/>
    <w:next w:val="Normal"/>
    <w:pPr>
      <w:keepNext w:val="1"/>
      <w:keepLines w:val="1"/>
      <w:spacing w:after="0" w:before="40" w:lineRule="auto"/>
    </w:pPr>
    <w:rPr>
      <w:b w:val="1"/>
      <w:color w:val="222a35"/>
      <w:sz w:val="28"/>
      <w:szCs w:val="28"/>
    </w:rPr>
  </w:style>
  <w:style w:type="paragraph" w:styleId="Heading3">
    <w:name w:val="heading 3"/>
    <w:basedOn w:val="Normal"/>
    <w:next w:val="Normal"/>
    <w:pPr>
      <w:keepNext w:val="1"/>
      <w:keepLines w:val="1"/>
      <w:spacing w:after="0" w:before="40" w:lineRule="auto"/>
    </w:pPr>
    <w:rPr>
      <w:b w:val="1"/>
      <w:color w:val="222a35"/>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020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9C74BF"/>
    <w:pPr>
      <w:keepNext w:val="1"/>
      <w:keepLines w:val="1"/>
      <w:spacing w:after="0" w:before="240"/>
      <w:jc w:val="center"/>
      <w:outlineLvl w:val="0"/>
    </w:pPr>
    <w:rPr>
      <w:rFonts w:cstheme="majorBidi" w:eastAsiaTheme="majorEastAsia"/>
      <w:b w:val="1"/>
      <w:color w:val="222a35" w:themeColor="text2" w:themeShade="000080"/>
      <w:sz w:val="32"/>
      <w:szCs w:val="32"/>
    </w:rPr>
  </w:style>
  <w:style w:type="paragraph" w:styleId="Heading2">
    <w:name w:val="heading 2"/>
    <w:basedOn w:val="Normal"/>
    <w:next w:val="Normal"/>
    <w:link w:val="Heading2Char"/>
    <w:uiPriority w:val="9"/>
    <w:unhideWhenUsed w:val="1"/>
    <w:qFormat w:val="1"/>
    <w:rsid w:val="00650727"/>
    <w:pPr>
      <w:keepNext w:val="1"/>
      <w:keepLines w:val="1"/>
      <w:spacing w:after="0" w:before="40"/>
      <w:outlineLvl w:val="1"/>
    </w:pPr>
    <w:rPr>
      <w:rFonts w:cstheme="majorBidi" w:eastAsiaTheme="majorEastAsia"/>
      <w:b w:val="1"/>
      <w:color w:val="222a35" w:themeColor="text2" w:themeShade="000080"/>
      <w:sz w:val="28"/>
      <w:szCs w:val="26"/>
    </w:rPr>
  </w:style>
  <w:style w:type="paragraph" w:styleId="Heading3">
    <w:name w:val="heading 3"/>
    <w:basedOn w:val="Normal"/>
    <w:next w:val="Normal"/>
    <w:link w:val="Heading3Char"/>
    <w:uiPriority w:val="9"/>
    <w:semiHidden w:val="1"/>
    <w:unhideWhenUsed w:val="1"/>
    <w:qFormat w:val="1"/>
    <w:rsid w:val="00AE3CEF"/>
    <w:pPr>
      <w:keepNext w:val="1"/>
      <w:keepLines w:val="1"/>
      <w:spacing w:after="0" w:before="40"/>
      <w:outlineLvl w:val="2"/>
    </w:pPr>
    <w:rPr>
      <w:rFonts w:cstheme="majorBidi" w:eastAsiaTheme="majorEastAsia"/>
      <w:b w:val="1"/>
      <w:color w:val="222a35" w:themeColor="text2" w:themeShade="000080"/>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C74BF"/>
    <w:rPr>
      <w:rFonts w:ascii="Times New Roman" w:hAnsi="Times New Roman" w:cstheme="majorBidi" w:eastAsiaTheme="majorEastAsia"/>
      <w:b w:val="1"/>
      <w:color w:val="222a35" w:themeColor="text2" w:themeShade="000080"/>
      <w:sz w:val="32"/>
      <w:szCs w:val="32"/>
    </w:rPr>
  </w:style>
  <w:style w:type="character" w:styleId="Heading2Char" w:customStyle="1">
    <w:name w:val="Heading 2 Char"/>
    <w:basedOn w:val="DefaultParagraphFont"/>
    <w:link w:val="Heading2"/>
    <w:uiPriority w:val="9"/>
    <w:rsid w:val="00650727"/>
    <w:rPr>
      <w:rFonts w:ascii="Times New Roman" w:hAnsi="Times New Roman" w:cstheme="majorBidi" w:eastAsiaTheme="majorEastAsia"/>
      <w:b w:val="1"/>
      <w:color w:val="222a35" w:themeColor="text2" w:themeShade="000080"/>
      <w:sz w:val="28"/>
      <w:szCs w:val="26"/>
    </w:rPr>
  </w:style>
  <w:style w:type="character" w:styleId="fontstyle01" w:customStyle="1">
    <w:name w:val="fontstyle01"/>
    <w:basedOn w:val="DefaultParagraphFont"/>
    <w:rsid w:val="00B010DD"/>
    <w:rPr>
      <w:rFonts w:ascii="ArialMT" w:hAnsi="ArialMT" w:hint="default"/>
      <w:b w:val="0"/>
      <w:bCs w:val="0"/>
      <w:i w:val="0"/>
      <w:iCs w:val="0"/>
      <w:color w:val="000000"/>
      <w:sz w:val="22"/>
      <w:szCs w:val="22"/>
    </w:rPr>
  </w:style>
  <w:style w:type="paragraph" w:styleId="ListParagraph">
    <w:name w:val="List Paragraph"/>
    <w:basedOn w:val="Normal"/>
    <w:uiPriority w:val="34"/>
    <w:qFormat w:val="1"/>
    <w:rsid w:val="00296371"/>
    <w:pPr>
      <w:ind w:left="720"/>
      <w:contextualSpacing w:val="1"/>
    </w:pPr>
  </w:style>
  <w:style w:type="character" w:styleId="Heading3Char" w:customStyle="1">
    <w:name w:val="Heading 3 Char"/>
    <w:basedOn w:val="DefaultParagraphFont"/>
    <w:link w:val="Heading3"/>
    <w:uiPriority w:val="9"/>
    <w:semiHidden w:val="1"/>
    <w:rsid w:val="00AE3CEF"/>
    <w:rPr>
      <w:rFonts w:ascii="Times New Roman" w:hAnsi="Times New Roman" w:cstheme="majorBidi" w:eastAsiaTheme="majorEastAsia"/>
      <w:b w:val="1"/>
      <w:color w:val="222a35" w:themeColor="text2" w:themeShade="000080"/>
      <w:sz w:val="24"/>
      <w:szCs w:val="24"/>
    </w:rPr>
  </w:style>
  <w:style w:type="paragraph" w:styleId="TOCHeading">
    <w:name w:val="TOC Heading"/>
    <w:basedOn w:val="Heading1"/>
    <w:next w:val="Normal"/>
    <w:uiPriority w:val="39"/>
    <w:unhideWhenUsed w:val="1"/>
    <w:qFormat w:val="1"/>
    <w:rsid w:val="00767D9D"/>
    <w:pPr>
      <w:spacing w:line="259" w:lineRule="auto"/>
      <w:jc w:val="left"/>
      <w:outlineLvl w:val="9"/>
    </w:pPr>
    <w:rPr>
      <w:rFonts w:asciiTheme="majorHAnsi" w:hAnsiTheme="majorHAnsi"/>
      <w:b w:val="0"/>
      <w:color w:val="2f5496" w:themeColor="accent1" w:themeShade="0000BF"/>
    </w:rPr>
  </w:style>
  <w:style w:type="paragraph" w:styleId="TOC1">
    <w:name w:val="toc 1"/>
    <w:basedOn w:val="Normal"/>
    <w:next w:val="Normal"/>
    <w:autoRedefine w:val="1"/>
    <w:uiPriority w:val="39"/>
    <w:unhideWhenUsed w:val="1"/>
    <w:rsid w:val="00767D9D"/>
    <w:pPr>
      <w:spacing w:after="100"/>
    </w:pPr>
  </w:style>
  <w:style w:type="paragraph" w:styleId="TOC2">
    <w:name w:val="toc 2"/>
    <w:basedOn w:val="Normal"/>
    <w:next w:val="Normal"/>
    <w:autoRedefine w:val="1"/>
    <w:uiPriority w:val="39"/>
    <w:unhideWhenUsed w:val="1"/>
    <w:rsid w:val="00767D9D"/>
    <w:pPr>
      <w:spacing w:after="100"/>
      <w:ind w:left="240"/>
    </w:pPr>
  </w:style>
  <w:style w:type="character" w:styleId="Hyperlink">
    <w:name w:val="Hyperlink"/>
    <w:basedOn w:val="DefaultParagraphFont"/>
    <w:uiPriority w:val="99"/>
    <w:unhideWhenUsed w:val="1"/>
    <w:rsid w:val="00767D9D"/>
    <w:rPr>
      <w:color w:val="0563c1" w:themeColor="hyperlink"/>
      <w:u w:val="single"/>
    </w:rPr>
  </w:style>
  <w:style w:type="paragraph" w:styleId="Header">
    <w:name w:val="header"/>
    <w:basedOn w:val="Normal"/>
    <w:link w:val="HeaderChar"/>
    <w:uiPriority w:val="99"/>
    <w:unhideWhenUsed w:val="1"/>
    <w:rsid w:val="00767D9D"/>
    <w:pPr>
      <w:tabs>
        <w:tab w:val="center" w:pos="4680"/>
        <w:tab w:val="right" w:pos="9360"/>
      </w:tabs>
      <w:spacing w:after="0" w:line="240" w:lineRule="auto"/>
    </w:pPr>
  </w:style>
  <w:style w:type="character" w:styleId="HeaderChar" w:customStyle="1">
    <w:name w:val="Header Char"/>
    <w:basedOn w:val="DefaultParagraphFont"/>
    <w:link w:val="Header"/>
    <w:uiPriority w:val="99"/>
    <w:rsid w:val="00767D9D"/>
    <w:rPr>
      <w:rFonts w:ascii="Times New Roman" w:hAnsi="Times New Roman"/>
      <w:sz w:val="24"/>
    </w:rPr>
  </w:style>
  <w:style w:type="paragraph" w:styleId="Footer">
    <w:name w:val="footer"/>
    <w:basedOn w:val="Normal"/>
    <w:link w:val="FooterChar"/>
    <w:uiPriority w:val="99"/>
    <w:unhideWhenUsed w:val="1"/>
    <w:rsid w:val="00767D9D"/>
    <w:pPr>
      <w:tabs>
        <w:tab w:val="center" w:pos="4680"/>
        <w:tab w:val="right" w:pos="9360"/>
      </w:tabs>
      <w:spacing w:after="0" w:line="240" w:lineRule="auto"/>
    </w:pPr>
  </w:style>
  <w:style w:type="character" w:styleId="FooterChar" w:customStyle="1">
    <w:name w:val="Footer Char"/>
    <w:basedOn w:val="DefaultParagraphFont"/>
    <w:link w:val="Footer"/>
    <w:uiPriority w:val="99"/>
    <w:rsid w:val="00767D9D"/>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1TeTM9XQRtwFk8lSMMUQ0mvhxA==">CgMxLjAyCGguZ2pkZ3hzMgloLjMwajB6bGwyCWguMWZvYjl0ZTIJaC4zem55c2g3MgloLjJldDkycDAyCGgudHlqY3d0MgloLjNkeTZ2a20yCWguMXQzaDVzZjIJaC40ZDM0b2c4MgloLjJzOGV5bzE4AHIhMU5sb2FNYXpYVUEtTUVsLUdIdTl2Vm5TWDV0T2JUaXZh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2024-02-08T17:29:00Z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e9a6f82f08828d2637f830bebbba332a9d14fe6a530d13a3ddbc901b83ecafc6</vt:lpwstr>
  </property>
  <property fmtid="{D5CDD505-2E9C-101B-9397-08002B2CF9AE}" pid="3" name="GrammarlyDocumentId">
    <vt:lpwstr>e9a6f82f08828d2637f830bebbba332a9d14fe6a530d13a3ddbc901b83ecafc6</vt:lpwstr>
  </property>
</Properties>
</file>