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B6EFD" w14:textId="77777777" w:rsidR="004D7B5A" w:rsidRPr="003927BC" w:rsidRDefault="004D7B5A" w:rsidP="004D7B5A">
      <w:pPr>
        <w:jc w:val="center"/>
        <w:rPr>
          <w:sz w:val="36"/>
          <w:szCs w:val="36"/>
        </w:rPr>
      </w:pPr>
      <w:r w:rsidRPr="003927BC">
        <w:drawing>
          <wp:inline distT="0" distB="0" distL="0" distR="0" wp14:anchorId="6F1B23F9" wp14:editId="7F40052F">
            <wp:extent cx="2209992" cy="1120237"/>
            <wp:effectExtent l="0" t="0" r="0" b="3810"/>
            <wp:docPr id="2099824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24925" name=""/>
                    <pic:cNvPicPr/>
                  </pic:nvPicPr>
                  <pic:blipFill>
                    <a:blip r:embed="rId8"/>
                    <a:stretch>
                      <a:fillRect/>
                    </a:stretch>
                  </pic:blipFill>
                  <pic:spPr>
                    <a:xfrm>
                      <a:off x="0" y="0"/>
                      <a:ext cx="2209992" cy="1120237"/>
                    </a:xfrm>
                    <a:prstGeom prst="rect">
                      <a:avLst/>
                    </a:prstGeom>
                  </pic:spPr>
                </pic:pic>
              </a:graphicData>
            </a:graphic>
          </wp:inline>
        </w:drawing>
      </w:r>
    </w:p>
    <w:p w14:paraId="0272D5CB" w14:textId="77777777" w:rsidR="004D7B5A" w:rsidRPr="003927BC" w:rsidRDefault="004D7B5A" w:rsidP="004D7B5A">
      <w:pPr>
        <w:jc w:val="center"/>
        <w:rPr>
          <w:sz w:val="36"/>
          <w:szCs w:val="36"/>
        </w:rPr>
      </w:pPr>
    </w:p>
    <w:p w14:paraId="7FDAAFD5" w14:textId="77777777" w:rsidR="004D7B5A" w:rsidRPr="003927BC" w:rsidRDefault="004D7B5A" w:rsidP="004D7B5A">
      <w:pPr>
        <w:jc w:val="center"/>
        <w:rPr>
          <w:sz w:val="36"/>
          <w:szCs w:val="36"/>
        </w:rPr>
      </w:pPr>
    </w:p>
    <w:p w14:paraId="5B649D94" w14:textId="0A80877E" w:rsidR="004D7B5A" w:rsidRPr="003927BC" w:rsidRDefault="004D7B5A" w:rsidP="004D7B5A">
      <w:pPr>
        <w:jc w:val="center"/>
        <w:rPr>
          <w:sz w:val="36"/>
          <w:szCs w:val="36"/>
        </w:rPr>
      </w:pPr>
      <w:r w:rsidRPr="003927BC">
        <w:rPr>
          <w:sz w:val="36"/>
          <w:szCs w:val="36"/>
        </w:rPr>
        <w:t>The cost savings and carbon reduction of distribution Transformers and energy-efficient lighting systems.</w:t>
      </w:r>
    </w:p>
    <w:p w14:paraId="56B03D67" w14:textId="77777777" w:rsidR="004D7B5A" w:rsidRPr="003927BC" w:rsidRDefault="004D7B5A" w:rsidP="004D7B5A">
      <w:pPr>
        <w:rPr>
          <w:sz w:val="28"/>
          <w:szCs w:val="28"/>
        </w:rPr>
      </w:pPr>
    </w:p>
    <w:p w14:paraId="240B83ED" w14:textId="77777777" w:rsidR="004D7B5A" w:rsidRPr="003927BC" w:rsidRDefault="004D7B5A" w:rsidP="004D7B5A">
      <w:pPr>
        <w:rPr>
          <w:sz w:val="28"/>
          <w:szCs w:val="28"/>
        </w:rPr>
      </w:pPr>
    </w:p>
    <w:p w14:paraId="3276F6B0" w14:textId="3D7FA5CB" w:rsidR="004D7B5A" w:rsidRPr="003927BC" w:rsidRDefault="004D7B5A" w:rsidP="004D7B5A">
      <w:pPr>
        <w:jc w:val="center"/>
        <w:rPr>
          <w:sz w:val="36"/>
          <w:szCs w:val="36"/>
        </w:rPr>
      </w:pPr>
      <w:r w:rsidRPr="003927BC">
        <w:rPr>
          <w:sz w:val="36"/>
          <w:szCs w:val="36"/>
        </w:rPr>
        <w:t>Independent project.</w:t>
      </w:r>
    </w:p>
    <w:p w14:paraId="0681F169" w14:textId="77777777" w:rsidR="004D7B5A" w:rsidRPr="003927BC" w:rsidRDefault="004D7B5A" w:rsidP="004D7B5A">
      <w:pPr>
        <w:jc w:val="center"/>
        <w:rPr>
          <w:sz w:val="36"/>
          <w:szCs w:val="36"/>
        </w:rPr>
      </w:pPr>
    </w:p>
    <w:p w14:paraId="06EBF12E" w14:textId="4FDA73F8" w:rsidR="004D7B5A" w:rsidRPr="003927BC" w:rsidRDefault="004D7B5A" w:rsidP="004D7B5A">
      <w:pPr>
        <w:jc w:val="center"/>
        <w:rPr>
          <w:sz w:val="36"/>
          <w:szCs w:val="36"/>
        </w:rPr>
      </w:pPr>
      <w:r w:rsidRPr="003927BC">
        <w:rPr>
          <w:sz w:val="36"/>
          <w:szCs w:val="36"/>
        </w:rPr>
        <w:t>ACMA 6013</w:t>
      </w:r>
    </w:p>
    <w:p w14:paraId="0B04196E" w14:textId="77777777" w:rsidR="00031F78" w:rsidRPr="003927BC" w:rsidRDefault="00031F78" w:rsidP="004D7B5A">
      <w:pPr>
        <w:jc w:val="center"/>
        <w:rPr>
          <w:sz w:val="36"/>
          <w:szCs w:val="36"/>
        </w:rPr>
      </w:pPr>
    </w:p>
    <w:p w14:paraId="1E8C20C8" w14:textId="66E99335" w:rsidR="00031F78" w:rsidRPr="003927BC" w:rsidRDefault="00031F78" w:rsidP="004D7B5A">
      <w:pPr>
        <w:jc w:val="center"/>
        <w:rPr>
          <w:sz w:val="36"/>
          <w:szCs w:val="36"/>
        </w:rPr>
      </w:pPr>
      <w:r w:rsidRPr="003927BC">
        <w:rPr>
          <w:sz w:val="36"/>
          <w:szCs w:val="36"/>
        </w:rPr>
        <w:t xml:space="preserve">James Wybron </w:t>
      </w:r>
      <w:r w:rsidR="00514D49" w:rsidRPr="003927BC">
        <w:rPr>
          <w:sz w:val="36"/>
          <w:szCs w:val="36"/>
        </w:rPr>
        <w:t>1103748</w:t>
      </w:r>
    </w:p>
    <w:p w14:paraId="362164EB" w14:textId="77777777" w:rsidR="004D7B5A" w:rsidRPr="003927BC" w:rsidRDefault="004D7B5A" w:rsidP="004D7B5A"/>
    <w:p w14:paraId="7C1C035C" w14:textId="3EF98B01" w:rsidR="004D7B5A" w:rsidRPr="003927BC" w:rsidRDefault="004D7B5A" w:rsidP="004D7B5A">
      <w:pPr>
        <w:jc w:val="center"/>
      </w:pPr>
    </w:p>
    <w:p w14:paraId="48111B1B" w14:textId="77777777" w:rsidR="004D7B5A" w:rsidRPr="003927BC" w:rsidRDefault="004D7B5A" w:rsidP="004D7B5A"/>
    <w:p w14:paraId="4F89E01F" w14:textId="77777777" w:rsidR="004D7B5A" w:rsidRPr="003927BC" w:rsidRDefault="004D7B5A" w:rsidP="004D7B5A"/>
    <w:p w14:paraId="65F2651C" w14:textId="77777777" w:rsidR="004D7B5A" w:rsidRPr="003927BC" w:rsidRDefault="004D7B5A" w:rsidP="004D7B5A"/>
    <w:p w14:paraId="539B25BE" w14:textId="77777777" w:rsidR="004D7B5A" w:rsidRPr="003927BC" w:rsidRDefault="004D7B5A" w:rsidP="004D7B5A"/>
    <w:p w14:paraId="6760B13A" w14:textId="77777777" w:rsidR="004D7B5A" w:rsidRPr="003927BC" w:rsidRDefault="004D7B5A" w:rsidP="004D7B5A"/>
    <w:p w14:paraId="46806FFC" w14:textId="77777777" w:rsidR="004D7B5A" w:rsidRPr="003927BC" w:rsidRDefault="004D7B5A" w:rsidP="004D7B5A"/>
    <w:p w14:paraId="7D717951" w14:textId="77777777" w:rsidR="004D7B5A" w:rsidRPr="003927BC" w:rsidRDefault="004D7B5A" w:rsidP="004D7B5A"/>
    <w:p w14:paraId="365C32E6" w14:textId="77777777" w:rsidR="004D7B5A" w:rsidRPr="003927BC" w:rsidRDefault="004D7B5A" w:rsidP="004D7B5A"/>
    <w:p w14:paraId="0D9FCEE0" w14:textId="77777777" w:rsidR="004D7B5A" w:rsidRPr="003927BC" w:rsidRDefault="004D7B5A" w:rsidP="004D7B5A"/>
    <w:p w14:paraId="3BCAAA87" w14:textId="77777777" w:rsidR="004D7B5A" w:rsidRPr="003927BC" w:rsidRDefault="004D7B5A" w:rsidP="004D7B5A"/>
    <w:p w14:paraId="0F04DA18" w14:textId="504DC12C" w:rsidR="004D7B5A" w:rsidRPr="003927BC" w:rsidRDefault="004D7B5A" w:rsidP="004D7B5A">
      <w:pPr>
        <w:rPr>
          <w:rFonts w:ascii="Arial" w:hAnsi="Arial" w:cs="Arial"/>
        </w:rPr>
      </w:pPr>
      <w:r w:rsidRPr="003927BC">
        <w:rPr>
          <w:rFonts w:ascii="Arial" w:hAnsi="Arial" w:cs="Arial"/>
        </w:rPr>
        <w:lastRenderedPageBreak/>
        <w:t>Declaration of Authenticity</w:t>
      </w:r>
    </w:p>
    <w:p w14:paraId="0309D738" w14:textId="77777777" w:rsidR="00401C8D" w:rsidRPr="003927BC" w:rsidRDefault="00401C8D" w:rsidP="004D7B5A">
      <w:pPr>
        <w:rPr>
          <w:rFonts w:ascii="Arial" w:hAnsi="Arial" w:cs="Arial"/>
        </w:rPr>
      </w:pPr>
    </w:p>
    <w:p w14:paraId="2435A2A3" w14:textId="77777777" w:rsidR="00401C8D" w:rsidRPr="003927BC" w:rsidRDefault="00401C8D" w:rsidP="004D7B5A">
      <w:pPr>
        <w:rPr>
          <w:rFonts w:ascii="Arial" w:hAnsi="Arial" w:cs="Arial"/>
        </w:rPr>
      </w:pPr>
    </w:p>
    <w:p w14:paraId="6036BD2B" w14:textId="77777777" w:rsidR="00401C8D" w:rsidRPr="003927BC" w:rsidRDefault="00401C8D" w:rsidP="004D7B5A">
      <w:pPr>
        <w:rPr>
          <w:rFonts w:ascii="Arial" w:hAnsi="Arial" w:cs="Arial"/>
        </w:rPr>
      </w:pPr>
    </w:p>
    <w:p w14:paraId="47CE6D22" w14:textId="77777777" w:rsidR="00401C8D" w:rsidRPr="003927BC" w:rsidRDefault="00401C8D" w:rsidP="004D7B5A">
      <w:pPr>
        <w:rPr>
          <w:rFonts w:ascii="Arial" w:hAnsi="Arial" w:cs="Arial"/>
        </w:rPr>
      </w:pPr>
    </w:p>
    <w:p w14:paraId="64A0EC73" w14:textId="16230883" w:rsidR="004D7B5A" w:rsidRPr="003927BC" w:rsidRDefault="004D7B5A" w:rsidP="004D7B5A">
      <w:pPr>
        <w:rPr>
          <w:rFonts w:ascii="Arial" w:hAnsi="Arial" w:cs="Arial"/>
        </w:rPr>
      </w:pPr>
      <w:r w:rsidRPr="003927BC">
        <w:rPr>
          <w:rFonts w:ascii="Arial" w:hAnsi="Arial" w:cs="Arial"/>
        </w:rPr>
        <w:t>‘This thesis is the result of the author’s original research. It has been composed by the author and has not been previously submitted for examination, which has led to the award of a degree.’</w:t>
      </w:r>
    </w:p>
    <w:p w14:paraId="76230325" w14:textId="77777777" w:rsidR="004D7B5A" w:rsidRPr="003927BC" w:rsidRDefault="004D7B5A" w:rsidP="004D7B5A"/>
    <w:p w14:paraId="093B457D" w14:textId="5E163403" w:rsidR="004D7B5A" w:rsidRPr="003927BC" w:rsidRDefault="004D7B5A" w:rsidP="004D7B5A">
      <w:r w:rsidRPr="003927BC">
        <w:rPr>
          <w:rFonts w:ascii="Arial" w:hAnsi="Arial" w:cs="Arial"/>
        </w:rPr>
        <w:t>Signed:</w:t>
      </w:r>
      <w:r w:rsidRPr="003927BC">
        <w:t xml:space="preserve"> </w:t>
      </w:r>
      <w:r w:rsidRPr="003927BC">
        <w:tab/>
      </w:r>
      <w:r w:rsidR="00B0470D" w:rsidRPr="003927BC">
        <w:drawing>
          <wp:inline distT="0" distB="0" distL="0" distR="0" wp14:anchorId="1FBA53CE" wp14:editId="4064F33E">
            <wp:extent cx="1638300" cy="517664"/>
            <wp:effectExtent l="0" t="0" r="0" b="0"/>
            <wp:docPr id="155004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47290" name=""/>
                    <pic:cNvPicPr/>
                  </pic:nvPicPr>
                  <pic:blipFill>
                    <a:blip r:embed="rId9"/>
                    <a:stretch>
                      <a:fillRect/>
                    </a:stretch>
                  </pic:blipFill>
                  <pic:spPr>
                    <a:xfrm>
                      <a:off x="0" y="0"/>
                      <a:ext cx="1646192" cy="520158"/>
                    </a:xfrm>
                    <a:prstGeom prst="rect">
                      <a:avLst/>
                    </a:prstGeom>
                  </pic:spPr>
                </pic:pic>
              </a:graphicData>
            </a:graphic>
          </wp:inline>
        </w:drawing>
      </w:r>
      <w:r w:rsidRPr="003927BC">
        <w:tab/>
      </w:r>
      <w:r w:rsidRPr="003927BC">
        <w:tab/>
      </w:r>
      <w:r w:rsidR="00B0470D" w:rsidRPr="003927BC">
        <w:tab/>
      </w:r>
      <w:r w:rsidRPr="003927BC">
        <w:tab/>
      </w:r>
      <w:r w:rsidRPr="003927BC">
        <w:rPr>
          <w:rFonts w:ascii="Arial" w:hAnsi="Arial" w:cs="Arial"/>
        </w:rPr>
        <w:t>Date:</w:t>
      </w:r>
      <w:r w:rsidR="002C7720" w:rsidRPr="003927BC">
        <w:rPr>
          <w:rFonts w:ascii="Arial" w:hAnsi="Arial" w:cs="Arial"/>
        </w:rPr>
        <w:t xml:space="preserve"> 20/05/226</w:t>
      </w:r>
    </w:p>
    <w:p w14:paraId="013B3148" w14:textId="77777777" w:rsidR="004D7B5A" w:rsidRPr="003927BC" w:rsidRDefault="004D7B5A" w:rsidP="004D7B5A"/>
    <w:p w14:paraId="05B61F90" w14:textId="77777777" w:rsidR="004D7B5A" w:rsidRPr="003927BC" w:rsidRDefault="004D7B5A" w:rsidP="004D7B5A"/>
    <w:p w14:paraId="1C6F5710" w14:textId="77777777" w:rsidR="004D7B5A" w:rsidRPr="003927BC" w:rsidRDefault="004D7B5A" w:rsidP="004D7B5A"/>
    <w:p w14:paraId="1C6C1282" w14:textId="77777777" w:rsidR="004D7B5A" w:rsidRPr="003927BC" w:rsidRDefault="004D7B5A" w:rsidP="004D7B5A"/>
    <w:p w14:paraId="446927B8" w14:textId="77777777" w:rsidR="004D7B5A" w:rsidRPr="003927BC" w:rsidRDefault="004D7B5A" w:rsidP="004D7B5A"/>
    <w:p w14:paraId="6969EF8E" w14:textId="77777777" w:rsidR="004D7B5A" w:rsidRPr="003927BC" w:rsidRDefault="004D7B5A" w:rsidP="004D7B5A"/>
    <w:p w14:paraId="56305B6B" w14:textId="77777777" w:rsidR="004D7B5A" w:rsidRPr="003927BC" w:rsidRDefault="004D7B5A" w:rsidP="004D7B5A"/>
    <w:p w14:paraId="03BD14C2" w14:textId="77777777" w:rsidR="004D7B5A" w:rsidRPr="003927BC" w:rsidRDefault="004D7B5A" w:rsidP="004D7B5A"/>
    <w:p w14:paraId="1DEBFD4D" w14:textId="77777777" w:rsidR="004D7B5A" w:rsidRPr="003927BC" w:rsidRDefault="004D7B5A" w:rsidP="004D7B5A"/>
    <w:p w14:paraId="087CCAE6" w14:textId="77777777" w:rsidR="004D7B5A" w:rsidRPr="003927BC" w:rsidRDefault="004D7B5A" w:rsidP="004D7B5A"/>
    <w:p w14:paraId="7E0DF94C" w14:textId="77777777" w:rsidR="004D7B5A" w:rsidRPr="003927BC" w:rsidRDefault="004D7B5A" w:rsidP="004D7B5A"/>
    <w:p w14:paraId="02A0EC54" w14:textId="77777777" w:rsidR="004D7B5A" w:rsidRPr="003927BC" w:rsidRDefault="004D7B5A" w:rsidP="004D7B5A"/>
    <w:p w14:paraId="26F18A56" w14:textId="77777777" w:rsidR="004D7B5A" w:rsidRPr="003927BC" w:rsidRDefault="004D7B5A" w:rsidP="004D7B5A"/>
    <w:p w14:paraId="20BD08CA" w14:textId="77777777" w:rsidR="004D7B5A" w:rsidRPr="003927BC" w:rsidRDefault="004D7B5A" w:rsidP="004D7B5A"/>
    <w:p w14:paraId="1609E84E" w14:textId="77777777" w:rsidR="004D7B5A" w:rsidRPr="003927BC" w:rsidRDefault="004D7B5A" w:rsidP="004D7B5A"/>
    <w:p w14:paraId="474AA1ED" w14:textId="77777777" w:rsidR="004D7B5A" w:rsidRPr="003927BC" w:rsidRDefault="004D7B5A" w:rsidP="004D7B5A"/>
    <w:p w14:paraId="59624DBD" w14:textId="77777777" w:rsidR="004D7B5A" w:rsidRPr="003927BC" w:rsidRDefault="004D7B5A" w:rsidP="004D7B5A"/>
    <w:p w14:paraId="3273E69B" w14:textId="77777777" w:rsidR="00401C8D" w:rsidRPr="003927BC" w:rsidRDefault="00401C8D" w:rsidP="004D7B5A"/>
    <w:p w14:paraId="1A0D3C51" w14:textId="77777777" w:rsidR="00401C8D" w:rsidRPr="003927BC" w:rsidRDefault="00401C8D" w:rsidP="004D7B5A"/>
    <w:p w14:paraId="20C8E82B" w14:textId="77777777" w:rsidR="00401C8D" w:rsidRPr="003927BC" w:rsidRDefault="00401C8D" w:rsidP="004D7B5A"/>
    <w:p w14:paraId="68C3BDAF" w14:textId="77777777" w:rsidR="00D35566" w:rsidRPr="003927BC" w:rsidRDefault="00D35566" w:rsidP="004D7B5A"/>
    <w:p w14:paraId="27C5E908" w14:textId="42420CA7" w:rsidR="00F56405" w:rsidRPr="003927BC" w:rsidRDefault="00E276AD" w:rsidP="00C91CA4">
      <w:pPr>
        <w:pStyle w:val="Heading2"/>
      </w:pPr>
      <w:r w:rsidRPr="003927BC">
        <w:lastRenderedPageBreak/>
        <w:t>Acknowledgement.</w:t>
      </w:r>
    </w:p>
    <w:p w14:paraId="24D07EA8" w14:textId="753FB8A9" w:rsidR="00D35566" w:rsidRPr="003927BC" w:rsidRDefault="00F56405" w:rsidP="004D7B5A">
      <w:r w:rsidRPr="003927BC">
        <w:t xml:space="preserve">I would like to express my heartfelt gratitude </w:t>
      </w:r>
      <w:r w:rsidR="00C91CA4" w:rsidRPr="003927BC">
        <w:t>to UWTSD University and its staff for their invaluable support</w:t>
      </w:r>
      <w:r w:rsidRPr="003927BC">
        <w:t xml:space="preserve">. This project greatly benefited from the contributions and insights provided by Transformer Rectifiers, </w:t>
      </w:r>
      <w:r w:rsidR="00E276AD" w:rsidRPr="003927BC">
        <w:t>Hornbill OCU</w:t>
      </w:r>
      <w:r w:rsidR="0085555E">
        <w:t>, and R&amp;M Electrical wholesalers, as well as</w:t>
      </w:r>
      <w:r w:rsidR="008018D0" w:rsidRPr="003927BC">
        <w:t xml:space="preserve"> senior </w:t>
      </w:r>
      <w:r w:rsidR="005F5985">
        <w:t>technologists in the energy optimisation</w:t>
      </w:r>
      <w:r w:rsidR="008018D0" w:rsidRPr="003927BC">
        <w:t xml:space="preserve"> team</w:t>
      </w:r>
      <w:r w:rsidRPr="003927BC">
        <w:t>. The connections I've made with these organi</w:t>
      </w:r>
      <w:r w:rsidR="004967EA" w:rsidRPr="003927BC">
        <w:t>s</w:t>
      </w:r>
      <w:r w:rsidRPr="003927BC">
        <w:t>ations have been instrumental in the success of my research, and I look forward to the opportunity to collaborate with them in the future.</w:t>
      </w:r>
    </w:p>
    <w:p w14:paraId="7393FDFB" w14:textId="77777777" w:rsidR="00D35566" w:rsidRPr="003927BC" w:rsidRDefault="00D35566" w:rsidP="004D7B5A"/>
    <w:p w14:paraId="00487E8C" w14:textId="77777777" w:rsidR="00B43B0A" w:rsidRPr="003927BC" w:rsidRDefault="00B43B0A" w:rsidP="004D7B5A"/>
    <w:p w14:paraId="381A81E5" w14:textId="77777777" w:rsidR="00B43B0A" w:rsidRPr="003927BC" w:rsidRDefault="00B43B0A" w:rsidP="004D7B5A"/>
    <w:p w14:paraId="5A035C8A" w14:textId="77777777" w:rsidR="00B43B0A" w:rsidRPr="003927BC" w:rsidRDefault="00B43B0A" w:rsidP="004D7B5A"/>
    <w:p w14:paraId="3FD63CA4" w14:textId="77777777" w:rsidR="00B43B0A" w:rsidRPr="003927BC" w:rsidRDefault="00B43B0A" w:rsidP="004D7B5A"/>
    <w:p w14:paraId="13984D38" w14:textId="77777777" w:rsidR="00B43B0A" w:rsidRPr="003927BC" w:rsidRDefault="00B43B0A" w:rsidP="004D7B5A"/>
    <w:p w14:paraId="59FD9657" w14:textId="77777777" w:rsidR="00B43B0A" w:rsidRPr="003927BC" w:rsidRDefault="00B43B0A" w:rsidP="004D7B5A"/>
    <w:p w14:paraId="14F36562" w14:textId="77777777" w:rsidR="00B43B0A" w:rsidRPr="003927BC" w:rsidRDefault="00B43B0A" w:rsidP="004D7B5A"/>
    <w:p w14:paraId="04BC10CE" w14:textId="77777777" w:rsidR="00B43B0A" w:rsidRPr="003927BC" w:rsidRDefault="00B43B0A" w:rsidP="004D7B5A"/>
    <w:p w14:paraId="6E7C467A" w14:textId="77777777" w:rsidR="00B43B0A" w:rsidRPr="003927BC" w:rsidRDefault="00B43B0A" w:rsidP="004D7B5A"/>
    <w:p w14:paraId="51AE989A" w14:textId="77777777" w:rsidR="00B43B0A" w:rsidRPr="003927BC" w:rsidRDefault="00B43B0A" w:rsidP="004D7B5A"/>
    <w:p w14:paraId="3C49067A" w14:textId="77777777" w:rsidR="00B43B0A" w:rsidRPr="003927BC" w:rsidRDefault="00B43B0A" w:rsidP="004D7B5A"/>
    <w:p w14:paraId="4CFB6906" w14:textId="77777777" w:rsidR="00B43B0A" w:rsidRPr="003927BC" w:rsidRDefault="00B43B0A" w:rsidP="004D7B5A"/>
    <w:p w14:paraId="5EA1E08C" w14:textId="77777777" w:rsidR="00B43B0A" w:rsidRPr="003927BC" w:rsidRDefault="00B43B0A" w:rsidP="004D7B5A"/>
    <w:p w14:paraId="6D8D4FBD" w14:textId="77777777" w:rsidR="00B43B0A" w:rsidRPr="003927BC" w:rsidRDefault="00B43B0A" w:rsidP="004D7B5A"/>
    <w:p w14:paraId="5F5BA94E" w14:textId="77777777" w:rsidR="00B43B0A" w:rsidRPr="003927BC" w:rsidRDefault="00B43B0A" w:rsidP="004D7B5A"/>
    <w:p w14:paraId="3E2A09FD" w14:textId="77777777" w:rsidR="00B43B0A" w:rsidRPr="003927BC" w:rsidRDefault="00B43B0A" w:rsidP="004D7B5A"/>
    <w:p w14:paraId="11FC38E7" w14:textId="77777777" w:rsidR="00B43B0A" w:rsidRPr="003927BC" w:rsidRDefault="00B43B0A" w:rsidP="004D7B5A"/>
    <w:p w14:paraId="1E928F47" w14:textId="77777777" w:rsidR="00B43B0A" w:rsidRPr="003927BC" w:rsidRDefault="00B43B0A" w:rsidP="004D7B5A"/>
    <w:p w14:paraId="52A1E263" w14:textId="77777777" w:rsidR="00B43B0A" w:rsidRPr="003927BC" w:rsidRDefault="00B43B0A" w:rsidP="004D7B5A"/>
    <w:p w14:paraId="15E615F5" w14:textId="77777777" w:rsidR="00B43B0A" w:rsidRPr="003927BC" w:rsidRDefault="00B43B0A" w:rsidP="004D7B5A"/>
    <w:p w14:paraId="0AAE8E1A" w14:textId="77777777" w:rsidR="00B43B0A" w:rsidRPr="003927BC" w:rsidRDefault="00B43B0A" w:rsidP="004D7B5A"/>
    <w:p w14:paraId="1C03D5E4" w14:textId="77777777" w:rsidR="00B43B0A" w:rsidRPr="003927BC" w:rsidRDefault="00B43B0A" w:rsidP="004D7B5A"/>
    <w:p w14:paraId="2EE61E8B" w14:textId="77777777" w:rsidR="00B43B0A" w:rsidRPr="003927BC" w:rsidRDefault="00B43B0A" w:rsidP="004D7B5A"/>
    <w:p w14:paraId="0CCA1244" w14:textId="77777777" w:rsidR="00B43B0A" w:rsidRPr="003927BC" w:rsidRDefault="00B43B0A" w:rsidP="004D7B5A"/>
    <w:p w14:paraId="006DE98B" w14:textId="77777777" w:rsidR="00B43B0A" w:rsidRPr="003927BC" w:rsidRDefault="00B43B0A" w:rsidP="004D7B5A"/>
    <w:p w14:paraId="291D29F3" w14:textId="7834746F" w:rsidR="002F5981" w:rsidRPr="00284F5D" w:rsidRDefault="00E401F2" w:rsidP="00284F5D">
      <w:pPr>
        <w:pStyle w:val="Heading2"/>
      </w:pPr>
      <w:r w:rsidRPr="00284F5D">
        <w:lastRenderedPageBreak/>
        <w:t>Table of contents</w:t>
      </w:r>
    </w:p>
    <w:p w14:paraId="7E54625C" w14:textId="77777777" w:rsidR="00E401F2" w:rsidRPr="00284F5D" w:rsidRDefault="00E401F2" w:rsidP="00284F5D">
      <w:pPr>
        <w:spacing w:line="360" w:lineRule="auto"/>
        <w:rPr>
          <w:rFonts w:ascii="Arial" w:hAnsi="Arial" w:cs="Arial"/>
          <w:lang w:val="en-US"/>
        </w:rPr>
      </w:pPr>
    </w:p>
    <w:p w14:paraId="088D2016" w14:textId="34A5DB6D" w:rsidR="00E401F2" w:rsidRPr="00284F5D" w:rsidRDefault="00284F5D" w:rsidP="00284F5D">
      <w:pPr>
        <w:pStyle w:val="ListParagraph"/>
        <w:numPr>
          <w:ilvl w:val="0"/>
          <w:numId w:val="10"/>
        </w:numPr>
        <w:spacing w:line="360" w:lineRule="auto"/>
        <w:rPr>
          <w:rFonts w:ascii="Arial" w:hAnsi="Arial" w:cs="Arial"/>
          <w:lang w:val="en-US"/>
        </w:rPr>
      </w:pPr>
      <w:r w:rsidRPr="00284F5D">
        <w:rPr>
          <w:rFonts w:ascii="Arial" w:hAnsi="Arial" w:cs="Arial"/>
          <w:lang w:val="en-US"/>
        </w:rPr>
        <w:t>Abstract</w:t>
      </w:r>
      <w:r w:rsidR="00247E18" w:rsidRPr="00284F5D">
        <w:rPr>
          <w:rFonts w:ascii="Arial" w:hAnsi="Arial" w:cs="Arial"/>
          <w:lang w:val="en-US"/>
        </w:rPr>
        <w:t xml:space="preserve"> </w:t>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00EF1958" w:rsidRPr="00284F5D">
        <w:rPr>
          <w:rFonts w:ascii="Arial" w:hAnsi="Arial" w:cs="Arial"/>
          <w:lang w:val="en-US"/>
        </w:rPr>
        <w:t>5</w:t>
      </w:r>
    </w:p>
    <w:p w14:paraId="465D57D9" w14:textId="30D9408D" w:rsidR="00EF1958" w:rsidRPr="00284F5D" w:rsidRDefault="00EF1958"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Aims and objectives of the project </w:t>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6</w:t>
      </w:r>
    </w:p>
    <w:p w14:paraId="55CC782D" w14:textId="4318D608" w:rsidR="00EF1958" w:rsidRPr="00284F5D" w:rsidRDefault="00EF1958"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Timing Plan </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9</w:t>
      </w:r>
    </w:p>
    <w:p w14:paraId="6C32C227" w14:textId="39574FA3" w:rsidR="00EF1958" w:rsidRPr="00284F5D" w:rsidRDefault="00284F5D" w:rsidP="00284F5D">
      <w:pPr>
        <w:pStyle w:val="ListParagraph"/>
        <w:numPr>
          <w:ilvl w:val="0"/>
          <w:numId w:val="10"/>
        </w:numPr>
        <w:spacing w:line="360" w:lineRule="auto"/>
        <w:rPr>
          <w:rFonts w:ascii="Arial" w:hAnsi="Arial" w:cs="Arial"/>
          <w:lang w:val="en-US"/>
        </w:rPr>
      </w:pPr>
      <w:r w:rsidRPr="00284F5D">
        <w:rPr>
          <w:rFonts w:ascii="Arial" w:hAnsi="Arial" w:cs="Arial"/>
          <w:lang w:val="en-US"/>
        </w:rPr>
        <w:t>Research</w:t>
      </w:r>
      <w:r w:rsidR="00EF1958" w:rsidRPr="00284F5D">
        <w:rPr>
          <w:rFonts w:ascii="Arial" w:hAnsi="Arial" w:cs="Arial"/>
          <w:lang w:val="en-US"/>
        </w:rPr>
        <w:t xml:space="preserve"> and literature review </w:t>
      </w:r>
      <w:r w:rsidRPr="00284F5D">
        <w:rPr>
          <w:rFonts w:ascii="Arial" w:hAnsi="Arial" w:cs="Arial"/>
          <w:lang w:val="en-US"/>
        </w:rPr>
        <w:tab/>
      </w:r>
      <w:r w:rsidRPr="00284F5D">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w:t>
      </w:r>
      <w:r w:rsidR="00EF1958" w:rsidRPr="00284F5D">
        <w:rPr>
          <w:rFonts w:ascii="Arial" w:hAnsi="Arial" w:cs="Arial"/>
          <w:lang w:val="en-US"/>
        </w:rPr>
        <w:t>4</w:t>
      </w:r>
    </w:p>
    <w:p w14:paraId="153B3192" w14:textId="23358A74" w:rsidR="00EF1958" w:rsidRPr="00284F5D" w:rsidRDefault="00EF1958" w:rsidP="00284F5D">
      <w:pPr>
        <w:pStyle w:val="ListParagraph"/>
        <w:numPr>
          <w:ilvl w:val="0"/>
          <w:numId w:val="10"/>
        </w:numPr>
        <w:spacing w:line="360" w:lineRule="auto"/>
        <w:rPr>
          <w:rFonts w:ascii="Arial" w:hAnsi="Arial" w:cs="Arial"/>
          <w:lang w:val="en-US"/>
        </w:rPr>
      </w:pPr>
      <w:r w:rsidRPr="00284F5D">
        <w:rPr>
          <w:rFonts w:ascii="Arial" w:hAnsi="Arial" w:cs="Arial"/>
          <w:lang w:val="en-US"/>
        </w:rPr>
        <w:t>Work carried out</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 xml:space="preserve"> </w:t>
      </w:r>
      <w:r w:rsidR="00EA19A9" w:rsidRPr="00284F5D">
        <w:rPr>
          <w:rFonts w:ascii="Arial" w:hAnsi="Arial" w:cs="Arial"/>
          <w:lang w:val="en-US"/>
        </w:rPr>
        <w:t>21</w:t>
      </w:r>
    </w:p>
    <w:p w14:paraId="2F57230C" w14:textId="0A27698F" w:rsidR="00EA19A9" w:rsidRPr="00284F5D" w:rsidRDefault="00EA19A9"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Results </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25</w:t>
      </w:r>
    </w:p>
    <w:p w14:paraId="7B1574AE" w14:textId="51CEEE89" w:rsidR="00EA19A9" w:rsidRPr="00284F5D" w:rsidRDefault="00EA19A9"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Discussions and conclusions </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32</w:t>
      </w:r>
    </w:p>
    <w:p w14:paraId="380B9F21" w14:textId="1846CA7D" w:rsidR="00EA19A9" w:rsidRPr="00284F5D" w:rsidRDefault="00EA19A9"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Recommended further work </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38</w:t>
      </w:r>
    </w:p>
    <w:p w14:paraId="743B06C1" w14:textId="02985B96" w:rsidR="007B295B" w:rsidRPr="00284F5D" w:rsidRDefault="007B295B" w:rsidP="00284F5D">
      <w:pPr>
        <w:pStyle w:val="ListParagraph"/>
        <w:numPr>
          <w:ilvl w:val="0"/>
          <w:numId w:val="10"/>
        </w:numPr>
        <w:spacing w:line="360" w:lineRule="auto"/>
        <w:rPr>
          <w:rFonts w:ascii="Arial" w:hAnsi="Arial" w:cs="Arial"/>
          <w:lang w:val="en-US"/>
        </w:rPr>
      </w:pPr>
      <w:r w:rsidRPr="00284F5D">
        <w:rPr>
          <w:rFonts w:ascii="Arial" w:hAnsi="Arial" w:cs="Arial"/>
          <w:lang w:val="en-US"/>
        </w:rPr>
        <w:t xml:space="preserve">References </w:t>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sidRPr="00284F5D">
        <w:rPr>
          <w:rFonts w:ascii="Arial" w:hAnsi="Arial" w:cs="Arial"/>
          <w:lang w:val="en-US"/>
        </w:rPr>
        <w:tab/>
      </w:r>
      <w:r w:rsidR="00284F5D">
        <w:rPr>
          <w:rFonts w:ascii="Arial" w:hAnsi="Arial" w:cs="Arial"/>
          <w:lang w:val="en-US"/>
        </w:rPr>
        <w:tab/>
      </w:r>
      <w:r w:rsidR="00284F5D">
        <w:rPr>
          <w:rFonts w:ascii="Arial" w:hAnsi="Arial" w:cs="Arial"/>
          <w:lang w:val="en-US"/>
        </w:rPr>
        <w:tab/>
      </w:r>
      <w:r w:rsidR="00284F5D">
        <w:rPr>
          <w:rFonts w:ascii="Arial" w:hAnsi="Arial" w:cs="Arial"/>
          <w:lang w:val="en-US"/>
        </w:rPr>
        <w:tab/>
      </w:r>
      <w:r w:rsidRPr="00284F5D">
        <w:rPr>
          <w:rFonts w:ascii="Arial" w:hAnsi="Arial" w:cs="Arial"/>
          <w:lang w:val="en-US"/>
        </w:rPr>
        <w:t>41</w:t>
      </w:r>
    </w:p>
    <w:p w14:paraId="002F7B2C" w14:textId="2781F8E3" w:rsidR="007B295B" w:rsidRPr="00284F5D" w:rsidRDefault="00284F5D" w:rsidP="00284F5D">
      <w:pPr>
        <w:pStyle w:val="ListParagraph"/>
        <w:numPr>
          <w:ilvl w:val="0"/>
          <w:numId w:val="10"/>
        </w:numPr>
        <w:spacing w:line="360" w:lineRule="auto"/>
        <w:rPr>
          <w:rFonts w:ascii="Arial" w:hAnsi="Arial" w:cs="Arial"/>
          <w:lang w:val="en-US"/>
        </w:rPr>
      </w:pPr>
      <w:r w:rsidRPr="00284F5D">
        <w:rPr>
          <w:rFonts w:ascii="Arial" w:hAnsi="Arial" w:cs="Arial"/>
          <w:lang w:val="en-US"/>
        </w:rPr>
        <w:t>Appendices</w:t>
      </w:r>
      <w:r w:rsidR="007B295B" w:rsidRPr="00284F5D">
        <w:rPr>
          <w:rFonts w:ascii="Arial" w:hAnsi="Arial" w:cs="Arial"/>
          <w:lang w:val="en-US"/>
        </w:rPr>
        <w:t xml:space="preserve"> </w:t>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sidRPr="00284F5D">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007B295B" w:rsidRPr="00284F5D">
        <w:rPr>
          <w:rFonts w:ascii="Arial" w:hAnsi="Arial" w:cs="Arial"/>
          <w:lang w:val="en-US"/>
        </w:rPr>
        <w:t>43</w:t>
      </w:r>
    </w:p>
    <w:p w14:paraId="6A1D2F54" w14:textId="77777777" w:rsidR="004D7B5A" w:rsidRPr="003927BC" w:rsidRDefault="004D7B5A"/>
    <w:p w14:paraId="2ABFA743" w14:textId="77777777" w:rsidR="004D7B5A" w:rsidRPr="003927BC" w:rsidRDefault="004D7B5A"/>
    <w:p w14:paraId="6BF0728D" w14:textId="6B4E92A9" w:rsidR="00284F5D" w:rsidRPr="00284F5D" w:rsidRDefault="00284F5D" w:rsidP="00284F5D">
      <w:pPr>
        <w:pStyle w:val="TableofFigures"/>
        <w:tabs>
          <w:tab w:val="right" w:leader="dot" w:pos="9016"/>
        </w:tabs>
        <w:spacing w:line="360" w:lineRule="auto"/>
        <w:rPr>
          <w:rFonts w:ascii="Arial" w:hAnsi="Arial" w:cs="Arial"/>
          <w:noProof/>
        </w:rPr>
      </w:pPr>
      <w:r>
        <w:fldChar w:fldCharType="begin"/>
      </w:r>
      <w:r>
        <w:instrText xml:space="preserve"> TOC \h \z \c "Figure" </w:instrText>
      </w:r>
      <w:r>
        <w:fldChar w:fldCharType="separate"/>
      </w:r>
      <w:hyperlink w:anchor="_Toc231124879" w:history="1">
        <w:r w:rsidRPr="00284F5D">
          <w:rPr>
            <w:rStyle w:val="Hyperlink"/>
            <w:rFonts w:ascii="Arial" w:hAnsi="Arial" w:cs="Arial"/>
            <w:noProof/>
          </w:rPr>
          <w:t>Figure 1 -  Gantt chart illustrating planned and actual progression of activities throughout completion of the investigation.</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_Toc231124879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13</w:t>
        </w:r>
        <w:r w:rsidRPr="00284F5D">
          <w:rPr>
            <w:rFonts w:ascii="Arial" w:hAnsi="Arial" w:cs="Arial"/>
            <w:noProof/>
            <w:webHidden/>
          </w:rPr>
          <w:fldChar w:fldCharType="end"/>
        </w:r>
      </w:hyperlink>
    </w:p>
    <w:p w14:paraId="02677CAB" w14:textId="5444DD4C" w:rsidR="00284F5D" w:rsidRPr="00284F5D" w:rsidRDefault="00284F5D" w:rsidP="00284F5D">
      <w:pPr>
        <w:pStyle w:val="TableofFigures"/>
        <w:tabs>
          <w:tab w:val="right" w:leader="dot" w:pos="9016"/>
        </w:tabs>
        <w:spacing w:line="360" w:lineRule="auto"/>
        <w:rPr>
          <w:rFonts w:ascii="Arial" w:hAnsi="Arial" w:cs="Arial"/>
          <w:noProof/>
        </w:rPr>
      </w:pPr>
      <w:hyperlink w:anchor="_Toc231124880" w:history="1">
        <w:r w:rsidRPr="00284F5D">
          <w:rPr>
            <w:rStyle w:val="Hyperlink"/>
            <w:rFonts w:ascii="Arial" w:hAnsi="Arial" w:cs="Arial"/>
            <w:noProof/>
          </w:rPr>
          <w:t>Figure 2 - Dressed lead pot going into the LV connection chamber on the transformer (Self taken image)</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_Toc231124880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18</w:t>
        </w:r>
        <w:r w:rsidRPr="00284F5D">
          <w:rPr>
            <w:rFonts w:ascii="Arial" w:hAnsi="Arial" w:cs="Arial"/>
            <w:noProof/>
            <w:webHidden/>
          </w:rPr>
          <w:fldChar w:fldCharType="end"/>
        </w:r>
      </w:hyperlink>
    </w:p>
    <w:p w14:paraId="57265FE5" w14:textId="71DB4870" w:rsidR="00284F5D" w:rsidRPr="00284F5D" w:rsidRDefault="00284F5D" w:rsidP="00284F5D">
      <w:pPr>
        <w:pStyle w:val="TableofFigures"/>
        <w:tabs>
          <w:tab w:val="right" w:leader="dot" w:pos="9016"/>
        </w:tabs>
        <w:spacing w:line="360" w:lineRule="auto"/>
        <w:rPr>
          <w:rFonts w:ascii="Arial" w:hAnsi="Arial" w:cs="Arial"/>
          <w:noProof/>
        </w:rPr>
      </w:pPr>
      <w:hyperlink w:anchor="_Toc231124881" w:history="1">
        <w:r w:rsidRPr="00284F5D">
          <w:rPr>
            <w:rStyle w:val="Hyperlink"/>
            <w:rFonts w:ascii="Arial" w:hAnsi="Arial" w:cs="Arial"/>
            <w:noProof/>
          </w:rPr>
          <w:t>Figure 3 - High level picture of room 1 lighting install (Self taken image)</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_Toc231124881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22</w:t>
        </w:r>
        <w:r w:rsidRPr="00284F5D">
          <w:rPr>
            <w:rFonts w:ascii="Arial" w:hAnsi="Arial" w:cs="Arial"/>
            <w:noProof/>
            <w:webHidden/>
          </w:rPr>
          <w:fldChar w:fldCharType="end"/>
        </w:r>
      </w:hyperlink>
    </w:p>
    <w:p w14:paraId="7639C1BC" w14:textId="5D69A199" w:rsidR="00284F5D" w:rsidRPr="00284F5D" w:rsidRDefault="00284F5D" w:rsidP="00284F5D">
      <w:pPr>
        <w:pStyle w:val="TableofFigures"/>
        <w:tabs>
          <w:tab w:val="right" w:leader="dot" w:pos="9016"/>
        </w:tabs>
        <w:spacing w:line="360" w:lineRule="auto"/>
        <w:rPr>
          <w:rFonts w:ascii="Arial" w:hAnsi="Arial" w:cs="Arial"/>
          <w:noProof/>
        </w:rPr>
      </w:pPr>
      <w:hyperlink w:anchor="_Toc231124882" w:history="1">
        <w:r w:rsidRPr="00284F5D">
          <w:rPr>
            <w:rStyle w:val="Hyperlink"/>
            <w:rFonts w:ascii="Arial" w:hAnsi="Arial" w:cs="Arial"/>
            <w:noProof/>
          </w:rPr>
          <w:t>Figure 4 - Lighting installation of room 2 (Self taken image)</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_Toc231124882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23</w:t>
        </w:r>
        <w:r w:rsidRPr="00284F5D">
          <w:rPr>
            <w:rFonts w:ascii="Arial" w:hAnsi="Arial" w:cs="Arial"/>
            <w:noProof/>
            <w:webHidden/>
          </w:rPr>
          <w:fldChar w:fldCharType="end"/>
        </w:r>
      </w:hyperlink>
    </w:p>
    <w:p w14:paraId="20CA4F92" w14:textId="3AAC06CF" w:rsidR="00284F5D" w:rsidRPr="00284F5D" w:rsidRDefault="00284F5D" w:rsidP="00284F5D">
      <w:pPr>
        <w:pStyle w:val="TableofFigures"/>
        <w:tabs>
          <w:tab w:val="right" w:leader="dot" w:pos="9016"/>
        </w:tabs>
        <w:spacing w:line="360" w:lineRule="auto"/>
        <w:rPr>
          <w:rFonts w:ascii="Arial" w:hAnsi="Arial" w:cs="Arial"/>
          <w:noProof/>
        </w:rPr>
      </w:pPr>
      <w:hyperlink w:anchor="_Toc231124883" w:history="1">
        <w:r w:rsidRPr="00284F5D">
          <w:rPr>
            <w:rStyle w:val="Hyperlink"/>
            <w:rFonts w:ascii="Arial" w:hAnsi="Arial" w:cs="Arial"/>
            <w:noProof/>
          </w:rPr>
          <w:t>Figure 5- Additional lights on back wall (self taken image)</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_Toc231124883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23</w:t>
        </w:r>
        <w:r w:rsidRPr="00284F5D">
          <w:rPr>
            <w:rFonts w:ascii="Arial" w:hAnsi="Arial" w:cs="Arial"/>
            <w:noProof/>
            <w:webHidden/>
          </w:rPr>
          <w:fldChar w:fldCharType="end"/>
        </w:r>
      </w:hyperlink>
    </w:p>
    <w:p w14:paraId="0C5B5AB3" w14:textId="0A3217D1" w:rsidR="00284F5D" w:rsidRPr="00284F5D" w:rsidRDefault="00284F5D" w:rsidP="00284F5D">
      <w:pPr>
        <w:pStyle w:val="TableofFigures"/>
        <w:tabs>
          <w:tab w:val="right" w:leader="dot" w:pos="9016"/>
        </w:tabs>
        <w:spacing w:line="360" w:lineRule="auto"/>
        <w:rPr>
          <w:rFonts w:ascii="Arial" w:hAnsi="Arial" w:cs="Arial"/>
          <w:noProof/>
        </w:rPr>
      </w:pPr>
      <w:hyperlink w:anchor="_Toc231124884" w:history="1">
        <w:r w:rsidRPr="00284F5D">
          <w:rPr>
            <w:rStyle w:val="Hyperlink"/>
            <w:rFonts w:ascii="Arial" w:hAnsi="Arial" w:cs="Arial"/>
            <w:noProof/>
          </w:rPr>
          <w:t>Figure 6 - Table showing transformer calculations</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_Toc231124884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26</w:t>
        </w:r>
        <w:r w:rsidRPr="00284F5D">
          <w:rPr>
            <w:rFonts w:ascii="Arial" w:hAnsi="Arial" w:cs="Arial"/>
            <w:noProof/>
            <w:webHidden/>
          </w:rPr>
          <w:fldChar w:fldCharType="end"/>
        </w:r>
      </w:hyperlink>
    </w:p>
    <w:p w14:paraId="27B34385" w14:textId="2604F9AA" w:rsidR="00284F5D" w:rsidRPr="00284F5D" w:rsidRDefault="00284F5D" w:rsidP="00284F5D">
      <w:pPr>
        <w:pStyle w:val="TableofFigures"/>
        <w:tabs>
          <w:tab w:val="right" w:leader="dot" w:pos="9016"/>
        </w:tabs>
        <w:spacing w:line="360" w:lineRule="auto"/>
        <w:rPr>
          <w:rFonts w:ascii="Arial" w:hAnsi="Arial" w:cs="Arial"/>
          <w:noProof/>
        </w:rPr>
      </w:pPr>
      <w:hyperlink w:anchor="_Toc231124885" w:history="1">
        <w:r w:rsidRPr="00284F5D">
          <w:rPr>
            <w:rStyle w:val="Hyperlink"/>
            <w:rFonts w:ascii="Arial" w:hAnsi="Arial" w:cs="Arial"/>
            <w:noProof/>
          </w:rPr>
          <w:t>Figure 7- Table showing potential theoretical return on investment time scales at different efficiencies.</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_Toc231124885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26</w:t>
        </w:r>
        <w:r w:rsidRPr="00284F5D">
          <w:rPr>
            <w:rFonts w:ascii="Arial" w:hAnsi="Arial" w:cs="Arial"/>
            <w:noProof/>
            <w:webHidden/>
          </w:rPr>
          <w:fldChar w:fldCharType="end"/>
        </w:r>
      </w:hyperlink>
    </w:p>
    <w:p w14:paraId="23320B87" w14:textId="71A90F15" w:rsidR="00284F5D" w:rsidRPr="00284F5D" w:rsidRDefault="00284F5D" w:rsidP="00284F5D">
      <w:pPr>
        <w:pStyle w:val="TableofFigures"/>
        <w:tabs>
          <w:tab w:val="right" w:leader="dot" w:pos="9016"/>
        </w:tabs>
        <w:spacing w:line="360" w:lineRule="auto"/>
        <w:rPr>
          <w:rFonts w:ascii="Arial" w:hAnsi="Arial" w:cs="Arial"/>
          <w:noProof/>
        </w:rPr>
      </w:pPr>
      <w:hyperlink w:anchor="_Toc231124886" w:history="1">
        <w:r w:rsidRPr="00284F5D">
          <w:rPr>
            <w:rStyle w:val="Hyperlink"/>
            <w:rFonts w:ascii="Arial" w:hAnsi="Arial" w:cs="Arial"/>
            <w:noProof/>
          </w:rPr>
          <w:t>Figure 8 - Theoretical total cost saving over 10 year period at different KWH values</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_Toc231124886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27</w:t>
        </w:r>
        <w:r w:rsidRPr="00284F5D">
          <w:rPr>
            <w:rFonts w:ascii="Arial" w:hAnsi="Arial" w:cs="Arial"/>
            <w:noProof/>
            <w:webHidden/>
          </w:rPr>
          <w:fldChar w:fldCharType="end"/>
        </w:r>
      </w:hyperlink>
    </w:p>
    <w:p w14:paraId="51F0F516" w14:textId="14C53037" w:rsidR="00284F5D" w:rsidRPr="00284F5D" w:rsidRDefault="00284F5D" w:rsidP="00284F5D">
      <w:pPr>
        <w:pStyle w:val="TableofFigures"/>
        <w:tabs>
          <w:tab w:val="right" w:leader="dot" w:pos="9016"/>
        </w:tabs>
        <w:spacing w:line="360" w:lineRule="auto"/>
        <w:rPr>
          <w:rFonts w:ascii="Arial" w:hAnsi="Arial" w:cs="Arial"/>
          <w:noProof/>
        </w:rPr>
      </w:pPr>
      <w:hyperlink w:anchor="_Toc231124887" w:history="1">
        <w:r w:rsidRPr="00284F5D">
          <w:rPr>
            <w:rStyle w:val="Hyperlink"/>
            <w:rFonts w:ascii="Arial" w:hAnsi="Arial" w:cs="Arial"/>
            <w:noProof/>
          </w:rPr>
          <w:t>Figure 9 - Historical Electricity Pricing Data 2021–2026</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_Toc231124887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27</w:t>
        </w:r>
        <w:r w:rsidRPr="00284F5D">
          <w:rPr>
            <w:rFonts w:ascii="Arial" w:hAnsi="Arial" w:cs="Arial"/>
            <w:noProof/>
            <w:webHidden/>
          </w:rPr>
          <w:fldChar w:fldCharType="end"/>
        </w:r>
      </w:hyperlink>
    </w:p>
    <w:p w14:paraId="23F72BEE" w14:textId="4146D13A" w:rsidR="00284F5D" w:rsidRPr="00284F5D" w:rsidRDefault="00284F5D" w:rsidP="00284F5D">
      <w:pPr>
        <w:pStyle w:val="TableofFigures"/>
        <w:tabs>
          <w:tab w:val="right" w:leader="dot" w:pos="9016"/>
        </w:tabs>
        <w:spacing w:line="360" w:lineRule="auto"/>
        <w:rPr>
          <w:rFonts w:ascii="Arial" w:hAnsi="Arial" w:cs="Arial"/>
          <w:noProof/>
        </w:rPr>
      </w:pPr>
      <w:hyperlink w:anchor="_Toc231124888" w:history="1">
        <w:r w:rsidRPr="00284F5D">
          <w:rPr>
            <w:rStyle w:val="Hyperlink"/>
            <w:rFonts w:ascii="Arial" w:hAnsi="Arial" w:cs="Arial"/>
            <w:noProof/>
          </w:rPr>
          <w:t>Figure 10 - Wattage saving in KWH for each lighting replacement</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_Toc231124888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28</w:t>
        </w:r>
        <w:r w:rsidRPr="00284F5D">
          <w:rPr>
            <w:rFonts w:ascii="Arial" w:hAnsi="Arial" w:cs="Arial"/>
            <w:noProof/>
            <w:webHidden/>
          </w:rPr>
          <w:fldChar w:fldCharType="end"/>
        </w:r>
      </w:hyperlink>
    </w:p>
    <w:p w14:paraId="5C5D0241" w14:textId="1CAAF437" w:rsidR="00284F5D" w:rsidRPr="00284F5D" w:rsidRDefault="00284F5D" w:rsidP="00284F5D">
      <w:pPr>
        <w:pStyle w:val="TableofFigures"/>
        <w:tabs>
          <w:tab w:val="right" w:leader="dot" w:pos="9016"/>
        </w:tabs>
        <w:spacing w:line="360" w:lineRule="auto"/>
        <w:rPr>
          <w:rFonts w:ascii="Arial" w:hAnsi="Arial" w:cs="Arial"/>
          <w:noProof/>
        </w:rPr>
      </w:pPr>
      <w:hyperlink w:anchor="_Toc231124889" w:history="1">
        <w:r w:rsidRPr="00284F5D">
          <w:rPr>
            <w:rStyle w:val="Hyperlink"/>
            <w:rFonts w:ascii="Arial" w:hAnsi="Arial" w:cs="Arial"/>
            <w:noProof/>
          </w:rPr>
          <w:t>Figure 11 - Potential annual theoretical savings at different KWH values</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_Toc231124889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29</w:t>
        </w:r>
        <w:r w:rsidRPr="00284F5D">
          <w:rPr>
            <w:rFonts w:ascii="Arial" w:hAnsi="Arial" w:cs="Arial"/>
            <w:noProof/>
            <w:webHidden/>
          </w:rPr>
          <w:fldChar w:fldCharType="end"/>
        </w:r>
      </w:hyperlink>
    </w:p>
    <w:p w14:paraId="772C6BAD" w14:textId="54392004" w:rsidR="00284F5D" w:rsidRPr="00284F5D" w:rsidRDefault="00284F5D" w:rsidP="00284F5D">
      <w:pPr>
        <w:pStyle w:val="TableofFigures"/>
        <w:tabs>
          <w:tab w:val="right" w:leader="dot" w:pos="9016"/>
        </w:tabs>
        <w:spacing w:line="360" w:lineRule="auto"/>
        <w:rPr>
          <w:rFonts w:ascii="Arial" w:hAnsi="Arial" w:cs="Arial"/>
          <w:noProof/>
        </w:rPr>
      </w:pPr>
      <w:hyperlink w:anchor="_Toc231124890" w:history="1">
        <w:r w:rsidRPr="00284F5D">
          <w:rPr>
            <w:rStyle w:val="Hyperlink"/>
            <w:rFonts w:ascii="Arial" w:hAnsi="Arial" w:cs="Arial"/>
            <w:noProof/>
          </w:rPr>
          <w:t>Figure 12 - Value of potential CO2 saving from changing lights</w:t>
        </w:r>
        <w:r w:rsidRPr="00284F5D">
          <w:rPr>
            <w:rFonts w:ascii="Arial" w:hAnsi="Arial" w:cs="Arial"/>
            <w:noProof/>
            <w:webHidden/>
          </w:rPr>
          <w:tab/>
        </w:r>
        <w:r w:rsidRPr="00284F5D">
          <w:rPr>
            <w:rFonts w:ascii="Arial" w:hAnsi="Arial" w:cs="Arial"/>
            <w:noProof/>
            <w:webHidden/>
          </w:rPr>
          <w:fldChar w:fldCharType="begin"/>
        </w:r>
        <w:r w:rsidRPr="00284F5D">
          <w:rPr>
            <w:rFonts w:ascii="Arial" w:hAnsi="Arial" w:cs="Arial"/>
            <w:noProof/>
            <w:webHidden/>
          </w:rPr>
          <w:instrText xml:space="preserve"> PAGEREF _Toc231124890 \h </w:instrText>
        </w:r>
        <w:r w:rsidRPr="00284F5D">
          <w:rPr>
            <w:rFonts w:ascii="Arial" w:hAnsi="Arial" w:cs="Arial"/>
            <w:noProof/>
            <w:webHidden/>
          </w:rPr>
        </w:r>
        <w:r w:rsidRPr="00284F5D">
          <w:rPr>
            <w:rFonts w:ascii="Arial" w:hAnsi="Arial" w:cs="Arial"/>
            <w:noProof/>
            <w:webHidden/>
          </w:rPr>
          <w:fldChar w:fldCharType="separate"/>
        </w:r>
        <w:r w:rsidRPr="00284F5D">
          <w:rPr>
            <w:rFonts w:ascii="Arial" w:hAnsi="Arial" w:cs="Arial"/>
            <w:noProof/>
            <w:webHidden/>
          </w:rPr>
          <w:t>30</w:t>
        </w:r>
        <w:r w:rsidRPr="00284F5D">
          <w:rPr>
            <w:rFonts w:ascii="Arial" w:hAnsi="Arial" w:cs="Arial"/>
            <w:noProof/>
            <w:webHidden/>
          </w:rPr>
          <w:fldChar w:fldCharType="end"/>
        </w:r>
      </w:hyperlink>
    </w:p>
    <w:p w14:paraId="7E413D8E" w14:textId="7E2BB38C" w:rsidR="004D7B5A" w:rsidRPr="003927BC" w:rsidRDefault="00284F5D">
      <w:r>
        <w:fldChar w:fldCharType="end"/>
      </w:r>
    </w:p>
    <w:p w14:paraId="59F517F1" w14:textId="77777777" w:rsidR="004D7B5A" w:rsidRPr="003927BC" w:rsidRDefault="004D7B5A"/>
    <w:p w14:paraId="04D1932C" w14:textId="77777777" w:rsidR="00526130" w:rsidRPr="003927BC" w:rsidRDefault="00526130" w:rsidP="00415170">
      <w:pPr>
        <w:pStyle w:val="Heading2"/>
        <w:spacing w:line="360" w:lineRule="auto"/>
        <w:rPr>
          <w:rFonts w:ascii="Arial" w:hAnsi="Arial" w:cs="Arial"/>
          <w:sz w:val="22"/>
          <w:szCs w:val="22"/>
        </w:rPr>
      </w:pPr>
    </w:p>
    <w:p w14:paraId="79946AF9" w14:textId="77777777" w:rsidR="00172C04" w:rsidRPr="003927BC" w:rsidRDefault="00172C04" w:rsidP="00172C04"/>
    <w:p w14:paraId="13D6DAF8" w14:textId="77777777" w:rsidR="00172C04" w:rsidRPr="003927BC" w:rsidRDefault="00172C04" w:rsidP="00172C04"/>
    <w:p w14:paraId="154C35AB" w14:textId="7114B23B" w:rsidR="004D7B5A" w:rsidRPr="003927BC" w:rsidRDefault="00401C8D" w:rsidP="003E068E">
      <w:pPr>
        <w:pStyle w:val="Heading2"/>
      </w:pPr>
      <w:bookmarkStart w:id="0" w:name="_Toc231032028"/>
      <w:r w:rsidRPr="003927BC">
        <w:lastRenderedPageBreak/>
        <w:t>1.</w:t>
      </w:r>
      <w:r w:rsidR="004D7B5A" w:rsidRPr="003927BC">
        <w:t>Abstract.</w:t>
      </w:r>
      <w:bookmarkEnd w:id="0"/>
    </w:p>
    <w:p w14:paraId="01FDDE24" w14:textId="77777777" w:rsidR="00256163" w:rsidRPr="003927BC" w:rsidRDefault="00256163" w:rsidP="00256163"/>
    <w:p w14:paraId="7EF95B5B" w14:textId="77777777" w:rsidR="001D7FBD" w:rsidRDefault="001D7FBD" w:rsidP="00415170">
      <w:pPr>
        <w:spacing w:line="360" w:lineRule="auto"/>
        <w:rPr>
          <w:rFonts w:ascii="Arial" w:hAnsi="Arial" w:cs="Arial"/>
        </w:rPr>
      </w:pPr>
      <w:r>
        <w:rPr>
          <w:rFonts w:ascii="Arial" w:hAnsi="Arial" w:cs="Arial"/>
        </w:rPr>
        <w:t>The increasing need for electrical energy and growing environmental concerns are pushing for better efficiency in electrical distribution systems. One key issue is energy loss from transformers, especially in traditional distribution transformers, which use energy even when not loaded. As the UK works towards decarbonisation and net-zero goals, improving energy efficiency in electricity infrastructure is crucial for lowering carbon emissions and boosting operational efficiency. There are still simple improvements that can be made, such as upgrading lighting systems, which offer quick returns on investment and faster implementation.</w:t>
      </w:r>
    </w:p>
    <w:p w14:paraId="122A294F" w14:textId="77777777" w:rsidR="001D7FBD" w:rsidRDefault="001D7FBD" w:rsidP="00415170">
      <w:pPr>
        <w:spacing w:line="360" w:lineRule="auto"/>
        <w:rPr>
          <w:rFonts w:ascii="Arial" w:hAnsi="Arial" w:cs="Arial"/>
        </w:rPr>
      </w:pPr>
      <w:r>
        <w:rPr>
          <w:rFonts w:ascii="Arial" w:hAnsi="Arial" w:cs="Arial"/>
        </w:rPr>
        <w:t>This dissertation explores whether replacing conventional transformers with eco-loss transformers can enhance efficiency in electrical distribution systems. The study reviews how transformers operate, what causes energy losses, and the benefits of eco-loss transformer technologies. It focuses on reducing no-load losses, improving magnetic core performance, and maximizing operational benefits over their lifecycle.</w:t>
      </w:r>
    </w:p>
    <w:p w14:paraId="1B243A8C" w14:textId="77777777" w:rsidR="001D7FBD" w:rsidRDefault="001D7FBD" w:rsidP="00415170">
      <w:pPr>
        <w:spacing w:line="360" w:lineRule="auto"/>
        <w:rPr>
          <w:rFonts w:ascii="Arial" w:hAnsi="Arial" w:cs="Arial"/>
        </w:rPr>
      </w:pPr>
      <w:r>
        <w:rPr>
          <w:rFonts w:ascii="Arial" w:hAnsi="Arial" w:cs="Arial"/>
        </w:rPr>
        <w:t>The research compares conventional transformers with eco-loss transformers using engineering calculations and evidence from existing literature. A case study based in the UK compares annual energy losses, operational costs, and the potential for carbon reduction of a typical distribution transformer.</w:t>
      </w:r>
    </w:p>
    <w:p w14:paraId="285224BE" w14:textId="77777777" w:rsidR="001D7FBD" w:rsidRDefault="001D7FBD" w:rsidP="00415170">
      <w:pPr>
        <w:spacing w:line="360" w:lineRule="auto"/>
        <w:rPr>
          <w:rFonts w:ascii="Arial" w:hAnsi="Arial" w:cs="Arial"/>
        </w:rPr>
      </w:pPr>
      <w:r>
        <w:rPr>
          <w:rFonts w:ascii="Arial" w:hAnsi="Arial" w:cs="Arial"/>
        </w:rPr>
        <w:t>The results show that eco-loss transformers improve operational efficiency by reducing core losses and enhancing design. Although their initial costs are higher, they can lead to long-term savings through less electricity use and lower overall costs. Additionally, lowering electrical losses supports sustainability goals and helps reduce carbon emissions.</w:t>
      </w:r>
    </w:p>
    <w:p w14:paraId="7CB8D7D5" w14:textId="25A0BC4C" w:rsidR="004D7B5A" w:rsidRDefault="001D7FBD" w:rsidP="00415170">
      <w:pPr>
        <w:spacing w:line="360" w:lineRule="auto"/>
        <w:rPr>
          <w:rFonts w:ascii="Arial" w:hAnsi="Arial" w:cs="Arial"/>
        </w:rPr>
      </w:pPr>
      <w:r>
        <w:rPr>
          <w:rFonts w:ascii="Arial" w:hAnsi="Arial" w:cs="Arial"/>
        </w:rPr>
        <w:t>In conclusion, eco-loss transformers offer a practical and environmentally friendly way to increase distribution network efficiency in the UK. The dissertation makes suggestions for future implementation, more research on costs and benefits, and ways to encourage wider use within smart electrical infrastructure.</w:t>
      </w:r>
    </w:p>
    <w:p w14:paraId="63C982DD" w14:textId="77777777" w:rsidR="009254DF" w:rsidRDefault="009254DF" w:rsidP="00415170">
      <w:pPr>
        <w:spacing w:line="360" w:lineRule="auto"/>
        <w:rPr>
          <w:rFonts w:ascii="Arial" w:hAnsi="Arial" w:cs="Arial"/>
        </w:rPr>
      </w:pPr>
    </w:p>
    <w:p w14:paraId="6CC824A3" w14:textId="77777777" w:rsidR="009254DF" w:rsidRDefault="009254DF" w:rsidP="00415170">
      <w:pPr>
        <w:spacing w:line="360" w:lineRule="auto"/>
        <w:rPr>
          <w:rFonts w:ascii="Arial" w:hAnsi="Arial" w:cs="Arial"/>
        </w:rPr>
      </w:pPr>
    </w:p>
    <w:p w14:paraId="61CF78CD" w14:textId="77777777" w:rsidR="009254DF" w:rsidRDefault="009254DF" w:rsidP="00415170">
      <w:pPr>
        <w:spacing w:line="360" w:lineRule="auto"/>
        <w:rPr>
          <w:rFonts w:ascii="Arial" w:hAnsi="Arial" w:cs="Arial"/>
        </w:rPr>
      </w:pPr>
    </w:p>
    <w:p w14:paraId="21D6AF1A" w14:textId="77777777" w:rsidR="009254DF" w:rsidRPr="003927BC" w:rsidRDefault="009254DF" w:rsidP="00415170">
      <w:pPr>
        <w:spacing w:line="360" w:lineRule="auto"/>
        <w:rPr>
          <w:rFonts w:ascii="Arial" w:hAnsi="Arial" w:cs="Arial"/>
        </w:rPr>
      </w:pPr>
    </w:p>
    <w:p w14:paraId="1A1756B3" w14:textId="74341BC0" w:rsidR="00401C8D" w:rsidRPr="003927BC" w:rsidRDefault="00401C8D" w:rsidP="003E068E">
      <w:pPr>
        <w:pStyle w:val="Heading2"/>
      </w:pPr>
      <w:bookmarkStart w:id="1" w:name="_Toc231032029"/>
      <w:r w:rsidRPr="003927BC">
        <w:lastRenderedPageBreak/>
        <w:t>2. Aims and objectives of the project.</w:t>
      </w:r>
      <w:bookmarkEnd w:id="1"/>
    </w:p>
    <w:p w14:paraId="4C1491F8" w14:textId="77777777" w:rsidR="00256163" w:rsidRPr="003927BC" w:rsidRDefault="00256163" w:rsidP="00256163"/>
    <w:p w14:paraId="355165EC" w14:textId="77777777" w:rsidR="00E31901" w:rsidRPr="003927BC" w:rsidRDefault="00E31901" w:rsidP="00E31901">
      <w:pPr>
        <w:spacing w:line="360" w:lineRule="auto"/>
        <w:rPr>
          <w:rFonts w:ascii="Arial" w:hAnsi="Arial" w:cs="Arial"/>
        </w:rPr>
      </w:pPr>
      <w:r w:rsidRPr="003927BC">
        <w:rPr>
          <w:rFonts w:ascii="Arial" w:hAnsi="Arial" w:cs="Arial"/>
        </w:rPr>
        <w:t>Increasing pressure surrounding industrial energy consumption, infrastructure resilience, and long-term sustainability has encouraged organisations to critically assess the efficiency of ageing electrical systems. Within energy-intensive industrial environments, electrical infrastructure frequently remains in continuous operation, meaning that even relatively minor inefficiencies may accumulate into substantial operational costs over prolonged periods of time (Capehart, Turner and Kennedy, 2020). Consequently, engineering interventions focused upon electrical optimisation increasingly form an important component of operational cost reduction strategies, sustainability objectives, and long-term infrastructure planning.</w:t>
      </w:r>
    </w:p>
    <w:p w14:paraId="0EBFD159" w14:textId="77777777" w:rsidR="00E31901" w:rsidRPr="003927BC" w:rsidRDefault="00E31901" w:rsidP="00E31901">
      <w:pPr>
        <w:spacing w:line="360" w:lineRule="auto"/>
        <w:rPr>
          <w:rFonts w:ascii="Arial" w:hAnsi="Arial" w:cs="Arial"/>
        </w:rPr>
      </w:pPr>
      <w:r w:rsidRPr="003927BC">
        <w:rPr>
          <w:rFonts w:ascii="Arial" w:hAnsi="Arial" w:cs="Arial"/>
        </w:rPr>
        <w:t>The Vale site operates continuously and therefore experiences significant electrical demand associated with industrial processes, infrastructure, and supporting operational systems. Thumann and Younger (2018) identify continuous industrial facilities as environments that offer considerable opportunities for efficiency improvement, as reductions in electrical demand may accumulate into substantial operational and financial benefits over time. Within this context, concerns emerged regarding the efficiency, reliability, and long-term sustainability of critical electrical assets operating across the site.</w:t>
      </w:r>
    </w:p>
    <w:p w14:paraId="6FCF092A" w14:textId="6FD2B7D8" w:rsidR="00E31901" w:rsidRPr="003927BC" w:rsidRDefault="00E31901" w:rsidP="00E31901">
      <w:pPr>
        <w:spacing w:line="360" w:lineRule="auto"/>
        <w:rPr>
          <w:rFonts w:ascii="Arial" w:hAnsi="Arial" w:cs="Arial"/>
        </w:rPr>
      </w:pPr>
      <w:r w:rsidRPr="003927BC">
        <w:rPr>
          <w:rFonts w:ascii="Arial" w:hAnsi="Arial" w:cs="Arial"/>
        </w:rPr>
        <w:t xml:space="preserve">Key issues identified included the ageing 1500 kVA oil-filled transformer, which raised concerns relating to lifecycle efficiency, maintainability, infrastructure resilience, and long-term operational reliability. In addition, extensive use of 250W metal halide lighting systems presented an opportunity for modernisation through implementation of more energy-efficient LED alternatives capable of reducing electrical demand whilst simultaneously improving lighting quality and reducing maintenance requirements. During the initial stages of investigation, consideration was also given to broader digitalisation opportunities, including potential implementation of artificial intelligence (AI) technologies. However, the scale and technical complexity associated with the electrical infrastructure investigation demonstrated that meaningful assessment of AI integration extended beyond the practical scope of the investigation and was therefore postponed </w:t>
      </w:r>
      <w:r w:rsidR="009254DF" w:rsidRPr="003927BC">
        <w:rPr>
          <w:rFonts w:ascii="Arial" w:hAnsi="Arial" w:cs="Arial"/>
        </w:rPr>
        <w:t>maintaining</w:t>
      </w:r>
      <w:r w:rsidRPr="003927BC">
        <w:rPr>
          <w:rFonts w:ascii="Arial" w:hAnsi="Arial" w:cs="Arial"/>
        </w:rPr>
        <w:t xml:space="preserve"> focus on the principal engineering objectives.</w:t>
      </w:r>
    </w:p>
    <w:p w14:paraId="749F752F" w14:textId="77777777" w:rsidR="00E31901" w:rsidRPr="003927BC" w:rsidRDefault="00E31901" w:rsidP="00E31901">
      <w:pPr>
        <w:spacing w:line="360" w:lineRule="auto"/>
        <w:rPr>
          <w:rFonts w:ascii="Arial" w:hAnsi="Arial" w:cs="Arial"/>
        </w:rPr>
      </w:pPr>
      <w:r w:rsidRPr="003927BC">
        <w:rPr>
          <w:rFonts w:ascii="Arial" w:hAnsi="Arial" w:cs="Arial"/>
        </w:rPr>
        <w:t xml:space="preserve">As the investigation progressed, the scope developed beyond a narrow assessment of energy reduction and evolved into a broader engineering evaluation incorporating operational efficiency, lifecycle performance, infrastructure condition, maintainability, and long-term resilience of critical electrical systems within a live industrial environment. </w:t>
      </w:r>
      <w:proofErr w:type="gramStart"/>
      <w:r w:rsidRPr="003927BC">
        <w:rPr>
          <w:rFonts w:ascii="Arial" w:hAnsi="Arial" w:cs="Arial"/>
        </w:rPr>
        <w:t>Particular emphasis</w:t>
      </w:r>
      <w:proofErr w:type="gramEnd"/>
      <w:r w:rsidRPr="003927BC">
        <w:rPr>
          <w:rFonts w:ascii="Arial" w:hAnsi="Arial" w:cs="Arial"/>
        </w:rPr>
        <w:t xml:space="preserve"> was placed upon balancing engineering practicality with operational </w:t>
      </w:r>
      <w:r w:rsidRPr="003927BC">
        <w:rPr>
          <w:rFonts w:ascii="Arial" w:hAnsi="Arial" w:cs="Arial"/>
        </w:rPr>
        <w:lastRenderedPageBreak/>
        <w:t>constraints, recognising the financial limitations, ageing assets, and infrastructure-related risks associated with implementing electrical improvements in an operational industrial setting.</w:t>
      </w:r>
    </w:p>
    <w:p w14:paraId="245F7FB1" w14:textId="529D981E" w:rsidR="00E31901" w:rsidRPr="003927BC" w:rsidRDefault="00E31901" w:rsidP="00E31901">
      <w:pPr>
        <w:spacing w:line="360" w:lineRule="auto"/>
        <w:rPr>
          <w:rFonts w:ascii="Arial" w:hAnsi="Arial" w:cs="Arial"/>
        </w:rPr>
      </w:pPr>
      <w:r w:rsidRPr="003927BC">
        <w:rPr>
          <w:rFonts w:ascii="Arial" w:hAnsi="Arial" w:cs="Arial"/>
        </w:rPr>
        <w:t xml:space="preserve">The principal aim of the investigation was to improve electrical efficiency and infrastructure resilience at the Vale site through </w:t>
      </w:r>
      <w:r w:rsidR="00980CCD">
        <w:rPr>
          <w:rFonts w:ascii="Arial" w:hAnsi="Arial" w:cs="Arial"/>
        </w:rPr>
        <w:t xml:space="preserve">the implementation of LED lighting upgrades, the assessment of transformer replacement opportunities, and the </w:t>
      </w:r>
      <w:r w:rsidRPr="003927BC">
        <w:rPr>
          <w:rFonts w:ascii="Arial" w:hAnsi="Arial" w:cs="Arial"/>
        </w:rPr>
        <w:t>evaluation of wider infrastructure improvements. More specifically, the investigation sought to determine whether modernisation of ageing electrical systems could reduce electricity demand, improve operational reliability, support sustainability objectives, and inform future investment decisions. Furthermore, consideration was given to whether engineering improvements delivered within an operational industrial environment could provide benefits extending beyond electricity reduction alone, including enhanced maintainability, improved lifecycle performance, greater operational practicality, and reduced infrastructure risk. The investigation therefore sought to balance engineering performance, financial viability, and operational practicality when considering future electrical infrastructure development at the Vale site (Heathcote, 2007).</w:t>
      </w:r>
    </w:p>
    <w:p w14:paraId="7EB26743" w14:textId="6F2C2A79" w:rsidR="00E31901" w:rsidRPr="003927BC" w:rsidRDefault="00E31901" w:rsidP="00E31901">
      <w:pPr>
        <w:spacing w:line="360" w:lineRule="auto"/>
        <w:rPr>
          <w:rFonts w:ascii="Arial" w:hAnsi="Arial" w:cs="Arial"/>
        </w:rPr>
      </w:pPr>
      <w:r w:rsidRPr="003927BC">
        <w:rPr>
          <w:rFonts w:ascii="Arial" w:hAnsi="Arial" w:cs="Arial"/>
        </w:rPr>
        <w:t xml:space="preserve">To achieve this aim, several interconnected objectives were established. A primary objective involved investigating opportunities for reducing electricity demand associated with industrial lighting operating within two operational buildings at the Vale site. The existing installation consisted of 41 × 250W metal halide fittings, which were considered increasingly inefficient due to electrical demand, age, and maintenance requirements. Consequently, the investigation sought to determine whether replacement with 100W LED luminaires could reduce electricity consumption whilst maintaining or improving lighting quality, reliability, and maintainability. In addition to the principal lighting replacement </w:t>
      </w:r>
      <w:r w:rsidR="00B96F90" w:rsidRPr="003927BC">
        <w:rPr>
          <w:rFonts w:ascii="Arial" w:hAnsi="Arial" w:cs="Arial"/>
        </w:rPr>
        <w:t>program</w:t>
      </w:r>
      <w:r w:rsidRPr="003927BC">
        <w:rPr>
          <w:rFonts w:ascii="Arial" w:hAnsi="Arial" w:cs="Arial"/>
        </w:rPr>
        <w:t>, opportunities were also identified to replace 250W SON floodlighting with 50W LED alternatives in lower-use operational areas to further reduce electrical demand.</w:t>
      </w:r>
    </w:p>
    <w:p w14:paraId="1D307DDD" w14:textId="77777777" w:rsidR="00E31901" w:rsidRPr="003927BC" w:rsidRDefault="00E31901" w:rsidP="00E31901">
      <w:pPr>
        <w:spacing w:line="360" w:lineRule="auto"/>
        <w:rPr>
          <w:rFonts w:ascii="Arial" w:hAnsi="Arial" w:cs="Arial"/>
        </w:rPr>
      </w:pPr>
      <w:r w:rsidRPr="003927BC">
        <w:rPr>
          <w:rFonts w:ascii="Arial" w:hAnsi="Arial" w:cs="Arial"/>
        </w:rPr>
        <w:t>A further objective focused upon practical implementation and evaluation of the lighting modernisation programme within an active industrial environment. Unlike purely theoretical studies, emphasis was placed upon assessing implementation feasibility under operational conditions whilst minimising disruption and evaluating whether successful delivery could support wider confidence in future lighting upgrades across the site.</w:t>
      </w:r>
    </w:p>
    <w:p w14:paraId="685938F6" w14:textId="77777777" w:rsidR="00E31901" w:rsidRPr="003927BC" w:rsidRDefault="00E31901" w:rsidP="00E31901">
      <w:pPr>
        <w:spacing w:line="360" w:lineRule="auto"/>
        <w:rPr>
          <w:rFonts w:ascii="Arial" w:hAnsi="Arial" w:cs="Arial"/>
        </w:rPr>
      </w:pPr>
      <w:r w:rsidRPr="003927BC">
        <w:rPr>
          <w:rFonts w:ascii="Arial" w:hAnsi="Arial" w:cs="Arial"/>
        </w:rPr>
        <w:t xml:space="preserve">The investigation also sought to evaluate the existing 1500 kVA oil-filled transformer operating between 11kV and 433V, considering whether replacement with a modern eco-loss transformer could reduce electrical losses and improve operational efficiency. </w:t>
      </w:r>
      <w:proofErr w:type="gramStart"/>
      <w:r w:rsidRPr="003927BC">
        <w:rPr>
          <w:rFonts w:ascii="Arial" w:hAnsi="Arial" w:cs="Arial"/>
        </w:rPr>
        <w:t>Particular emphasis</w:t>
      </w:r>
      <w:proofErr w:type="gramEnd"/>
      <w:r w:rsidRPr="003927BC">
        <w:rPr>
          <w:rFonts w:ascii="Arial" w:hAnsi="Arial" w:cs="Arial"/>
        </w:rPr>
        <w:t xml:space="preserve"> was placed upon no-load losses, recognising that continuous transformer </w:t>
      </w:r>
      <w:r w:rsidRPr="003927BC">
        <w:rPr>
          <w:rFonts w:ascii="Arial" w:hAnsi="Arial" w:cs="Arial"/>
        </w:rPr>
        <w:lastRenderedPageBreak/>
        <w:t>operation may result in cumulative inefficiencies over prolonged operational periods (Heathcote, 2007). Simultaneously, assessment of the wider infrastructure associated with the transformer installation formed an important component of the investigation due to the presence of pitch-filled cable chambers and Paper Insulated Lead Covered (PILC) cable systems, both of which raised concerns regarding maintainability, infrastructure condition, and feasibility of future replacement works.</w:t>
      </w:r>
    </w:p>
    <w:p w14:paraId="41EB1F9E" w14:textId="77777777" w:rsidR="00E31901" w:rsidRPr="003927BC" w:rsidRDefault="00E31901" w:rsidP="00E31901">
      <w:pPr>
        <w:spacing w:line="360" w:lineRule="auto"/>
        <w:rPr>
          <w:rFonts w:ascii="Arial" w:hAnsi="Arial" w:cs="Arial"/>
        </w:rPr>
      </w:pPr>
      <w:r w:rsidRPr="003927BC">
        <w:rPr>
          <w:rFonts w:ascii="Arial" w:hAnsi="Arial" w:cs="Arial"/>
        </w:rPr>
        <w:t xml:space="preserve">A further objective involved assessment of the financial viability associated with proposed infrastructure improvements through review of historical electricity market data. </w:t>
      </w:r>
      <w:proofErr w:type="gramStart"/>
      <w:r w:rsidRPr="003927BC">
        <w:rPr>
          <w:rFonts w:ascii="Arial" w:hAnsi="Arial" w:cs="Arial"/>
        </w:rPr>
        <w:t>Particular consideration</w:t>
      </w:r>
      <w:proofErr w:type="gramEnd"/>
      <w:r w:rsidRPr="003927BC">
        <w:rPr>
          <w:rFonts w:ascii="Arial" w:hAnsi="Arial" w:cs="Arial"/>
        </w:rPr>
        <w:t xml:space="preserve"> was given to the influence of electricity price volatility upon operational savings and investment return, recognising that changing market conditions may significantly influence project payback periods. Special attention was also given to </w:t>
      </w:r>
      <w:r w:rsidRPr="003927BC">
        <w:rPr>
          <w:rFonts w:ascii="Arial" w:hAnsi="Arial" w:cs="Arial"/>
          <w:b/>
          <w:bCs/>
        </w:rPr>
        <w:t>Energy Intensive Industry (EII)</w:t>
      </w:r>
      <w:r w:rsidRPr="003927BC">
        <w:rPr>
          <w:rFonts w:ascii="Arial" w:hAnsi="Arial" w:cs="Arial"/>
        </w:rPr>
        <w:t xml:space="preserve"> compensation arrangements applicable to large industrial consumers, as these mechanisms may significantly affect effective electricity pricing and investment justification at the Vale site (Department for Energy Security and Net Zero, 2023).</w:t>
      </w:r>
    </w:p>
    <w:p w14:paraId="7428B99A" w14:textId="77777777" w:rsidR="00E31901" w:rsidRPr="003927BC" w:rsidRDefault="00E31901" w:rsidP="00E31901">
      <w:pPr>
        <w:spacing w:line="360" w:lineRule="auto"/>
        <w:rPr>
          <w:rFonts w:ascii="Arial" w:hAnsi="Arial" w:cs="Arial"/>
        </w:rPr>
      </w:pPr>
      <w:r w:rsidRPr="003927BC">
        <w:rPr>
          <w:rFonts w:ascii="Arial" w:hAnsi="Arial" w:cs="Arial"/>
        </w:rPr>
        <w:t>The investigation additionally considered whether successful implementation of electrical improvements could influence wider organisational infrastructure planning. Following completion of the lighting replacement programme, additional operational areas requested similar improvements, contributing toward development of a broader capital expenditure (CAPEX) proposal for future site-wide lighting modernisation.</w:t>
      </w:r>
    </w:p>
    <w:p w14:paraId="5965348B" w14:textId="77777777" w:rsidR="00E31901" w:rsidRPr="003927BC" w:rsidRDefault="00E31901" w:rsidP="00E31901">
      <w:pPr>
        <w:spacing w:line="360" w:lineRule="auto"/>
        <w:rPr>
          <w:rFonts w:ascii="Arial" w:hAnsi="Arial" w:cs="Arial"/>
        </w:rPr>
      </w:pPr>
      <w:r w:rsidRPr="003927BC">
        <w:rPr>
          <w:rFonts w:ascii="Arial" w:hAnsi="Arial" w:cs="Arial"/>
        </w:rPr>
        <w:t>The scope of the investigation was therefore focused upon electrical infrastructure operating at the Vale site, with particular emphasis placed upon industrial lighting and transformer systems due to their significance in relation to electricity demand and operational resilience. Initially, 41 metal halide luminaires were replaced with 100W LED fittings across two operational buildings, while additional 250W SON floodlights were replaced with 50W LED alternatives to further reduce electricity demand. The transformer assessment included evaluation of a South Wales Switchgear Ltd 1500 kVA oil-filled transformer and associated infrastructure, incorporating quotations for transformer replacement, oil replacement, and burn-out testing of cable chambers. Although the investigation did not extend to intrusive cable testing or live transformer monitoring, assessment was supported through engineering calculations, supplier quotations, literature review, and visual inspection of infrastructure condition. Despite these limitations, the scope remained sufficient to support meaningful engineering investigation within a live industrial environment and provide practical recommendations regarding future electrical infrastructure development.</w:t>
      </w:r>
    </w:p>
    <w:p w14:paraId="11A64431" w14:textId="77777777" w:rsidR="004D7B5A" w:rsidRPr="003927BC" w:rsidRDefault="004D7B5A" w:rsidP="000B0BA5">
      <w:pPr>
        <w:spacing w:line="360" w:lineRule="auto"/>
        <w:rPr>
          <w:rFonts w:ascii="Arial" w:hAnsi="Arial" w:cs="Arial"/>
        </w:rPr>
      </w:pPr>
    </w:p>
    <w:p w14:paraId="7AB87DE1" w14:textId="45907BEF" w:rsidR="00401C8D" w:rsidRPr="003927BC" w:rsidRDefault="00401C8D" w:rsidP="003E068E">
      <w:pPr>
        <w:pStyle w:val="Heading2"/>
      </w:pPr>
      <w:bookmarkStart w:id="2" w:name="_Toc231032034"/>
      <w:r w:rsidRPr="003927BC">
        <w:lastRenderedPageBreak/>
        <w:t>CHAPTER 3 – TIMING PLAN</w:t>
      </w:r>
      <w:bookmarkEnd w:id="2"/>
    </w:p>
    <w:p w14:paraId="56C23F87" w14:textId="77777777" w:rsidR="003E068E" w:rsidRPr="003927BC" w:rsidRDefault="003E068E" w:rsidP="003E068E"/>
    <w:p w14:paraId="7FD7ACE7" w14:textId="77777777" w:rsidR="00565065" w:rsidRPr="003927BC" w:rsidRDefault="00565065" w:rsidP="003E068E">
      <w:pPr>
        <w:spacing w:line="360" w:lineRule="auto"/>
        <w:rPr>
          <w:rFonts w:ascii="Arial" w:hAnsi="Arial" w:cs="Arial"/>
        </w:rPr>
      </w:pPr>
      <w:r w:rsidRPr="003927BC">
        <w:rPr>
          <w:rFonts w:ascii="Arial" w:hAnsi="Arial" w:cs="Arial"/>
        </w:rPr>
        <w:t>Effective planning and project control are essential for successful engineering project delivery, particularly within operational industrial environments where engineering activities must be balanced against production requirements, safety constraints, labour availability, operational continuity, and financial limitations. Engineering projects involving live infrastructure frequently require structured planning methods to minimise disruption while ensuring technical objectives are achieved within defined timescales (Kerzner, 2022).</w:t>
      </w:r>
    </w:p>
    <w:p w14:paraId="101126F0" w14:textId="77777777" w:rsidR="00565065" w:rsidRPr="003927BC" w:rsidRDefault="00565065" w:rsidP="003E068E">
      <w:pPr>
        <w:spacing w:line="360" w:lineRule="auto"/>
        <w:rPr>
          <w:rFonts w:ascii="Arial" w:hAnsi="Arial" w:cs="Arial"/>
        </w:rPr>
      </w:pPr>
      <w:r w:rsidRPr="003927BC">
        <w:rPr>
          <w:rFonts w:ascii="Arial" w:hAnsi="Arial" w:cs="Arial"/>
        </w:rPr>
        <w:t>Project planning is widely recognised as a fundamental component of engineering management because inadequate planning may result in scope creep, delays, inefficient resource utilisation, operational disruption, and increased project risk (Meredith, Shafer and Mantel, 2022). Consequently, structured planning techniques were adopted throughout the investigation to support effective sequencing of activities, stakeholder engagement, implementation planning, and management of emerging project requirements.</w:t>
      </w:r>
    </w:p>
    <w:p w14:paraId="7D0F72F7" w14:textId="77777777" w:rsidR="00565065" w:rsidRPr="003927BC" w:rsidRDefault="00565065" w:rsidP="003E068E">
      <w:pPr>
        <w:spacing w:line="360" w:lineRule="auto"/>
        <w:rPr>
          <w:rFonts w:ascii="Arial" w:hAnsi="Arial" w:cs="Arial"/>
        </w:rPr>
      </w:pPr>
      <w:r w:rsidRPr="003927BC">
        <w:rPr>
          <w:rFonts w:ascii="Arial" w:hAnsi="Arial" w:cs="Arial"/>
        </w:rPr>
        <w:t>The timing plan developed for the present investigation was designed to support evaluation of electrical efficiency improvement opportunities at the Vale site whilst maintaining alignment with operational requirements and academic timescales. Initially, the project focused upon investigation of transformer replacement opportunities and industrial lighting efficiency improvements. However, as the investigation progressed, practical implementation opportunities emerged, requiring the timing plan to remain sufficiently flexible to accommodate evolving project priorities and additional engineering activities.</w:t>
      </w:r>
    </w:p>
    <w:p w14:paraId="54BA6D42" w14:textId="77777777" w:rsidR="00565065" w:rsidRDefault="00565065" w:rsidP="00B96F90">
      <w:pPr>
        <w:pStyle w:val="Heading2"/>
      </w:pPr>
      <w:r w:rsidRPr="003927BC">
        <w:t>3.2 Project Planning Methodology</w:t>
      </w:r>
    </w:p>
    <w:p w14:paraId="3996A4E9" w14:textId="77777777" w:rsidR="00DE0807" w:rsidRPr="00DE0807" w:rsidRDefault="00DE0807" w:rsidP="00DE0807"/>
    <w:p w14:paraId="0EFE5CD0" w14:textId="77777777" w:rsidR="00565065" w:rsidRPr="003927BC" w:rsidRDefault="00565065" w:rsidP="003E068E">
      <w:pPr>
        <w:spacing w:line="360" w:lineRule="auto"/>
        <w:rPr>
          <w:rFonts w:ascii="Arial" w:hAnsi="Arial" w:cs="Arial"/>
        </w:rPr>
      </w:pPr>
      <w:r w:rsidRPr="003927BC">
        <w:rPr>
          <w:rFonts w:ascii="Arial" w:hAnsi="Arial" w:cs="Arial"/>
        </w:rPr>
        <w:t>Engineering projects commonly utilise formal planning methodologies to improve project control and ensure activities progress in a logical and manageable sequence. According to the Project Management Institute (PMI, 2021), successful project delivery requires clear definition of project scope, sequencing of activities, allocation of resources, stakeholder engagement, and ongoing project monitoring.</w:t>
      </w:r>
    </w:p>
    <w:p w14:paraId="4F3B5740" w14:textId="77777777" w:rsidR="00565065" w:rsidRPr="003927BC" w:rsidRDefault="00565065" w:rsidP="003E068E">
      <w:pPr>
        <w:spacing w:line="360" w:lineRule="auto"/>
        <w:rPr>
          <w:rFonts w:ascii="Arial" w:hAnsi="Arial" w:cs="Arial"/>
        </w:rPr>
      </w:pPr>
      <w:r w:rsidRPr="003927BC">
        <w:rPr>
          <w:rFonts w:ascii="Arial" w:hAnsi="Arial" w:cs="Arial"/>
        </w:rPr>
        <w:t xml:space="preserve">To support delivery of the investigation, a structured planning methodology was adopted incorporating principles of </w:t>
      </w:r>
      <w:r w:rsidRPr="003927BC">
        <w:rPr>
          <w:rFonts w:ascii="Arial" w:hAnsi="Arial" w:cs="Arial"/>
          <w:b/>
          <w:bCs/>
        </w:rPr>
        <w:t>scope definition, milestone planning, phased delivery, and schedule management</w:t>
      </w:r>
      <w:r w:rsidRPr="003927BC">
        <w:rPr>
          <w:rFonts w:ascii="Arial" w:hAnsi="Arial" w:cs="Arial"/>
        </w:rPr>
        <w:t>. The project initially commenced with a scoping phase to define the principal engineering problem and identify practical opportunities for electrical efficiency improvement. This stage enabled clarification of the investigation boundaries and reduced the risk of excessive project expansion beyond practical time constraints.</w:t>
      </w:r>
    </w:p>
    <w:p w14:paraId="328F1B3A" w14:textId="77777777" w:rsidR="00565065" w:rsidRPr="003927BC" w:rsidRDefault="00565065" w:rsidP="003E068E">
      <w:pPr>
        <w:spacing w:line="360" w:lineRule="auto"/>
        <w:rPr>
          <w:rFonts w:ascii="Arial" w:hAnsi="Arial" w:cs="Arial"/>
        </w:rPr>
      </w:pPr>
      <w:r w:rsidRPr="003927BC">
        <w:rPr>
          <w:rFonts w:ascii="Arial" w:hAnsi="Arial" w:cs="Arial"/>
        </w:rPr>
        <w:lastRenderedPageBreak/>
        <w:t>Literature suggests that clearly defined project scope is particularly important within engineering investigations because poorly defined objectives may create uncertainty regarding deliverables and increase project complexity (Kerzner, 2022). Consequently, the early stages of the project focused upon establishing realistic objectives aligned with available resources, operational limitations, and academic requirements.</w:t>
      </w:r>
    </w:p>
    <w:p w14:paraId="371445E8" w14:textId="77777777" w:rsidR="00565065" w:rsidRPr="003927BC" w:rsidRDefault="00565065" w:rsidP="003E068E">
      <w:pPr>
        <w:spacing w:line="360" w:lineRule="auto"/>
        <w:rPr>
          <w:rFonts w:ascii="Arial" w:hAnsi="Arial" w:cs="Arial"/>
        </w:rPr>
      </w:pPr>
      <w:r w:rsidRPr="003927BC">
        <w:rPr>
          <w:rFonts w:ascii="Arial" w:hAnsi="Arial" w:cs="Arial"/>
        </w:rPr>
        <w:t>Following scope definition, a staged planning approach was adopted whereby activities progressed sequentially through research, site investigation, technical assessment, implementation, and evaluation. Meredith, Shafer and Mantel (2022) suggest that phased project planning improves control by allowing outputs from one stage to inform progression into later activities, reducing uncertainty and improving decision-making quality.</w:t>
      </w:r>
    </w:p>
    <w:p w14:paraId="1FCA93D9" w14:textId="77777777" w:rsidR="00565065" w:rsidRPr="003927BC" w:rsidRDefault="00565065" w:rsidP="003E068E">
      <w:pPr>
        <w:pStyle w:val="Heading2"/>
      </w:pPr>
      <w:r w:rsidRPr="003927BC">
        <w:t>3.3 Scheduling Tools and Project Control</w:t>
      </w:r>
    </w:p>
    <w:p w14:paraId="55207B61" w14:textId="77777777" w:rsidR="003E068E" w:rsidRPr="003927BC" w:rsidRDefault="003E068E" w:rsidP="003E068E"/>
    <w:p w14:paraId="3996B902" w14:textId="77777777" w:rsidR="00565065" w:rsidRPr="003927BC" w:rsidRDefault="00565065" w:rsidP="003E068E">
      <w:pPr>
        <w:spacing w:line="360" w:lineRule="auto"/>
        <w:rPr>
          <w:rFonts w:ascii="Arial" w:hAnsi="Arial" w:cs="Arial"/>
        </w:rPr>
      </w:pPr>
      <w:r w:rsidRPr="003927BC">
        <w:rPr>
          <w:rFonts w:ascii="Arial" w:hAnsi="Arial" w:cs="Arial"/>
        </w:rPr>
        <w:t xml:space="preserve">Structured scheduling tools were used throughout the investigation to support organisation of project activities and maintain progress against key milestones. Among the most widely used project scheduling techniques within engineering management is the </w:t>
      </w:r>
      <w:r w:rsidRPr="003927BC">
        <w:rPr>
          <w:rFonts w:ascii="Arial" w:hAnsi="Arial" w:cs="Arial"/>
          <w:b/>
          <w:bCs/>
        </w:rPr>
        <w:t>Gantt chart</w:t>
      </w:r>
      <w:r w:rsidRPr="003927BC">
        <w:rPr>
          <w:rFonts w:ascii="Arial" w:hAnsi="Arial" w:cs="Arial"/>
        </w:rPr>
        <w:t>, which provides visual representation of project activities against time and enables sequencing, overlap, dependencies, and project progression to be monitored effectively (Kerzner, 2022).</w:t>
      </w:r>
    </w:p>
    <w:p w14:paraId="66445F03" w14:textId="77777777" w:rsidR="00565065" w:rsidRPr="003927BC" w:rsidRDefault="00565065" w:rsidP="003E068E">
      <w:pPr>
        <w:spacing w:line="360" w:lineRule="auto"/>
        <w:rPr>
          <w:rFonts w:ascii="Arial" w:hAnsi="Arial" w:cs="Arial"/>
        </w:rPr>
      </w:pPr>
      <w:r w:rsidRPr="003927BC">
        <w:rPr>
          <w:rFonts w:ascii="Arial" w:hAnsi="Arial" w:cs="Arial"/>
        </w:rPr>
        <w:t>Gantt planning was selected as the principal scheduling method because it enables complex engineering activities to be organised into manageable stages whilst clearly communicating activity duration, sequencing, and critical dependencies. Furthermore, Gantt-based scheduling supports improved project visibility and facilitates adjustment of activities where operational priorities change.</w:t>
      </w:r>
    </w:p>
    <w:p w14:paraId="67FDD566" w14:textId="77777777" w:rsidR="00565065" w:rsidRPr="003927BC" w:rsidRDefault="00565065" w:rsidP="003E068E">
      <w:pPr>
        <w:spacing w:line="360" w:lineRule="auto"/>
        <w:rPr>
          <w:rFonts w:ascii="Arial" w:hAnsi="Arial" w:cs="Arial"/>
        </w:rPr>
      </w:pPr>
      <w:r w:rsidRPr="003927BC">
        <w:rPr>
          <w:rFonts w:ascii="Arial" w:hAnsi="Arial" w:cs="Arial"/>
        </w:rPr>
        <w:t>In addition to Gantt planning, principles of Critical Path Method (CPM) informed project sequencing. Critical path activities represent tasks which directly influence overall project completion time, meaning delay to these activities may affect successful project delivery (PMI, 2021). Within engineering projects, identification of critical activities assists prioritisation of labour, resources, and decision-making to ensure major milestones remain achievable.</w:t>
      </w:r>
    </w:p>
    <w:p w14:paraId="0FF085B2" w14:textId="77777777" w:rsidR="00565065" w:rsidRPr="003927BC" w:rsidRDefault="00565065" w:rsidP="003E068E">
      <w:pPr>
        <w:spacing w:line="360" w:lineRule="auto"/>
        <w:rPr>
          <w:rFonts w:ascii="Arial" w:hAnsi="Arial" w:cs="Arial"/>
        </w:rPr>
      </w:pPr>
      <w:r w:rsidRPr="003927BC">
        <w:rPr>
          <w:rFonts w:ascii="Arial" w:hAnsi="Arial" w:cs="Arial"/>
        </w:rPr>
        <w:t xml:space="preserve">Project scheduling additionally considered principles of </w:t>
      </w:r>
      <w:r w:rsidRPr="003927BC">
        <w:rPr>
          <w:rFonts w:ascii="Arial" w:hAnsi="Arial" w:cs="Arial"/>
          <w:b/>
          <w:bCs/>
        </w:rPr>
        <w:t>resource optimisation</w:t>
      </w:r>
      <w:r w:rsidRPr="003927BC">
        <w:rPr>
          <w:rFonts w:ascii="Arial" w:hAnsi="Arial" w:cs="Arial"/>
        </w:rPr>
        <w:t xml:space="preserve">, particularly within an operational industrial environment where engineering labour, specialist access equipment, and contractor availability may be constrained. Effective utilisation of temporary resources has been identified as an important project management principle because shared </w:t>
      </w:r>
      <w:r w:rsidRPr="003927BC">
        <w:rPr>
          <w:rFonts w:ascii="Arial" w:hAnsi="Arial" w:cs="Arial"/>
        </w:rPr>
        <w:lastRenderedPageBreak/>
        <w:t>access opportunities may reduce avoidable expenditure and improve implementation efficiency (Kerzner, 2022).</w:t>
      </w:r>
    </w:p>
    <w:p w14:paraId="1945B6C3" w14:textId="77777777" w:rsidR="00565065" w:rsidRPr="003927BC" w:rsidRDefault="00565065" w:rsidP="003E068E">
      <w:pPr>
        <w:spacing w:line="360" w:lineRule="auto"/>
        <w:rPr>
          <w:rFonts w:ascii="Arial" w:hAnsi="Arial" w:cs="Arial"/>
        </w:rPr>
      </w:pPr>
      <w:r w:rsidRPr="003927BC">
        <w:rPr>
          <w:rFonts w:ascii="Arial" w:hAnsi="Arial" w:cs="Arial"/>
        </w:rPr>
        <w:t>This principle became particularly relevant during lighting implementation activities where availability of a Mobile Elevating Work Platform (MEWP) enabled additional lighting upgrades to be completed outside the original project scope. By coordinating implementation activities with resource availability, additional operational benefit was achieved without substantial increase in project cost.</w:t>
      </w:r>
    </w:p>
    <w:p w14:paraId="22811A0D" w14:textId="77777777" w:rsidR="00565065" w:rsidRPr="003927BC" w:rsidRDefault="00565065" w:rsidP="003E068E">
      <w:pPr>
        <w:pStyle w:val="Heading2"/>
      </w:pPr>
      <w:r w:rsidRPr="003927BC">
        <w:t>3.4 Stakeholder Engagement and Project Adaptability</w:t>
      </w:r>
    </w:p>
    <w:p w14:paraId="65A453CF" w14:textId="77777777" w:rsidR="003E068E" w:rsidRPr="003927BC" w:rsidRDefault="003E068E" w:rsidP="003E068E"/>
    <w:p w14:paraId="4DD13BF0" w14:textId="77777777" w:rsidR="00565065" w:rsidRPr="003927BC" w:rsidRDefault="00565065" w:rsidP="003E068E">
      <w:pPr>
        <w:spacing w:line="360" w:lineRule="auto"/>
        <w:rPr>
          <w:rFonts w:ascii="Arial" w:hAnsi="Arial" w:cs="Arial"/>
        </w:rPr>
      </w:pPr>
      <w:r w:rsidRPr="003927BC">
        <w:rPr>
          <w:rFonts w:ascii="Arial" w:hAnsi="Arial" w:cs="Arial"/>
        </w:rPr>
        <w:t>Stakeholder engagement formed an important component of project planning due to the operational nature of the Vale site. According to PMI (2021), engineering projects undertaken within live operational environments frequently require collaboration between engineering personnel, operational management, contractors, and maintenance teams to ensure successful delivery and minimise disruption.</w:t>
      </w:r>
    </w:p>
    <w:p w14:paraId="6EF55082" w14:textId="77777777" w:rsidR="00565065" w:rsidRPr="003927BC" w:rsidRDefault="00565065" w:rsidP="003E068E">
      <w:pPr>
        <w:spacing w:line="360" w:lineRule="auto"/>
        <w:rPr>
          <w:rFonts w:ascii="Arial" w:hAnsi="Arial" w:cs="Arial"/>
        </w:rPr>
      </w:pPr>
      <w:r w:rsidRPr="003927BC">
        <w:rPr>
          <w:rFonts w:ascii="Arial" w:hAnsi="Arial" w:cs="Arial"/>
        </w:rPr>
        <w:t>Effective stakeholder communication was therefore necessary throughout the investigation to support infrastructure access, collection of operational data, practical feasibility assessment, and coordination of implementation activities. Operational personnel additionally provided contextual understanding relating to infrastructure condition, maintenance concerns, and practical constraints associated with electrical replacement activities.</w:t>
      </w:r>
    </w:p>
    <w:p w14:paraId="541E81C3" w14:textId="77777777" w:rsidR="00565065" w:rsidRPr="003927BC" w:rsidRDefault="00565065" w:rsidP="003E068E">
      <w:pPr>
        <w:spacing w:line="360" w:lineRule="auto"/>
        <w:rPr>
          <w:rFonts w:ascii="Arial" w:hAnsi="Arial" w:cs="Arial"/>
        </w:rPr>
      </w:pPr>
      <w:r w:rsidRPr="003927BC">
        <w:rPr>
          <w:rFonts w:ascii="Arial" w:hAnsi="Arial" w:cs="Arial"/>
        </w:rPr>
        <w:t>Literature relating to project planning increasingly highlights the importance of flexibility and adaptability within engineering projects, particularly where evolving findings may influence project direction (Saunders, Lewis and Thornhill, 2019). Although the initial project scope focused predominantly upon assessment of transformer replacement and lighting opportunities, successful implementation of lighting upgrades generated wider organisational interest and subsequently influenced development of broader site-wide planning activities.</w:t>
      </w:r>
    </w:p>
    <w:p w14:paraId="3164FD78" w14:textId="77777777" w:rsidR="00565065" w:rsidRPr="003927BC" w:rsidRDefault="00565065" w:rsidP="003E068E">
      <w:pPr>
        <w:spacing w:line="360" w:lineRule="auto"/>
        <w:rPr>
          <w:rFonts w:ascii="Arial" w:hAnsi="Arial" w:cs="Arial"/>
        </w:rPr>
      </w:pPr>
      <w:r w:rsidRPr="003927BC">
        <w:rPr>
          <w:rFonts w:ascii="Arial" w:hAnsi="Arial" w:cs="Arial"/>
        </w:rPr>
        <w:t>This progression demonstrates the importance of adaptive planning approaches capable of responding to emerging opportunities whilst maintaining alignment with original project objectives.</w:t>
      </w:r>
    </w:p>
    <w:p w14:paraId="0A5CA017" w14:textId="77777777" w:rsidR="00565065" w:rsidRPr="003927BC" w:rsidRDefault="00565065" w:rsidP="003E068E">
      <w:pPr>
        <w:pStyle w:val="Heading2"/>
      </w:pPr>
      <w:r w:rsidRPr="003927BC">
        <w:t>3.5 Timing Plan and Gantt Scheduling</w:t>
      </w:r>
    </w:p>
    <w:p w14:paraId="1E764E60" w14:textId="77777777" w:rsidR="00565065" w:rsidRPr="003927BC" w:rsidRDefault="00565065" w:rsidP="003E068E">
      <w:pPr>
        <w:spacing w:line="360" w:lineRule="auto"/>
        <w:rPr>
          <w:rFonts w:ascii="Arial" w:hAnsi="Arial" w:cs="Arial"/>
        </w:rPr>
      </w:pPr>
      <w:r w:rsidRPr="003927BC">
        <w:rPr>
          <w:rFonts w:ascii="Arial" w:hAnsi="Arial" w:cs="Arial"/>
        </w:rPr>
        <w:t>To support effective project delivery, activities were organised using a structured timing plan aligned with key engineering milestones and academic deadlines. The overall project schedule incorporated eight principal phases:</w:t>
      </w:r>
    </w:p>
    <w:p w14:paraId="3BA97F4F"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lastRenderedPageBreak/>
        <w:t>Initial scoping and project definition.</w:t>
      </w:r>
    </w:p>
    <w:p w14:paraId="7085C9A5"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Literature review and technical research.</w:t>
      </w:r>
    </w:p>
    <w:p w14:paraId="5795B7E0"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Site investigation and operational assessment.</w:t>
      </w:r>
    </w:p>
    <w:p w14:paraId="25BBECCF"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Data collection and infrastructure review.</w:t>
      </w:r>
    </w:p>
    <w:p w14:paraId="35789246"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Lighting implementation activities.</w:t>
      </w:r>
    </w:p>
    <w:p w14:paraId="6D904F6F"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Financial and technical analysis.</w:t>
      </w:r>
    </w:p>
    <w:p w14:paraId="54444484"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Dissertation writing and review.</w:t>
      </w:r>
    </w:p>
    <w:p w14:paraId="5A056B12" w14:textId="77777777" w:rsidR="00565065" w:rsidRPr="003927BC" w:rsidRDefault="00565065" w:rsidP="003E068E">
      <w:pPr>
        <w:numPr>
          <w:ilvl w:val="0"/>
          <w:numId w:val="9"/>
        </w:numPr>
        <w:spacing w:line="360" w:lineRule="auto"/>
        <w:rPr>
          <w:rFonts w:ascii="Arial" w:hAnsi="Arial" w:cs="Arial"/>
        </w:rPr>
      </w:pPr>
      <w:r w:rsidRPr="003927BC">
        <w:rPr>
          <w:rFonts w:ascii="Arial" w:hAnsi="Arial" w:cs="Arial"/>
        </w:rPr>
        <w:t>Development of future CAPEX planning.</w:t>
      </w:r>
    </w:p>
    <w:p w14:paraId="1CE979B1" w14:textId="31B63C8D" w:rsidR="00565065" w:rsidRPr="00B4511B" w:rsidRDefault="00565065" w:rsidP="003E068E">
      <w:pPr>
        <w:spacing w:line="360" w:lineRule="auto"/>
        <w:rPr>
          <w:rFonts w:ascii="Arial" w:hAnsi="Arial" w:cs="Arial"/>
        </w:rPr>
      </w:pPr>
      <w:r w:rsidRPr="00B4511B">
        <w:rPr>
          <w:rFonts w:ascii="Arial" w:hAnsi="Arial" w:cs="Arial"/>
        </w:rPr>
        <w:t xml:space="preserve">The timing plan was developed using a Microsoft Project-style Gantt scheduling approach, enabling activities to be sequenced logically across the project duration from September to April. </w:t>
      </w:r>
      <w:proofErr w:type="gramStart"/>
      <w:r w:rsidRPr="00B4511B">
        <w:rPr>
          <w:rFonts w:ascii="Arial" w:hAnsi="Arial" w:cs="Arial"/>
        </w:rPr>
        <w:t>Particular attention</w:t>
      </w:r>
      <w:proofErr w:type="gramEnd"/>
      <w:r w:rsidRPr="00B4511B">
        <w:rPr>
          <w:rFonts w:ascii="Arial" w:hAnsi="Arial" w:cs="Arial"/>
        </w:rPr>
        <w:t xml:space="preserve"> was given to overlap between activities, recognising that engineering projects rarely progress through completely isolated stages. For example, literature review activities continued alongside technical investigation, while implementation opportunities </w:t>
      </w:r>
      <w:r w:rsidR="00256163" w:rsidRPr="00B4511B">
        <w:rPr>
          <w:rFonts w:ascii="Arial" w:hAnsi="Arial" w:cs="Arial"/>
        </w:rPr>
        <w:t xml:space="preserve">were informed by </w:t>
      </w:r>
      <w:r w:rsidRPr="00B4511B">
        <w:rPr>
          <w:rFonts w:ascii="Arial" w:hAnsi="Arial" w:cs="Arial"/>
        </w:rPr>
        <w:t>later financial and engineering evaluation.</w:t>
      </w:r>
      <w:r w:rsidR="00BA4CB1" w:rsidRPr="00B4511B">
        <w:rPr>
          <w:rFonts w:ascii="Arial" w:hAnsi="Arial" w:cs="Arial"/>
        </w:rPr>
        <w:t xml:space="preserve"> Speaking with lead </w:t>
      </w:r>
      <w:r w:rsidR="00D70A73" w:rsidRPr="00B4511B">
        <w:rPr>
          <w:rFonts w:ascii="Arial" w:hAnsi="Arial" w:cs="Arial"/>
        </w:rPr>
        <w:t>specialists</w:t>
      </w:r>
      <w:r w:rsidR="00BA4CB1" w:rsidRPr="00B4511B">
        <w:rPr>
          <w:rFonts w:ascii="Arial" w:hAnsi="Arial" w:cs="Arial"/>
        </w:rPr>
        <w:t xml:space="preserve"> in the field such as transformer rectifiers and Hornbi</w:t>
      </w:r>
      <w:r w:rsidR="00D70A73" w:rsidRPr="00B4511B">
        <w:rPr>
          <w:rFonts w:ascii="Arial" w:hAnsi="Arial" w:cs="Arial"/>
        </w:rPr>
        <w:t>l</w:t>
      </w:r>
      <w:r w:rsidR="00BA4CB1" w:rsidRPr="00B4511B">
        <w:rPr>
          <w:rFonts w:ascii="Arial" w:hAnsi="Arial" w:cs="Arial"/>
        </w:rPr>
        <w:t>l aided the theoretical findings</w:t>
      </w:r>
      <w:r w:rsidR="00D70A73" w:rsidRPr="00B4511B">
        <w:rPr>
          <w:rFonts w:ascii="Arial" w:hAnsi="Arial" w:cs="Arial"/>
        </w:rPr>
        <w:t>. They skills and experience highlighted pitfalls and potential findings.</w:t>
      </w:r>
    </w:p>
    <w:p w14:paraId="43EE4135" w14:textId="77777777" w:rsidR="00565065" w:rsidRPr="003927BC" w:rsidRDefault="00565065" w:rsidP="003E068E">
      <w:pPr>
        <w:spacing w:line="360" w:lineRule="auto"/>
        <w:rPr>
          <w:rFonts w:ascii="Arial" w:hAnsi="Arial" w:cs="Arial"/>
        </w:rPr>
      </w:pPr>
      <w:r w:rsidRPr="003927BC">
        <w:rPr>
          <w:rFonts w:ascii="Arial" w:hAnsi="Arial" w:cs="Arial"/>
        </w:rPr>
        <w:t>Furthermore, critical path activities were identified to ensure sufficient priority was placed upon tasks directly influencing overall project completion. Activities relating to technical research, site investigation, implementation planning, and dissertation completion were considered particularly important due to their influence upon successful project delivery.</w:t>
      </w:r>
    </w:p>
    <w:p w14:paraId="26487A27" w14:textId="62D72425" w:rsidR="00565065" w:rsidRPr="003927BC" w:rsidRDefault="005A4C8F" w:rsidP="003E068E">
      <w:pPr>
        <w:spacing w:line="360" w:lineRule="auto"/>
        <w:rPr>
          <w:rFonts w:ascii="Arial" w:hAnsi="Arial" w:cs="Arial"/>
        </w:rPr>
      </w:pPr>
      <w:r w:rsidRPr="003927BC">
        <w:rPr>
          <w:rFonts w:ascii="Arial" w:hAnsi="Arial" w:cs="Arial"/>
        </w:rPr>
        <w:t>The completed Gantt chart for the investigation is presented in Figure 3.1 below, showcasing the sequencing of activities, the overlap between project stages, and the critical path considerations implemented throughout the investigation. Initially, the scope included an exploration of AI within these two subject areas. However, it became quickly evident during the project that the magnitude of the work related to transformers and lighting was significant. Consequently, the Gantt chart was revised to concentrate on two key areas where substantial savings could be realized with transformers and lighting, while deferring the AI investigation.</w:t>
      </w:r>
    </w:p>
    <w:p w14:paraId="48069A0D" w14:textId="77777777" w:rsidR="00565065" w:rsidRPr="003927BC" w:rsidRDefault="00565065" w:rsidP="00565065"/>
    <w:p w14:paraId="7E3451C0" w14:textId="56BA6F47" w:rsidR="007E4372" w:rsidRPr="003927BC" w:rsidRDefault="007E4372" w:rsidP="007E4372">
      <w:r w:rsidRPr="003927BC">
        <w:lastRenderedPageBreak/>
        <w:drawing>
          <wp:inline distT="0" distB="0" distL="0" distR="0" wp14:anchorId="494BDAD2" wp14:editId="3A790826">
            <wp:extent cx="5731510" cy="2579370"/>
            <wp:effectExtent l="0" t="0" r="2540" b="0"/>
            <wp:docPr id="1475130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30802" name=""/>
                    <pic:cNvPicPr/>
                  </pic:nvPicPr>
                  <pic:blipFill>
                    <a:blip r:embed="rId10"/>
                    <a:stretch>
                      <a:fillRect/>
                    </a:stretch>
                  </pic:blipFill>
                  <pic:spPr>
                    <a:xfrm>
                      <a:off x="0" y="0"/>
                      <a:ext cx="5731510" cy="2579370"/>
                    </a:xfrm>
                    <a:prstGeom prst="rect">
                      <a:avLst/>
                    </a:prstGeom>
                  </pic:spPr>
                </pic:pic>
              </a:graphicData>
            </a:graphic>
          </wp:inline>
        </w:drawing>
      </w:r>
    </w:p>
    <w:p w14:paraId="21F8D90D" w14:textId="461B9F13" w:rsidR="005F5985" w:rsidRDefault="00D63B45" w:rsidP="00D63B45">
      <w:pPr>
        <w:pStyle w:val="Caption"/>
      </w:pPr>
      <w:bookmarkStart w:id="3" w:name="_Toc231124879"/>
      <w:r>
        <w:t xml:space="preserve">Figure </w:t>
      </w:r>
      <w:r>
        <w:fldChar w:fldCharType="begin"/>
      </w:r>
      <w:r>
        <w:instrText xml:space="preserve"> SEQ Figure \* ARABIC </w:instrText>
      </w:r>
      <w:r>
        <w:fldChar w:fldCharType="separate"/>
      </w:r>
      <w:r w:rsidR="007E5E21">
        <w:rPr>
          <w:noProof/>
        </w:rPr>
        <w:t>1</w:t>
      </w:r>
      <w:r>
        <w:fldChar w:fldCharType="end"/>
      </w:r>
      <w:r>
        <w:t xml:space="preserve"> </w:t>
      </w:r>
      <w:proofErr w:type="gramStart"/>
      <w:r>
        <w:t xml:space="preserve">- </w:t>
      </w:r>
      <w:r w:rsidRPr="004B6675">
        <w:t xml:space="preserve"> Gantt</w:t>
      </w:r>
      <w:proofErr w:type="gramEnd"/>
      <w:r w:rsidRPr="004B6675">
        <w:t xml:space="preserve"> chart illustrating planned and actual progression of activities throughout completion of the investigation.</w:t>
      </w:r>
      <w:bookmarkEnd w:id="3"/>
    </w:p>
    <w:p w14:paraId="51387ACB" w14:textId="0045736A" w:rsidR="00401C8D" w:rsidRDefault="00401C8D" w:rsidP="00401C8D">
      <w:r w:rsidRPr="003927BC">
        <w:t>According to PMI (2021), visual scheduling tools such as Gantt charts improve project control by enabling monitoring of activity sequencing and milestone achievement.</w:t>
      </w:r>
      <w:r w:rsidR="002E71CA" w:rsidRPr="003927BC">
        <w:t xml:space="preserve"> </w:t>
      </w:r>
      <w:r w:rsidR="0086335E">
        <w:t xml:space="preserve">It's a clear visual representation that is easy to reference and update both by hand </w:t>
      </w:r>
      <w:proofErr w:type="gramStart"/>
      <w:r w:rsidR="0086335E">
        <w:t>or</w:t>
      </w:r>
      <w:proofErr w:type="gramEnd"/>
      <w:r w:rsidR="0086335E">
        <w:t xml:space="preserve"> digitally.</w:t>
      </w:r>
    </w:p>
    <w:p w14:paraId="4BDAB225" w14:textId="77777777" w:rsidR="0086335E" w:rsidRPr="003927BC" w:rsidRDefault="0086335E" w:rsidP="00401C8D"/>
    <w:p w14:paraId="43BA60B9" w14:textId="77777777" w:rsidR="00401C8D" w:rsidRPr="003927BC" w:rsidRDefault="00401C8D" w:rsidP="00401C8D"/>
    <w:p w14:paraId="4F3F0424" w14:textId="3FFAB33F" w:rsidR="00A93FFD" w:rsidRPr="003927BC" w:rsidRDefault="00A93FFD" w:rsidP="00A93FFD">
      <w:pPr>
        <w:pStyle w:val="Heading2"/>
        <w:rPr>
          <w:b/>
          <w:bCs/>
        </w:rPr>
      </w:pPr>
      <w:bookmarkStart w:id="4" w:name="_Toc231032042"/>
      <w:r w:rsidRPr="003927BC">
        <w:rPr>
          <w:b/>
          <w:bCs/>
        </w:rPr>
        <w:lastRenderedPageBreak/>
        <w:t>4.</w:t>
      </w:r>
      <w:r w:rsidR="00690202" w:rsidRPr="003927BC">
        <w:rPr>
          <w:b/>
          <w:bCs/>
        </w:rPr>
        <w:t>0</w:t>
      </w:r>
      <w:r w:rsidRPr="003927BC">
        <w:rPr>
          <w:b/>
          <w:bCs/>
        </w:rPr>
        <w:t xml:space="preserve"> </w:t>
      </w:r>
      <w:r w:rsidR="00E606B9" w:rsidRPr="003927BC">
        <w:rPr>
          <w:b/>
          <w:bCs/>
        </w:rPr>
        <w:t>Research</w:t>
      </w:r>
      <w:r w:rsidR="00690202" w:rsidRPr="003927BC">
        <w:rPr>
          <w:b/>
          <w:bCs/>
        </w:rPr>
        <w:t xml:space="preserve"> an</w:t>
      </w:r>
      <w:r w:rsidR="00E606B9" w:rsidRPr="003927BC">
        <w:rPr>
          <w:b/>
          <w:bCs/>
        </w:rPr>
        <w:t>d literature review</w:t>
      </w:r>
    </w:p>
    <w:p w14:paraId="11CFDC4F"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This chapter presents the background research carried out to support the investigation into electrical efficiency improvement, infrastructure resilience and maintenance reduction at the Vale site. The research focuses on four main technical areas: transformer technology, transformer insulating oil and condition monitoring, ageing cable infrastructure, and industrial lighting modernisation. These areas were selected because they directly relate to the project scope, which involved assessment of an ageing 1500 kVA oil-filled transformer, associated PILC cable infrastructure, and replacement of inefficient discharge lighting with LED alternatives.</w:t>
      </w:r>
    </w:p>
    <w:p w14:paraId="6E4375CC" w14:textId="5ABA0D36"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The purpose of the literature review is to explain how the relevant technologies operate, how they have advanced, and how these developments may influence future engineering decisions. </w:t>
      </w:r>
      <w:proofErr w:type="gramStart"/>
      <w:r w:rsidRPr="003927BC">
        <w:rPr>
          <w:rFonts w:ascii="Arial" w:hAnsi="Arial" w:cs="Arial"/>
          <w:color w:val="auto"/>
          <w:sz w:val="22"/>
          <w:szCs w:val="22"/>
        </w:rPr>
        <w:t>Particular attention</w:t>
      </w:r>
      <w:proofErr w:type="gramEnd"/>
      <w:r w:rsidRPr="003927BC">
        <w:rPr>
          <w:rFonts w:ascii="Arial" w:hAnsi="Arial" w:cs="Arial"/>
          <w:color w:val="auto"/>
          <w:sz w:val="22"/>
          <w:szCs w:val="22"/>
        </w:rPr>
        <w:t xml:space="preserve"> is given to reduced transformer losses through improved core materials, transformer oil condition monitoring, cable replacement risks, LED lighting development, and the maintenance benefits of modern equipment. The review also considers how lower-maintenance equipment can support plant reliability by reducing routine intervention and allowing maintenance </w:t>
      </w:r>
      <w:r w:rsidR="009B7E29" w:rsidRPr="003927BC">
        <w:rPr>
          <w:rFonts w:ascii="Arial" w:hAnsi="Arial" w:cs="Arial"/>
          <w:color w:val="auto"/>
          <w:sz w:val="22"/>
          <w:szCs w:val="22"/>
        </w:rPr>
        <w:t>labour</w:t>
      </w:r>
      <w:r w:rsidRPr="003927BC">
        <w:rPr>
          <w:rFonts w:ascii="Arial" w:hAnsi="Arial" w:cs="Arial"/>
          <w:color w:val="auto"/>
          <w:sz w:val="22"/>
          <w:szCs w:val="22"/>
        </w:rPr>
        <w:t xml:space="preserve"> to be redirected toward more critical operational tasks.</w:t>
      </w:r>
    </w:p>
    <w:p w14:paraId="3ADCE4DF" w14:textId="29E6422E" w:rsidR="00665EC7" w:rsidRPr="00665EC7" w:rsidRDefault="00665EC7" w:rsidP="006B7EFA">
      <w:pPr>
        <w:pStyle w:val="Heading2"/>
      </w:pPr>
      <w:r w:rsidRPr="00665EC7">
        <w:t>4.1 Transformer and operational losses.</w:t>
      </w:r>
    </w:p>
    <w:p w14:paraId="1C3E7DD4" w14:textId="776A5C7A"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Electrical transformers are essential components of industrial power distribution systems. Their main function is to transfer electrical energy between circuits through electromagnetic induction while changing voltage levels to suit transmission or operational requirements. In industrial environments, transformers are commonly used to reduce high-voltage electrical supply to lower voltages suitable for plant equipment, lighting systems and auxiliary loads (Chapman, 2012).</w:t>
      </w:r>
    </w:p>
    <w:p w14:paraId="246E0157"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Although transformers are generally highly efficient, they are not loss-free. Transformer losses are commonly divided into no-load losses and load losses. No-load losses, also known as core or iron losses, occur whenever the transformer is energised, regardless of downstream electrical demand. These losses are mainly caused by hysteresis and eddy currents within the transformer core (Harlow, 2012). Load losses, often referred to as copper losses, occur due to electrical resistance in transformer windings and increase with current flow and transformer loading (Kulkarni and </w:t>
      </w:r>
      <w:proofErr w:type="spellStart"/>
      <w:r w:rsidRPr="003927BC">
        <w:rPr>
          <w:rFonts w:ascii="Arial" w:hAnsi="Arial" w:cs="Arial"/>
          <w:color w:val="auto"/>
          <w:sz w:val="22"/>
          <w:szCs w:val="22"/>
        </w:rPr>
        <w:t>Khaparde</w:t>
      </w:r>
      <w:proofErr w:type="spellEnd"/>
      <w:r w:rsidRPr="003927BC">
        <w:rPr>
          <w:rFonts w:ascii="Arial" w:hAnsi="Arial" w:cs="Arial"/>
          <w:color w:val="auto"/>
          <w:sz w:val="22"/>
          <w:szCs w:val="22"/>
        </w:rPr>
        <w:t>, 2013).</w:t>
      </w:r>
    </w:p>
    <w:p w14:paraId="2B36197C"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lastRenderedPageBreak/>
        <w:t>This distinction is important for continuously operating industrial sites because no-load losses continue for the full period that a transformer is energised. Therefore, even if plant demand varies, an older transformer may still contribute to avoidable energy loss throughout the year. For a transformer operating continuously, reducing no-load losses can therefore produce long-term energy and cost benefits.</w:t>
      </w:r>
    </w:p>
    <w:p w14:paraId="76987D05" w14:textId="77777777" w:rsidR="00DD0C01" w:rsidRDefault="00DD0C01" w:rsidP="00DD0C01">
      <w:pPr>
        <w:pStyle w:val="Heading2"/>
      </w:pPr>
      <w:r w:rsidRPr="00DD0C01">
        <w:t>4.2 Modern transformer core materials.</w:t>
      </w:r>
    </w:p>
    <w:p w14:paraId="2108393D" w14:textId="301A28B5"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Modern transformer development has focused heavily on reducing core losses through improved magnetic materials and manufacturing methods. Traditional transformer cores are commonly manufactured from laminated grain-oriented silicon steel. This material provides good magnetic performance and mechanical stability, but it still experiences hysteresis and eddy current losses during operation (Heathcote, 2007).</w:t>
      </w:r>
    </w:p>
    <w:p w14:paraId="5388A463"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Advances in transformer core design have led to the development of lower-loss materials, including improved grades of grain-oriented electrical steel and amorphous metal cores. Amorphous metal differs from conventional crystalline steel because its atomic structure is non-crystalline. This allows the core to magnetise and demagnetise more easily, reducing hysteresis losses. Amorphous metal is also produced in very thin ribbon form, which helps reduce eddy current losses (Takagi et al., 2011).</w:t>
      </w:r>
    </w:p>
    <w:p w14:paraId="3C1751E4"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Research has shown that amorphous core transformers can achieve substantially lower no-load losses than conventional steel-core transformers. This makes them particularly useful where transformers remain energised for long operating periods. Li et al. (2012) also note that core structure, material composition and treatment processes influence the final loss performance of amorphous cores, meaning transformer design and manufacturing quality remain important factors.</w:t>
      </w:r>
    </w:p>
    <w:p w14:paraId="65AD6F31"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Eco-loss transformers use these improved materials and design methods to reduce both no-load and load losses. The benefit of this technology is not only reduced electrical </w:t>
      </w:r>
      <w:proofErr w:type="gramStart"/>
      <w:r w:rsidRPr="003927BC">
        <w:rPr>
          <w:rFonts w:ascii="Arial" w:hAnsi="Arial" w:cs="Arial"/>
          <w:color w:val="auto"/>
          <w:sz w:val="22"/>
          <w:szCs w:val="22"/>
        </w:rPr>
        <w:t>consumption, but</w:t>
      </w:r>
      <w:proofErr w:type="gramEnd"/>
      <w:r w:rsidRPr="003927BC">
        <w:rPr>
          <w:rFonts w:ascii="Arial" w:hAnsi="Arial" w:cs="Arial"/>
          <w:color w:val="auto"/>
          <w:sz w:val="22"/>
          <w:szCs w:val="22"/>
        </w:rPr>
        <w:t xml:space="preserve"> also reduced heat generation and improved lifecycle efficiency. Reduced heat can support insulation life and reduce stress on transformer components, which may improve long-term reliability (Kulkarni and </w:t>
      </w:r>
      <w:proofErr w:type="spellStart"/>
      <w:r w:rsidRPr="003927BC">
        <w:rPr>
          <w:rFonts w:ascii="Arial" w:hAnsi="Arial" w:cs="Arial"/>
          <w:color w:val="auto"/>
          <w:sz w:val="22"/>
          <w:szCs w:val="22"/>
        </w:rPr>
        <w:t>Khaparde</w:t>
      </w:r>
      <w:proofErr w:type="spellEnd"/>
      <w:r w:rsidRPr="003927BC">
        <w:rPr>
          <w:rFonts w:ascii="Arial" w:hAnsi="Arial" w:cs="Arial"/>
          <w:color w:val="auto"/>
          <w:sz w:val="22"/>
          <w:szCs w:val="22"/>
        </w:rPr>
        <w:t>, 2013).</w:t>
      </w:r>
    </w:p>
    <w:p w14:paraId="498FA30F" w14:textId="77777777" w:rsidR="001B0263"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lastRenderedPageBreak/>
        <w:t>For the Vale project, this research is directly relevant because replacing an ageing transformer with a modern eco-loss transformer could reduce continuous transformer losses. However, the literature also indicates that transformer replacement should not be based on efficiency alone. Whole-life cost, infrastructure condition, cable condition, installation complexity and operational risk must also be considered (Heathcote, 2007). This is especially important where associated cabling and terminations are ageing or difficult to replace.</w:t>
      </w:r>
    </w:p>
    <w:p w14:paraId="06AF44F0" w14:textId="3531965B" w:rsidR="00DD0C01" w:rsidRDefault="00DD0C01" w:rsidP="002A24D0">
      <w:pPr>
        <w:pStyle w:val="Heading2"/>
      </w:pPr>
      <w:r>
        <w:t xml:space="preserve">4.3 </w:t>
      </w:r>
      <w:r w:rsidR="002A24D0">
        <w:t>Transformer oil, insulation and monitoring systems.</w:t>
      </w:r>
    </w:p>
    <w:p w14:paraId="27A76BFC" w14:textId="77777777" w:rsidR="002A24D0" w:rsidRPr="003927BC" w:rsidRDefault="002A24D0" w:rsidP="00C14410"/>
    <w:p w14:paraId="1A78B540"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Oil-filled transformers rely on insulating oil for both electrical insulation and thermal cooling. The oil helps transfer heat away from the transformer windings and core while also providing dielectric strength between internal electrical components. Over time, transformer oil can degrade due to thermal stress, moisture ingress, oxidation and internal electrical faults (Heathcote, 2007).</w:t>
      </w:r>
    </w:p>
    <w:p w14:paraId="23CE2521" w14:textId="0127529C"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Condition monitoring of transformer oil is</w:t>
      </w:r>
      <w:r w:rsidR="002A24D0">
        <w:rPr>
          <w:rFonts w:ascii="Arial" w:hAnsi="Arial" w:cs="Arial"/>
          <w:color w:val="auto"/>
          <w:sz w:val="22"/>
          <w:szCs w:val="22"/>
        </w:rPr>
        <w:t>, therefore,</w:t>
      </w:r>
      <w:r w:rsidRPr="003927BC">
        <w:rPr>
          <w:rFonts w:ascii="Arial" w:hAnsi="Arial" w:cs="Arial"/>
          <w:color w:val="auto"/>
          <w:sz w:val="22"/>
          <w:szCs w:val="22"/>
        </w:rPr>
        <w:t xml:space="preserve"> an important part of transformer asset management. One widely used method is dissolved gas analysis (DGA), which examines gases dissolved within the insulating oil. Internal faults such as overheating, arcing and partial discharge can break down oil and insulation materials, producing gases such as hydrogen, methane, ethylene, acetylene and carbon monoxide. The type and concentration of these gases can provide evidence of developing transformer faults (Wani et al., 2021).</w:t>
      </w:r>
    </w:p>
    <w:p w14:paraId="7A484CD8" w14:textId="2422D257" w:rsidR="001B0263" w:rsidRPr="003927BC" w:rsidRDefault="001B0263" w:rsidP="006B7EFA">
      <w:pPr>
        <w:spacing w:line="360" w:lineRule="auto"/>
        <w:rPr>
          <w:rFonts w:ascii="Arial" w:hAnsi="Arial" w:cs="Arial"/>
        </w:rPr>
      </w:pPr>
      <w:r w:rsidRPr="003927BC">
        <w:rPr>
          <w:rFonts w:ascii="Arial" w:hAnsi="Arial" w:cs="Arial"/>
        </w:rPr>
        <w:t>Research by Wani et al. (2021) identifies DGA as an important condition monitoring technique but also highlights that interpretation can be complex, particularly where multiple fault types or uncertain trends are present. Karlsson (2008) also notes that DGA is widely used to estimate the condition of oil-immersed transformers and support transformer lifetime management. More recent research has also focused on oil degradation indicators such as moisture content, breakdown voltage, dielectric dissipation factor and dissolved gas concentrations to assess the health of in-service transformers (Mustafa et al., 2024).</w:t>
      </w:r>
      <w:r w:rsidR="006B7EFA">
        <w:rPr>
          <w:rFonts w:ascii="Arial" w:hAnsi="Arial" w:cs="Arial"/>
        </w:rPr>
        <w:t xml:space="preserve"> </w:t>
      </w:r>
      <w:r w:rsidRPr="003927BC">
        <w:rPr>
          <w:rFonts w:ascii="Arial" w:hAnsi="Arial" w:cs="Arial"/>
        </w:rPr>
        <w:t>For the Vale project, transformer oil condition is relevant because quotations were obtained not only for transformer replacement but also for oil replacement and further testing. This supports a condition-based approach rather than assuming immediate full replacement is the only option. If oil testing indicates that the transformer remains serviceable, oil replacement or further condition monitoring may provide a lower-cost short-term intervention. However, if oil condition or DGA results indicate internal deterioration, this would strengthen the justification for replacement.</w:t>
      </w:r>
    </w:p>
    <w:p w14:paraId="1E196949" w14:textId="77777777" w:rsidR="00730C13" w:rsidRPr="003927BC" w:rsidRDefault="00730C13" w:rsidP="00730C13"/>
    <w:p w14:paraId="75874854" w14:textId="26D41B8D" w:rsidR="002A24D0" w:rsidRPr="002A24D0" w:rsidRDefault="002A24D0" w:rsidP="002A24D0">
      <w:pPr>
        <w:pStyle w:val="Heading2"/>
      </w:pPr>
      <w:r w:rsidRPr="002A24D0">
        <w:lastRenderedPageBreak/>
        <w:t>4.4 Modern alternative to older PILC cables.</w:t>
      </w:r>
    </w:p>
    <w:p w14:paraId="4D80E9B7" w14:textId="123B3FAF" w:rsidR="001B0263" w:rsidRPr="003927BC" w:rsidRDefault="002A24D0" w:rsidP="002C3281">
      <w:pPr>
        <w:pStyle w:val="Heading2"/>
        <w:spacing w:line="360" w:lineRule="auto"/>
        <w:rPr>
          <w:rFonts w:ascii="Arial" w:hAnsi="Arial" w:cs="Arial"/>
          <w:color w:val="auto"/>
          <w:sz w:val="22"/>
          <w:szCs w:val="22"/>
        </w:rPr>
      </w:pPr>
      <w:r>
        <w:rPr>
          <w:rFonts w:ascii="Arial" w:hAnsi="Arial" w:cs="Arial"/>
          <w:color w:val="auto"/>
          <w:sz w:val="22"/>
          <w:szCs w:val="22"/>
        </w:rPr>
        <w:t>Paper-insulated lead-covered</w:t>
      </w:r>
      <w:r w:rsidR="001B0263" w:rsidRPr="003927BC">
        <w:rPr>
          <w:rFonts w:ascii="Arial" w:hAnsi="Arial" w:cs="Arial"/>
          <w:color w:val="auto"/>
          <w:sz w:val="22"/>
          <w:szCs w:val="22"/>
        </w:rPr>
        <w:t xml:space="preserve"> cable systems were widely used historically in electrical distribution networks due to their strong insulation performance and resistance to moisture ingress. PILC cables typically consist of conductors wrapped in impregnated paper insulation and enclosed within a lead sheath. This design provided reliable service for many decades and remains present in many older industrial and utility networks (Mason, 2007).</w:t>
      </w:r>
    </w:p>
    <w:p w14:paraId="6592E15A"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However, ageing PILC infrastructure can become a significant concern when plant modifications or equipment replacement are required. Over long service periods, paper insulation may deteriorate due to thermal ageing, moisture ingress, mechanical stress and repeated heating and cooling cycles. Zapf et al. (2021) identify thermal ageing as a key factor affecting PILC cable lifetime and propose methods for estimating deterioration based on loading and insulation temperature.</w:t>
      </w:r>
    </w:p>
    <w:p w14:paraId="4EDC2BA9"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PILC systems can be especially problematic during replacement work because their condition may not be fully known until intrusive work begins. Historical terminations, including pitch-filled chambers, may be difficult to disturb without increasing risk of damage. Pitch-filled systems were historically used to provide insulation and environmental protection around cable terminations, but they can harden, degrade or become difficult to remove safely after long service periods.</w:t>
      </w:r>
    </w:p>
    <w:p w14:paraId="6F83D6CC" w14:textId="694563FB"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Modern cable systems such as XLPE and steel wire armoured cables have largely replaced PILC in many new installations. XLPE insulation provides strong thermal and electrical performance, improved maintainability and simpler termination methods compared with older paper-insulated systems</w:t>
      </w:r>
      <w:r w:rsidR="00316E6A" w:rsidRPr="003927BC">
        <w:rPr>
          <w:rFonts w:ascii="Arial" w:hAnsi="Arial" w:cs="Arial"/>
          <w:color w:val="auto"/>
          <w:sz w:val="22"/>
          <w:szCs w:val="22"/>
        </w:rPr>
        <w:t xml:space="preserve"> with chemical exposure to lead</w:t>
      </w:r>
      <w:r w:rsidRPr="003927BC">
        <w:rPr>
          <w:rFonts w:ascii="Arial" w:hAnsi="Arial" w:cs="Arial"/>
          <w:color w:val="auto"/>
          <w:sz w:val="22"/>
          <w:szCs w:val="22"/>
        </w:rPr>
        <w:t>. SWA cable also offers mechanical protection and is commonly used in industrial installations where robustness is required.</w:t>
      </w:r>
    </w:p>
    <w:p w14:paraId="30FE65B0" w14:textId="63D614CB" w:rsidR="009B5118" w:rsidRPr="003927BC" w:rsidRDefault="009B5118" w:rsidP="009B5118"/>
    <w:p w14:paraId="458D4A2C" w14:textId="77777777" w:rsidR="00846C60" w:rsidRPr="003927BC" w:rsidRDefault="00846C60" w:rsidP="009B5118"/>
    <w:p w14:paraId="3CED6B51" w14:textId="31867981" w:rsidR="00846C60" w:rsidRPr="003927BC" w:rsidRDefault="00846C60" w:rsidP="009B5118">
      <w:r w:rsidRPr="003927BC">
        <w:lastRenderedPageBreak/>
        <w:drawing>
          <wp:inline distT="0" distB="0" distL="0" distR="0" wp14:anchorId="0EF01BD7" wp14:editId="19639A65">
            <wp:extent cx="4561114" cy="2940519"/>
            <wp:effectExtent l="0" t="0" r="0" b="0"/>
            <wp:docPr id="802691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91362" name=""/>
                    <pic:cNvPicPr/>
                  </pic:nvPicPr>
                  <pic:blipFill>
                    <a:blip r:embed="rId11"/>
                    <a:stretch>
                      <a:fillRect/>
                    </a:stretch>
                  </pic:blipFill>
                  <pic:spPr>
                    <a:xfrm>
                      <a:off x="0" y="0"/>
                      <a:ext cx="4563792" cy="2942245"/>
                    </a:xfrm>
                    <a:prstGeom prst="rect">
                      <a:avLst/>
                    </a:prstGeom>
                  </pic:spPr>
                </pic:pic>
              </a:graphicData>
            </a:graphic>
          </wp:inline>
        </w:drawing>
      </w:r>
    </w:p>
    <w:p w14:paraId="6EAD2046" w14:textId="1D444133" w:rsidR="009B5118" w:rsidRPr="003927BC" w:rsidRDefault="001F013E" w:rsidP="001F013E">
      <w:pPr>
        <w:pStyle w:val="Caption"/>
      </w:pPr>
      <w:bookmarkStart w:id="5" w:name="_Toc231124880"/>
      <w:r>
        <w:t xml:space="preserve">Figure </w:t>
      </w:r>
      <w:r>
        <w:fldChar w:fldCharType="begin"/>
      </w:r>
      <w:r>
        <w:instrText xml:space="preserve"> SEQ Figure \* ARABIC </w:instrText>
      </w:r>
      <w:r>
        <w:fldChar w:fldCharType="separate"/>
      </w:r>
      <w:r w:rsidR="007E5E21">
        <w:rPr>
          <w:noProof/>
        </w:rPr>
        <w:t>2</w:t>
      </w:r>
      <w:r>
        <w:fldChar w:fldCharType="end"/>
      </w:r>
      <w:r>
        <w:t xml:space="preserve"> - Dressed lead pot going into the LV connection chamber on the transformer (Self taken image)</w:t>
      </w:r>
      <w:bookmarkEnd w:id="5"/>
    </w:p>
    <w:p w14:paraId="2FD4393C" w14:textId="2DDB4F79"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For the Vale project, this research is highly relevant because the existing transformer installation includes pitch-filled cable chambers and ageing PILC cabling. A quotation for approximately 200 metres of replacement cabling demonstrates that cable replacement could become a </w:t>
      </w:r>
      <w:r w:rsidR="00150F2F">
        <w:rPr>
          <w:rFonts w:ascii="Arial" w:hAnsi="Arial" w:cs="Arial"/>
          <w:color w:val="auto"/>
          <w:sz w:val="22"/>
          <w:szCs w:val="22"/>
        </w:rPr>
        <w:t>high</w:t>
      </w:r>
      <w:r w:rsidRPr="003927BC">
        <w:rPr>
          <w:rFonts w:ascii="Arial" w:hAnsi="Arial" w:cs="Arial"/>
          <w:color w:val="auto"/>
          <w:sz w:val="22"/>
          <w:szCs w:val="22"/>
        </w:rPr>
        <w:t xml:space="preserve"> cost if the existing infrastructure is damaged or found unsuitable for continued use. Therefore, the cabling research supports the argument that transformer replacement should be assessed as a wider infrastructure project rather than a simple equipment swap.</w:t>
      </w:r>
      <w:r w:rsidR="00584263" w:rsidRPr="003927BC">
        <w:rPr>
          <w:rFonts w:ascii="Arial" w:hAnsi="Arial" w:cs="Arial"/>
          <w:color w:val="auto"/>
          <w:sz w:val="22"/>
          <w:szCs w:val="22"/>
        </w:rPr>
        <w:t xml:space="preserve"> </w:t>
      </w:r>
      <w:r w:rsidR="00150F2F">
        <w:rPr>
          <w:rFonts w:ascii="Arial" w:hAnsi="Arial" w:cs="Arial"/>
          <w:color w:val="auto"/>
          <w:sz w:val="22"/>
          <w:szCs w:val="22"/>
        </w:rPr>
        <w:t xml:space="preserve">That said, if VLF testing of the cable comes back satisfactory, they may be reused; however, there are limited methods of termination from old to new, and specialist glanding must be </w:t>
      </w:r>
      <w:r w:rsidR="00A45F98" w:rsidRPr="003927BC">
        <w:rPr>
          <w:rFonts w:ascii="Arial" w:hAnsi="Arial" w:cs="Arial"/>
          <w:color w:val="auto"/>
          <w:sz w:val="22"/>
          <w:szCs w:val="22"/>
        </w:rPr>
        <w:t>used.</w:t>
      </w:r>
    </w:p>
    <w:p w14:paraId="6C71738B" w14:textId="77777777" w:rsidR="009556AA" w:rsidRPr="003927BC" w:rsidRDefault="009556AA" w:rsidP="009556AA"/>
    <w:p w14:paraId="5EE10C70" w14:textId="77777777" w:rsidR="00316E6A" w:rsidRDefault="00316E6A" w:rsidP="00316E6A"/>
    <w:p w14:paraId="6CF8DAC8" w14:textId="77777777" w:rsidR="00150F2F" w:rsidRDefault="00150F2F" w:rsidP="00316E6A"/>
    <w:p w14:paraId="48D24CF6" w14:textId="77777777" w:rsidR="00150F2F" w:rsidRDefault="00150F2F" w:rsidP="00316E6A"/>
    <w:p w14:paraId="01EF39C4" w14:textId="77777777" w:rsidR="00150F2F" w:rsidRDefault="00150F2F" w:rsidP="00316E6A"/>
    <w:p w14:paraId="5E7D6CFB" w14:textId="77777777" w:rsidR="00150F2F" w:rsidRDefault="00150F2F" w:rsidP="00316E6A"/>
    <w:p w14:paraId="5B9E0CAC" w14:textId="77777777" w:rsidR="00150F2F" w:rsidRDefault="00150F2F" w:rsidP="00316E6A"/>
    <w:p w14:paraId="479AF964" w14:textId="77777777" w:rsidR="00150F2F" w:rsidRDefault="00150F2F" w:rsidP="00316E6A"/>
    <w:p w14:paraId="7F8D8141" w14:textId="77777777" w:rsidR="00150F2F" w:rsidRDefault="00150F2F" w:rsidP="00316E6A"/>
    <w:p w14:paraId="3091CD23" w14:textId="77777777" w:rsidR="00150F2F" w:rsidRPr="003927BC" w:rsidRDefault="00150F2F" w:rsidP="00316E6A"/>
    <w:p w14:paraId="5CF731C7" w14:textId="3ADDC19A" w:rsidR="00150F2F" w:rsidRDefault="00150F2F" w:rsidP="00150F2F">
      <w:pPr>
        <w:pStyle w:val="Heading2"/>
      </w:pPr>
      <w:r>
        <w:lastRenderedPageBreak/>
        <w:t>4.5 Modernised lighting in comparison to older systems.</w:t>
      </w:r>
    </w:p>
    <w:p w14:paraId="74527D86" w14:textId="77777777" w:rsidR="00150F2F" w:rsidRPr="00150F2F" w:rsidRDefault="00150F2F" w:rsidP="00150F2F"/>
    <w:p w14:paraId="71CE253B"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Industrial lighting is essential for operational safety, inspection, maintenance and productivity. Poor lighting can reduce visibility, increase risk and make maintenance work more difficult. Historically, many industrial sites used high-intensity discharge lighting, including metal halide and high-pressure sodium systems, because these technologies provided high light output for large areas and high mounting positions (Boyce, 2014).</w:t>
      </w:r>
    </w:p>
    <w:p w14:paraId="0C7738C1"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Metal halide lamps generate light through an electrical arc passing through gas and metal halide compounds. They can provide strong white light but have several disadvantages compared with modern lighting systems. These include high energy consumption, warm-up time, restrike delay, lumen depreciation and regular maintenance requirements. High-pressure sodium fittings are also efficient compared with older lamps but often provide poorer colour rendering and may not offer the same quality of working visibility as LED systems (</w:t>
      </w:r>
      <w:proofErr w:type="spellStart"/>
      <w:r w:rsidRPr="003927BC">
        <w:rPr>
          <w:rFonts w:ascii="Arial" w:hAnsi="Arial" w:cs="Arial"/>
          <w:color w:val="auto"/>
          <w:sz w:val="22"/>
          <w:szCs w:val="22"/>
        </w:rPr>
        <w:t>DiLouie</w:t>
      </w:r>
      <w:proofErr w:type="spellEnd"/>
      <w:r w:rsidRPr="003927BC">
        <w:rPr>
          <w:rFonts w:ascii="Arial" w:hAnsi="Arial" w:cs="Arial"/>
          <w:color w:val="auto"/>
          <w:sz w:val="22"/>
          <w:szCs w:val="22"/>
        </w:rPr>
        <w:t>, 2006).</w:t>
      </w:r>
    </w:p>
    <w:p w14:paraId="54C90261"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LED lighting has advanced significantly and is now widely used for industrial lighting modernisation. LEDs produce light through semiconductor materials rather than gas discharge, allowing more efficient conversion of electrical energy into useful light. LED systems can provide instant start-up, improved controllability, better lifespan, reduced maintenance and lower power demand compared with traditional discharge lighting (</w:t>
      </w:r>
      <w:proofErr w:type="spellStart"/>
      <w:r w:rsidRPr="003927BC">
        <w:rPr>
          <w:rFonts w:ascii="Arial" w:hAnsi="Arial" w:cs="Arial"/>
          <w:color w:val="auto"/>
          <w:sz w:val="22"/>
          <w:szCs w:val="22"/>
        </w:rPr>
        <w:t>DiLouie</w:t>
      </w:r>
      <w:proofErr w:type="spellEnd"/>
      <w:r w:rsidRPr="003927BC">
        <w:rPr>
          <w:rFonts w:ascii="Arial" w:hAnsi="Arial" w:cs="Arial"/>
          <w:color w:val="auto"/>
          <w:sz w:val="22"/>
          <w:szCs w:val="22"/>
        </w:rPr>
        <w:t>, 2012).</w:t>
      </w:r>
    </w:p>
    <w:p w14:paraId="3E6D1AE8"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The Carbon Trust (2012) identifies lighting upgrades as a practical energy-saving measure because they can reduce electricity consumption and maintenance requirements. LED technology is particularly beneficial in areas where lighting remains energised for long periods, because the savings from reduced wattage accumulate continuously. This is directly relevant to industrial environments where lighting may operate 24 hours per day.</w:t>
      </w:r>
    </w:p>
    <w:p w14:paraId="7AADFDAF"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For the Vale project, the replacement of 250W metal halide fittings with 100W LED luminaires is supported by the literature because it reduces connected load while also improving maintainability. The additional replacement of 250W SON floodlights with 50W LED alternatives further supports the case that LED technology can reduce demand across different lighting applications.</w:t>
      </w:r>
    </w:p>
    <w:p w14:paraId="18C0A88E" w14:textId="77777777" w:rsidR="00316E6A" w:rsidRPr="003927BC" w:rsidRDefault="00316E6A" w:rsidP="00316E6A"/>
    <w:p w14:paraId="05936760" w14:textId="77777777" w:rsidR="00316E6A" w:rsidRPr="003927BC" w:rsidRDefault="00316E6A" w:rsidP="00316E6A"/>
    <w:p w14:paraId="452066D3" w14:textId="3B84B90D" w:rsidR="00316E6A" w:rsidRDefault="00150F2F" w:rsidP="00150F2F">
      <w:pPr>
        <w:pStyle w:val="Heading2"/>
      </w:pPr>
      <w:r>
        <w:lastRenderedPageBreak/>
        <w:t>4.6 Labour utilisation and benefits in reduced maintenance.</w:t>
      </w:r>
    </w:p>
    <w:p w14:paraId="54DD571C" w14:textId="55736882"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A major benefit of modernising electrical equipment is </w:t>
      </w:r>
      <w:r w:rsidR="00150F2F">
        <w:rPr>
          <w:rFonts w:ascii="Arial" w:hAnsi="Arial" w:cs="Arial"/>
          <w:color w:val="auto"/>
          <w:sz w:val="22"/>
          <w:szCs w:val="22"/>
        </w:rPr>
        <w:t>reduced</w:t>
      </w:r>
      <w:r w:rsidRPr="003927BC">
        <w:rPr>
          <w:rFonts w:ascii="Arial" w:hAnsi="Arial" w:cs="Arial"/>
          <w:color w:val="auto"/>
          <w:sz w:val="22"/>
          <w:szCs w:val="22"/>
        </w:rPr>
        <w:t xml:space="preserve"> maintenance demand. Energy efficiency is often the </w:t>
      </w:r>
      <w:proofErr w:type="gramStart"/>
      <w:r w:rsidRPr="003927BC">
        <w:rPr>
          <w:rFonts w:ascii="Arial" w:hAnsi="Arial" w:cs="Arial"/>
          <w:color w:val="auto"/>
          <w:sz w:val="22"/>
          <w:szCs w:val="22"/>
        </w:rPr>
        <w:t>main focus</w:t>
      </w:r>
      <w:proofErr w:type="gramEnd"/>
      <w:r w:rsidRPr="003927BC">
        <w:rPr>
          <w:rFonts w:ascii="Arial" w:hAnsi="Arial" w:cs="Arial"/>
          <w:color w:val="auto"/>
          <w:sz w:val="22"/>
          <w:szCs w:val="22"/>
        </w:rPr>
        <w:t xml:space="preserve"> of replacement projects, but maintenance improvement can be equally important in industrial environments where labour availability is </w:t>
      </w:r>
      <w:proofErr w:type="gramStart"/>
      <w:r w:rsidRPr="003927BC">
        <w:rPr>
          <w:rFonts w:ascii="Arial" w:hAnsi="Arial" w:cs="Arial"/>
          <w:color w:val="auto"/>
          <w:sz w:val="22"/>
          <w:szCs w:val="22"/>
        </w:rPr>
        <w:t>limited</w:t>
      </w:r>
      <w:proofErr w:type="gramEnd"/>
      <w:r w:rsidRPr="003927BC">
        <w:rPr>
          <w:rFonts w:ascii="Arial" w:hAnsi="Arial" w:cs="Arial"/>
          <w:color w:val="auto"/>
          <w:sz w:val="22"/>
          <w:szCs w:val="22"/>
        </w:rPr>
        <w:t xml:space="preserve"> and plant reliability is critical.</w:t>
      </w:r>
    </w:p>
    <w:p w14:paraId="4A63B266" w14:textId="5625E8BE"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 xml:space="preserve">Older lighting systems require periodic lamp </w:t>
      </w:r>
      <w:r w:rsidR="00150F2F">
        <w:rPr>
          <w:rFonts w:ascii="Arial" w:hAnsi="Arial" w:cs="Arial"/>
          <w:color w:val="auto"/>
          <w:sz w:val="22"/>
          <w:szCs w:val="22"/>
        </w:rPr>
        <w:t>and ballast replacements, access equipment,</w:t>
      </w:r>
      <w:r w:rsidRPr="003927BC">
        <w:rPr>
          <w:rFonts w:ascii="Arial" w:hAnsi="Arial" w:cs="Arial"/>
          <w:color w:val="auto"/>
          <w:sz w:val="22"/>
          <w:szCs w:val="22"/>
        </w:rPr>
        <w:t xml:space="preserve"> and labour. When fittings are mounted at height, maintenance may require a Mobile Elevating Work Platform, isolation procedures, permits and additional planning. These activities consume maintenance labour that could otherwise be used for higher-priority reliability tasks.</w:t>
      </w:r>
    </w:p>
    <w:p w14:paraId="6DBFDC1A"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LED lighting can reduce maintenance demand due to longer operating life and lower failure rates compared with traditional discharge lighting (Boyce, 2014). Thumann and Younger (2018) argue that energy efficiency projects should consider maintenance savings as part of whole-life assessment because reduced maintenance can improve the overall financial case for replacement.</w:t>
      </w:r>
    </w:p>
    <w:p w14:paraId="746BC49B"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The same principle applies to transformers and associated infrastructure. Modern transformers, improved oil management and better condition monitoring can reduce unplanned maintenance risk and support planned intervention. Similarly, replacing ageing cable infrastructure with modern cable systems may reduce future maintenance complexity and improve resilience.</w:t>
      </w:r>
    </w:p>
    <w:p w14:paraId="6562758D" w14:textId="77777777" w:rsidR="001B0263" w:rsidRPr="003927BC" w:rsidRDefault="001B0263" w:rsidP="002C3281">
      <w:pPr>
        <w:pStyle w:val="Heading2"/>
        <w:spacing w:line="360" w:lineRule="auto"/>
        <w:rPr>
          <w:rFonts w:ascii="Arial" w:hAnsi="Arial" w:cs="Arial"/>
          <w:color w:val="auto"/>
          <w:sz w:val="22"/>
          <w:szCs w:val="22"/>
        </w:rPr>
      </w:pPr>
      <w:r w:rsidRPr="003927BC">
        <w:rPr>
          <w:rFonts w:ascii="Arial" w:hAnsi="Arial" w:cs="Arial"/>
          <w:color w:val="auto"/>
          <w:sz w:val="22"/>
          <w:szCs w:val="22"/>
        </w:rPr>
        <w:t>For the Vale project, reduced maintenance has practical value because maintenance labour can be redirected toward critical plant tasks. If lighting failures and access-related work are reduced, engineering resources can be used more effectively on higher-risk operational issues. Therefore, low-maintenance equipment does not only reduce direct cost; it can also improve maintenance planning, reduce operational disruption and support plant reliability.</w:t>
      </w:r>
    </w:p>
    <w:p w14:paraId="06720612" w14:textId="77777777" w:rsidR="00316E6A" w:rsidRPr="003927BC" w:rsidRDefault="00316E6A" w:rsidP="00316E6A"/>
    <w:p w14:paraId="6E5A01AA" w14:textId="77777777" w:rsidR="00316E6A" w:rsidRPr="003927BC" w:rsidRDefault="00316E6A" w:rsidP="00316E6A"/>
    <w:p w14:paraId="00229FD0" w14:textId="77777777" w:rsidR="00316E6A" w:rsidRPr="003927BC" w:rsidRDefault="00316E6A" w:rsidP="00316E6A"/>
    <w:p w14:paraId="4A4538D0" w14:textId="77777777" w:rsidR="00316E6A" w:rsidRPr="003927BC" w:rsidRDefault="00316E6A" w:rsidP="00316E6A"/>
    <w:p w14:paraId="358BE9F6" w14:textId="77777777" w:rsidR="00316E6A" w:rsidRDefault="00316E6A" w:rsidP="00316E6A"/>
    <w:p w14:paraId="061302A8" w14:textId="77777777" w:rsidR="002E4B1E" w:rsidRPr="003927BC" w:rsidRDefault="002E4B1E" w:rsidP="00316E6A"/>
    <w:p w14:paraId="02C0E5D8" w14:textId="77777777" w:rsidR="00DB6DFB" w:rsidRPr="003927BC" w:rsidRDefault="00DB6DFB" w:rsidP="00DB6DFB"/>
    <w:p w14:paraId="306B61BA" w14:textId="55DEF36C" w:rsidR="00DB6DFB" w:rsidRPr="003927BC" w:rsidRDefault="003B0C12" w:rsidP="003B0C12">
      <w:pPr>
        <w:pStyle w:val="Heading2"/>
      </w:pPr>
      <w:r w:rsidRPr="003927BC">
        <w:lastRenderedPageBreak/>
        <w:t>5. Work carried out.</w:t>
      </w:r>
    </w:p>
    <w:p w14:paraId="555A972A" w14:textId="77777777" w:rsidR="003B0C12" w:rsidRPr="003927BC" w:rsidRDefault="003B0C12" w:rsidP="003B0C12"/>
    <w:bookmarkEnd w:id="4"/>
    <w:p w14:paraId="242822A1" w14:textId="77777777" w:rsidR="003F78C7" w:rsidRPr="00B1375A" w:rsidRDefault="003F78C7" w:rsidP="00B1375A">
      <w:pPr>
        <w:spacing w:line="360" w:lineRule="auto"/>
        <w:rPr>
          <w:rFonts w:ascii="Arial" w:hAnsi="Arial" w:cs="Arial"/>
        </w:rPr>
      </w:pPr>
      <w:r w:rsidRPr="00B1375A">
        <w:rPr>
          <w:rFonts w:ascii="Arial" w:hAnsi="Arial" w:cs="Arial"/>
        </w:rPr>
        <w:t>The initial phase of work focused upon assessment of the existing electrical infrastructure operating within selected areas of the Vale site to identify practical opportunities for improving electrical efficiency, maintainability, and long-term operational resilience. Two principal areas of investigation were identified during the early stages of the project. The first concerned the continued operation of an ageing South Wales Switchgear Ltd 1500 kVA oil-filled transformer, operating between 11 kV and 433 V, while the second involved the extensive use of 250W metal halide lighting systems operating continuously across two industrial buildings.</w:t>
      </w:r>
    </w:p>
    <w:p w14:paraId="32C552E8" w14:textId="77777777" w:rsidR="003F78C7" w:rsidRPr="00B1375A" w:rsidRDefault="003F78C7" w:rsidP="00B1375A">
      <w:pPr>
        <w:spacing w:line="360" w:lineRule="auto"/>
        <w:rPr>
          <w:rFonts w:ascii="Arial" w:hAnsi="Arial" w:cs="Arial"/>
        </w:rPr>
      </w:pPr>
      <w:r w:rsidRPr="00B1375A">
        <w:rPr>
          <w:rFonts w:ascii="Arial" w:hAnsi="Arial" w:cs="Arial"/>
        </w:rPr>
        <w:t>A detailed site investigation was undertaken to assess the physical condition and operational arrangement of the transformer installation. Inspection included review of transformer nameplate information, cooling systems, oil containment arrangements, cable entry systems, and associated downstream electrical infrastructure. Visual assessment confirmed the transformer utilised an Oil Natural Air Natural (O.N.A.N) cooling arrangement and identified ageing supporting infrastructure including radiator banks, historical cable systems, and pitch-filled cable chambers.</w:t>
      </w:r>
    </w:p>
    <w:p w14:paraId="570A4EA5" w14:textId="6CBF453F" w:rsidR="003F78C7" w:rsidRPr="00B1375A" w:rsidRDefault="003F78C7" w:rsidP="00B1375A">
      <w:pPr>
        <w:spacing w:line="360" w:lineRule="auto"/>
        <w:rPr>
          <w:rFonts w:ascii="Arial" w:hAnsi="Arial" w:cs="Arial"/>
        </w:rPr>
      </w:pPr>
      <w:proofErr w:type="gramStart"/>
      <w:r w:rsidRPr="00B1375A">
        <w:rPr>
          <w:rFonts w:ascii="Arial" w:hAnsi="Arial" w:cs="Arial"/>
        </w:rPr>
        <w:t>Particular attention</w:t>
      </w:r>
      <w:proofErr w:type="gramEnd"/>
      <w:r w:rsidRPr="00B1375A">
        <w:rPr>
          <w:rFonts w:ascii="Arial" w:hAnsi="Arial" w:cs="Arial"/>
        </w:rPr>
        <w:t xml:space="preserve"> was given to the transformer cable arrangements following identification of Paper Insulated Lead Covered (PILC) cable systems and pitch-filled terminations associated with the downstream distribution network. Discussions with operational personnel and engineering review</w:t>
      </w:r>
      <w:r w:rsidR="00C62795" w:rsidRPr="00B1375A">
        <w:rPr>
          <w:rFonts w:ascii="Arial" w:hAnsi="Arial" w:cs="Arial"/>
        </w:rPr>
        <w:t xml:space="preserve"> of drawings</w:t>
      </w:r>
      <w:r w:rsidRPr="00B1375A">
        <w:rPr>
          <w:rFonts w:ascii="Arial" w:hAnsi="Arial" w:cs="Arial"/>
        </w:rPr>
        <w:t xml:space="preserve"> identified that downstream electrical distribution supplied by the transformer extended considerable distances throughout the site, with cable routes estimated to exceed 1</w:t>
      </w:r>
      <w:r w:rsidR="00C62795" w:rsidRPr="00B1375A">
        <w:rPr>
          <w:rFonts w:ascii="Arial" w:hAnsi="Arial" w:cs="Arial"/>
        </w:rPr>
        <w:t>0</w:t>
      </w:r>
      <w:r w:rsidRPr="00B1375A">
        <w:rPr>
          <w:rFonts w:ascii="Arial" w:hAnsi="Arial" w:cs="Arial"/>
        </w:rPr>
        <w:t>0 metres. Consequently, the scope of transformer assessment developed beyond electrical efficiency alone and included consideration of infrastructure condition, maintainability, replacement feasibility, and operational risk associated with disturbing ageing cable systems.</w:t>
      </w:r>
    </w:p>
    <w:p w14:paraId="4177EAE8" w14:textId="77777777" w:rsidR="003F78C7" w:rsidRPr="00B1375A" w:rsidRDefault="003F78C7" w:rsidP="00B1375A">
      <w:pPr>
        <w:spacing w:line="360" w:lineRule="auto"/>
        <w:rPr>
          <w:rFonts w:ascii="Arial" w:hAnsi="Arial" w:cs="Arial"/>
        </w:rPr>
      </w:pPr>
      <w:r w:rsidRPr="00B1375A">
        <w:rPr>
          <w:rFonts w:ascii="Arial" w:hAnsi="Arial" w:cs="Arial"/>
        </w:rPr>
        <w:t>In parallel with transformer assessment, a detailed lighting survey was completed across two operational buildings to identify opportunities for reducing electrical demand and improving operational lighting quality. The survey confirmed the presence of 41 × 250W metal halide fittings, comprising 16 fittings within one operational building and 25 fittings within another. Due to the continuous operational profile of the Vale site, lighting systems remained energised throughout the year, contributing significantly toward operational electricity demand. Following engineering assessment, replacement with 100W LED luminaires was identified as a practical solution capable of reducing electrical consumption while simultaneously improving lighting performance and reducing maintenance requirements.</w:t>
      </w:r>
    </w:p>
    <w:p w14:paraId="307B8D64" w14:textId="77777777" w:rsidR="003F78C7" w:rsidRPr="00B1375A" w:rsidRDefault="003F78C7" w:rsidP="00B1375A">
      <w:pPr>
        <w:spacing w:line="360" w:lineRule="auto"/>
        <w:rPr>
          <w:rFonts w:ascii="Arial" w:hAnsi="Arial" w:cs="Arial"/>
        </w:rPr>
      </w:pPr>
      <w:r w:rsidRPr="00B1375A">
        <w:rPr>
          <w:rFonts w:ascii="Arial" w:hAnsi="Arial" w:cs="Arial"/>
        </w:rPr>
        <w:lastRenderedPageBreak/>
        <w:t xml:space="preserve">Following approval of the proposed lighting strategy, practical implementation activities were </w:t>
      </w:r>
      <w:proofErr w:type="gramStart"/>
      <w:r w:rsidRPr="00B1375A">
        <w:rPr>
          <w:rFonts w:ascii="Arial" w:hAnsi="Arial" w:cs="Arial"/>
        </w:rPr>
        <w:t>undertaken</w:t>
      </w:r>
      <w:proofErr w:type="gramEnd"/>
      <w:r w:rsidRPr="00B1375A">
        <w:rPr>
          <w:rFonts w:ascii="Arial" w:hAnsi="Arial" w:cs="Arial"/>
        </w:rPr>
        <w:t xml:space="preserve"> and the full lighting upgrade was successfully completed across both operational buildings. At the time of writing, all 41 metal halide fittings had been replaced with 100W LED luminaires, representing successful delivery of the project beyond theoretical assessment and into practical engineering implementation within a live industrial environment. Installation activities required coordination with operational requirements, labour availability, and access planning to minimise disruption to site activities. Through use of internal electrical craft labour and site resources, the work was completed successfully while maintaining operational continuity.</w:t>
      </w:r>
    </w:p>
    <w:p w14:paraId="0EEBF745" w14:textId="10A7AA3B" w:rsidR="003F78C7" w:rsidRPr="00B1375A" w:rsidRDefault="003F78C7" w:rsidP="00B1375A">
      <w:pPr>
        <w:spacing w:line="360" w:lineRule="auto"/>
        <w:rPr>
          <w:rFonts w:ascii="Arial" w:hAnsi="Arial" w:cs="Arial"/>
        </w:rPr>
      </w:pPr>
      <w:r w:rsidRPr="00B1375A">
        <w:rPr>
          <w:rFonts w:ascii="Arial" w:hAnsi="Arial" w:cs="Arial"/>
        </w:rPr>
        <w:t xml:space="preserve">Completion of the lighting replacement </w:t>
      </w:r>
      <w:r w:rsidR="00695434" w:rsidRPr="00B1375A">
        <w:rPr>
          <w:rFonts w:ascii="Arial" w:hAnsi="Arial" w:cs="Arial"/>
        </w:rPr>
        <w:t>program</w:t>
      </w:r>
      <w:r w:rsidRPr="00B1375A">
        <w:rPr>
          <w:rFonts w:ascii="Arial" w:hAnsi="Arial" w:cs="Arial"/>
        </w:rPr>
        <w:t xml:space="preserve"> enabled immediate operational observations to be made regarding lighting performance. Practical observations identified noticeable improvements in lighting quality, brightness, and visibility within both operational buildings when compared with the original metal halide systems. Result photographs demonstrating the completed installations and lighting improvements are included within this report to illustrate the operational outcomes achieved.</w:t>
      </w:r>
    </w:p>
    <w:p w14:paraId="41646EB4" w14:textId="77777777" w:rsidR="00144BAB" w:rsidRDefault="00144BAB" w:rsidP="003F78C7"/>
    <w:p w14:paraId="43A70467" w14:textId="77777777" w:rsidR="00144BAB" w:rsidRDefault="00144BAB" w:rsidP="003F78C7"/>
    <w:p w14:paraId="59AB6312" w14:textId="0EBB548B" w:rsidR="00C62795" w:rsidRDefault="00695434" w:rsidP="003F78C7">
      <w:r w:rsidRPr="003927BC">
        <w:drawing>
          <wp:inline distT="0" distB="0" distL="0" distR="0" wp14:anchorId="2225B530" wp14:editId="79ABCA23">
            <wp:extent cx="3358243" cy="2767300"/>
            <wp:effectExtent l="0" t="0" r="0" b="0"/>
            <wp:docPr id="66572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27831" name=""/>
                    <pic:cNvPicPr/>
                  </pic:nvPicPr>
                  <pic:blipFill rotWithShape="1">
                    <a:blip r:embed="rId12"/>
                    <a:srcRect l="-1030" t="-474" r="1030" b="37255"/>
                    <a:stretch>
                      <a:fillRect/>
                    </a:stretch>
                  </pic:blipFill>
                  <pic:spPr bwMode="auto">
                    <a:xfrm>
                      <a:off x="0" y="0"/>
                      <a:ext cx="3363125" cy="2771323"/>
                    </a:xfrm>
                    <a:prstGeom prst="rect">
                      <a:avLst/>
                    </a:prstGeom>
                    <a:ln>
                      <a:noFill/>
                    </a:ln>
                    <a:extLst>
                      <a:ext uri="{53640926-AAD7-44D8-BBD7-CCE9431645EC}">
                        <a14:shadowObscured xmlns:a14="http://schemas.microsoft.com/office/drawing/2010/main"/>
                      </a:ext>
                    </a:extLst>
                  </pic:spPr>
                </pic:pic>
              </a:graphicData>
            </a:graphic>
          </wp:inline>
        </w:drawing>
      </w:r>
    </w:p>
    <w:p w14:paraId="6503A3CA" w14:textId="76EE76C1" w:rsidR="003927BC" w:rsidRDefault="00144BAB" w:rsidP="00144BAB">
      <w:pPr>
        <w:pStyle w:val="Caption"/>
      </w:pPr>
      <w:bookmarkStart w:id="6" w:name="_Toc231124881"/>
      <w:r>
        <w:t xml:space="preserve">Figure </w:t>
      </w:r>
      <w:r>
        <w:fldChar w:fldCharType="begin"/>
      </w:r>
      <w:r>
        <w:instrText xml:space="preserve"> SEQ Figure \* ARABIC </w:instrText>
      </w:r>
      <w:r>
        <w:fldChar w:fldCharType="separate"/>
      </w:r>
      <w:r w:rsidR="007E5E21">
        <w:rPr>
          <w:noProof/>
        </w:rPr>
        <w:t>3</w:t>
      </w:r>
      <w:r>
        <w:fldChar w:fldCharType="end"/>
      </w:r>
      <w:r>
        <w:t xml:space="preserve"> - High level picture of room 1 lighting install (Self taken image)</w:t>
      </w:r>
      <w:bookmarkEnd w:id="6"/>
    </w:p>
    <w:p w14:paraId="1A2040EB" w14:textId="77777777" w:rsidR="00144BAB" w:rsidRDefault="00144BAB" w:rsidP="003F78C7"/>
    <w:p w14:paraId="0009922A" w14:textId="5366643C" w:rsidR="003927BC" w:rsidRPr="003927BC" w:rsidRDefault="009A43F9" w:rsidP="003F78C7">
      <w:r w:rsidRPr="009A43F9">
        <w:lastRenderedPageBreak/>
        <w:drawing>
          <wp:inline distT="0" distB="0" distL="0" distR="0" wp14:anchorId="5BF897E5" wp14:editId="74289198">
            <wp:extent cx="3291840" cy="2650671"/>
            <wp:effectExtent l="0" t="0" r="3810" b="0"/>
            <wp:docPr id="1288967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967521" name=""/>
                    <pic:cNvPicPr/>
                  </pic:nvPicPr>
                  <pic:blipFill rotWithShape="1">
                    <a:blip r:embed="rId13"/>
                    <a:srcRect b="38104"/>
                    <a:stretch>
                      <a:fillRect/>
                    </a:stretch>
                  </pic:blipFill>
                  <pic:spPr bwMode="auto">
                    <a:xfrm>
                      <a:off x="0" y="0"/>
                      <a:ext cx="3292125" cy="2650901"/>
                    </a:xfrm>
                    <a:prstGeom prst="rect">
                      <a:avLst/>
                    </a:prstGeom>
                    <a:ln>
                      <a:noFill/>
                    </a:ln>
                    <a:extLst>
                      <a:ext uri="{53640926-AAD7-44D8-BBD7-CCE9431645EC}">
                        <a14:shadowObscured xmlns:a14="http://schemas.microsoft.com/office/drawing/2010/main"/>
                      </a:ext>
                    </a:extLst>
                  </pic:spPr>
                </pic:pic>
              </a:graphicData>
            </a:graphic>
          </wp:inline>
        </w:drawing>
      </w:r>
    </w:p>
    <w:p w14:paraId="273637A7" w14:textId="325EC589" w:rsidR="00695434" w:rsidRPr="003927BC" w:rsidRDefault="00144BAB" w:rsidP="00144BAB">
      <w:pPr>
        <w:pStyle w:val="Caption"/>
      </w:pPr>
      <w:bookmarkStart w:id="7" w:name="_Toc231124882"/>
      <w:r>
        <w:t xml:space="preserve">Figure </w:t>
      </w:r>
      <w:r>
        <w:fldChar w:fldCharType="begin"/>
      </w:r>
      <w:r>
        <w:instrText xml:space="preserve"> SEQ Figure \* ARABIC </w:instrText>
      </w:r>
      <w:r>
        <w:fldChar w:fldCharType="separate"/>
      </w:r>
      <w:r w:rsidR="007E5E21">
        <w:rPr>
          <w:noProof/>
        </w:rPr>
        <w:t>4</w:t>
      </w:r>
      <w:r>
        <w:fldChar w:fldCharType="end"/>
      </w:r>
      <w:r>
        <w:t xml:space="preserve"> - Lighting installation of room 2 (Self taken image)</w:t>
      </w:r>
      <w:bookmarkEnd w:id="7"/>
    </w:p>
    <w:p w14:paraId="0C36919C" w14:textId="77777777" w:rsidR="00C62795" w:rsidRPr="003927BC" w:rsidRDefault="00C62795" w:rsidP="003F78C7"/>
    <w:p w14:paraId="0D79BF8D" w14:textId="77777777" w:rsidR="003F78C7" w:rsidRPr="00B1375A" w:rsidRDefault="003F78C7" w:rsidP="00B1375A">
      <w:pPr>
        <w:spacing w:line="360" w:lineRule="auto"/>
        <w:rPr>
          <w:rFonts w:ascii="Arial" w:hAnsi="Arial" w:cs="Arial"/>
        </w:rPr>
      </w:pPr>
      <w:r w:rsidRPr="00B1375A">
        <w:rPr>
          <w:rFonts w:ascii="Arial" w:hAnsi="Arial" w:cs="Arial"/>
        </w:rPr>
        <w:t>During implementation, additional opportunities for electrical improvement emerged beyond the original project scope. As a Mobile Elevating Work Platform (MEWP) remained available on-site and mobilisation costs had already been incurred, an opportunistic decision was made to complete additional lighting improvements within a lower-use operational area. Consequently, several 250W SON floodlights were replaced with 50W LED alternatives, enabling further reductions in electrical demand while maximising utilisation of existing labour and access resources without incurring significant additional mobilisation cost. This additional work also demonstrated the importance of maintaining flexibility during engineering implementation, where practical opportunities may emerge to increase operational benefit during project delivery.</w:t>
      </w:r>
    </w:p>
    <w:p w14:paraId="50201A25" w14:textId="77777777" w:rsidR="0011181C" w:rsidRPr="003927BC" w:rsidRDefault="0011181C" w:rsidP="003F78C7"/>
    <w:p w14:paraId="3183504A" w14:textId="4FCA64E5" w:rsidR="0011181C" w:rsidRDefault="0011181C" w:rsidP="003F78C7">
      <w:r w:rsidRPr="003927BC">
        <w:drawing>
          <wp:inline distT="0" distB="0" distL="0" distR="0" wp14:anchorId="228D7DC2" wp14:editId="1DBB9C1D">
            <wp:extent cx="3086006" cy="2258786"/>
            <wp:effectExtent l="0" t="0" r="635" b="8255"/>
            <wp:docPr id="17102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7812" name=""/>
                    <pic:cNvPicPr/>
                  </pic:nvPicPr>
                  <pic:blipFill rotWithShape="1">
                    <a:blip r:embed="rId14"/>
                    <a:srcRect b="44279"/>
                    <a:stretch>
                      <a:fillRect/>
                    </a:stretch>
                  </pic:blipFill>
                  <pic:spPr bwMode="auto">
                    <a:xfrm>
                      <a:off x="0" y="0"/>
                      <a:ext cx="3086367" cy="2259050"/>
                    </a:xfrm>
                    <a:prstGeom prst="rect">
                      <a:avLst/>
                    </a:prstGeom>
                    <a:ln>
                      <a:noFill/>
                    </a:ln>
                    <a:extLst>
                      <a:ext uri="{53640926-AAD7-44D8-BBD7-CCE9431645EC}">
                        <a14:shadowObscured xmlns:a14="http://schemas.microsoft.com/office/drawing/2010/main"/>
                      </a:ext>
                    </a:extLst>
                  </pic:spPr>
                </pic:pic>
              </a:graphicData>
            </a:graphic>
          </wp:inline>
        </w:drawing>
      </w:r>
    </w:p>
    <w:p w14:paraId="39405D14" w14:textId="19C64163" w:rsidR="00F65C61" w:rsidRPr="003927BC" w:rsidRDefault="00F65C61" w:rsidP="00F65C61">
      <w:pPr>
        <w:pStyle w:val="Caption"/>
      </w:pPr>
      <w:bookmarkStart w:id="8" w:name="_Toc231124883"/>
      <w:r>
        <w:t xml:space="preserve">Figure </w:t>
      </w:r>
      <w:r>
        <w:fldChar w:fldCharType="begin"/>
      </w:r>
      <w:r>
        <w:instrText xml:space="preserve"> SEQ Figure \* ARABIC </w:instrText>
      </w:r>
      <w:r>
        <w:fldChar w:fldCharType="separate"/>
      </w:r>
      <w:r w:rsidR="007E5E21">
        <w:rPr>
          <w:noProof/>
        </w:rPr>
        <w:t>5</w:t>
      </w:r>
      <w:r>
        <w:fldChar w:fldCharType="end"/>
      </w:r>
      <w:r>
        <w:t>- Additional lights on back wall (</w:t>
      </w:r>
      <w:proofErr w:type="spellStart"/>
      <w:r>
        <w:t>self taken</w:t>
      </w:r>
      <w:proofErr w:type="spellEnd"/>
      <w:r>
        <w:t xml:space="preserve"> image)</w:t>
      </w:r>
      <w:bookmarkEnd w:id="8"/>
    </w:p>
    <w:p w14:paraId="0BCBC6AB" w14:textId="77777777" w:rsidR="00AE5F29" w:rsidRPr="00B1375A" w:rsidRDefault="00AE5F29" w:rsidP="00B1375A">
      <w:pPr>
        <w:spacing w:line="360" w:lineRule="auto"/>
        <w:rPr>
          <w:rFonts w:ascii="Arial" w:hAnsi="Arial" w:cs="Arial"/>
        </w:rPr>
      </w:pPr>
      <w:r w:rsidRPr="00B1375A">
        <w:rPr>
          <w:rFonts w:ascii="Arial" w:hAnsi="Arial" w:cs="Arial"/>
        </w:rPr>
        <w:lastRenderedPageBreak/>
        <w:t>The recent practical lighting implementation has led to ongoing investigations into transformer replacement opportunities and potential engineering pathways for long-term infrastructure improvement. Engagement with suppliers was conducted to evaluate the feasibility of replacements and to determine indicative investment needs. At this point, detailed quotations have been acquired for a variety of tasks—including transformer replacement, transformer oil replacement, removal of pitch-filled material, burn-out testing of cable chambers, and associated engineering assessments. While transformer specifications are largely complete, final quotations for transportation, crane lifting, installation, removal of the existing transformer, and site logistics are still pending due to supplier timelines and market conditions.</w:t>
      </w:r>
    </w:p>
    <w:p w14:paraId="0B291FD3" w14:textId="060F94A0" w:rsidR="00AE5F29" w:rsidRPr="00B1375A" w:rsidRDefault="00AE5F29" w:rsidP="00B1375A">
      <w:pPr>
        <w:spacing w:line="360" w:lineRule="auto"/>
        <w:rPr>
          <w:rFonts w:ascii="Arial" w:hAnsi="Arial" w:cs="Arial"/>
        </w:rPr>
      </w:pPr>
      <w:r w:rsidRPr="00B1375A">
        <w:rPr>
          <w:rFonts w:ascii="Arial" w:hAnsi="Arial" w:cs="Arial"/>
        </w:rPr>
        <w:t xml:space="preserve">A significant development in this process involves considering an overhaul quotation for the transformer taken out of service. This option is particularly advantageous given the age of the remaining transformer infrastructure at the Vale site. By refurbishing and overhauling the removed transformer, it can be kept as a strategic crash spare, which enhances operational resilience and </w:t>
      </w:r>
      <w:r w:rsidR="00093AF3">
        <w:rPr>
          <w:rFonts w:ascii="Arial" w:hAnsi="Arial" w:cs="Arial"/>
        </w:rPr>
        <w:t>minimises</w:t>
      </w:r>
      <w:r w:rsidRPr="00B1375A">
        <w:rPr>
          <w:rFonts w:ascii="Arial" w:hAnsi="Arial" w:cs="Arial"/>
        </w:rPr>
        <w:t xml:space="preserve"> potential downtime risks associated with future transformer failures.</w:t>
      </w:r>
    </w:p>
    <w:p w14:paraId="099A9F19" w14:textId="709B33F3" w:rsidR="003F78C7" w:rsidRPr="00B1375A" w:rsidRDefault="00AE5F29" w:rsidP="00B1375A">
      <w:pPr>
        <w:spacing w:line="360" w:lineRule="auto"/>
        <w:rPr>
          <w:rFonts w:ascii="Arial" w:hAnsi="Arial" w:cs="Arial"/>
        </w:rPr>
      </w:pPr>
      <w:r w:rsidRPr="00B1375A">
        <w:rPr>
          <w:rFonts w:ascii="Arial" w:hAnsi="Arial" w:cs="Arial"/>
        </w:rPr>
        <w:t>Moreover, the successful execution of the lighting program has sparked broader organi</w:t>
      </w:r>
      <w:r w:rsidR="00B1375A" w:rsidRPr="00B1375A">
        <w:rPr>
          <w:rFonts w:ascii="Arial" w:hAnsi="Arial" w:cs="Arial"/>
        </w:rPr>
        <w:t>s</w:t>
      </w:r>
      <w:r w:rsidRPr="00B1375A">
        <w:rPr>
          <w:rFonts w:ascii="Arial" w:hAnsi="Arial" w:cs="Arial"/>
        </w:rPr>
        <w:t xml:space="preserve">ational interest in enhancing electrical efficiency. Following positive feedback, other operational area managers have requested investigations into similar lighting </w:t>
      </w:r>
      <w:r w:rsidR="00093AF3">
        <w:rPr>
          <w:rFonts w:ascii="Arial" w:hAnsi="Arial" w:cs="Arial"/>
        </w:rPr>
        <w:t>modernisation</w:t>
      </w:r>
      <w:r w:rsidRPr="00B1375A">
        <w:rPr>
          <w:rFonts w:ascii="Arial" w:hAnsi="Arial" w:cs="Arial"/>
        </w:rPr>
        <w:t xml:space="preserve"> initiatives for their departments. In response, planning and budgeting activities have started for a wider capital expenditure (CAPEX) proposal focused on future lighting replacements across various operational buildings, external infrastructure, access routes, and parking areas. This expanded effort has allowed the investigation to move beyond its initial objectives and contribute to comprehensive long-term infrastructure planning across the Vale site.</w:t>
      </w:r>
    </w:p>
    <w:p w14:paraId="2403699C" w14:textId="77777777" w:rsidR="00401C8D" w:rsidRDefault="00401C8D"/>
    <w:p w14:paraId="58E5BF55" w14:textId="77777777" w:rsidR="00B1375A" w:rsidRDefault="00B1375A"/>
    <w:p w14:paraId="2A999F77" w14:textId="77777777" w:rsidR="00B1375A" w:rsidRDefault="00B1375A"/>
    <w:p w14:paraId="00C87E5F" w14:textId="77777777" w:rsidR="00B1375A" w:rsidRDefault="00B1375A"/>
    <w:p w14:paraId="19424CF0" w14:textId="77777777" w:rsidR="00B1375A" w:rsidRDefault="00B1375A"/>
    <w:p w14:paraId="31E4963A" w14:textId="77777777" w:rsidR="00B1375A" w:rsidRDefault="00B1375A"/>
    <w:p w14:paraId="7B0BF307" w14:textId="77777777" w:rsidR="00B1375A" w:rsidRDefault="00B1375A"/>
    <w:p w14:paraId="40D60808" w14:textId="77777777" w:rsidR="00B1375A" w:rsidRDefault="00B1375A"/>
    <w:p w14:paraId="69257360" w14:textId="77777777" w:rsidR="00B1375A" w:rsidRDefault="00B1375A"/>
    <w:p w14:paraId="03AD2DD7" w14:textId="77777777" w:rsidR="00B1375A" w:rsidRDefault="00B1375A"/>
    <w:p w14:paraId="14FD3F97" w14:textId="77777777" w:rsidR="003521F3" w:rsidRPr="003927BC" w:rsidRDefault="003521F3" w:rsidP="003521F3">
      <w:pPr>
        <w:pStyle w:val="Heading2"/>
      </w:pPr>
      <w:r w:rsidRPr="003927BC">
        <w:lastRenderedPageBreak/>
        <w:t>6. Results.</w:t>
      </w:r>
    </w:p>
    <w:p w14:paraId="28CF4642" w14:textId="77777777" w:rsidR="001B1FF8" w:rsidRPr="003927BC" w:rsidRDefault="001B1FF8" w:rsidP="00514681"/>
    <w:p w14:paraId="4704030A" w14:textId="77777777" w:rsidR="00011DE7" w:rsidRDefault="00011DE7" w:rsidP="00695D3F">
      <w:pPr>
        <w:pStyle w:val="Heading2"/>
      </w:pPr>
      <w:r w:rsidRPr="003927BC">
        <w:t>6.1 Transformer Infrastructure Assessment and Financial Findings</w:t>
      </w:r>
    </w:p>
    <w:p w14:paraId="69E047D6" w14:textId="77777777" w:rsidR="00695D3F" w:rsidRPr="003927BC" w:rsidRDefault="00695D3F" w:rsidP="00011DE7">
      <w:pPr>
        <w:rPr>
          <w:b/>
          <w:bCs/>
        </w:rPr>
      </w:pPr>
    </w:p>
    <w:p w14:paraId="7FF57FC1" w14:textId="77777777" w:rsidR="00011DE7" w:rsidRPr="00695D3F" w:rsidRDefault="00011DE7" w:rsidP="00695D3F">
      <w:pPr>
        <w:spacing w:line="360" w:lineRule="auto"/>
        <w:rPr>
          <w:rFonts w:ascii="Arial" w:hAnsi="Arial" w:cs="Arial"/>
        </w:rPr>
      </w:pPr>
      <w:r w:rsidRPr="00695D3F">
        <w:rPr>
          <w:rFonts w:ascii="Arial" w:hAnsi="Arial" w:cs="Arial"/>
        </w:rPr>
        <w:t>Inspection of the existing transformer installation confirmed the continued operation of a South Wales Switchgear Ltd oil-filled transformer, rated at 1500 kVA, operating between 11 kV and 433 V, and utilising an Oil Natural Air Natural (O.N.A.N) cooling arrangement. Visual inspection identified an ageing transformer installation incorporating fixed radiator banks, oil-filled cooling systems, historical cable arrangements, and pitch-filled cable chambers associated with the downstream electrical distribution system.</w:t>
      </w:r>
    </w:p>
    <w:p w14:paraId="08330940" w14:textId="77777777" w:rsidR="00011DE7" w:rsidRPr="00695D3F" w:rsidRDefault="00011DE7" w:rsidP="00695D3F">
      <w:pPr>
        <w:spacing w:line="360" w:lineRule="auto"/>
        <w:rPr>
          <w:rFonts w:ascii="Arial" w:hAnsi="Arial" w:cs="Arial"/>
        </w:rPr>
      </w:pPr>
      <w:r w:rsidRPr="00695D3F">
        <w:rPr>
          <w:rFonts w:ascii="Arial" w:hAnsi="Arial" w:cs="Arial"/>
        </w:rPr>
        <w:t>A significant finding of the investigation concerned the continued presence of Paper Insulated Lead Covered (PILC) cable systems connected through pitch-filled terminations. The condition and age of this infrastructure introduced uncertainty regarding the practical feasibility and financial implications of transformer replacement. Discussions conducted during the site assessment suggested that downstream electrical systems supplied by the transformer extend across considerable distances throughout the Vale site, with estimated cable routes exceeding 100 metres. Consequently, disturbance or failure of existing cable systems during replacement activity may significantly increase project cost and implementation complexity.</w:t>
      </w:r>
    </w:p>
    <w:p w14:paraId="28F692B9" w14:textId="77777777" w:rsidR="00011DE7" w:rsidRPr="00695D3F" w:rsidRDefault="00011DE7" w:rsidP="00695D3F">
      <w:pPr>
        <w:spacing w:line="360" w:lineRule="auto"/>
        <w:rPr>
          <w:rFonts w:ascii="Arial" w:hAnsi="Arial" w:cs="Arial"/>
        </w:rPr>
      </w:pPr>
      <w:r w:rsidRPr="00695D3F">
        <w:rPr>
          <w:rFonts w:ascii="Arial" w:hAnsi="Arial" w:cs="Arial"/>
        </w:rPr>
        <w:t>At the time of writing, quotations had been obtained for several key engineering activities, including procurement of a replacement transformer, transformer oil replacement, removal of pitch-filled material, and infrastructure testing. However, due to market volatility and project timescales, confirmed quotations for additional activities such as crane hire, low-loader transportation, transformer removal, asbestos testing of legacy fire-stopping materials, and disposal costs remained unavailable. Based upon conservative estimates developed through supplier engagement and telephone consultation, the projected overall cost of transformer replacement activities was estimated to approach £48,000.</w:t>
      </w:r>
    </w:p>
    <w:p w14:paraId="16679F12" w14:textId="77777777" w:rsidR="00011DE7" w:rsidRPr="00695D3F" w:rsidRDefault="00011DE7" w:rsidP="00695D3F">
      <w:pPr>
        <w:spacing w:line="360" w:lineRule="auto"/>
        <w:rPr>
          <w:rFonts w:ascii="Arial" w:hAnsi="Arial" w:cs="Arial"/>
        </w:rPr>
      </w:pPr>
      <w:r w:rsidRPr="00695D3F">
        <w:rPr>
          <w:rFonts w:ascii="Arial" w:hAnsi="Arial" w:cs="Arial"/>
        </w:rPr>
        <w:t>To assess the potential operational benefit of transformer modernisation, a comparative efficiency assessment was undertaken between the existing transformer operating at an assumed efficiency of 95% and proposed eco-loss transformer alternatives operating at 97%, 98%, and 99% efficiency. Findings demonstrated that relatively small improvements in transformer efficiency may generate substantial reductions in electrical losses due to continuous operational demand.</w:t>
      </w:r>
    </w:p>
    <w:p w14:paraId="204E438B" w14:textId="013E67F0" w:rsidR="00011DE7" w:rsidRDefault="00011DE7" w:rsidP="00695D3F">
      <w:pPr>
        <w:spacing w:line="360" w:lineRule="auto"/>
        <w:rPr>
          <w:rFonts w:ascii="Arial" w:hAnsi="Arial" w:cs="Arial"/>
        </w:rPr>
      </w:pPr>
      <w:r w:rsidRPr="00695D3F">
        <w:rPr>
          <w:rFonts w:ascii="Arial" w:hAnsi="Arial" w:cs="Arial"/>
        </w:rPr>
        <w:lastRenderedPageBreak/>
        <w:t>Theoretical modelling indicated that replacement with a 97% efficient eco-loss transformer could reduce transformer losses by approximately 285,226 kWh annually, while 98% and 99% efficient alternatives demonstrated potential annual reductions of approximately 423,458 kWh and 558,888 kWh respectively. When modelled against historical electricity pricing, findings demonstrated that long-term operational savings remained achievable under all pricing scenarios, with financial attractiveness increasing significantly during periods of elevated electricity cost.</w:t>
      </w:r>
      <w:r w:rsidR="00CD48BB">
        <w:rPr>
          <w:rFonts w:ascii="Arial" w:hAnsi="Arial" w:cs="Arial"/>
        </w:rPr>
        <w:t xml:space="preserve"> Please see </w:t>
      </w:r>
      <w:r w:rsidR="00E5371D">
        <w:rPr>
          <w:rFonts w:ascii="Arial" w:hAnsi="Arial" w:cs="Arial"/>
        </w:rPr>
        <w:t>the calculation tables below.</w:t>
      </w:r>
    </w:p>
    <w:p w14:paraId="60254C69" w14:textId="77777777" w:rsidR="00E5371D" w:rsidRDefault="00E5371D" w:rsidP="00695D3F">
      <w:pPr>
        <w:spacing w:line="360" w:lineRule="auto"/>
        <w:rPr>
          <w:rFonts w:ascii="Arial" w:hAnsi="Arial" w:cs="Arial"/>
        </w:rPr>
      </w:pPr>
    </w:p>
    <w:p w14:paraId="0A5C78A2" w14:textId="73129CC0" w:rsidR="007A2AD6" w:rsidRDefault="007D2AC5" w:rsidP="00695D3F">
      <w:pPr>
        <w:spacing w:line="360" w:lineRule="auto"/>
        <w:rPr>
          <w:rFonts w:ascii="Arial" w:hAnsi="Arial" w:cs="Arial"/>
        </w:rPr>
      </w:pPr>
      <w:r w:rsidRPr="007D2AC5">
        <w:rPr>
          <w:rFonts w:ascii="Arial" w:hAnsi="Arial" w:cs="Arial"/>
        </w:rPr>
        <w:drawing>
          <wp:inline distT="0" distB="0" distL="0" distR="0" wp14:anchorId="2C1469F0" wp14:editId="2630DD27">
            <wp:extent cx="5715495" cy="1737511"/>
            <wp:effectExtent l="0" t="0" r="0" b="0"/>
            <wp:docPr id="1988397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97632" name=""/>
                    <pic:cNvPicPr/>
                  </pic:nvPicPr>
                  <pic:blipFill>
                    <a:blip r:embed="rId15"/>
                    <a:stretch>
                      <a:fillRect/>
                    </a:stretch>
                  </pic:blipFill>
                  <pic:spPr>
                    <a:xfrm>
                      <a:off x="0" y="0"/>
                      <a:ext cx="5715495" cy="1737511"/>
                    </a:xfrm>
                    <a:prstGeom prst="rect">
                      <a:avLst/>
                    </a:prstGeom>
                  </pic:spPr>
                </pic:pic>
              </a:graphicData>
            </a:graphic>
          </wp:inline>
        </w:drawing>
      </w:r>
    </w:p>
    <w:p w14:paraId="1AD94FC1" w14:textId="7D331CF2" w:rsidR="00F65C61" w:rsidRDefault="00F65C61" w:rsidP="00F65C61">
      <w:pPr>
        <w:pStyle w:val="Caption"/>
        <w:rPr>
          <w:rFonts w:ascii="Arial" w:hAnsi="Arial" w:cs="Arial"/>
        </w:rPr>
      </w:pPr>
      <w:bookmarkStart w:id="9" w:name="_Toc231124884"/>
      <w:r>
        <w:t xml:space="preserve">Figure </w:t>
      </w:r>
      <w:r>
        <w:fldChar w:fldCharType="begin"/>
      </w:r>
      <w:r>
        <w:instrText xml:space="preserve"> SEQ Figure \* ARABIC </w:instrText>
      </w:r>
      <w:r>
        <w:fldChar w:fldCharType="separate"/>
      </w:r>
      <w:r w:rsidR="007E5E21">
        <w:rPr>
          <w:noProof/>
        </w:rPr>
        <w:t>6</w:t>
      </w:r>
      <w:r>
        <w:fldChar w:fldCharType="end"/>
      </w:r>
      <w:r>
        <w:t xml:space="preserve"> - Table showing transformer calculations</w:t>
      </w:r>
      <w:bookmarkEnd w:id="9"/>
    </w:p>
    <w:p w14:paraId="712DB324" w14:textId="1F5DEA56" w:rsidR="00E5371D" w:rsidRDefault="003A1078" w:rsidP="00695D3F">
      <w:pPr>
        <w:spacing w:line="360" w:lineRule="auto"/>
        <w:rPr>
          <w:rFonts w:ascii="Arial" w:hAnsi="Arial" w:cs="Arial"/>
        </w:rPr>
      </w:pPr>
      <w:r w:rsidRPr="003A1078">
        <w:rPr>
          <w:rFonts w:ascii="Arial" w:hAnsi="Arial" w:cs="Arial"/>
        </w:rPr>
        <w:drawing>
          <wp:inline distT="0" distB="0" distL="0" distR="0" wp14:anchorId="70F3A48E" wp14:editId="073A8250">
            <wp:extent cx="5731510" cy="3143250"/>
            <wp:effectExtent l="0" t="0" r="2540" b="0"/>
            <wp:docPr id="194052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26691" name=""/>
                    <pic:cNvPicPr/>
                  </pic:nvPicPr>
                  <pic:blipFill>
                    <a:blip r:embed="rId16"/>
                    <a:stretch>
                      <a:fillRect/>
                    </a:stretch>
                  </pic:blipFill>
                  <pic:spPr>
                    <a:xfrm>
                      <a:off x="0" y="0"/>
                      <a:ext cx="5731510" cy="3143250"/>
                    </a:xfrm>
                    <a:prstGeom prst="rect">
                      <a:avLst/>
                    </a:prstGeom>
                  </pic:spPr>
                </pic:pic>
              </a:graphicData>
            </a:graphic>
          </wp:inline>
        </w:drawing>
      </w:r>
    </w:p>
    <w:p w14:paraId="27B11DED" w14:textId="43816008" w:rsidR="00F65C61" w:rsidRDefault="00F65C61" w:rsidP="00F65C61">
      <w:pPr>
        <w:pStyle w:val="Caption"/>
        <w:rPr>
          <w:rFonts w:ascii="Arial" w:hAnsi="Arial" w:cs="Arial"/>
        </w:rPr>
      </w:pPr>
      <w:bookmarkStart w:id="10" w:name="_Toc231124885"/>
      <w:r>
        <w:t xml:space="preserve">Figure </w:t>
      </w:r>
      <w:r>
        <w:fldChar w:fldCharType="begin"/>
      </w:r>
      <w:r>
        <w:instrText xml:space="preserve"> SEQ Figure \* ARABIC </w:instrText>
      </w:r>
      <w:r>
        <w:fldChar w:fldCharType="separate"/>
      </w:r>
      <w:r w:rsidR="007E5E21">
        <w:rPr>
          <w:noProof/>
        </w:rPr>
        <w:t>7</w:t>
      </w:r>
      <w:r>
        <w:fldChar w:fldCharType="end"/>
      </w:r>
      <w:r>
        <w:t xml:space="preserve">- Table showing potential theoretical return on investment time scales at different </w:t>
      </w:r>
      <w:r w:rsidR="00AF20BF">
        <w:t>efficiencies</w:t>
      </w:r>
      <w:r>
        <w:t>.</w:t>
      </w:r>
      <w:bookmarkEnd w:id="10"/>
    </w:p>
    <w:p w14:paraId="4C3C6C69" w14:textId="70EDE7DC" w:rsidR="00093AF3" w:rsidRDefault="000E6330" w:rsidP="00695D3F">
      <w:pPr>
        <w:spacing w:line="360" w:lineRule="auto"/>
        <w:rPr>
          <w:rFonts w:ascii="Arial" w:hAnsi="Arial" w:cs="Arial"/>
        </w:rPr>
      </w:pPr>
      <w:r w:rsidRPr="000E6330">
        <w:rPr>
          <w:rFonts w:ascii="Arial" w:hAnsi="Arial" w:cs="Arial"/>
        </w:rPr>
        <w:lastRenderedPageBreak/>
        <w:drawing>
          <wp:inline distT="0" distB="0" distL="0" distR="0" wp14:anchorId="71E4E5AB" wp14:editId="754BCFF9">
            <wp:extent cx="4442845" cy="4191363"/>
            <wp:effectExtent l="0" t="0" r="0" b="0"/>
            <wp:docPr id="418296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96114" name=""/>
                    <pic:cNvPicPr/>
                  </pic:nvPicPr>
                  <pic:blipFill>
                    <a:blip r:embed="rId17"/>
                    <a:stretch>
                      <a:fillRect/>
                    </a:stretch>
                  </pic:blipFill>
                  <pic:spPr>
                    <a:xfrm>
                      <a:off x="0" y="0"/>
                      <a:ext cx="4442845" cy="4191363"/>
                    </a:xfrm>
                    <a:prstGeom prst="rect">
                      <a:avLst/>
                    </a:prstGeom>
                  </pic:spPr>
                </pic:pic>
              </a:graphicData>
            </a:graphic>
          </wp:inline>
        </w:drawing>
      </w:r>
    </w:p>
    <w:p w14:paraId="7851D6C1" w14:textId="41AFD82E" w:rsidR="003A1078" w:rsidRPr="00695D3F" w:rsidRDefault="00AF20BF" w:rsidP="00AF20BF">
      <w:pPr>
        <w:pStyle w:val="Caption"/>
        <w:rPr>
          <w:rFonts w:ascii="Arial" w:hAnsi="Arial" w:cs="Arial"/>
        </w:rPr>
      </w:pPr>
      <w:bookmarkStart w:id="11" w:name="_Toc231124886"/>
      <w:r>
        <w:t xml:space="preserve">Figure </w:t>
      </w:r>
      <w:r>
        <w:fldChar w:fldCharType="begin"/>
      </w:r>
      <w:r>
        <w:instrText xml:space="preserve"> SEQ Figure \* ARABIC </w:instrText>
      </w:r>
      <w:r>
        <w:fldChar w:fldCharType="separate"/>
      </w:r>
      <w:r w:rsidR="007E5E21">
        <w:rPr>
          <w:noProof/>
        </w:rPr>
        <w:t>8</w:t>
      </w:r>
      <w:r>
        <w:fldChar w:fldCharType="end"/>
      </w:r>
      <w:r>
        <w:t xml:space="preserve"> - Theoretical total cost saving over </w:t>
      </w:r>
      <w:proofErr w:type="gramStart"/>
      <w:r>
        <w:t>10 year</w:t>
      </w:r>
      <w:proofErr w:type="gramEnd"/>
      <w:r>
        <w:t xml:space="preserve"> period at different KWH values</w:t>
      </w:r>
      <w:bookmarkEnd w:id="11"/>
    </w:p>
    <w:p w14:paraId="7581E257" w14:textId="1D13AA88" w:rsidR="00011DE7" w:rsidRPr="00695D3F" w:rsidRDefault="00B4511B" w:rsidP="00695D3F">
      <w:pPr>
        <w:spacing w:line="360" w:lineRule="auto"/>
        <w:rPr>
          <w:rFonts w:ascii="Arial" w:hAnsi="Arial" w:cs="Arial"/>
        </w:rPr>
      </w:pPr>
      <w:r>
        <w:rPr>
          <w:rFonts w:ascii="Arial" w:hAnsi="Arial" w:cs="Arial"/>
        </w:rPr>
        <w:t>A review</w:t>
      </w:r>
      <w:r w:rsidR="00011DE7" w:rsidRPr="00695D3F">
        <w:rPr>
          <w:rFonts w:ascii="Arial" w:hAnsi="Arial" w:cs="Arial"/>
        </w:rPr>
        <w:t xml:space="preserve"> of historical electricity market data between 2021 and 2026 identified considerable volatility throughout the study period. Electricity pricing remained relatively stable during 2021, averaging approximately 10–11 p/kWh, before increasing significantly throughout 2022 and 2023, reaching values exceeding 35 p/kWh during peak market disruption. From 2024 onwards, electricity prices reduced considerably, stabilising closer to approximately 11–15 p/kWh.</w:t>
      </w:r>
    </w:p>
    <w:p w14:paraId="680735E6" w14:textId="77ABA1FA" w:rsidR="002F7BFA" w:rsidRPr="003927BC" w:rsidRDefault="002F7BFA" w:rsidP="00011DE7">
      <w:pPr>
        <w:rPr>
          <w:b/>
          <w:bCs/>
        </w:rPr>
      </w:pPr>
      <w:r w:rsidRPr="003927BC">
        <w:drawing>
          <wp:inline distT="0" distB="0" distL="0" distR="0" wp14:anchorId="0E71E378" wp14:editId="5195FA71">
            <wp:extent cx="5491843" cy="2367642"/>
            <wp:effectExtent l="0" t="0" r="13970" b="13970"/>
            <wp:docPr id="752236806" name="Chart 1">
              <a:extLst xmlns:a="http://schemas.openxmlformats.org/drawingml/2006/main">
                <a:ext uri="{FF2B5EF4-FFF2-40B4-BE49-F238E27FC236}">
                  <a16:creationId xmlns:a16="http://schemas.microsoft.com/office/drawing/2014/main" id="{2D4925AC-3B9B-066E-F6B2-5E01F71820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03962EE" w14:textId="3B856374" w:rsidR="00387A4D" w:rsidRPr="003927BC" w:rsidRDefault="00AF20BF" w:rsidP="00AF20BF">
      <w:pPr>
        <w:pStyle w:val="Caption"/>
      </w:pPr>
      <w:bookmarkStart w:id="12" w:name="_Toc231124887"/>
      <w:r>
        <w:t xml:space="preserve">Figure </w:t>
      </w:r>
      <w:r>
        <w:fldChar w:fldCharType="begin"/>
      </w:r>
      <w:r>
        <w:instrText xml:space="preserve"> SEQ Figure \* ARABIC </w:instrText>
      </w:r>
      <w:r>
        <w:fldChar w:fldCharType="separate"/>
      </w:r>
      <w:r w:rsidR="007E5E21">
        <w:rPr>
          <w:noProof/>
        </w:rPr>
        <w:t>9</w:t>
      </w:r>
      <w:r>
        <w:fldChar w:fldCharType="end"/>
      </w:r>
      <w:r>
        <w:t xml:space="preserve"> - </w:t>
      </w:r>
      <w:r w:rsidRPr="00422A0D">
        <w:t>Historical Electricity Pricing Data 2021–2026</w:t>
      </w:r>
      <w:bookmarkEnd w:id="12"/>
    </w:p>
    <w:p w14:paraId="15921089" w14:textId="6FF45CD2" w:rsidR="00011DE7" w:rsidRPr="000479FC" w:rsidRDefault="00011DE7" w:rsidP="000479FC">
      <w:pPr>
        <w:spacing w:line="360" w:lineRule="auto"/>
        <w:rPr>
          <w:rFonts w:ascii="Arial" w:hAnsi="Arial" w:cs="Arial"/>
        </w:rPr>
      </w:pPr>
      <w:r w:rsidRPr="000479FC">
        <w:rPr>
          <w:rFonts w:ascii="Arial" w:hAnsi="Arial" w:cs="Arial"/>
        </w:rPr>
        <w:lastRenderedPageBreak/>
        <w:t xml:space="preserve">These findings demonstrate that electricity pricing exerts </w:t>
      </w:r>
      <w:r w:rsidR="000479FC">
        <w:rPr>
          <w:rFonts w:ascii="Arial" w:hAnsi="Arial" w:cs="Arial"/>
        </w:rPr>
        <w:t xml:space="preserve">a </w:t>
      </w:r>
      <w:r w:rsidRPr="000479FC">
        <w:rPr>
          <w:rFonts w:ascii="Arial" w:hAnsi="Arial" w:cs="Arial"/>
        </w:rPr>
        <w:t>significant influence upon infrastructure payback periods and investment attractiveness. Although lower effective electricity pricing associated with Energy Intensive Industry (EII) arrangements may extend financial payback periods, modelling indicated that transformer replacement maintained positive long-term financial return even under lower electricity price assumptions. However, findings also indicate that financial justification should not be based solely upon transformer efficiency because infrastructure condition, cable replacement risk, oil condition, and pitch-filled termination complexity may substantially influence total lifecycle cost.</w:t>
      </w:r>
    </w:p>
    <w:p w14:paraId="521A851B" w14:textId="77777777" w:rsidR="000479FC" w:rsidRDefault="000479FC" w:rsidP="00011DE7"/>
    <w:p w14:paraId="3BD986FB" w14:textId="77777777" w:rsidR="000479FC" w:rsidRPr="003927BC" w:rsidRDefault="000479FC" w:rsidP="00011DE7"/>
    <w:p w14:paraId="1F911776" w14:textId="77777777" w:rsidR="00011DE7" w:rsidRDefault="00011DE7" w:rsidP="000479FC">
      <w:pPr>
        <w:pStyle w:val="Heading2"/>
      </w:pPr>
      <w:r w:rsidRPr="003927BC">
        <w:t>6.2 Lighting Replacement Findings</w:t>
      </w:r>
    </w:p>
    <w:p w14:paraId="7F1094F7" w14:textId="77777777" w:rsidR="000479FC" w:rsidRPr="000479FC" w:rsidRDefault="000479FC" w:rsidP="000479FC"/>
    <w:p w14:paraId="1C3DCC7B" w14:textId="77777777" w:rsidR="00011DE7" w:rsidRPr="000479FC" w:rsidRDefault="00011DE7" w:rsidP="000479FC">
      <w:pPr>
        <w:spacing w:line="360" w:lineRule="auto"/>
        <w:rPr>
          <w:rFonts w:ascii="Arial" w:hAnsi="Arial" w:cs="Arial"/>
        </w:rPr>
      </w:pPr>
      <w:r w:rsidRPr="000479FC">
        <w:rPr>
          <w:rFonts w:ascii="Arial" w:hAnsi="Arial" w:cs="Arial"/>
        </w:rPr>
        <w:t>Survey work completed during the investigation identified a total of 41 × 250W metal halide fittings distributed across two operational buildings, consisting of 16 fittings within one building and 25 fittings within another. Because lighting systems remained operational continuously throughout the year, replacement of the existing installation was identified as a significant opportunity for reducing electrical demand.</w:t>
      </w:r>
    </w:p>
    <w:p w14:paraId="09DA5085" w14:textId="5E95B2CE" w:rsidR="00011DE7" w:rsidRDefault="00011DE7" w:rsidP="000479FC">
      <w:pPr>
        <w:spacing w:line="360" w:lineRule="auto"/>
        <w:rPr>
          <w:rFonts w:ascii="Arial" w:hAnsi="Arial" w:cs="Arial"/>
        </w:rPr>
      </w:pPr>
      <w:r w:rsidRPr="000479FC">
        <w:rPr>
          <w:rFonts w:ascii="Arial" w:hAnsi="Arial" w:cs="Arial"/>
        </w:rPr>
        <w:t xml:space="preserve">At the time of writing, replacement of all identified lighting had been successfully completed through </w:t>
      </w:r>
      <w:r w:rsidR="00C91923">
        <w:rPr>
          <w:rFonts w:ascii="Arial" w:hAnsi="Arial" w:cs="Arial"/>
        </w:rPr>
        <w:t xml:space="preserve">the </w:t>
      </w:r>
      <w:r w:rsidRPr="000479FC">
        <w:rPr>
          <w:rFonts w:ascii="Arial" w:hAnsi="Arial" w:cs="Arial"/>
        </w:rPr>
        <w:t xml:space="preserve">installation of 100W LED luminaires. The total connected electrical demand of the original lighting system was calculated </w:t>
      </w:r>
      <w:r w:rsidR="00A30141">
        <w:rPr>
          <w:rFonts w:ascii="Arial" w:hAnsi="Arial" w:cs="Arial"/>
        </w:rPr>
        <w:t xml:space="preserve">assume worst case </w:t>
      </w:r>
      <w:proofErr w:type="gramStart"/>
      <w:r w:rsidR="00A30141">
        <w:rPr>
          <w:rFonts w:ascii="Arial" w:hAnsi="Arial" w:cs="Arial"/>
        </w:rPr>
        <w:t>twenty four hour</w:t>
      </w:r>
      <w:proofErr w:type="gramEnd"/>
      <w:r w:rsidR="00A30141">
        <w:rPr>
          <w:rFonts w:ascii="Arial" w:hAnsi="Arial" w:cs="Arial"/>
        </w:rPr>
        <w:t xml:space="preserve"> annual yearly operation due to people working shifts in the areas.</w:t>
      </w:r>
    </w:p>
    <w:p w14:paraId="10E32F23" w14:textId="77777777" w:rsidR="00A30141" w:rsidRDefault="00A30141" w:rsidP="000479FC">
      <w:pPr>
        <w:spacing w:line="360" w:lineRule="auto"/>
        <w:rPr>
          <w:rFonts w:ascii="Arial" w:hAnsi="Arial" w:cs="Arial"/>
        </w:rPr>
      </w:pPr>
    </w:p>
    <w:p w14:paraId="2B1E91DE" w14:textId="195BB3CE" w:rsidR="00A30141" w:rsidRDefault="007127D4" w:rsidP="000479FC">
      <w:pPr>
        <w:spacing w:line="360" w:lineRule="auto"/>
        <w:rPr>
          <w:rFonts w:ascii="Arial" w:hAnsi="Arial" w:cs="Arial"/>
        </w:rPr>
      </w:pPr>
      <w:r w:rsidRPr="007127D4">
        <w:rPr>
          <w:rFonts w:ascii="Arial" w:hAnsi="Arial" w:cs="Arial"/>
        </w:rPr>
        <w:drawing>
          <wp:inline distT="0" distB="0" distL="0" distR="0" wp14:anchorId="6E0D95B6" wp14:editId="7E154579">
            <wp:extent cx="4631871" cy="2404201"/>
            <wp:effectExtent l="0" t="0" r="0" b="0"/>
            <wp:docPr id="162220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09911" name=""/>
                    <pic:cNvPicPr/>
                  </pic:nvPicPr>
                  <pic:blipFill>
                    <a:blip r:embed="rId19"/>
                    <a:stretch>
                      <a:fillRect/>
                    </a:stretch>
                  </pic:blipFill>
                  <pic:spPr>
                    <a:xfrm>
                      <a:off x="0" y="0"/>
                      <a:ext cx="4638137" cy="2407454"/>
                    </a:xfrm>
                    <a:prstGeom prst="rect">
                      <a:avLst/>
                    </a:prstGeom>
                  </pic:spPr>
                </pic:pic>
              </a:graphicData>
            </a:graphic>
          </wp:inline>
        </w:drawing>
      </w:r>
    </w:p>
    <w:p w14:paraId="323CE962" w14:textId="42DBB497" w:rsidR="00AF20BF" w:rsidRPr="000479FC" w:rsidRDefault="00AF20BF" w:rsidP="00AF20BF">
      <w:pPr>
        <w:pStyle w:val="Caption"/>
        <w:rPr>
          <w:rFonts w:ascii="Arial" w:hAnsi="Arial" w:cs="Arial"/>
        </w:rPr>
      </w:pPr>
      <w:bookmarkStart w:id="13" w:name="_Toc231124888"/>
      <w:r>
        <w:t xml:space="preserve">Figure </w:t>
      </w:r>
      <w:r>
        <w:fldChar w:fldCharType="begin"/>
      </w:r>
      <w:r>
        <w:instrText xml:space="preserve"> SEQ Figure \* ARABIC </w:instrText>
      </w:r>
      <w:r>
        <w:fldChar w:fldCharType="separate"/>
      </w:r>
      <w:r w:rsidR="007E5E21">
        <w:rPr>
          <w:noProof/>
        </w:rPr>
        <w:t>10</w:t>
      </w:r>
      <w:r>
        <w:fldChar w:fldCharType="end"/>
      </w:r>
      <w:r>
        <w:t xml:space="preserve"> - Wattage saving in KWH for each lighting </w:t>
      </w:r>
      <w:r w:rsidR="007E5E21">
        <w:t>replacement</w:t>
      </w:r>
      <w:bookmarkEnd w:id="13"/>
    </w:p>
    <w:p w14:paraId="7E52E9A5" w14:textId="77777777" w:rsidR="00011DE7" w:rsidRPr="00B4511B" w:rsidRDefault="00011DE7" w:rsidP="00B4511B">
      <w:pPr>
        <w:spacing w:line="360" w:lineRule="auto"/>
        <w:rPr>
          <w:rFonts w:ascii="Arial" w:hAnsi="Arial" w:cs="Arial"/>
        </w:rPr>
      </w:pPr>
      <w:r w:rsidRPr="00B4511B">
        <w:rPr>
          <w:rFonts w:ascii="Arial" w:hAnsi="Arial" w:cs="Arial"/>
        </w:rPr>
        <w:lastRenderedPageBreak/>
        <w:t>The findings therefore indicate a substantial reduction in annual electricity demand following completion of the lighting replacement programme. Importantly, practical observations following implementation also identified noticeable improvements in lighting quality and visibility across operational areas. In several locations, illumination levels appeared significantly improved when compared with the previous metal halide systems, suggesting that lighting quality had improved alongside electrical reduction.</w:t>
      </w:r>
    </w:p>
    <w:p w14:paraId="0B77E372" w14:textId="1CC51FDC" w:rsidR="008A4BBA" w:rsidRDefault="008A4BBA" w:rsidP="00011DE7">
      <w:r w:rsidRPr="00545B0E">
        <w:rPr>
          <w:noProof/>
          <w:lang w:val="en-US"/>
        </w:rPr>
        <w:drawing>
          <wp:inline distT="0" distB="0" distL="0" distR="0" wp14:anchorId="5163EA6D" wp14:editId="088DD819">
            <wp:extent cx="4365171" cy="2208724"/>
            <wp:effectExtent l="0" t="0" r="0" b="1270"/>
            <wp:docPr id="442270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70451" name=""/>
                    <pic:cNvPicPr/>
                  </pic:nvPicPr>
                  <pic:blipFill>
                    <a:blip r:embed="rId20"/>
                    <a:stretch>
                      <a:fillRect/>
                    </a:stretch>
                  </pic:blipFill>
                  <pic:spPr>
                    <a:xfrm>
                      <a:off x="0" y="0"/>
                      <a:ext cx="4372970" cy="2212670"/>
                    </a:xfrm>
                    <a:prstGeom prst="rect">
                      <a:avLst/>
                    </a:prstGeom>
                  </pic:spPr>
                </pic:pic>
              </a:graphicData>
            </a:graphic>
          </wp:inline>
        </w:drawing>
      </w:r>
    </w:p>
    <w:p w14:paraId="42F688AA" w14:textId="558FA19C" w:rsidR="00AF20BF" w:rsidRDefault="00AF20BF" w:rsidP="00AF20BF">
      <w:pPr>
        <w:pStyle w:val="Caption"/>
      </w:pPr>
      <w:bookmarkStart w:id="14" w:name="_Toc231124889"/>
      <w:r>
        <w:t xml:space="preserve">Figure </w:t>
      </w:r>
      <w:r>
        <w:fldChar w:fldCharType="begin"/>
      </w:r>
      <w:r>
        <w:instrText xml:space="preserve"> SEQ Figure \* ARABIC </w:instrText>
      </w:r>
      <w:r>
        <w:fldChar w:fldCharType="separate"/>
      </w:r>
      <w:r w:rsidR="007E5E21">
        <w:rPr>
          <w:noProof/>
        </w:rPr>
        <w:t>11</w:t>
      </w:r>
      <w:r>
        <w:fldChar w:fldCharType="end"/>
      </w:r>
      <w:r>
        <w:t xml:space="preserve"> - Potential annual theoretical savings at different KWH values</w:t>
      </w:r>
      <w:bookmarkEnd w:id="14"/>
    </w:p>
    <w:p w14:paraId="407D2A1B" w14:textId="77777777" w:rsidR="008A4BBA" w:rsidRDefault="008A4BBA" w:rsidP="00011DE7"/>
    <w:p w14:paraId="4DDA4990" w14:textId="115D39C0" w:rsidR="00011DE7" w:rsidRPr="008A4BBA" w:rsidRDefault="00011DE7" w:rsidP="008A4BBA">
      <w:pPr>
        <w:spacing w:line="360" w:lineRule="auto"/>
        <w:rPr>
          <w:rFonts w:ascii="Arial" w:hAnsi="Arial" w:cs="Arial"/>
        </w:rPr>
      </w:pPr>
      <w:r w:rsidRPr="008A4BBA">
        <w:rPr>
          <w:rFonts w:ascii="Arial" w:hAnsi="Arial" w:cs="Arial"/>
        </w:rPr>
        <w:t>This finding is particularly significant because increased brightness and improved directional performance associated with LED luminaires may create opportunities to further optimise lighting infrastructure. Observations suggest that within selected operational areas, sufficient lux levels may potentially be achieved using a reduced number of fittings compared with the original lighting arrangement. Although formal lux surveys were not completed during the investigation, this finding presents a meaningful opportunity for future optimisation.</w:t>
      </w:r>
    </w:p>
    <w:p w14:paraId="54EE5149" w14:textId="77777777" w:rsidR="00011DE7" w:rsidRPr="008A4BBA" w:rsidRDefault="00011DE7" w:rsidP="008A4BBA">
      <w:pPr>
        <w:spacing w:line="360" w:lineRule="auto"/>
        <w:rPr>
          <w:rFonts w:ascii="Arial" w:hAnsi="Arial" w:cs="Arial"/>
        </w:rPr>
      </w:pPr>
      <w:r w:rsidRPr="008A4BBA">
        <w:rPr>
          <w:rFonts w:ascii="Arial" w:hAnsi="Arial" w:cs="Arial"/>
        </w:rPr>
        <w:t>Additional operational benefit was identified during implementation because availability of the Mobile Elevating Work Platform (MEWP) enabled further infrastructure improvements to be completed beyond the original project scope. Several 250W SON floodlights within lower-use operational areas were replaced with 50W LED alternatives, further reducing electrical demand whilst improving utilisation of already available labour and access equipment.</w:t>
      </w:r>
    </w:p>
    <w:p w14:paraId="55B12ED1" w14:textId="77777777" w:rsidR="00011DE7" w:rsidRPr="008A4BBA" w:rsidRDefault="00011DE7" w:rsidP="008A4BBA">
      <w:pPr>
        <w:spacing w:line="360" w:lineRule="auto"/>
        <w:rPr>
          <w:rFonts w:ascii="Arial" w:hAnsi="Arial" w:cs="Arial"/>
        </w:rPr>
      </w:pPr>
      <w:r w:rsidRPr="008A4BBA">
        <w:rPr>
          <w:rFonts w:ascii="Arial" w:hAnsi="Arial" w:cs="Arial"/>
        </w:rPr>
        <w:t xml:space="preserve">Financial assessment of the lighting replacement programme demonstrated particularly strong investment performance. The total project cost was approximately £4,612.50, with payback achieved in less than one year, even under lower electricity pricing scenarios. Importantly, this calculation did not incorporate the avoided cost associated with contractor labour because use of internal electrical craft personnel and existing site access equipment </w:t>
      </w:r>
      <w:r w:rsidRPr="008A4BBA">
        <w:rPr>
          <w:rFonts w:ascii="Arial" w:hAnsi="Arial" w:cs="Arial"/>
        </w:rPr>
        <w:lastRenderedPageBreak/>
        <w:t>significantly reduced implementation cost. As a result, actual project value may be greater than direct electricity savings alone.</w:t>
      </w:r>
    </w:p>
    <w:p w14:paraId="095DE4D7" w14:textId="77777777" w:rsidR="00011DE7" w:rsidRDefault="00011DE7" w:rsidP="008A4BBA">
      <w:pPr>
        <w:spacing w:line="360" w:lineRule="auto"/>
        <w:rPr>
          <w:rFonts w:ascii="Arial" w:hAnsi="Arial" w:cs="Arial"/>
        </w:rPr>
      </w:pPr>
      <w:r w:rsidRPr="008A4BBA">
        <w:rPr>
          <w:rFonts w:ascii="Arial" w:hAnsi="Arial" w:cs="Arial"/>
        </w:rPr>
        <w:t>In addition to energy reduction, lighting modernisation also produced important operational maintenance benefits. Reduced lamp replacement frequency, elimination of ballast maintenance, and reduced requirement for repeated access at height may significantly reduce maintenance labour demand. Consequently, maintenance resources may be redirected toward more critical plant activities, improving wider operational efficiency beyond direct financial return.</w:t>
      </w:r>
    </w:p>
    <w:p w14:paraId="4280E3DE" w14:textId="69265FEC" w:rsidR="00AF20BF" w:rsidRDefault="007E5E21" w:rsidP="008A4BBA">
      <w:pPr>
        <w:spacing w:line="360" w:lineRule="auto"/>
        <w:rPr>
          <w:rFonts w:ascii="Arial" w:hAnsi="Arial" w:cs="Arial"/>
        </w:rPr>
      </w:pPr>
      <w:r w:rsidRPr="00A564E2">
        <w:rPr>
          <w:noProof/>
        </w:rPr>
        <w:drawing>
          <wp:inline distT="0" distB="0" distL="0" distR="0" wp14:anchorId="003ACAB0" wp14:editId="63C61CA3">
            <wp:extent cx="3423557" cy="2454447"/>
            <wp:effectExtent l="0" t="0" r="5715" b="3175"/>
            <wp:docPr id="9" name="Picture 8">
              <a:extLst xmlns:a="http://schemas.openxmlformats.org/drawingml/2006/main">
                <a:ext uri="{FF2B5EF4-FFF2-40B4-BE49-F238E27FC236}">
                  <a16:creationId xmlns:a16="http://schemas.microsoft.com/office/drawing/2014/main" id="{CA22FFE0-240E-DBFA-512C-D50E91F22D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CA22FFE0-240E-DBFA-512C-D50E91F22D85}"/>
                        </a:ext>
                      </a:extLst>
                    </pic:cNvPr>
                    <pic:cNvPicPr>
                      <a:picLocks noChangeAspect="1"/>
                    </pic:cNvPicPr>
                  </pic:nvPicPr>
                  <pic:blipFill>
                    <a:blip r:embed="rId21"/>
                    <a:stretch>
                      <a:fillRect/>
                    </a:stretch>
                  </pic:blipFill>
                  <pic:spPr>
                    <a:xfrm>
                      <a:off x="0" y="0"/>
                      <a:ext cx="3428023" cy="2457649"/>
                    </a:xfrm>
                    <a:prstGeom prst="rect">
                      <a:avLst/>
                    </a:prstGeom>
                  </pic:spPr>
                </pic:pic>
              </a:graphicData>
            </a:graphic>
          </wp:inline>
        </w:drawing>
      </w:r>
    </w:p>
    <w:p w14:paraId="5BD0ABA8" w14:textId="577E2545" w:rsidR="007E5E21" w:rsidRDefault="007E5E21" w:rsidP="007E5E21">
      <w:pPr>
        <w:pStyle w:val="Caption"/>
      </w:pPr>
      <w:bookmarkStart w:id="15" w:name="_Toc231124890"/>
      <w:r>
        <w:t xml:space="preserve">Figure </w:t>
      </w:r>
      <w:r>
        <w:fldChar w:fldCharType="begin"/>
      </w:r>
      <w:r>
        <w:instrText xml:space="preserve"> SEQ Figure \* ARABIC </w:instrText>
      </w:r>
      <w:r>
        <w:fldChar w:fldCharType="separate"/>
      </w:r>
      <w:r>
        <w:rPr>
          <w:noProof/>
        </w:rPr>
        <w:t>12</w:t>
      </w:r>
      <w:r>
        <w:fldChar w:fldCharType="end"/>
      </w:r>
      <w:r>
        <w:t xml:space="preserve"> - Value of potential CO2 saving from changing lights</w:t>
      </w:r>
      <w:bookmarkEnd w:id="15"/>
    </w:p>
    <w:p w14:paraId="4B9195D0" w14:textId="603EB612" w:rsidR="00C733AE" w:rsidRDefault="00C733AE" w:rsidP="00C733AE">
      <w:r>
        <w:t>Calculations to support the above graphical representation.</w:t>
      </w:r>
    </w:p>
    <w:p w14:paraId="0371EE73" w14:textId="77777777" w:rsidR="00C733AE" w:rsidRPr="00C733AE" w:rsidRDefault="00C733AE" w:rsidP="00C733AE">
      <w:pPr>
        <w:rPr>
          <w:lang w:val="en-US"/>
        </w:rPr>
      </w:pPr>
      <w:r w:rsidRPr="00C733AE">
        <w:t>0.233 * is the UK grid electricity carbon conversion factor</w:t>
      </w:r>
    </w:p>
    <w:p w14:paraId="0E97DEFE" w14:textId="77777777" w:rsidR="00AD077A" w:rsidRPr="00AD077A" w:rsidRDefault="00AD077A" w:rsidP="00AD077A">
      <w:pPr>
        <w:rPr>
          <w:lang w:val="en-US"/>
        </w:rPr>
      </w:pPr>
      <w:r w:rsidRPr="00AD077A">
        <w:t>CO₂ saving Room 1.</w:t>
      </w:r>
    </w:p>
    <w:p w14:paraId="3E112101" w14:textId="0840AA74" w:rsidR="00AD077A" w:rsidRPr="00AD077A" w:rsidRDefault="00AD077A" w:rsidP="00AD077A">
      <w:pPr>
        <w:rPr>
          <w:lang w:val="en-US"/>
        </w:rPr>
      </w:pPr>
      <w:r w:rsidRPr="00AD077A">
        <w:t> 21,024 × 0.233 = 4,899 kg CO₂/year</w:t>
      </w:r>
    </w:p>
    <w:p w14:paraId="6723F166" w14:textId="57587CC2" w:rsidR="00C733AE" w:rsidRDefault="00AD077A" w:rsidP="00AD077A">
      <w:r w:rsidRPr="00AD077A">
        <w:t> ≈ 4.9 tonnes of CO₂ per year</w:t>
      </w:r>
    </w:p>
    <w:p w14:paraId="1CD7BD71" w14:textId="77777777" w:rsidR="00AD077A" w:rsidRPr="00AD077A" w:rsidRDefault="00AD077A" w:rsidP="00AD077A">
      <w:pPr>
        <w:rPr>
          <w:lang w:val="en-US"/>
        </w:rPr>
      </w:pPr>
      <w:r w:rsidRPr="00AD077A">
        <w:t>CO₂ saving Room 2</w:t>
      </w:r>
    </w:p>
    <w:p w14:paraId="4BF3F3A9" w14:textId="71B53C80" w:rsidR="00AD077A" w:rsidRPr="00AD077A" w:rsidRDefault="00AD077A" w:rsidP="00AD077A">
      <w:pPr>
        <w:rPr>
          <w:lang w:val="en-US"/>
        </w:rPr>
      </w:pPr>
      <w:r w:rsidRPr="00AD077A">
        <w:t> 32,850 × 0.233 = 7,654 kg CO₂/year</w:t>
      </w:r>
    </w:p>
    <w:p w14:paraId="1E4A0E22" w14:textId="76807732" w:rsidR="00AD077A" w:rsidRDefault="00AD077A" w:rsidP="00AD077A">
      <w:r w:rsidRPr="00AD077A">
        <w:t> ≈ 7.65 tonnes of CO₂ per year</w:t>
      </w:r>
    </w:p>
    <w:p w14:paraId="00A78D5D" w14:textId="77777777" w:rsidR="000B0686" w:rsidRPr="000B0686" w:rsidRDefault="000B0686" w:rsidP="000B0686">
      <w:pPr>
        <w:rPr>
          <w:lang w:val="en-US"/>
        </w:rPr>
      </w:pPr>
      <w:r w:rsidRPr="000B0686">
        <w:t>Total CO₂ Saving (Both Rooms)</w:t>
      </w:r>
    </w:p>
    <w:p w14:paraId="36E6E301" w14:textId="77777777" w:rsidR="000B0686" w:rsidRPr="000B0686" w:rsidRDefault="000B0686" w:rsidP="000B0686">
      <w:pPr>
        <w:rPr>
          <w:lang w:val="en-US"/>
        </w:rPr>
      </w:pPr>
      <w:r w:rsidRPr="000B0686">
        <w:t>12,553 kg CO₂/year</w:t>
      </w:r>
    </w:p>
    <w:p w14:paraId="4B733A1A" w14:textId="469DCDCD" w:rsidR="000B0686" w:rsidRPr="000B0686" w:rsidRDefault="000B0686" w:rsidP="000B0686">
      <w:pPr>
        <w:rPr>
          <w:lang w:val="en-US"/>
        </w:rPr>
      </w:pPr>
      <w:r w:rsidRPr="000B0686">
        <w:t> ≈ 12.6 tonnes of CO₂ per year</w:t>
      </w:r>
    </w:p>
    <w:p w14:paraId="261072E2" w14:textId="77777777" w:rsidR="00AD077A" w:rsidRPr="00C733AE" w:rsidRDefault="00AD077A" w:rsidP="00AD077A"/>
    <w:p w14:paraId="681E329B" w14:textId="77777777" w:rsidR="00932805" w:rsidRDefault="00932805" w:rsidP="00011DE7"/>
    <w:p w14:paraId="7220C892" w14:textId="77777777" w:rsidR="00011DE7" w:rsidRDefault="00011DE7" w:rsidP="00B4511B">
      <w:pPr>
        <w:pStyle w:val="Heading2"/>
      </w:pPr>
      <w:r w:rsidRPr="003927BC">
        <w:lastRenderedPageBreak/>
        <w:t>6.3 Wider Organisational Findings</w:t>
      </w:r>
    </w:p>
    <w:p w14:paraId="66137DA2" w14:textId="77777777" w:rsidR="007A2AD6" w:rsidRPr="003927BC" w:rsidRDefault="007A2AD6" w:rsidP="00011DE7">
      <w:pPr>
        <w:rPr>
          <w:b/>
          <w:bCs/>
        </w:rPr>
      </w:pPr>
    </w:p>
    <w:p w14:paraId="6EBB7947" w14:textId="3A47C50B" w:rsidR="00011DE7" w:rsidRPr="007A2AD6" w:rsidRDefault="00011DE7" w:rsidP="007A2AD6">
      <w:pPr>
        <w:spacing w:line="360" w:lineRule="auto"/>
        <w:rPr>
          <w:rFonts w:ascii="Arial" w:hAnsi="Arial" w:cs="Arial"/>
        </w:rPr>
      </w:pPr>
      <w:r w:rsidRPr="007A2AD6">
        <w:rPr>
          <w:rFonts w:ascii="Arial" w:hAnsi="Arial" w:cs="Arial"/>
        </w:rPr>
        <w:t xml:space="preserve">An important result emerging from </w:t>
      </w:r>
      <w:r w:rsidR="007A2AD6">
        <w:rPr>
          <w:rFonts w:ascii="Arial" w:hAnsi="Arial" w:cs="Arial"/>
        </w:rPr>
        <w:t xml:space="preserve">the </w:t>
      </w:r>
      <w:r w:rsidRPr="007A2AD6">
        <w:rPr>
          <w:rFonts w:ascii="Arial" w:hAnsi="Arial" w:cs="Arial"/>
        </w:rPr>
        <w:t>successful implementation of the lighting replacement programme concerned the wider organisational response generated throughout the Vale site. Following completion, operational feedback regarding lighting quality, visibility, and implementation success was highly positive, resulting in requests from additional area managers to investigate similar lighting improvements within their own operational areas.</w:t>
      </w:r>
    </w:p>
    <w:p w14:paraId="29289CE5" w14:textId="723D6794" w:rsidR="00011DE7" w:rsidRPr="007A2AD6" w:rsidRDefault="00011DE7" w:rsidP="007A2AD6">
      <w:pPr>
        <w:spacing w:line="360" w:lineRule="auto"/>
        <w:rPr>
          <w:rFonts w:ascii="Arial" w:hAnsi="Arial" w:cs="Arial"/>
        </w:rPr>
      </w:pPr>
      <w:r w:rsidRPr="007A2AD6">
        <w:rPr>
          <w:rFonts w:ascii="Arial" w:hAnsi="Arial" w:cs="Arial"/>
        </w:rPr>
        <w:t xml:space="preserve">As a direct consequence of these outcomes, planning and budgeting activities were subsequently initiated for </w:t>
      </w:r>
      <w:r w:rsidR="007A2AD6">
        <w:rPr>
          <w:rFonts w:ascii="Arial" w:hAnsi="Arial" w:cs="Arial"/>
        </w:rPr>
        <w:t xml:space="preserve">the </w:t>
      </w:r>
      <w:r w:rsidRPr="007A2AD6">
        <w:rPr>
          <w:rFonts w:ascii="Arial" w:hAnsi="Arial" w:cs="Arial"/>
        </w:rPr>
        <w:t>development of a wider capital expenditure (CAPEX) proposal relating to future lighting modernisation across additional operational areas, including external infrastructure and car park lighting.</w:t>
      </w:r>
    </w:p>
    <w:p w14:paraId="1617B9A9" w14:textId="6C70FA22" w:rsidR="00011DE7" w:rsidRPr="007A2AD6" w:rsidRDefault="00011DE7" w:rsidP="007A2AD6">
      <w:pPr>
        <w:spacing w:line="360" w:lineRule="auto"/>
        <w:rPr>
          <w:rFonts w:ascii="Arial" w:hAnsi="Arial" w:cs="Arial"/>
        </w:rPr>
      </w:pPr>
      <w:r w:rsidRPr="007A2AD6">
        <w:rPr>
          <w:rFonts w:ascii="Arial" w:hAnsi="Arial" w:cs="Arial"/>
        </w:rPr>
        <w:t xml:space="preserve">This finding demonstrates that successful practical implementation increased organisational confidence regarding electrical efficiency improvements and contributed </w:t>
      </w:r>
      <w:r w:rsidR="007A2AD6">
        <w:rPr>
          <w:rFonts w:ascii="Arial" w:hAnsi="Arial" w:cs="Arial"/>
        </w:rPr>
        <w:t>to</w:t>
      </w:r>
      <w:r w:rsidRPr="007A2AD6">
        <w:rPr>
          <w:rFonts w:ascii="Arial" w:hAnsi="Arial" w:cs="Arial"/>
        </w:rPr>
        <w:t xml:space="preserve"> broader long-term infrastructure planning. The outcomes</w:t>
      </w:r>
      <w:r w:rsidR="007A2AD6">
        <w:rPr>
          <w:rFonts w:ascii="Arial" w:hAnsi="Arial" w:cs="Arial"/>
        </w:rPr>
        <w:t>, therefore,</w:t>
      </w:r>
      <w:r w:rsidRPr="007A2AD6">
        <w:rPr>
          <w:rFonts w:ascii="Arial" w:hAnsi="Arial" w:cs="Arial"/>
        </w:rPr>
        <w:t xml:space="preserve"> suggest that relatively small-scale engineering interventions may generate wider operational confidence and influence future investment strategy beyond the original scope of investigation.</w:t>
      </w:r>
    </w:p>
    <w:p w14:paraId="5FB2ED4C" w14:textId="77777777" w:rsidR="00011DE7" w:rsidRPr="003927BC" w:rsidRDefault="00011DE7" w:rsidP="00514681"/>
    <w:p w14:paraId="1B8D1DC2" w14:textId="77777777" w:rsidR="001B1FF8" w:rsidRPr="003927BC" w:rsidRDefault="001B1FF8" w:rsidP="00514681"/>
    <w:p w14:paraId="3B5866EF" w14:textId="77777777" w:rsidR="001B1FF8" w:rsidRPr="003927BC" w:rsidRDefault="001B1FF8" w:rsidP="00514681"/>
    <w:p w14:paraId="2A7972D4" w14:textId="77777777" w:rsidR="001B1FF8" w:rsidRPr="003927BC" w:rsidRDefault="001B1FF8" w:rsidP="00514681"/>
    <w:p w14:paraId="7E8B8DEF" w14:textId="77777777" w:rsidR="001B1FF8" w:rsidRPr="003927BC" w:rsidRDefault="001B1FF8" w:rsidP="00514681"/>
    <w:p w14:paraId="642586C6" w14:textId="77777777" w:rsidR="001B1FF8" w:rsidRPr="003927BC" w:rsidRDefault="001B1FF8" w:rsidP="00514681"/>
    <w:p w14:paraId="70766A79" w14:textId="77777777" w:rsidR="001B1FF8" w:rsidRPr="003927BC" w:rsidRDefault="001B1FF8" w:rsidP="00514681"/>
    <w:p w14:paraId="3A1B7356" w14:textId="77777777" w:rsidR="001B1FF8" w:rsidRDefault="001B1FF8" w:rsidP="00514681"/>
    <w:p w14:paraId="4BA163EF" w14:textId="77777777" w:rsidR="00B4511B" w:rsidRDefault="00B4511B" w:rsidP="00514681"/>
    <w:p w14:paraId="19B86A1D" w14:textId="77777777" w:rsidR="00B4511B" w:rsidRDefault="00B4511B" w:rsidP="00514681"/>
    <w:p w14:paraId="684A2148" w14:textId="77777777" w:rsidR="00B4511B" w:rsidRDefault="00B4511B" w:rsidP="00514681"/>
    <w:p w14:paraId="354C119B" w14:textId="77777777" w:rsidR="00B4511B" w:rsidRDefault="00B4511B" w:rsidP="00514681"/>
    <w:p w14:paraId="7FD6FE38" w14:textId="77777777" w:rsidR="00B4511B" w:rsidRDefault="00B4511B" w:rsidP="00514681"/>
    <w:p w14:paraId="385222C8" w14:textId="77777777" w:rsidR="00B4511B" w:rsidRDefault="00B4511B" w:rsidP="00514681"/>
    <w:p w14:paraId="0E095A78" w14:textId="77777777" w:rsidR="00B4511B" w:rsidRDefault="00B4511B" w:rsidP="00514681"/>
    <w:p w14:paraId="15240AC9" w14:textId="77777777" w:rsidR="00B4511B" w:rsidRDefault="00B4511B" w:rsidP="00514681"/>
    <w:p w14:paraId="146494A7" w14:textId="1D277EDB" w:rsidR="00514681" w:rsidRPr="003927BC" w:rsidRDefault="00514681" w:rsidP="0064654B">
      <w:pPr>
        <w:pStyle w:val="Heading2"/>
      </w:pPr>
      <w:bookmarkStart w:id="16" w:name="_Toc231032065"/>
      <w:r w:rsidRPr="003927BC">
        <w:lastRenderedPageBreak/>
        <w:t>CHAPTER 7 – DISCUSSION AND CONCLUSIONS</w:t>
      </w:r>
      <w:bookmarkEnd w:id="16"/>
    </w:p>
    <w:p w14:paraId="3D1ACD95" w14:textId="1204A9BB" w:rsidR="00514681" w:rsidRDefault="00514681" w:rsidP="0064654B">
      <w:pPr>
        <w:pStyle w:val="Heading2"/>
      </w:pPr>
      <w:bookmarkStart w:id="17" w:name="_Toc231032066"/>
      <w:r w:rsidRPr="003927BC">
        <w:t>7.</w:t>
      </w:r>
      <w:r w:rsidR="00610367" w:rsidRPr="003927BC">
        <w:t>1</w:t>
      </w:r>
      <w:r w:rsidRPr="003927BC">
        <w:t xml:space="preserve"> Discussion of Lighting Modernisation</w:t>
      </w:r>
      <w:bookmarkEnd w:id="17"/>
    </w:p>
    <w:p w14:paraId="55DDBED1" w14:textId="77777777" w:rsidR="00695D3F" w:rsidRPr="00695D3F" w:rsidRDefault="00695D3F" w:rsidP="00695D3F"/>
    <w:p w14:paraId="484DA086" w14:textId="77777777" w:rsidR="00514681" w:rsidRPr="003927BC" w:rsidRDefault="00514681" w:rsidP="00730C77">
      <w:pPr>
        <w:spacing w:line="360" w:lineRule="auto"/>
        <w:rPr>
          <w:rFonts w:ascii="Arial" w:hAnsi="Arial" w:cs="Arial"/>
        </w:rPr>
      </w:pPr>
      <w:r w:rsidRPr="003927BC">
        <w:rPr>
          <w:rFonts w:ascii="Arial" w:hAnsi="Arial" w:cs="Arial"/>
        </w:rPr>
        <w:t>The findings obtained throughout this investigation suggest that replacement of ageing lighting infrastructure represents a technically viable and operationally beneficial opportunity for reducing electrical demand at the Vale site.</w:t>
      </w:r>
    </w:p>
    <w:p w14:paraId="651414E3" w14:textId="77777777" w:rsidR="00514681" w:rsidRPr="003927BC" w:rsidRDefault="00514681" w:rsidP="00730C77">
      <w:pPr>
        <w:spacing w:line="360" w:lineRule="auto"/>
        <w:rPr>
          <w:rFonts w:ascii="Arial" w:hAnsi="Arial" w:cs="Arial"/>
        </w:rPr>
      </w:pPr>
      <w:r w:rsidRPr="003927BC">
        <w:rPr>
          <w:rFonts w:ascii="Arial" w:hAnsi="Arial" w:cs="Arial"/>
        </w:rPr>
        <w:t>Replacement of 41 × 250W metal halide fittings with 100W LED luminaires resulted in a substantial reduction in connected electrical demand, with estimated annual electricity savings approaching 53,874 kWh. Given the continuous operational profile of the Vale site, where lighting systems remain energised throughout the year, the financial significance of this reduction becomes increasingly important when considered over prolonged operational periods.</w:t>
      </w:r>
    </w:p>
    <w:p w14:paraId="4E722AFF" w14:textId="77777777" w:rsidR="00514681" w:rsidRPr="003927BC" w:rsidRDefault="00514681" w:rsidP="00730C77">
      <w:pPr>
        <w:spacing w:line="360" w:lineRule="auto"/>
        <w:rPr>
          <w:rFonts w:ascii="Arial" w:hAnsi="Arial" w:cs="Arial"/>
        </w:rPr>
      </w:pPr>
      <w:r w:rsidRPr="003927BC">
        <w:rPr>
          <w:rFonts w:ascii="Arial" w:hAnsi="Arial" w:cs="Arial"/>
        </w:rPr>
        <w:t>The findings obtained align closely with wider literature relating to industrial lighting efficiency. According to Boyce (2014), industrial LED systems frequently outperform traditional discharge lighting technologies due to reduced electrical demand, improved reliability, increased operational lifespan, and reduced maintenance requirements.</w:t>
      </w:r>
    </w:p>
    <w:p w14:paraId="0CE84D02" w14:textId="77777777" w:rsidR="00514681" w:rsidRPr="003927BC" w:rsidRDefault="00514681" w:rsidP="00730C77">
      <w:pPr>
        <w:spacing w:line="360" w:lineRule="auto"/>
        <w:rPr>
          <w:rFonts w:ascii="Arial" w:hAnsi="Arial" w:cs="Arial"/>
        </w:rPr>
      </w:pPr>
      <w:r w:rsidRPr="003927BC">
        <w:rPr>
          <w:rFonts w:ascii="Arial" w:hAnsi="Arial" w:cs="Arial"/>
        </w:rPr>
        <w:t>These findings appear consistent with observations made following implementation at the Vale site. In addition to reductions in connected electrical load, practical observations suggested improvements in lighting quality and visibility throughout operational areas.</w:t>
      </w:r>
    </w:p>
    <w:p w14:paraId="46DF0D6F" w14:textId="77777777" w:rsidR="00514681" w:rsidRPr="003927BC" w:rsidRDefault="00514681" w:rsidP="00730C77">
      <w:pPr>
        <w:spacing w:line="360" w:lineRule="auto"/>
        <w:rPr>
          <w:rFonts w:ascii="Arial" w:hAnsi="Arial" w:cs="Arial"/>
        </w:rPr>
      </w:pPr>
      <w:r w:rsidRPr="003927BC">
        <w:rPr>
          <w:rFonts w:ascii="Arial" w:hAnsi="Arial" w:cs="Arial"/>
        </w:rPr>
        <w:t>This finding is particularly relevant within industrial environments where lighting quality contributes not only toward operational efficiency but also safety, maintenance activity, and workforce visibility.</w:t>
      </w:r>
    </w:p>
    <w:p w14:paraId="76132EA4" w14:textId="7749E407" w:rsidR="00514681" w:rsidRPr="003927BC" w:rsidRDefault="00514681" w:rsidP="00730C77">
      <w:pPr>
        <w:spacing w:line="360" w:lineRule="auto"/>
        <w:rPr>
          <w:rFonts w:ascii="Arial" w:hAnsi="Arial" w:cs="Arial"/>
        </w:rPr>
      </w:pPr>
      <w:r w:rsidRPr="003927BC">
        <w:rPr>
          <w:rFonts w:ascii="Arial" w:hAnsi="Arial" w:cs="Arial"/>
        </w:rPr>
        <w:t xml:space="preserve">Importantly, the project progressed beyond theoretical </w:t>
      </w:r>
      <w:r w:rsidR="00A36088">
        <w:rPr>
          <w:rFonts w:ascii="Arial" w:hAnsi="Arial" w:cs="Arial"/>
        </w:rPr>
        <w:t>recommendations</w:t>
      </w:r>
      <w:r w:rsidRPr="003927BC">
        <w:rPr>
          <w:rFonts w:ascii="Arial" w:hAnsi="Arial" w:cs="Arial"/>
        </w:rPr>
        <w:t xml:space="preserve"> and resulted in practical implementation under live operational conditions. This represents a significant strength of the investigation because engineering recommendations could be assessed through real-world application rather than theoretical modelling alone.</w:t>
      </w:r>
    </w:p>
    <w:p w14:paraId="58F1492E" w14:textId="0BFC0678" w:rsidR="00514681" w:rsidRPr="003927BC" w:rsidRDefault="00514681" w:rsidP="00730C77">
      <w:pPr>
        <w:spacing w:line="360" w:lineRule="auto"/>
        <w:rPr>
          <w:rFonts w:ascii="Arial" w:hAnsi="Arial" w:cs="Arial"/>
        </w:rPr>
      </w:pPr>
      <w:r w:rsidRPr="003927BC">
        <w:rPr>
          <w:rFonts w:ascii="Arial" w:hAnsi="Arial" w:cs="Arial"/>
        </w:rPr>
        <w:t xml:space="preserve">The successful delivery of the lighting replacement programme also demonstrated the importance of effective use of existing operational resources. Completion of </w:t>
      </w:r>
      <w:r w:rsidR="00A36088">
        <w:rPr>
          <w:rFonts w:ascii="Arial" w:hAnsi="Arial" w:cs="Arial"/>
        </w:rPr>
        <w:t xml:space="preserve">an </w:t>
      </w:r>
      <w:r w:rsidRPr="003927BC">
        <w:rPr>
          <w:rFonts w:ascii="Arial" w:hAnsi="Arial" w:cs="Arial"/>
        </w:rPr>
        <w:t>additional 250W SON floodlighting replacement using available MEWP access equipment and internal labour illustrated practical engineering decision-making through optimisation of already available resources.</w:t>
      </w:r>
    </w:p>
    <w:p w14:paraId="3B915070" w14:textId="77777777" w:rsidR="00514681" w:rsidRPr="003927BC" w:rsidRDefault="00514681" w:rsidP="00730C77">
      <w:pPr>
        <w:spacing w:line="360" w:lineRule="auto"/>
        <w:rPr>
          <w:rFonts w:ascii="Arial" w:hAnsi="Arial" w:cs="Arial"/>
        </w:rPr>
      </w:pPr>
      <w:r w:rsidRPr="003927BC">
        <w:rPr>
          <w:rFonts w:ascii="Arial" w:hAnsi="Arial" w:cs="Arial"/>
        </w:rPr>
        <w:t xml:space="preserve">This outcome aligns with project management literature suggesting that engineering implementation frequently benefits from opportunistic scheduling and effective utilisation of </w:t>
      </w:r>
      <w:r w:rsidRPr="003927BC">
        <w:rPr>
          <w:rFonts w:ascii="Arial" w:hAnsi="Arial" w:cs="Arial"/>
        </w:rPr>
        <w:lastRenderedPageBreak/>
        <w:t>temporary resources to improve operational efficiency and minimise avoidable expenditure (Kerzner, 2022).</w:t>
      </w:r>
    </w:p>
    <w:p w14:paraId="50C7B3A6" w14:textId="77777777" w:rsidR="00514681" w:rsidRPr="003927BC" w:rsidRDefault="00514681" w:rsidP="00730C77">
      <w:pPr>
        <w:spacing w:line="360" w:lineRule="auto"/>
        <w:rPr>
          <w:rFonts w:ascii="Arial" w:hAnsi="Arial" w:cs="Arial"/>
        </w:rPr>
      </w:pPr>
      <w:r w:rsidRPr="003927BC">
        <w:rPr>
          <w:rFonts w:ascii="Arial" w:hAnsi="Arial" w:cs="Arial"/>
        </w:rPr>
        <w:t>Perhaps one of the strongest indicators of project success concerns the wider organisational response following implementation.</w:t>
      </w:r>
    </w:p>
    <w:p w14:paraId="1843D4C7" w14:textId="77777777" w:rsidR="00514681" w:rsidRPr="003927BC" w:rsidRDefault="00514681" w:rsidP="00730C77">
      <w:pPr>
        <w:spacing w:line="360" w:lineRule="auto"/>
        <w:rPr>
          <w:rFonts w:ascii="Arial" w:hAnsi="Arial" w:cs="Arial"/>
        </w:rPr>
      </w:pPr>
      <w:r w:rsidRPr="003927BC">
        <w:rPr>
          <w:rFonts w:ascii="Arial" w:hAnsi="Arial" w:cs="Arial"/>
        </w:rPr>
        <w:t>The findings demonstrated that successful completion of the lighting improvements generated requests from additional area managers to investigate similar upgrades within their own operational environments. This suggests that practical observations of performance and visible improvement increased organisational confidence in the suitability of LED systems.</w:t>
      </w:r>
    </w:p>
    <w:p w14:paraId="7D46983A" w14:textId="77777777" w:rsidR="00514681" w:rsidRPr="003927BC" w:rsidRDefault="00514681" w:rsidP="00730C77">
      <w:pPr>
        <w:spacing w:line="360" w:lineRule="auto"/>
        <w:rPr>
          <w:rFonts w:ascii="Arial" w:hAnsi="Arial" w:cs="Arial"/>
        </w:rPr>
      </w:pPr>
      <w:r w:rsidRPr="003927BC">
        <w:rPr>
          <w:rFonts w:ascii="Arial" w:hAnsi="Arial" w:cs="Arial"/>
        </w:rPr>
        <w:t>Furthermore, the request for development of a broader CAPEX proposal for site-wide lighting replacement indicates that the intervention has progressed beyond localised improvement and may influence wider infrastructure planning at the Vale site.</w:t>
      </w:r>
    </w:p>
    <w:p w14:paraId="184AE348" w14:textId="77777777" w:rsidR="00514681" w:rsidRPr="003927BC" w:rsidRDefault="00514681" w:rsidP="00730C77">
      <w:pPr>
        <w:spacing w:line="360" w:lineRule="auto"/>
        <w:rPr>
          <w:rFonts w:ascii="Arial" w:hAnsi="Arial" w:cs="Arial"/>
        </w:rPr>
      </w:pPr>
      <w:r w:rsidRPr="003927BC">
        <w:rPr>
          <w:rFonts w:ascii="Arial" w:hAnsi="Arial" w:cs="Arial"/>
        </w:rPr>
        <w:t>This finding may represent one of the most important practical outcomes of the investigation because it demonstrates that relatively small-scale engineering interventions may generate broader organisational change when operational benefits become visible.</w:t>
      </w:r>
    </w:p>
    <w:p w14:paraId="0BFDFE87" w14:textId="77777777" w:rsidR="00514681" w:rsidRPr="003927BC" w:rsidRDefault="00514681" w:rsidP="00730C77">
      <w:pPr>
        <w:pStyle w:val="Heading2"/>
        <w:spacing w:line="360" w:lineRule="auto"/>
        <w:rPr>
          <w:rFonts w:ascii="Arial" w:hAnsi="Arial" w:cs="Arial"/>
        </w:rPr>
      </w:pPr>
      <w:bookmarkStart w:id="18" w:name="_Toc231032067"/>
      <w:r w:rsidRPr="003927BC">
        <w:rPr>
          <w:rFonts w:ascii="Arial" w:hAnsi="Arial" w:cs="Arial"/>
        </w:rPr>
        <w:t>7.3 Discussion of Transformer Replacement</w:t>
      </w:r>
      <w:bookmarkEnd w:id="18"/>
    </w:p>
    <w:p w14:paraId="2A1A2B74" w14:textId="77777777" w:rsidR="00514681" w:rsidRPr="003927BC" w:rsidRDefault="00514681" w:rsidP="00730C77">
      <w:pPr>
        <w:spacing w:line="360" w:lineRule="auto"/>
        <w:rPr>
          <w:rFonts w:ascii="Arial" w:hAnsi="Arial" w:cs="Arial"/>
        </w:rPr>
      </w:pPr>
      <w:r w:rsidRPr="003927BC">
        <w:rPr>
          <w:rFonts w:ascii="Arial" w:hAnsi="Arial" w:cs="Arial"/>
        </w:rPr>
        <w:t>While the findings relating to lighting replacement suggest a strong case for implementation, the justification for transformer replacement appears considerably more complex.</w:t>
      </w:r>
    </w:p>
    <w:p w14:paraId="4901D3A3" w14:textId="77777777" w:rsidR="00514681" w:rsidRPr="003927BC" w:rsidRDefault="00514681" w:rsidP="00730C77">
      <w:pPr>
        <w:spacing w:line="360" w:lineRule="auto"/>
        <w:rPr>
          <w:rFonts w:ascii="Arial" w:hAnsi="Arial" w:cs="Arial"/>
        </w:rPr>
      </w:pPr>
      <w:r w:rsidRPr="003927BC">
        <w:rPr>
          <w:rFonts w:ascii="Arial" w:hAnsi="Arial" w:cs="Arial"/>
        </w:rPr>
        <w:t xml:space="preserve">Literature reviewed in Chapter Four demonstrated that modern eco-loss transformers may reduce operational losses through improved magnetic core materials and reductions in no-load losses (Kulkarni and </w:t>
      </w:r>
      <w:proofErr w:type="spellStart"/>
      <w:r w:rsidRPr="003927BC">
        <w:rPr>
          <w:rFonts w:ascii="Arial" w:hAnsi="Arial" w:cs="Arial"/>
        </w:rPr>
        <w:t>Khaparde</w:t>
      </w:r>
      <w:proofErr w:type="spellEnd"/>
      <w:r w:rsidRPr="003927BC">
        <w:rPr>
          <w:rFonts w:ascii="Arial" w:hAnsi="Arial" w:cs="Arial"/>
        </w:rPr>
        <w:t>, 2013). Because transformers remain energised continuously, reductions in no-load losses may accumulate into meaningful savings over prolonged operational periods.</w:t>
      </w:r>
    </w:p>
    <w:p w14:paraId="6620ED87" w14:textId="77777777" w:rsidR="00514681" w:rsidRPr="003927BC" w:rsidRDefault="00514681" w:rsidP="00730C77">
      <w:pPr>
        <w:spacing w:line="360" w:lineRule="auto"/>
        <w:rPr>
          <w:rFonts w:ascii="Arial" w:hAnsi="Arial" w:cs="Arial"/>
        </w:rPr>
      </w:pPr>
      <w:r w:rsidRPr="003927BC">
        <w:rPr>
          <w:rFonts w:ascii="Arial" w:hAnsi="Arial" w:cs="Arial"/>
        </w:rPr>
        <w:t>Within the Vale site, this consideration is particularly relevant due to the continuous energisation of the existing 1500 kVA oil-filled transformer.</w:t>
      </w:r>
    </w:p>
    <w:p w14:paraId="184541AA" w14:textId="77777777" w:rsidR="00514681" w:rsidRPr="003927BC" w:rsidRDefault="00514681" w:rsidP="00730C77">
      <w:pPr>
        <w:spacing w:line="360" w:lineRule="auto"/>
        <w:rPr>
          <w:rFonts w:ascii="Arial" w:hAnsi="Arial" w:cs="Arial"/>
        </w:rPr>
      </w:pPr>
      <w:r w:rsidRPr="003927BC">
        <w:rPr>
          <w:rFonts w:ascii="Arial" w:hAnsi="Arial" w:cs="Arial"/>
        </w:rPr>
        <w:t>However, findings obtained during site inspection suggest that transformer replacement decisions should not be based solely upon electrical efficiency.</w:t>
      </w:r>
    </w:p>
    <w:p w14:paraId="33F4E6A2" w14:textId="77777777" w:rsidR="00514681" w:rsidRPr="003927BC" w:rsidRDefault="00514681" w:rsidP="00730C77">
      <w:pPr>
        <w:spacing w:line="360" w:lineRule="auto"/>
        <w:rPr>
          <w:rFonts w:ascii="Arial" w:hAnsi="Arial" w:cs="Arial"/>
        </w:rPr>
      </w:pPr>
      <w:r w:rsidRPr="003927BC">
        <w:rPr>
          <w:rFonts w:ascii="Arial" w:hAnsi="Arial" w:cs="Arial"/>
        </w:rPr>
        <w:t>Visual inspection identified ageing pitch-filled cable chambers and PILC cable systems, introducing uncertainty regarding replacement feasibility and future operational risk.</w:t>
      </w:r>
    </w:p>
    <w:p w14:paraId="5540A074" w14:textId="0F495A8E" w:rsidR="00514681" w:rsidRPr="003927BC" w:rsidRDefault="00514681" w:rsidP="00730C77">
      <w:pPr>
        <w:spacing w:line="360" w:lineRule="auto"/>
        <w:rPr>
          <w:rFonts w:ascii="Arial" w:hAnsi="Arial" w:cs="Arial"/>
        </w:rPr>
      </w:pPr>
      <w:r w:rsidRPr="003927BC">
        <w:rPr>
          <w:rFonts w:ascii="Arial" w:hAnsi="Arial" w:cs="Arial"/>
        </w:rPr>
        <w:t xml:space="preserve">Unlike theoretical transformer replacement models commonly presented within </w:t>
      </w:r>
      <w:r w:rsidR="000B4D3B">
        <w:rPr>
          <w:rFonts w:ascii="Arial" w:hAnsi="Arial" w:cs="Arial"/>
        </w:rPr>
        <w:t xml:space="preserve">the </w:t>
      </w:r>
      <w:r w:rsidRPr="003927BC">
        <w:rPr>
          <w:rFonts w:ascii="Arial" w:hAnsi="Arial" w:cs="Arial"/>
        </w:rPr>
        <w:t>literature, the present study highlighted practical engineering concerns associated with historical infrastructure and long-term maintainability.</w:t>
      </w:r>
    </w:p>
    <w:p w14:paraId="2B58668C" w14:textId="77777777" w:rsidR="00514681" w:rsidRPr="003927BC" w:rsidRDefault="00514681" w:rsidP="00730C77">
      <w:pPr>
        <w:spacing w:line="360" w:lineRule="auto"/>
        <w:rPr>
          <w:rFonts w:ascii="Arial" w:hAnsi="Arial" w:cs="Arial"/>
        </w:rPr>
      </w:pPr>
      <w:r w:rsidRPr="003927BC">
        <w:rPr>
          <w:rFonts w:ascii="Arial" w:hAnsi="Arial" w:cs="Arial"/>
        </w:rPr>
        <w:lastRenderedPageBreak/>
        <w:t>This finding significantly influences the engineering justification for replacement.</w:t>
      </w:r>
    </w:p>
    <w:p w14:paraId="7962CB9E" w14:textId="229BC077" w:rsidR="00514681" w:rsidRPr="003927BC" w:rsidRDefault="00514681" w:rsidP="00730C77">
      <w:pPr>
        <w:spacing w:line="360" w:lineRule="auto"/>
        <w:rPr>
          <w:rFonts w:ascii="Arial" w:hAnsi="Arial" w:cs="Arial"/>
        </w:rPr>
      </w:pPr>
      <w:r w:rsidRPr="003927BC">
        <w:rPr>
          <w:rFonts w:ascii="Arial" w:hAnsi="Arial" w:cs="Arial"/>
        </w:rPr>
        <w:t xml:space="preserve">Although </w:t>
      </w:r>
      <w:r w:rsidR="000B4D3B">
        <w:rPr>
          <w:rFonts w:ascii="Arial" w:hAnsi="Arial" w:cs="Arial"/>
        </w:rPr>
        <w:t>replacing a modern eco-loss transformer may reduce operational losses, the presence of ageing cable systems increases project uncertainty due to the risk of infrastructure disruption during replacement activities</w:t>
      </w:r>
      <w:r w:rsidRPr="003927BC">
        <w:rPr>
          <w:rFonts w:ascii="Arial" w:hAnsi="Arial" w:cs="Arial"/>
        </w:rPr>
        <w:t>.</w:t>
      </w:r>
    </w:p>
    <w:p w14:paraId="5E2A6688" w14:textId="2F56DBA5" w:rsidR="00514681" w:rsidRPr="003927BC" w:rsidRDefault="00514681" w:rsidP="00730C77">
      <w:pPr>
        <w:spacing w:line="360" w:lineRule="auto"/>
        <w:rPr>
          <w:rFonts w:ascii="Arial" w:hAnsi="Arial" w:cs="Arial"/>
        </w:rPr>
      </w:pPr>
      <w:r w:rsidRPr="003927BC">
        <w:rPr>
          <w:rFonts w:ascii="Arial" w:hAnsi="Arial" w:cs="Arial"/>
        </w:rPr>
        <w:t xml:space="preserve">Given the estimated </w:t>
      </w:r>
      <w:r w:rsidR="000B4D3B">
        <w:rPr>
          <w:rFonts w:ascii="Arial" w:hAnsi="Arial" w:cs="Arial"/>
        </w:rPr>
        <w:t>100-metre cable distance to downstream distribution infrastructure, damage to existing cable systems could substantially increase project complexity and costs</w:t>
      </w:r>
      <w:r w:rsidRPr="003927BC">
        <w:rPr>
          <w:rFonts w:ascii="Arial" w:hAnsi="Arial" w:cs="Arial"/>
        </w:rPr>
        <w:t>.</w:t>
      </w:r>
    </w:p>
    <w:p w14:paraId="4D033DE9" w14:textId="540D03DD" w:rsidR="005B1AE1" w:rsidRPr="003927BC" w:rsidRDefault="005B1AE1" w:rsidP="00730C77">
      <w:pPr>
        <w:spacing w:line="360" w:lineRule="auto"/>
        <w:rPr>
          <w:rFonts w:ascii="Arial" w:hAnsi="Arial" w:cs="Arial"/>
        </w:rPr>
      </w:pPr>
      <w:r w:rsidRPr="003927BC">
        <w:rPr>
          <w:rFonts w:ascii="Arial" w:hAnsi="Arial" w:cs="Arial"/>
        </w:rPr>
        <w:t>Our findings emphasi</w:t>
      </w:r>
      <w:r w:rsidR="000B4D3B">
        <w:rPr>
          <w:rFonts w:ascii="Arial" w:hAnsi="Arial" w:cs="Arial"/>
        </w:rPr>
        <w:t>s</w:t>
      </w:r>
      <w:r w:rsidRPr="003927BC">
        <w:rPr>
          <w:rFonts w:ascii="Arial" w:hAnsi="Arial" w:cs="Arial"/>
        </w:rPr>
        <w:t xml:space="preserve">e that transformer replacement should not be perceived merely as an intervention aimed at boosting energy efficiency. Instead, it should be </w:t>
      </w:r>
      <w:r w:rsidR="000B4D3B">
        <w:rPr>
          <w:rFonts w:ascii="Arial" w:hAnsi="Arial" w:cs="Arial"/>
        </w:rPr>
        <w:t>recognised</w:t>
      </w:r>
      <w:r w:rsidRPr="003927BC">
        <w:rPr>
          <w:rFonts w:ascii="Arial" w:hAnsi="Arial" w:cs="Arial"/>
        </w:rPr>
        <w:t xml:space="preserve"> as a comprehensive strategy that enhances both asset management and infrastructure resilience. This perspective aligns closely with the insights provided by Heathcote (2007), who strongly advocates for a holistic approach to transformer replacement decisions. He suggests that we must consider various critical factors: operational conditions, lifecycle performance, infrastructure reliability, and maintainability, rather than solely focusing on the age of the equipment.</w:t>
      </w:r>
    </w:p>
    <w:p w14:paraId="5FFEB2DB" w14:textId="77777777" w:rsidR="005B1AE1" w:rsidRPr="003927BC" w:rsidRDefault="005B1AE1" w:rsidP="00730C77">
      <w:pPr>
        <w:spacing w:line="360" w:lineRule="auto"/>
        <w:rPr>
          <w:rFonts w:ascii="Arial" w:hAnsi="Arial" w:cs="Arial"/>
        </w:rPr>
      </w:pPr>
      <w:r w:rsidRPr="003927BC">
        <w:rPr>
          <w:rFonts w:ascii="Arial" w:hAnsi="Arial" w:cs="Arial"/>
        </w:rPr>
        <w:t>Furthermore, the recent emergence of competitive quotations for transformer replacement, transformer oil replacement, and burnout testing of pitch-filled cable chambers marks a significant advancement in our field. This development affords us a unique opportunity to evaluate and compare a range of engineering strategies. It challenges the common assumption that full replacement is the only feasible solution. By having access to these alternatives, we can explore targeted interventions that could potentially extend the service life of existing assets or optimize performance without resorting to complete replacement.</w:t>
      </w:r>
    </w:p>
    <w:p w14:paraId="58226593" w14:textId="27C8EE56" w:rsidR="00514681" w:rsidRDefault="005B1AE1" w:rsidP="00730C77">
      <w:pPr>
        <w:spacing w:line="360" w:lineRule="auto"/>
        <w:rPr>
          <w:rFonts w:ascii="Arial" w:hAnsi="Arial" w:cs="Arial"/>
        </w:rPr>
      </w:pPr>
      <w:r w:rsidRPr="003927BC">
        <w:rPr>
          <w:rFonts w:ascii="Arial" w:hAnsi="Arial" w:cs="Arial"/>
        </w:rPr>
        <w:t>This comprehensive understanding encourages a shift in our decision-making process. It highlights the need to conduct thorough condition-based assessments and lifecycle evaluations prior to committing to substantial capital investments. By adopting this proactive approach, we can make more informed decisions that not only consider immediate efficiency gains but also foster long-term sustainability and cost-effectiveness in our infrastructure management strategies. Such a thoughtful decision-making framework ultimately paves the way for improved operational efficiency and resilience in the face of evolving challenges.</w:t>
      </w:r>
    </w:p>
    <w:p w14:paraId="39638A83" w14:textId="77777777" w:rsidR="00B1375A" w:rsidRDefault="00B1375A" w:rsidP="00730C77">
      <w:pPr>
        <w:spacing w:line="360" w:lineRule="auto"/>
        <w:rPr>
          <w:rFonts w:ascii="Arial" w:hAnsi="Arial" w:cs="Arial"/>
        </w:rPr>
      </w:pPr>
    </w:p>
    <w:p w14:paraId="107E26E1" w14:textId="77777777" w:rsidR="00B1375A" w:rsidRDefault="00B1375A" w:rsidP="00730C77">
      <w:pPr>
        <w:spacing w:line="360" w:lineRule="auto"/>
        <w:rPr>
          <w:rFonts w:ascii="Arial" w:hAnsi="Arial" w:cs="Arial"/>
        </w:rPr>
      </w:pPr>
    </w:p>
    <w:p w14:paraId="7B3A9D94" w14:textId="77777777" w:rsidR="00B1375A" w:rsidRPr="003927BC" w:rsidRDefault="00B1375A" w:rsidP="00730C77">
      <w:pPr>
        <w:spacing w:line="360" w:lineRule="auto"/>
        <w:rPr>
          <w:rFonts w:ascii="Arial" w:hAnsi="Arial" w:cs="Arial"/>
        </w:rPr>
      </w:pPr>
    </w:p>
    <w:p w14:paraId="3A9FA580" w14:textId="77777777" w:rsidR="00514681" w:rsidRDefault="00514681" w:rsidP="00B926D6">
      <w:pPr>
        <w:pStyle w:val="Heading2"/>
      </w:pPr>
      <w:bookmarkStart w:id="19" w:name="_Toc231032068"/>
      <w:r w:rsidRPr="003927BC">
        <w:lastRenderedPageBreak/>
        <w:t>7.4 Influence of Electricity Market Conditions</w:t>
      </w:r>
      <w:bookmarkEnd w:id="19"/>
    </w:p>
    <w:p w14:paraId="7275D24B" w14:textId="77777777" w:rsidR="00B1375A" w:rsidRPr="00B1375A" w:rsidRDefault="00B1375A" w:rsidP="00B1375A"/>
    <w:p w14:paraId="199CE4F6" w14:textId="77777777" w:rsidR="00514681" w:rsidRPr="00B1375A" w:rsidRDefault="00514681" w:rsidP="00B1375A">
      <w:pPr>
        <w:spacing w:line="360" w:lineRule="auto"/>
        <w:rPr>
          <w:rFonts w:ascii="Arial" w:hAnsi="Arial" w:cs="Arial"/>
        </w:rPr>
      </w:pPr>
      <w:r w:rsidRPr="00B1375A">
        <w:rPr>
          <w:rFonts w:ascii="Arial" w:hAnsi="Arial" w:cs="Arial"/>
        </w:rPr>
        <w:t>One of the most important findings arising from this investigation concerns the significant influence of electricity market volatility upon infrastructure investment viability.</w:t>
      </w:r>
    </w:p>
    <w:p w14:paraId="33087374" w14:textId="77777777" w:rsidR="00514681" w:rsidRPr="00B1375A" w:rsidRDefault="00514681" w:rsidP="00B1375A">
      <w:pPr>
        <w:spacing w:line="360" w:lineRule="auto"/>
        <w:rPr>
          <w:rFonts w:ascii="Arial" w:hAnsi="Arial" w:cs="Arial"/>
        </w:rPr>
      </w:pPr>
      <w:r w:rsidRPr="00B1375A">
        <w:rPr>
          <w:rFonts w:ascii="Arial" w:hAnsi="Arial" w:cs="Arial"/>
        </w:rPr>
        <w:t xml:space="preserve">Historical electricity pricing demonstrated considerable fluctuation between </w:t>
      </w:r>
      <w:r w:rsidRPr="00B1375A">
        <w:rPr>
          <w:rFonts w:ascii="Arial" w:hAnsi="Arial" w:cs="Arial"/>
          <w:b/>
          <w:bCs/>
        </w:rPr>
        <w:t>2021 and 2026</w:t>
      </w:r>
      <w:r w:rsidRPr="00B1375A">
        <w:rPr>
          <w:rFonts w:ascii="Arial" w:hAnsi="Arial" w:cs="Arial"/>
        </w:rPr>
        <w:t xml:space="preserve">, with elevated pricing observed during </w:t>
      </w:r>
      <w:r w:rsidRPr="00B1375A">
        <w:rPr>
          <w:rFonts w:ascii="Arial" w:hAnsi="Arial" w:cs="Arial"/>
          <w:b/>
          <w:bCs/>
        </w:rPr>
        <w:t>2022–2023</w:t>
      </w:r>
      <w:r w:rsidRPr="00B1375A">
        <w:rPr>
          <w:rFonts w:ascii="Arial" w:hAnsi="Arial" w:cs="Arial"/>
        </w:rPr>
        <w:t xml:space="preserve"> followed by a gradual reduction in subsequent years.</w:t>
      </w:r>
    </w:p>
    <w:p w14:paraId="66420AEC" w14:textId="77777777" w:rsidR="00514681" w:rsidRPr="00B1375A" w:rsidRDefault="00514681" w:rsidP="00B1375A">
      <w:pPr>
        <w:spacing w:line="360" w:lineRule="auto"/>
        <w:rPr>
          <w:rFonts w:ascii="Arial" w:hAnsi="Arial" w:cs="Arial"/>
        </w:rPr>
      </w:pPr>
      <w:r w:rsidRPr="00B1375A">
        <w:rPr>
          <w:rFonts w:ascii="Arial" w:hAnsi="Arial" w:cs="Arial"/>
        </w:rPr>
        <w:t>The findings suggest that the financial attractiveness of electrical efficiency projects remains highly dependent upon prevailing market conditions.</w:t>
      </w:r>
    </w:p>
    <w:p w14:paraId="0EA9DB26" w14:textId="77777777" w:rsidR="00514681" w:rsidRPr="00B1375A" w:rsidRDefault="00514681" w:rsidP="00B1375A">
      <w:pPr>
        <w:spacing w:line="360" w:lineRule="auto"/>
        <w:rPr>
          <w:rFonts w:ascii="Arial" w:hAnsi="Arial" w:cs="Arial"/>
        </w:rPr>
      </w:pPr>
      <w:r w:rsidRPr="00B1375A">
        <w:rPr>
          <w:rFonts w:ascii="Arial" w:hAnsi="Arial" w:cs="Arial"/>
        </w:rPr>
        <w:t>During periods of elevated electricity pricing, reductions in electrical demand generate substantially greater financial return and may significantly reduce project payback periods.</w:t>
      </w:r>
    </w:p>
    <w:p w14:paraId="25490B5C" w14:textId="77777777" w:rsidR="00514681" w:rsidRPr="007E5E21" w:rsidRDefault="00514681" w:rsidP="00B1375A">
      <w:pPr>
        <w:spacing w:line="360" w:lineRule="auto"/>
        <w:rPr>
          <w:rFonts w:ascii="Arial" w:hAnsi="Arial" w:cs="Arial"/>
        </w:rPr>
      </w:pPr>
      <w:r w:rsidRPr="007E5E21">
        <w:rPr>
          <w:rFonts w:ascii="Arial" w:hAnsi="Arial" w:cs="Arial"/>
        </w:rPr>
        <w:t>However, the study also identified the importance of considering the impact of Energy Intensive Industry (EII) pricing arrangements applicable to large industrial consumers.</w:t>
      </w:r>
    </w:p>
    <w:p w14:paraId="7E4597FE" w14:textId="77777777" w:rsidR="00514681" w:rsidRPr="00B1375A" w:rsidRDefault="00514681" w:rsidP="00B1375A">
      <w:pPr>
        <w:spacing w:line="360" w:lineRule="auto"/>
        <w:rPr>
          <w:rFonts w:ascii="Arial" w:hAnsi="Arial" w:cs="Arial"/>
        </w:rPr>
      </w:pPr>
      <w:r w:rsidRPr="00B1375A">
        <w:rPr>
          <w:rFonts w:ascii="Arial" w:hAnsi="Arial" w:cs="Arial"/>
        </w:rPr>
        <w:t>Because Vale may benefit from reduced effective electricity pricing through compensation and levy exemption mechanisms, financial savings associated with reduced electrical demand may be lower than standard market assumptions.</w:t>
      </w:r>
    </w:p>
    <w:p w14:paraId="4EE4E7BB" w14:textId="77777777" w:rsidR="00514681" w:rsidRPr="00B1375A" w:rsidRDefault="00514681" w:rsidP="00B1375A">
      <w:pPr>
        <w:spacing w:line="360" w:lineRule="auto"/>
        <w:rPr>
          <w:rFonts w:ascii="Arial" w:hAnsi="Arial" w:cs="Arial"/>
        </w:rPr>
      </w:pPr>
      <w:r w:rsidRPr="00B1375A">
        <w:rPr>
          <w:rFonts w:ascii="Arial" w:hAnsi="Arial" w:cs="Arial"/>
        </w:rPr>
        <w:t>Consequently, investment decisions should not rely solely upon periods of unusually elevated electricity pricing because doing so may overstate expected financial return.</w:t>
      </w:r>
    </w:p>
    <w:p w14:paraId="3E9ABF89" w14:textId="77777777" w:rsidR="00514681" w:rsidRPr="00B1375A" w:rsidRDefault="00514681" w:rsidP="00B1375A">
      <w:pPr>
        <w:spacing w:line="360" w:lineRule="auto"/>
        <w:rPr>
          <w:rFonts w:ascii="Arial" w:hAnsi="Arial" w:cs="Arial"/>
        </w:rPr>
      </w:pPr>
      <w:r w:rsidRPr="00B1375A">
        <w:rPr>
          <w:rFonts w:ascii="Arial" w:hAnsi="Arial" w:cs="Arial"/>
        </w:rPr>
        <w:t>Instead, findings suggest that infrastructure decisions should incorporate multiple electricity pricing scenarios to improve confidence regarding long-term financial viability.</w:t>
      </w:r>
    </w:p>
    <w:p w14:paraId="51B2B300" w14:textId="77777777" w:rsidR="00514681" w:rsidRDefault="00514681" w:rsidP="00352BEB">
      <w:pPr>
        <w:pStyle w:val="Heading2"/>
      </w:pPr>
      <w:bookmarkStart w:id="20" w:name="_Toc231032069"/>
      <w:r w:rsidRPr="003927BC">
        <w:t>7.5 Limitations of the Investigation</w:t>
      </w:r>
      <w:bookmarkEnd w:id="20"/>
    </w:p>
    <w:p w14:paraId="30850E20" w14:textId="77777777" w:rsidR="002150BE" w:rsidRPr="002150BE" w:rsidRDefault="002150BE" w:rsidP="002150BE"/>
    <w:p w14:paraId="1CDBAAB5" w14:textId="77777777" w:rsidR="00E21B88" w:rsidRPr="00B1375A" w:rsidRDefault="00E21B88" w:rsidP="00B1375A">
      <w:pPr>
        <w:spacing w:line="360" w:lineRule="auto"/>
        <w:rPr>
          <w:rFonts w:ascii="Arial" w:hAnsi="Arial" w:cs="Arial"/>
        </w:rPr>
      </w:pPr>
      <w:r w:rsidRPr="00B1375A">
        <w:rPr>
          <w:rFonts w:ascii="Arial" w:hAnsi="Arial" w:cs="Arial"/>
        </w:rPr>
        <w:t>Although the investigation provided valuable practical and technical insight into opportunities for improving electrical efficiency and infrastructure resilience at the Vale site, several limitations should be acknowledged.</w:t>
      </w:r>
    </w:p>
    <w:p w14:paraId="3230AF3B" w14:textId="77777777" w:rsidR="00E21B88" w:rsidRPr="00B1375A" w:rsidRDefault="00E21B88" w:rsidP="00B1375A">
      <w:pPr>
        <w:spacing w:line="360" w:lineRule="auto"/>
        <w:rPr>
          <w:rFonts w:ascii="Arial" w:hAnsi="Arial" w:cs="Arial"/>
        </w:rPr>
      </w:pPr>
      <w:r w:rsidRPr="00B1375A">
        <w:rPr>
          <w:rFonts w:ascii="Arial" w:hAnsi="Arial" w:cs="Arial"/>
        </w:rPr>
        <w:t>Firstly, direct metering of transformer losses was not undertaken during the project. Consequently, transformer efficiency assessment relied upon literature-based assumptions, industry guidance, and comparison with expected performance characteristics of modern eco-loss transformer systems. Whilst this approach enabled indicative comparison between existing and replacement technologies, direct measurement would improve confidence regarding precise operational efficiency and associated energy savings.</w:t>
      </w:r>
    </w:p>
    <w:p w14:paraId="10BF3D3C" w14:textId="77777777" w:rsidR="00E21B88" w:rsidRPr="00B1375A" w:rsidRDefault="00E21B88" w:rsidP="00B1375A">
      <w:pPr>
        <w:spacing w:line="360" w:lineRule="auto"/>
        <w:rPr>
          <w:rFonts w:ascii="Arial" w:hAnsi="Arial" w:cs="Arial"/>
        </w:rPr>
      </w:pPr>
      <w:r w:rsidRPr="00B1375A">
        <w:rPr>
          <w:rFonts w:ascii="Arial" w:hAnsi="Arial" w:cs="Arial"/>
        </w:rPr>
        <w:lastRenderedPageBreak/>
        <w:t>Secondly, although quotations were successfully obtained for transformer replacement, oil replacement activities, pitch-box burn-out testing, and associated infrastructure works, final procurement decisions had not been completed at the time of writing. As a result, lifecycle cost assessment remains subject to refinement as future project scope, contractor selection, and operational constraints become more clearly defined.</w:t>
      </w:r>
    </w:p>
    <w:p w14:paraId="139CCF43" w14:textId="77777777" w:rsidR="00E21B88" w:rsidRPr="00B1375A" w:rsidRDefault="00E21B88" w:rsidP="00B1375A">
      <w:pPr>
        <w:spacing w:line="360" w:lineRule="auto"/>
        <w:rPr>
          <w:rFonts w:ascii="Arial" w:hAnsi="Arial" w:cs="Arial"/>
        </w:rPr>
      </w:pPr>
      <w:r w:rsidRPr="00B1375A">
        <w:rPr>
          <w:rFonts w:ascii="Arial" w:hAnsi="Arial" w:cs="Arial"/>
        </w:rPr>
        <w:t>A further limitation relates to uncertainty surrounding the condition of the existing paper insulated lead covered (PILC) cable systems and pitch-filled cable chambers associated with the transformer installation. Without intrusive inspection, electrical testing, or detailed condition assessment, the full extent of infrastructure degradation cannot be completely quantified. This introduces uncertainty regarding the overall complexity, cost, and operational risk associated with transformer replacement works.</w:t>
      </w:r>
    </w:p>
    <w:p w14:paraId="01C7F41E" w14:textId="77777777" w:rsidR="00E21B88" w:rsidRPr="00B1375A" w:rsidRDefault="00E21B88" w:rsidP="00B1375A">
      <w:pPr>
        <w:spacing w:line="360" w:lineRule="auto"/>
        <w:rPr>
          <w:rFonts w:ascii="Arial" w:hAnsi="Arial" w:cs="Arial"/>
        </w:rPr>
      </w:pPr>
      <w:r w:rsidRPr="00B1375A">
        <w:rPr>
          <w:rFonts w:ascii="Arial" w:hAnsi="Arial" w:cs="Arial"/>
        </w:rPr>
        <w:t>Furthermore, although estimated reductions in electricity consumption associated with the LED lighting upgrade were calculated using installed electrical loading and operational assumptions, longer-term post-installation monitoring would provide greater confidence regarding measured savings and system performance over time. Continued monitoring would also support future verification of lifecycle cost savings and energy reduction targets.</w:t>
      </w:r>
    </w:p>
    <w:p w14:paraId="6EECCDE8" w14:textId="77777777" w:rsidR="00E21B88" w:rsidRPr="00B1375A" w:rsidRDefault="00E21B88" w:rsidP="00B1375A">
      <w:pPr>
        <w:spacing w:line="360" w:lineRule="auto"/>
        <w:rPr>
          <w:rFonts w:ascii="Arial" w:hAnsi="Arial" w:cs="Arial"/>
        </w:rPr>
      </w:pPr>
      <w:r w:rsidRPr="00B1375A">
        <w:rPr>
          <w:rFonts w:ascii="Arial" w:hAnsi="Arial" w:cs="Arial"/>
        </w:rPr>
        <w:t>Despite these limitations, the investigation remains highly valuable because it progressed significantly beyond theoretical analysis and enabled successful practical implementation of electrical improvements within a live industrial environment. Unlike purely conceptual engineering investigations, this project achieved measurable operational outcomes through completion of the LED lighting replacement programme, while simultaneously informing wider infrastructure planning associated with transformer resilience and electrical system sustainability.</w:t>
      </w:r>
    </w:p>
    <w:p w14:paraId="0DA4212B" w14:textId="77777777" w:rsidR="00E21B88" w:rsidRPr="00B1375A" w:rsidRDefault="00E21B88" w:rsidP="00B1375A">
      <w:pPr>
        <w:spacing w:line="360" w:lineRule="auto"/>
        <w:rPr>
          <w:rFonts w:ascii="Arial" w:hAnsi="Arial" w:cs="Arial"/>
        </w:rPr>
      </w:pPr>
      <w:r w:rsidRPr="00B1375A">
        <w:rPr>
          <w:rFonts w:ascii="Arial" w:hAnsi="Arial" w:cs="Arial"/>
        </w:rPr>
        <w:t>The findings demonstrated that replacement of ageing lighting systems with LED alternatives provides a strong engineering, operational, and financial case for implementation. Measurable reductions in electrical demand were achieved, while lighting quality and maintainability were improved through replacement of obsolete fittings with more efficient modern alternatives. Importantly, the practical success of the implementation generated wider organisational confidence, resulting in requests from additional area managers for similar upgrades and contributing toward development of a broader site-wide capital expenditure (CAPEX) proposal for future lighting modernisation.</w:t>
      </w:r>
    </w:p>
    <w:p w14:paraId="6C99179B" w14:textId="77777777" w:rsidR="00E21B88" w:rsidRPr="00B1375A" w:rsidRDefault="00E21B88" w:rsidP="00B1375A">
      <w:pPr>
        <w:spacing w:line="360" w:lineRule="auto"/>
        <w:rPr>
          <w:rFonts w:ascii="Arial" w:hAnsi="Arial" w:cs="Arial"/>
        </w:rPr>
      </w:pPr>
      <w:r w:rsidRPr="00B1375A">
        <w:rPr>
          <w:rFonts w:ascii="Arial" w:hAnsi="Arial" w:cs="Arial"/>
        </w:rPr>
        <w:t xml:space="preserve">In contrast, the investigation demonstrated that transformer replacement presents substantially greater technical and financial complexity due to the presence of ageing infrastructure, pitch-filled cable chambers, PILC cable systems, and uncertainty regarding installation condition. Consequently, transformer replacement should not be considered </w:t>
      </w:r>
      <w:r w:rsidRPr="00B1375A">
        <w:rPr>
          <w:rFonts w:ascii="Arial" w:hAnsi="Arial" w:cs="Arial"/>
        </w:rPr>
        <w:lastRenderedPageBreak/>
        <w:t>solely as an energy efficiency initiative, but rather as part of a broader asset management strategy addressing electrical resilience, maintainability, operational reliability, and long-term infrastructure sustainability.</w:t>
      </w:r>
    </w:p>
    <w:p w14:paraId="482B7CDC" w14:textId="77777777" w:rsidR="00E21B88" w:rsidRPr="00B1375A" w:rsidRDefault="00E21B88" w:rsidP="00B1375A">
      <w:pPr>
        <w:spacing w:line="360" w:lineRule="auto"/>
        <w:rPr>
          <w:rFonts w:ascii="Arial" w:hAnsi="Arial" w:cs="Arial"/>
        </w:rPr>
      </w:pPr>
      <w:r w:rsidRPr="00B1375A">
        <w:rPr>
          <w:rFonts w:ascii="Arial" w:hAnsi="Arial" w:cs="Arial"/>
        </w:rPr>
        <w:t>Overall, the investigation suggests that meaningful electrical improvements can be successfully achieved within operational industrial environments when engineering decision-making balances energy efficiency, practicality, lifecycle performance, commercial considerations, and operational risk. The project therefore achieved its core objectives while also establishing a foundation for future infrastructure improvement across the wider Vale site.</w:t>
      </w:r>
    </w:p>
    <w:p w14:paraId="347476E1" w14:textId="77777777" w:rsidR="00514681" w:rsidRPr="003927BC" w:rsidRDefault="00514681"/>
    <w:p w14:paraId="1220E2A3" w14:textId="77777777" w:rsidR="00514681" w:rsidRPr="003927BC" w:rsidRDefault="00514681"/>
    <w:p w14:paraId="30AA89BB" w14:textId="77777777" w:rsidR="002B1D03" w:rsidRPr="003927BC" w:rsidRDefault="002B1D03" w:rsidP="00352BEB">
      <w:pPr>
        <w:pStyle w:val="Heading2"/>
      </w:pPr>
      <w:bookmarkStart w:id="21" w:name="_Toc231032070"/>
    </w:p>
    <w:p w14:paraId="69B87AE9" w14:textId="77777777" w:rsidR="002B1D03" w:rsidRPr="003927BC" w:rsidRDefault="002B1D03" w:rsidP="00352BEB">
      <w:pPr>
        <w:pStyle w:val="Heading2"/>
      </w:pPr>
    </w:p>
    <w:p w14:paraId="522FA305" w14:textId="77777777" w:rsidR="002B1D03" w:rsidRPr="003927BC" w:rsidRDefault="002B1D03" w:rsidP="00352BEB">
      <w:pPr>
        <w:pStyle w:val="Heading2"/>
      </w:pPr>
    </w:p>
    <w:p w14:paraId="45F1B307" w14:textId="77777777" w:rsidR="002B1D03" w:rsidRPr="003927BC" w:rsidRDefault="002B1D03" w:rsidP="00352BEB">
      <w:pPr>
        <w:pStyle w:val="Heading2"/>
      </w:pPr>
    </w:p>
    <w:p w14:paraId="576D2F9E" w14:textId="77777777" w:rsidR="002B6ACB" w:rsidRDefault="002B6ACB" w:rsidP="00352BEB">
      <w:pPr>
        <w:pStyle w:val="Heading2"/>
      </w:pPr>
    </w:p>
    <w:p w14:paraId="5E0BB3AA" w14:textId="77777777" w:rsidR="00B4511B" w:rsidRDefault="00B4511B" w:rsidP="00B4511B"/>
    <w:p w14:paraId="340B1F77" w14:textId="77777777" w:rsidR="00B4511B" w:rsidRDefault="00B4511B" w:rsidP="00B4511B"/>
    <w:p w14:paraId="34AE3DA8" w14:textId="77777777" w:rsidR="00B4511B" w:rsidRDefault="00B4511B" w:rsidP="00B4511B"/>
    <w:p w14:paraId="2009CC11" w14:textId="77777777" w:rsidR="00B4511B" w:rsidRDefault="00B4511B" w:rsidP="00B4511B"/>
    <w:p w14:paraId="4A3A28A2" w14:textId="77777777" w:rsidR="00B4511B" w:rsidRDefault="00B4511B" w:rsidP="00B4511B"/>
    <w:p w14:paraId="09F15BD6" w14:textId="77777777" w:rsidR="00B4511B" w:rsidRDefault="00B4511B" w:rsidP="00B4511B"/>
    <w:p w14:paraId="0670D58D" w14:textId="77777777" w:rsidR="00B4511B" w:rsidRDefault="00B4511B" w:rsidP="00B4511B"/>
    <w:p w14:paraId="410179E0" w14:textId="77777777" w:rsidR="00B4511B" w:rsidRDefault="00B4511B" w:rsidP="00B4511B"/>
    <w:p w14:paraId="44DB4077" w14:textId="77777777" w:rsidR="00B4511B" w:rsidRDefault="00B4511B" w:rsidP="00B4511B"/>
    <w:p w14:paraId="314F5A51" w14:textId="77777777" w:rsidR="00B4511B" w:rsidRDefault="00B4511B" w:rsidP="00B4511B"/>
    <w:p w14:paraId="18FA7217" w14:textId="77777777" w:rsidR="00B4511B" w:rsidRDefault="00B4511B" w:rsidP="00B4511B"/>
    <w:p w14:paraId="65643AEA" w14:textId="77777777" w:rsidR="00B4511B" w:rsidRDefault="00B4511B" w:rsidP="00B4511B"/>
    <w:p w14:paraId="78E621BA" w14:textId="77777777" w:rsidR="00B4511B" w:rsidRPr="00B4511B" w:rsidRDefault="00B4511B" w:rsidP="00B4511B"/>
    <w:p w14:paraId="02E46F6E" w14:textId="77777777" w:rsidR="00B1375A" w:rsidRPr="00B1375A" w:rsidRDefault="00B1375A" w:rsidP="00B1375A"/>
    <w:p w14:paraId="787A5B96" w14:textId="335ED063" w:rsidR="00514681" w:rsidRPr="003927BC" w:rsidRDefault="00514681" w:rsidP="00352BEB">
      <w:pPr>
        <w:pStyle w:val="Heading2"/>
      </w:pPr>
      <w:r w:rsidRPr="003927BC">
        <w:lastRenderedPageBreak/>
        <w:t>CHAPTER 8 – RECOMMENDED FURTHER WORK</w:t>
      </w:r>
      <w:bookmarkEnd w:id="21"/>
    </w:p>
    <w:p w14:paraId="7EA7F189" w14:textId="77777777" w:rsidR="00B926D6" w:rsidRPr="003927BC" w:rsidRDefault="00B926D6" w:rsidP="00B926D6"/>
    <w:p w14:paraId="2018A6F6" w14:textId="77777777" w:rsidR="00490EF4" w:rsidRPr="003927BC" w:rsidRDefault="00490EF4" w:rsidP="0033172E">
      <w:pPr>
        <w:spacing w:line="360" w:lineRule="auto"/>
        <w:rPr>
          <w:rFonts w:ascii="Arial" w:hAnsi="Arial" w:cs="Arial"/>
        </w:rPr>
      </w:pPr>
      <w:r w:rsidRPr="003927BC">
        <w:rPr>
          <w:rFonts w:ascii="Arial" w:hAnsi="Arial" w:cs="Arial"/>
        </w:rPr>
        <w:t>The findings of this investigation suggest that future electrical infrastructure improvements at the Vale site should prioritise a phased and risk-based approach focused upon operational reliability, energy efficiency, maintainability, and long-term asset resilience. Although both transformer replacement and lighting modernisation demonstrated opportunities for operational improvement, the evidence obtained throughout the investigation suggests that different implementation strategies are appropriate for each system due to differences in risk, infrastructure complexity, and return on investment.</w:t>
      </w:r>
    </w:p>
    <w:p w14:paraId="6CC9F997" w14:textId="493FE6F2" w:rsidR="00490EF4" w:rsidRPr="003927BC" w:rsidRDefault="00490EF4" w:rsidP="0033172E">
      <w:pPr>
        <w:spacing w:line="360" w:lineRule="auto"/>
        <w:rPr>
          <w:rFonts w:ascii="Arial" w:hAnsi="Arial" w:cs="Arial"/>
        </w:rPr>
      </w:pPr>
      <w:r w:rsidRPr="003927BC">
        <w:rPr>
          <w:rFonts w:ascii="Arial" w:hAnsi="Arial" w:cs="Arial"/>
        </w:rPr>
        <w:t>From a transformer perspective, the preferred recommendation is that replacement should initially focus upon the first ageing 1500 kVA oil-filled transformer, while the removed transformer should undergo refurbishment and overhaul before being retained as a strategic crash spare. This recommendation is considered particularly important due to the age profile of the remaining transformer infrastructure and the operational dependency placed upon continuous electrical distribution throughout the Vale site. Maintaining a refurbished spare transformer would reduce operational risk associated with unplanned failure and improve resilience by reducing potential downtime during emergency situations</w:t>
      </w:r>
      <w:r w:rsidR="009604A5" w:rsidRPr="003927BC">
        <w:rPr>
          <w:rFonts w:ascii="Arial" w:hAnsi="Arial" w:cs="Arial"/>
        </w:rPr>
        <w:t xml:space="preserve"> due to the long lead time of such a large spare.</w:t>
      </w:r>
    </w:p>
    <w:p w14:paraId="1B7907F9" w14:textId="77777777" w:rsidR="00490EF4" w:rsidRPr="003927BC" w:rsidRDefault="00490EF4" w:rsidP="0033172E">
      <w:pPr>
        <w:spacing w:line="360" w:lineRule="auto"/>
        <w:rPr>
          <w:rFonts w:ascii="Arial" w:hAnsi="Arial" w:cs="Arial"/>
        </w:rPr>
      </w:pPr>
      <w:r w:rsidRPr="003927BC">
        <w:rPr>
          <w:rFonts w:ascii="Arial" w:hAnsi="Arial" w:cs="Arial"/>
        </w:rPr>
        <w:t>Literature relating to transformer asset management suggests that replacement decisions should not be based solely upon efficiency improvements, but should instead consider lifecycle condition, reliability, maintainability, and wider infrastructure resilience (Heathcote, 2007). Therefore, retaining the removed transformer as an operational spare following refurbishment may provide greater organisational value than immediate disposal, particularly given uncertainty surrounding ageing infrastructure and future operational demand.</w:t>
      </w:r>
    </w:p>
    <w:p w14:paraId="0D33A783" w14:textId="77777777" w:rsidR="00490EF4" w:rsidRPr="003927BC" w:rsidRDefault="00490EF4" w:rsidP="0033172E">
      <w:pPr>
        <w:spacing w:line="360" w:lineRule="auto"/>
        <w:rPr>
          <w:rFonts w:ascii="Arial" w:hAnsi="Arial" w:cs="Arial"/>
        </w:rPr>
      </w:pPr>
      <w:r w:rsidRPr="003927BC">
        <w:rPr>
          <w:rFonts w:ascii="Arial" w:hAnsi="Arial" w:cs="Arial"/>
        </w:rPr>
        <w:t>Furthermore, if demand for Vale’s manufactured products remains stable or increases over the next five years, a structured transformer replacement programme should be developed whereby ageing infrastructure is progressively modernised using a phased replacement strategy. Such an approach would enable operational disruption to be minimised while allowing financial performance and reliability improvements to be monitored following initial implementation. Rather than committing to large-scale immediate replacement, phased implementation would provide an opportunity to assess actual performance improvements, operational savings, and maintenance implications before progressing toward wider transformer modernisation.</w:t>
      </w:r>
    </w:p>
    <w:p w14:paraId="11AE0E15" w14:textId="77777777" w:rsidR="00490EF4" w:rsidRPr="003927BC" w:rsidRDefault="00490EF4" w:rsidP="0033172E">
      <w:pPr>
        <w:spacing w:line="360" w:lineRule="auto"/>
        <w:rPr>
          <w:rFonts w:ascii="Arial" w:hAnsi="Arial" w:cs="Arial"/>
        </w:rPr>
      </w:pPr>
      <w:r w:rsidRPr="003927BC">
        <w:rPr>
          <w:rFonts w:ascii="Arial" w:hAnsi="Arial" w:cs="Arial"/>
        </w:rPr>
        <w:lastRenderedPageBreak/>
        <w:t>A key component of this recommendation should involve ongoing monitoring of financial performance and operational payback. Although theoretical modelling undertaken during the investigation demonstrated that modern eco-loss transformers may provide meaningful reductions in electrical losses, particularly where no-load losses remain continuously present, actual return on investment should be assessed using measured site performance data rather than theoretical assumptions alone. Monitoring should therefore include operational electricity demand, maintenance requirements, reliability performance, and whole-life cost over time. This approach aligns with recommendations by Capehart, Turner and Kennedy (2020), who argue that post-implementation monitoring improves confidence regarding infrastructure investment and supports more informed long-term engineering decision-making.</w:t>
      </w:r>
    </w:p>
    <w:p w14:paraId="5D5EE5AA" w14:textId="77777777" w:rsidR="00490EF4" w:rsidRPr="003927BC" w:rsidRDefault="00490EF4" w:rsidP="0033172E">
      <w:pPr>
        <w:spacing w:line="360" w:lineRule="auto"/>
        <w:rPr>
          <w:rFonts w:ascii="Arial" w:hAnsi="Arial" w:cs="Arial"/>
        </w:rPr>
      </w:pPr>
      <w:r w:rsidRPr="003927BC">
        <w:rPr>
          <w:rFonts w:ascii="Arial" w:hAnsi="Arial" w:cs="Arial"/>
        </w:rPr>
        <w:t>However, findings obtained throughout the investigation suggest that lighting modernisation represents the strongest immediate opportunity for future investment due to the comparatively lower implementation complexity and significantly faster return on investment. Successful replacement of 41 × 250W metal halide fittings with 100W LED luminaires, together with additional replacement of 250W SON floodlighting with 50W LED alternatives, demonstrated both technical and practical feasibility within an operational industrial environment.</w:t>
      </w:r>
    </w:p>
    <w:p w14:paraId="1C9D80C7" w14:textId="77777777" w:rsidR="00490EF4" w:rsidRPr="003927BC" w:rsidRDefault="00490EF4" w:rsidP="0033172E">
      <w:pPr>
        <w:spacing w:line="360" w:lineRule="auto"/>
        <w:rPr>
          <w:rFonts w:ascii="Arial" w:hAnsi="Arial" w:cs="Arial"/>
        </w:rPr>
      </w:pPr>
      <w:r w:rsidRPr="003927BC">
        <w:rPr>
          <w:rFonts w:ascii="Arial" w:hAnsi="Arial" w:cs="Arial"/>
        </w:rPr>
        <w:t>Importantly, the financial benefits associated with LED implementation extend substantially beyond electricity reduction alone. Whilst reduced connected electrical demand provides measurable operational savings, modern LED systems also significantly reduce maintenance requirements through longer operational life, reduced failure rates, elimination of ballast replacement, and reduced requirement for specialist access equipment (Boyce, 2014). Within industrial environments, lighting maintenance frequently requires isolation planning, permit systems, labour allocation, and use of a Mobile Elevating Work Platform (MEWP), all of which increase operational cost beyond electricity consumption alone.</w:t>
      </w:r>
    </w:p>
    <w:p w14:paraId="616219D9" w14:textId="77777777" w:rsidR="00490EF4" w:rsidRPr="003927BC" w:rsidRDefault="00490EF4" w:rsidP="0033172E">
      <w:pPr>
        <w:spacing w:line="360" w:lineRule="auto"/>
        <w:rPr>
          <w:rFonts w:ascii="Arial" w:hAnsi="Arial" w:cs="Arial"/>
        </w:rPr>
      </w:pPr>
      <w:r w:rsidRPr="003927BC">
        <w:rPr>
          <w:rFonts w:ascii="Arial" w:hAnsi="Arial" w:cs="Arial"/>
        </w:rPr>
        <w:t>Consequently, reduction in lighting maintenance demand may provide substantial indirect organisational benefit by allowing engineering labour resources to be redirected toward higher-priority maintenance activities relating to plant reliability and critical operational equipment. Thumann and Younger (2018) argue that effective energy efficiency programmes should consider labour utilisation and maintenance reduction as part of whole-life investment assessment rather than focusing exclusively upon electrical savings.</w:t>
      </w:r>
    </w:p>
    <w:p w14:paraId="0B868595" w14:textId="77777777" w:rsidR="00490EF4" w:rsidRPr="003927BC" w:rsidRDefault="00490EF4" w:rsidP="0033172E">
      <w:pPr>
        <w:spacing w:line="360" w:lineRule="auto"/>
        <w:rPr>
          <w:rFonts w:ascii="Arial" w:hAnsi="Arial" w:cs="Arial"/>
        </w:rPr>
      </w:pPr>
      <w:r w:rsidRPr="003927BC">
        <w:rPr>
          <w:rFonts w:ascii="Arial" w:hAnsi="Arial" w:cs="Arial"/>
        </w:rPr>
        <w:t xml:space="preserve">An additional operational finding emerging from implementation relates to improved lighting quality and lux performance following installation of LED luminaires. Practical observations indicated that lighting brightness improved in multiple operational areas when compared with </w:t>
      </w:r>
      <w:r w:rsidRPr="003927BC">
        <w:rPr>
          <w:rFonts w:ascii="Arial" w:hAnsi="Arial" w:cs="Arial"/>
        </w:rPr>
        <w:lastRenderedPageBreak/>
        <w:t>the original metal halide systems. Given the directional performance and higher illumination quality associated with modern LEDs, there may be opportunities within certain areas of the Vale site to reduce the overall number of fittings required whilst maintaining acceptable workplace lighting standards. This recommendation should be investigated through completion of formal lux-level surveys across operational areas to determine whether optimisation of lighting quantity may provide further reductions in electricity demand and maintenance cost.</w:t>
      </w:r>
    </w:p>
    <w:p w14:paraId="42BF603F" w14:textId="77777777" w:rsidR="00490EF4" w:rsidRPr="003927BC" w:rsidRDefault="00490EF4" w:rsidP="0033172E">
      <w:pPr>
        <w:spacing w:line="360" w:lineRule="auto"/>
        <w:rPr>
          <w:rFonts w:ascii="Arial" w:hAnsi="Arial" w:cs="Arial"/>
        </w:rPr>
      </w:pPr>
      <w:r w:rsidRPr="003927BC">
        <w:rPr>
          <w:rFonts w:ascii="Arial" w:hAnsi="Arial" w:cs="Arial"/>
        </w:rPr>
        <w:t>As a result, future work should prioritise expansion of the lighting modernisation programme across the wider Vale site through development of a phased capital expenditure (CAPEX) strategy targeting remaining internal operational areas, external infrastructure, and car park lighting. Because successful implementation has already demonstrated practical feasibility and generated wider organisational confidence, lighting replacement now represents a comparatively low-risk infrastructure improvement capable of delivering measurable operational benefit.</w:t>
      </w:r>
    </w:p>
    <w:p w14:paraId="42DC36CA" w14:textId="77777777" w:rsidR="00490EF4" w:rsidRPr="003927BC" w:rsidRDefault="00490EF4" w:rsidP="0033172E">
      <w:pPr>
        <w:spacing w:line="360" w:lineRule="auto"/>
        <w:rPr>
          <w:rFonts w:ascii="Arial" w:hAnsi="Arial" w:cs="Arial"/>
        </w:rPr>
      </w:pPr>
      <w:r w:rsidRPr="003927BC">
        <w:rPr>
          <w:rFonts w:ascii="Arial" w:hAnsi="Arial" w:cs="Arial"/>
        </w:rPr>
        <w:t>Overall, the findings of the investigation suggest that future electrical improvement at the Vale site should follow a balanced strategy whereby lighting modernisation is accelerated due to rapid return on investment and maintenance benefits, while transformer replacement is progressed in a phased and condition-based manner, supported by refurbishment of removed assets and ongoing monitoring of operational performance. Such an approach would improve electrical efficiency, strengthen infrastructure resilience, optimise maintenance labour utilisation, and support more informed long-term infrastructure planning.</w:t>
      </w:r>
    </w:p>
    <w:p w14:paraId="2C943068" w14:textId="77777777" w:rsidR="00514681" w:rsidRPr="003927BC" w:rsidRDefault="00514681"/>
    <w:p w14:paraId="0A64C82B" w14:textId="77777777" w:rsidR="000A0693" w:rsidRPr="003927BC" w:rsidRDefault="000A0693"/>
    <w:p w14:paraId="29818E95" w14:textId="77777777" w:rsidR="00F3381E" w:rsidRPr="003927BC" w:rsidRDefault="00F3381E"/>
    <w:p w14:paraId="5B44B4A6" w14:textId="77777777" w:rsidR="00F3381E" w:rsidRPr="003927BC" w:rsidRDefault="00F3381E"/>
    <w:p w14:paraId="50F2AEEA" w14:textId="77777777" w:rsidR="00F3381E" w:rsidRPr="003927BC" w:rsidRDefault="00F3381E"/>
    <w:p w14:paraId="47DFA36E" w14:textId="77777777" w:rsidR="00F3381E" w:rsidRPr="003927BC" w:rsidRDefault="00F3381E"/>
    <w:p w14:paraId="16C095E1" w14:textId="77777777" w:rsidR="00F3381E" w:rsidRPr="003927BC" w:rsidRDefault="00F3381E"/>
    <w:p w14:paraId="545F09B7" w14:textId="77777777" w:rsidR="00F3381E" w:rsidRPr="003927BC" w:rsidRDefault="00F3381E"/>
    <w:p w14:paraId="133C53E0" w14:textId="77777777" w:rsidR="00F3381E" w:rsidRPr="003927BC" w:rsidRDefault="00F3381E"/>
    <w:p w14:paraId="20EA4AD4" w14:textId="77777777" w:rsidR="00F3381E" w:rsidRPr="003927BC" w:rsidRDefault="00F3381E"/>
    <w:p w14:paraId="483D229F" w14:textId="77777777" w:rsidR="00F3381E" w:rsidRPr="003927BC" w:rsidRDefault="00F3381E"/>
    <w:p w14:paraId="46B6C208" w14:textId="66C8210E" w:rsidR="00514681" w:rsidRPr="003927BC" w:rsidRDefault="00514681" w:rsidP="00352BEB">
      <w:pPr>
        <w:pStyle w:val="Heading2"/>
      </w:pPr>
      <w:bookmarkStart w:id="22" w:name="_Toc231032075"/>
      <w:r w:rsidRPr="003927BC">
        <w:lastRenderedPageBreak/>
        <w:t>References.</w:t>
      </w:r>
      <w:bookmarkEnd w:id="22"/>
    </w:p>
    <w:p w14:paraId="1EFC0B26" w14:textId="77777777" w:rsidR="001D3DD1" w:rsidRPr="001D3DD1" w:rsidRDefault="001D3DD1" w:rsidP="001D3DD1">
      <w:pPr>
        <w:rPr>
          <w:lang w:val="en-US"/>
        </w:rPr>
      </w:pPr>
      <w:r w:rsidRPr="001D3DD1">
        <w:rPr>
          <w:lang w:val="en-US"/>
        </w:rPr>
        <w:t xml:space="preserve">Boyce, P.R. (2014) </w:t>
      </w:r>
      <w:r w:rsidRPr="001D3DD1">
        <w:rPr>
          <w:i/>
          <w:iCs/>
          <w:lang w:val="en-US"/>
        </w:rPr>
        <w:t>Human Factors in Lighting</w:t>
      </w:r>
      <w:r w:rsidRPr="001D3DD1">
        <w:rPr>
          <w:lang w:val="en-US"/>
        </w:rPr>
        <w:t xml:space="preserve">. 3rd </w:t>
      </w:r>
      <w:proofErr w:type="spellStart"/>
      <w:r w:rsidRPr="001D3DD1">
        <w:rPr>
          <w:lang w:val="en-US"/>
        </w:rPr>
        <w:t>edn</w:t>
      </w:r>
      <w:proofErr w:type="spellEnd"/>
      <w:r w:rsidRPr="001D3DD1">
        <w:rPr>
          <w:lang w:val="en-US"/>
        </w:rPr>
        <w:t>. Boca Raton: CRC Press.</w:t>
      </w:r>
    </w:p>
    <w:p w14:paraId="4644748A" w14:textId="77777777" w:rsidR="001D3DD1" w:rsidRPr="001D3DD1" w:rsidRDefault="001D3DD1" w:rsidP="001D3DD1">
      <w:pPr>
        <w:rPr>
          <w:lang w:val="en-US"/>
        </w:rPr>
      </w:pPr>
      <w:r w:rsidRPr="001D3DD1">
        <w:rPr>
          <w:lang w:val="en-US"/>
        </w:rPr>
        <w:t xml:space="preserve">Capehart, B.L., Turner, W.C. and Kennedy, W.J. (2020) </w:t>
      </w:r>
      <w:r w:rsidRPr="001D3DD1">
        <w:rPr>
          <w:i/>
          <w:iCs/>
          <w:lang w:val="en-US"/>
        </w:rPr>
        <w:t>Guide to Energy Management</w:t>
      </w:r>
      <w:r w:rsidRPr="001D3DD1">
        <w:rPr>
          <w:lang w:val="en-US"/>
        </w:rPr>
        <w:t xml:space="preserve">. 9th </w:t>
      </w:r>
      <w:proofErr w:type="spellStart"/>
      <w:r w:rsidRPr="001D3DD1">
        <w:rPr>
          <w:lang w:val="en-US"/>
        </w:rPr>
        <w:t>edn</w:t>
      </w:r>
      <w:proofErr w:type="spellEnd"/>
      <w:r w:rsidRPr="001D3DD1">
        <w:rPr>
          <w:lang w:val="en-US"/>
        </w:rPr>
        <w:t>. Lilburn, GA: Fairmont Press.</w:t>
      </w:r>
    </w:p>
    <w:p w14:paraId="4B37B3C4" w14:textId="77777777" w:rsidR="001D3DD1" w:rsidRPr="001D3DD1" w:rsidRDefault="001D3DD1" w:rsidP="001D3DD1">
      <w:pPr>
        <w:rPr>
          <w:lang w:val="en-US"/>
        </w:rPr>
      </w:pPr>
      <w:r w:rsidRPr="001D3DD1">
        <w:rPr>
          <w:lang w:val="en-US"/>
        </w:rPr>
        <w:t xml:space="preserve">Carbon Trust (2012) </w:t>
      </w:r>
      <w:r w:rsidRPr="001D3DD1">
        <w:rPr>
          <w:i/>
          <w:iCs/>
          <w:lang w:val="en-US"/>
        </w:rPr>
        <w:t>Lighting Overview: Technology Guide</w:t>
      </w:r>
      <w:r w:rsidRPr="001D3DD1">
        <w:rPr>
          <w:lang w:val="en-US"/>
        </w:rPr>
        <w:t>. London: Carbon Trust.</w:t>
      </w:r>
    </w:p>
    <w:p w14:paraId="32F833AE" w14:textId="77777777" w:rsidR="001D3DD1" w:rsidRPr="001D3DD1" w:rsidRDefault="001D3DD1" w:rsidP="001D3DD1">
      <w:pPr>
        <w:rPr>
          <w:lang w:val="en-US"/>
        </w:rPr>
      </w:pPr>
      <w:r w:rsidRPr="001D3DD1">
        <w:rPr>
          <w:lang w:val="en-US"/>
        </w:rPr>
        <w:t xml:space="preserve">Chapman, S.J. (2012) </w:t>
      </w:r>
      <w:r w:rsidRPr="001D3DD1">
        <w:rPr>
          <w:i/>
          <w:iCs/>
          <w:lang w:val="en-US"/>
        </w:rPr>
        <w:t>Electric Machinery Fundamentals</w:t>
      </w:r>
      <w:r w:rsidRPr="001D3DD1">
        <w:rPr>
          <w:lang w:val="en-US"/>
        </w:rPr>
        <w:t xml:space="preserve">. 5th </w:t>
      </w:r>
      <w:proofErr w:type="spellStart"/>
      <w:r w:rsidRPr="001D3DD1">
        <w:rPr>
          <w:lang w:val="en-US"/>
        </w:rPr>
        <w:t>edn</w:t>
      </w:r>
      <w:proofErr w:type="spellEnd"/>
      <w:r w:rsidRPr="001D3DD1">
        <w:rPr>
          <w:lang w:val="en-US"/>
        </w:rPr>
        <w:t>. New York: McGraw-Hill Education.</w:t>
      </w:r>
    </w:p>
    <w:p w14:paraId="76E36D01" w14:textId="77777777" w:rsidR="001D3DD1" w:rsidRPr="001D3DD1" w:rsidRDefault="001D3DD1" w:rsidP="001D3DD1">
      <w:pPr>
        <w:rPr>
          <w:lang w:val="en-US"/>
        </w:rPr>
      </w:pPr>
      <w:r w:rsidRPr="001D3DD1">
        <w:rPr>
          <w:lang w:val="en-US"/>
        </w:rPr>
        <w:t xml:space="preserve">Dawood, A., Mahmood, S., Abbas, M. and Hassan, M. (2024) ‘Reduction of transformer core losses through improved grain-oriented electrical steel design’, </w:t>
      </w:r>
      <w:r w:rsidRPr="001D3DD1">
        <w:rPr>
          <w:i/>
          <w:iCs/>
          <w:lang w:val="en-US"/>
        </w:rPr>
        <w:t>Results in Engineering</w:t>
      </w:r>
      <w:r w:rsidRPr="001D3DD1">
        <w:rPr>
          <w:lang w:val="en-US"/>
        </w:rPr>
        <w:t>, 21, pp. 1–12.</w:t>
      </w:r>
    </w:p>
    <w:p w14:paraId="0DD9B48E" w14:textId="77777777" w:rsidR="001D3DD1" w:rsidRPr="001D3DD1" w:rsidRDefault="001D3DD1" w:rsidP="001D3DD1">
      <w:pPr>
        <w:rPr>
          <w:lang w:val="en-US"/>
        </w:rPr>
      </w:pPr>
      <w:r w:rsidRPr="001D3DD1">
        <w:rPr>
          <w:lang w:val="en-US"/>
        </w:rPr>
        <w:t xml:space="preserve">Department for Energy Security and Net Zero (2023) </w:t>
      </w:r>
      <w:r w:rsidRPr="001D3DD1">
        <w:rPr>
          <w:i/>
          <w:iCs/>
          <w:lang w:val="en-US"/>
        </w:rPr>
        <w:t>Energy Intensive Industries Compensation Scheme: Government Guidance</w:t>
      </w:r>
      <w:r w:rsidRPr="001D3DD1">
        <w:rPr>
          <w:lang w:val="en-US"/>
        </w:rPr>
        <w:t>. London: UK Government.</w:t>
      </w:r>
    </w:p>
    <w:p w14:paraId="73F0625B" w14:textId="77777777" w:rsidR="001D3DD1" w:rsidRPr="001D3DD1" w:rsidRDefault="001D3DD1" w:rsidP="001D3DD1">
      <w:pPr>
        <w:rPr>
          <w:lang w:val="en-US"/>
        </w:rPr>
      </w:pPr>
      <w:proofErr w:type="spellStart"/>
      <w:r w:rsidRPr="001D3DD1">
        <w:rPr>
          <w:lang w:val="en-US"/>
        </w:rPr>
        <w:t>DiLouie</w:t>
      </w:r>
      <w:proofErr w:type="spellEnd"/>
      <w:r w:rsidRPr="001D3DD1">
        <w:rPr>
          <w:lang w:val="en-US"/>
        </w:rPr>
        <w:t xml:space="preserve">, C. (2006) </w:t>
      </w:r>
      <w:r w:rsidRPr="001D3DD1">
        <w:rPr>
          <w:i/>
          <w:iCs/>
          <w:lang w:val="en-US"/>
        </w:rPr>
        <w:t>Advanced Lighting Controls: Energy Savings, Productivity, Technology and Applications</w:t>
      </w:r>
      <w:r w:rsidRPr="001D3DD1">
        <w:rPr>
          <w:lang w:val="en-US"/>
        </w:rPr>
        <w:t>. Lilburn, GA: Fairmont Press.</w:t>
      </w:r>
    </w:p>
    <w:p w14:paraId="67FA34CB" w14:textId="77777777" w:rsidR="001D3DD1" w:rsidRPr="001D3DD1" w:rsidRDefault="001D3DD1" w:rsidP="001D3DD1">
      <w:pPr>
        <w:rPr>
          <w:lang w:val="en-US"/>
        </w:rPr>
      </w:pPr>
      <w:proofErr w:type="spellStart"/>
      <w:r w:rsidRPr="001D3DD1">
        <w:rPr>
          <w:lang w:val="en-US"/>
        </w:rPr>
        <w:t>DiLouie</w:t>
      </w:r>
      <w:proofErr w:type="spellEnd"/>
      <w:r w:rsidRPr="001D3DD1">
        <w:rPr>
          <w:lang w:val="en-US"/>
        </w:rPr>
        <w:t xml:space="preserve">, C. (2012) </w:t>
      </w:r>
      <w:r w:rsidRPr="001D3DD1">
        <w:rPr>
          <w:i/>
          <w:iCs/>
          <w:lang w:val="en-US"/>
        </w:rPr>
        <w:t>Lighting Controls Handbook</w:t>
      </w:r>
      <w:r w:rsidRPr="001D3DD1">
        <w:rPr>
          <w:lang w:val="en-US"/>
        </w:rPr>
        <w:t>. Lilburn, GA: Fairmont Press.</w:t>
      </w:r>
    </w:p>
    <w:p w14:paraId="04C833C8" w14:textId="77777777" w:rsidR="001D3DD1" w:rsidRPr="001D3DD1" w:rsidRDefault="001D3DD1" w:rsidP="001D3DD1">
      <w:pPr>
        <w:rPr>
          <w:lang w:val="en-US"/>
        </w:rPr>
      </w:pPr>
      <w:r w:rsidRPr="001D3DD1">
        <w:rPr>
          <w:lang w:val="en-US"/>
        </w:rPr>
        <w:t xml:space="preserve">Harlow, J.H. (2012) </w:t>
      </w:r>
      <w:r w:rsidRPr="001D3DD1">
        <w:rPr>
          <w:i/>
          <w:iCs/>
          <w:lang w:val="en-US"/>
        </w:rPr>
        <w:t>Electric Power Transformer Engineering</w:t>
      </w:r>
      <w:r w:rsidRPr="001D3DD1">
        <w:rPr>
          <w:lang w:val="en-US"/>
        </w:rPr>
        <w:t xml:space="preserve">. 3rd </w:t>
      </w:r>
      <w:proofErr w:type="spellStart"/>
      <w:r w:rsidRPr="001D3DD1">
        <w:rPr>
          <w:lang w:val="en-US"/>
        </w:rPr>
        <w:t>edn</w:t>
      </w:r>
      <w:proofErr w:type="spellEnd"/>
      <w:r w:rsidRPr="001D3DD1">
        <w:rPr>
          <w:lang w:val="en-US"/>
        </w:rPr>
        <w:t>. Boca Raton: CRC Press.</w:t>
      </w:r>
    </w:p>
    <w:p w14:paraId="0F771F94" w14:textId="77777777" w:rsidR="001D3DD1" w:rsidRPr="001D3DD1" w:rsidRDefault="001D3DD1" w:rsidP="001D3DD1">
      <w:pPr>
        <w:rPr>
          <w:lang w:val="en-US"/>
        </w:rPr>
      </w:pPr>
      <w:r w:rsidRPr="001D3DD1">
        <w:rPr>
          <w:lang w:val="en-US"/>
        </w:rPr>
        <w:t xml:space="preserve">Heathcote, M.J. (2007) </w:t>
      </w:r>
      <w:r w:rsidRPr="001D3DD1">
        <w:rPr>
          <w:i/>
          <w:iCs/>
          <w:lang w:val="en-US"/>
        </w:rPr>
        <w:t>The J &amp; P Transformer Book</w:t>
      </w:r>
      <w:r w:rsidRPr="001D3DD1">
        <w:rPr>
          <w:lang w:val="en-US"/>
        </w:rPr>
        <w:t xml:space="preserve">. 13th </w:t>
      </w:r>
      <w:proofErr w:type="spellStart"/>
      <w:r w:rsidRPr="001D3DD1">
        <w:rPr>
          <w:lang w:val="en-US"/>
        </w:rPr>
        <w:t>edn</w:t>
      </w:r>
      <w:proofErr w:type="spellEnd"/>
      <w:r w:rsidRPr="001D3DD1">
        <w:rPr>
          <w:lang w:val="en-US"/>
        </w:rPr>
        <w:t>. Oxford: Elsevier.</w:t>
      </w:r>
    </w:p>
    <w:p w14:paraId="680332C6" w14:textId="77777777" w:rsidR="001D3DD1" w:rsidRPr="001D3DD1" w:rsidRDefault="001D3DD1" w:rsidP="001D3DD1">
      <w:pPr>
        <w:rPr>
          <w:lang w:val="en-US"/>
        </w:rPr>
      </w:pPr>
      <w:r w:rsidRPr="001D3DD1">
        <w:rPr>
          <w:lang w:val="en-US"/>
        </w:rPr>
        <w:t xml:space="preserve">International Energy Agency (2023) </w:t>
      </w:r>
      <w:r w:rsidRPr="001D3DD1">
        <w:rPr>
          <w:i/>
          <w:iCs/>
          <w:lang w:val="en-US"/>
        </w:rPr>
        <w:t>Electricity Market Report 2023</w:t>
      </w:r>
      <w:r w:rsidRPr="001D3DD1">
        <w:rPr>
          <w:lang w:val="en-US"/>
        </w:rPr>
        <w:t>. Paris: International Energy Agency.</w:t>
      </w:r>
    </w:p>
    <w:p w14:paraId="5DBFD71B" w14:textId="77777777" w:rsidR="001D3DD1" w:rsidRPr="001D3DD1" w:rsidRDefault="001D3DD1" w:rsidP="001D3DD1">
      <w:pPr>
        <w:rPr>
          <w:lang w:val="en-US"/>
        </w:rPr>
      </w:pPr>
      <w:r w:rsidRPr="001D3DD1">
        <w:rPr>
          <w:lang w:val="en-US"/>
        </w:rPr>
        <w:t xml:space="preserve">Karlsson, L. (2008) ‘Dissolved gas analysis and transformer lifetime management’, </w:t>
      </w:r>
      <w:r w:rsidRPr="001D3DD1">
        <w:rPr>
          <w:i/>
          <w:iCs/>
          <w:lang w:val="en-US"/>
        </w:rPr>
        <w:t>ABB Review</w:t>
      </w:r>
      <w:r w:rsidRPr="001D3DD1">
        <w:rPr>
          <w:lang w:val="en-US"/>
        </w:rPr>
        <w:t>, 2, pp. 18–22.</w:t>
      </w:r>
    </w:p>
    <w:p w14:paraId="23AC0658" w14:textId="77777777" w:rsidR="001D3DD1" w:rsidRPr="001D3DD1" w:rsidRDefault="001D3DD1" w:rsidP="001D3DD1">
      <w:pPr>
        <w:rPr>
          <w:lang w:val="en-US"/>
        </w:rPr>
      </w:pPr>
      <w:r w:rsidRPr="001D3DD1">
        <w:rPr>
          <w:lang w:val="en-US"/>
        </w:rPr>
        <w:t xml:space="preserve">Kerzner, H. (2022) </w:t>
      </w:r>
      <w:r w:rsidRPr="001D3DD1">
        <w:rPr>
          <w:i/>
          <w:iCs/>
          <w:lang w:val="en-US"/>
        </w:rPr>
        <w:t>Project Management: A Systems Approach to Planning, Scheduling, and Controlling</w:t>
      </w:r>
      <w:r w:rsidRPr="001D3DD1">
        <w:rPr>
          <w:lang w:val="en-US"/>
        </w:rPr>
        <w:t xml:space="preserve">. 13th </w:t>
      </w:r>
      <w:proofErr w:type="spellStart"/>
      <w:r w:rsidRPr="001D3DD1">
        <w:rPr>
          <w:lang w:val="en-US"/>
        </w:rPr>
        <w:t>edn</w:t>
      </w:r>
      <w:proofErr w:type="spellEnd"/>
      <w:r w:rsidRPr="001D3DD1">
        <w:rPr>
          <w:lang w:val="en-US"/>
        </w:rPr>
        <w:t>. Hoboken, NJ: Wiley.</w:t>
      </w:r>
    </w:p>
    <w:p w14:paraId="197C2827" w14:textId="77777777" w:rsidR="001D3DD1" w:rsidRPr="001D3DD1" w:rsidRDefault="001D3DD1" w:rsidP="001D3DD1">
      <w:pPr>
        <w:rPr>
          <w:lang w:val="en-US"/>
        </w:rPr>
      </w:pPr>
      <w:r w:rsidRPr="001D3DD1">
        <w:rPr>
          <w:lang w:val="en-US"/>
        </w:rPr>
        <w:t xml:space="preserve">Kulkarni, S.V. and </w:t>
      </w:r>
      <w:proofErr w:type="spellStart"/>
      <w:r w:rsidRPr="001D3DD1">
        <w:rPr>
          <w:lang w:val="en-US"/>
        </w:rPr>
        <w:t>Khaparde</w:t>
      </w:r>
      <w:proofErr w:type="spellEnd"/>
      <w:r w:rsidRPr="001D3DD1">
        <w:rPr>
          <w:lang w:val="en-US"/>
        </w:rPr>
        <w:t xml:space="preserve">, S.A. (2013) </w:t>
      </w:r>
      <w:r w:rsidRPr="001D3DD1">
        <w:rPr>
          <w:i/>
          <w:iCs/>
          <w:lang w:val="en-US"/>
        </w:rPr>
        <w:t>Transformer Engineering: Design and Practice</w:t>
      </w:r>
      <w:r w:rsidRPr="001D3DD1">
        <w:rPr>
          <w:lang w:val="en-US"/>
        </w:rPr>
        <w:t xml:space="preserve">. 2nd </w:t>
      </w:r>
      <w:proofErr w:type="spellStart"/>
      <w:r w:rsidRPr="001D3DD1">
        <w:rPr>
          <w:lang w:val="en-US"/>
        </w:rPr>
        <w:t>edn</w:t>
      </w:r>
      <w:proofErr w:type="spellEnd"/>
      <w:r w:rsidRPr="001D3DD1">
        <w:rPr>
          <w:lang w:val="en-US"/>
        </w:rPr>
        <w:t>. Boca Raton: CRC Press.</w:t>
      </w:r>
    </w:p>
    <w:p w14:paraId="4B1D0CE6" w14:textId="77777777" w:rsidR="001D3DD1" w:rsidRPr="001D3DD1" w:rsidRDefault="001D3DD1" w:rsidP="001D3DD1">
      <w:pPr>
        <w:rPr>
          <w:lang w:val="en-US"/>
        </w:rPr>
      </w:pPr>
      <w:r w:rsidRPr="001D3DD1">
        <w:rPr>
          <w:lang w:val="en-US"/>
        </w:rPr>
        <w:t xml:space="preserve">Li, J., Wang, Y. and Li, Q. (2012) ‘Research on loss reduction characteristics of amorphous alloy core transformers’, </w:t>
      </w:r>
      <w:r w:rsidRPr="001D3DD1">
        <w:rPr>
          <w:i/>
          <w:iCs/>
          <w:lang w:val="en-US"/>
        </w:rPr>
        <w:t>IEEE Transactions on Magnetics</w:t>
      </w:r>
      <w:r w:rsidRPr="001D3DD1">
        <w:rPr>
          <w:lang w:val="en-US"/>
        </w:rPr>
        <w:t>, 48(11), pp. 3855–3858.</w:t>
      </w:r>
    </w:p>
    <w:p w14:paraId="3484BE41" w14:textId="77777777" w:rsidR="001D3DD1" w:rsidRPr="001D3DD1" w:rsidRDefault="001D3DD1" w:rsidP="001D3DD1">
      <w:pPr>
        <w:rPr>
          <w:lang w:val="en-US"/>
        </w:rPr>
      </w:pPr>
      <w:r w:rsidRPr="001D3DD1">
        <w:rPr>
          <w:lang w:val="en-US"/>
        </w:rPr>
        <w:t xml:space="preserve">Mason, C.R. (2007) </w:t>
      </w:r>
      <w:r w:rsidRPr="001D3DD1">
        <w:rPr>
          <w:i/>
          <w:iCs/>
          <w:lang w:val="en-US"/>
        </w:rPr>
        <w:t>Art and Science of Protective Relaying</w:t>
      </w:r>
      <w:r w:rsidRPr="001D3DD1">
        <w:rPr>
          <w:lang w:val="en-US"/>
        </w:rPr>
        <w:t>. Hoboken, NJ: Wiley.</w:t>
      </w:r>
    </w:p>
    <w:p w14:paraId="63839043" w14:textId="77777777" w:rsidR="001D3DD1" w:rsidRPr="001D3DD1" w:rsidRDefault="001D3DD1" w:rsidP="001D3DD1">
      <w:pPr>
        <w:rPr>
          <w:lang w:val="en-US"/>
        </w:rPr>
      </w:pPr>
      <w:r w:rsidRPr="001D3DD1">
        <w:rPr>
          <w:lang w:val="en-US"/>
        </w:rPr>
        <w:t xml:space="preserve">McDonald, J.D. (2016) </w:t>
      </w:r>
      <w:r w:rsidRPr="001D3DD1">
        <w:rPr>
          <w:i/>
          <w:iCs/>
          <w:lang w:val="en-US"/>
        </w:rPr>
        <w:t>Electric Power Substations Engineering</w:t>
      </w:r>
      <w:r w:rsidRPr="001D3DD1">
        <w:rPr>
          <w:lang w:val="en-US"/>
        </w:rPr>
        <w:t xml:space="preserve">. 3rd </w:t>
      </w:r>
      <w:proofErr w:type="spellStart"/>
      <w:r w:rsidRPr="001D3DD1">
        <w:rPr>
          <w:lang w:val="en-US"/>
        </w:rPr>
        <w:t>edn</w:t>
      </w:r>
      <w:proofErr w:type="spellEnd"/>
      <w:r w:rsidRPr="001D3DD1">
        <w:rPr>
          <w:lang w:val="en-US"/>
        </w:rPr>
        <w:t>. Boca Raton: CRC Press.</w:t>
      </w:r>
    </w:p>
    <w:p w14:paraId="49425393" w14:textId="77777777" w:rsidR="001D3DD1" w:rsidRPr="001D3DD1" w:rsidRDefault="001D3DD1" w:rsidP="001D3DD1">
      <w:pPr>
        <w:rPr>
          <w:lang w:val="en-US"/>
        </w:rPr>
      </w:pPr>
      <w:r w:rsidRPr="001D3DD1">
        <w:rPr>
          <w:lang w:val="en-US"/>
        </w:rPr>
        <w:t xml:space="preserve">Meredith, J.R., Shafer, S.M. and Mantel, S.J. (2022) </w:t>
      </w:r>
      <w:r w:rsidRPr="001D3DD1">
        <w:rPr>
          <w:i/>
          <w:iCs/>
          <w:lang w:val="en-US"/>
        </w:rPr>
        <w:t>Project Management: A Managerial Approach</w:t>
      </w:r>
      <w:r w:rsidRPr="001D3DD1">
        <w:rPr>
          <w:lang w:val="en-US"/>
        </w:rPr>
        <w:t xml:space="preserve">. 11th </w:t>
      </w:r>
      <w:proofErr w:type="spellStart"/>
      <w:r w:rsidRPr="001D3DD1">
        <w:rPr>
          <w:lang w:val="en-US"/>
        </w:rPr>
        <w:t>edn</w:t>
      </w:r>
      <w:proofErr w:type="spellEnd"/>
      <w:r w:rsidRPr="001D3DD1">
        <w:rPr>
          <w:lang w:val="en-US"/>
        </w:rPr>
        <w:t>. Hoboken, NJ: Wiley.</w:t>
      </w:r>
    </w:p>
    <w:p w14:paraId="108D0433" w14:textId="77777777" w:rsidR="001D3DD1" w:rsidRPr="001D3DD1" w:rsidRDefault="001D3DD1" w:rsidP="001D3DD1">
      <w:pPr>
        <w:rPr>
          <w:lang w:val="en-US"/>
        </w:rPr>
      </w:pPr>
      <w:r w:rsidRPr="001D3DD1">
        <w:rPr>
          <w:lang w:val="en-US"/>
        </w:rPr>
        <w:t xml:space="preserve">Mustafa, A., Ahmed, S., Khan, M. and Hussain, R. (2024) ‘Assessment of transformer oil degradation and insulation reliability in ageing transformers’, </w:t>
      </w:r>
      <w:r w:rsidRPr="001D3DD1">
        <w:rPr>
          <w:i/>
          <w:iCs/>
          <w:lang w:val="en-US"/>
        </w:rPr>
        <w:t>Energies</w:t>
      </w:r>
      <w:r w:rsidRPr="001D3DD1">
        <w:rPr>
          <w:lang w:val="en-US"/>
        </w:rPr>
        <w:t>, 17(3), pp. 1–19.</w:t>
      </w:r>
    </w:p>
    <w:p w14:paraId="0CE6CB2F" w14:textId="77777777" w:rsidR="001D3DD1" w:rsidRPr="001D3DD1" w:rsidRDefault="001D3DD1" w:rsidP="001D3DD1">
      <w:pPr>
        <w:rPr>
          <w:lang w:val="en-US"/>
        </w:rPr>
      </w:pPr>
      <w:r w:rsidRPr="001D3DD1">
        <w:rPr>
          <w:lang w:val="en-US"/>
        </w:rPr>
        <w:t xml:space="preserve">Ofgem (2023) </w:t>
      </w:r>
      <w:r w:rsidRPr="001D3DD1">
        <w:rPr>
          <w:i/>
          <w:iCs/>
          <w:lang w:val="en-US"/>
        </w:rPr>
        <w:t>Wholesale Energy Markets in 2023</w:t>
      </w:r>
      <w:r w:rsidRPr="001D3DD1">
        <w:rPr>
          <w:lang w:val="en-US"/>
        </w:rPr>
        <w:t>. London: Office of Gas and Electricity Markets.</w:t>
      </w:r>
    </w:p>
    <w:p w14:paraId="0D0D7576" w14:textId="77777777" w:rsidR="001D3DD1" w:rsidRPr="001D3DD1" w:rsidRDefault="001D3DD1" w:rsidP="001D3DD1">
      <w:pPr>
        <w:rPr>
          <w:lang w:val="en-US"/>
        </w:rPr>
      </w:pPr>
      <w:r w:rsidRPr="001D3DD1">
        <w:rPr>
          <w:lang w:val="en-US"/>
        </w:rPr>
        <w:t xml:space="preserve">Project Management Institute (PMI) (2021) </w:t>
      </w:r>
      <w:r w:rsidRPr="001D3DD1">
        <w:rPr>
          <w:i/>
          <w:iCs/>
          <w:lang w:val="en-US"/>
        </w:rPr>
        <w:t>A Guide to the Project Management Body of Knowledge (PMBOK Guide)</w:t>
      </w:r>
      <w:r w:rsidRPr="001D3DD1">
        <w:rPr>
          <w:lang w:val="en-US"/>
        </w:rPr>
        <w:t xml:space="preserve">. 7th </w:t>
      </w:r>
      <w:proofErr w:type="spellStart"/>
      <w:r w:rsidRPr="001D3DD1">
        <w:rPr>
          <w:lang w:val="en-US"/>
        </w:rPr>
        <w:t>edn</w:t>
      </w:r>
      <w:proofErr w:type="spellEnd"/>
      <w:r w:rsidRPr="001D3DD1">
        <w:rPr>
          <w:lang w:val="en-US"/>
        </w:rPr>
        <w:t>. Pennsylvania: PMI.</w:t>
      </w:r>
    </w:p>
    <w:p w14:paraId="585FE9DC" w14:textId="77777777" w:rsidR="001D3DD1" w:rsidRPr="001D3DD1" w:rsidRDefault="001D3DD1" w:rsidP="001D3DD1">
      <w:pPr>
        <w:rPr>
          <w:lang w:val="en-US"/>
        </w:rPr>
      </w:pPr>
      <w:r w:rsidRPr="001D3DD1">
        <w:rPr>
          <w:lang w:val="en-US"/>
        </w:rPr>
        <w:lastRenderedPageBreak/>
        <w:t xml:space="preserve">Saunders, M., Lewis, P. and Thornhill, A. (2019) </w:t>
      </w:r>
      <w:r w:rsidRPr="001D3DD1">
        <w:rPr>
          <w:i/>
          <w:iCs/>
          <w:lang w:val="en-US"/>
        </w:rPr>
        <w:t>Research Methods for Business Students</w:t>
      </w:r>
      <w:r w:rsidRPr="001D3DD1">
        <w:rPr>
          <w:lang w:val="en-US"/>
        </w:rPr>
        <w:t xml:space="preserve">. 8th </w:t>
      </w:r>
      <w:proofErr w:type="spellStart"/>
      <w:r w:rsidRPr="001D3DD1">
        <w:rPr>
          <w:lang w:val="en-US"/>
        </w:rPr>
        <w:t>edn</w:t>
      </w:r>
      <w:proofErr w:type="spellEnd"/>
      <w:r w:rsidRPr="001D3DD1">
        <w:rPr>
          <w:lang w:val="en-US"/>
        </w:rPr>
        <w:t>. Harlow: Pearson Education.</w:t>
      </w:r>
    </w:p>
    <w:p w14:paraId="729B8D63" w14:textId="77777777" w:rsidR="001D3DD1" w:rsidRPr="001D3DD1" w:rsidRDefault="001D3DD1" w:rsidP="001D3DD1">
      <w:pPr>
        <w:rPr>
          <w:lang w:val="en-US"/>
        </w:rPr>
      </w:pPr>
      <w:r w:rsidRPr="001D3DD1">
        <w:rPr>
          <w:lang w:val="en-US"/>
        </w:rPr>
        <w:t xml:space="preserve">Takagi, T., Nakamura, K. and Yamamoto, T. (2011) ‘Performance characteristics of amorphous metal core transformers for energy saving applications’, </w:t>
      </w:r>
      <w:r w:rsidRPr="001D3DD1">
        <w:rPr>
          <w:i/>
          <w:iCs/>
          <w:lang w:val="en-US"/>
        </w:rPr>
        <w:t>IEEE Transactions on Power Delivery</w:t>
      </w:r>
      <w:r w:rsidRPr="001D3DD1">
        <w:rPr>
          <w:lang w:val="en-US"/>
        </w:rPr>
        <w:t>, 26(4), pp. 2456–2463.</w:t>
      </w:r>
    </w:p>
    <w:p w14:paraId="548C0174" w14:textId="77777777" w:rsidR="001D3DD1" w:rsidRPr="001D3DD1" w:rsidRDefault="001D3DD1" w:rsidP="001D3DD1">
      <w:pPr>
        <w:rPr>
          <w:lang w:val="en-US"/>
        </w:rPr>
      </w:pPr>
      <w:r w:rsidRPr="001D3DD1">
        <w:rPr>
          <w:lang w:val="en-US"/>
        </w:rPr>
        <w:t xml:space="preserve">Thumann, A. and Younger, W.J. (2018) </w:t>
      </w:r>
      <w:r w:rsidRPr="001D3DD1">
        <w:rPr>
          <w:i/>
          <w:iCs/>
          <w:lang w:val="en-US"/>
        </w:rPr>
        <w:t>Handbook of Energy Audits</w:t>
      </w:r>
      <w:r w:rsidRPr="001D3DD1">
        <w:rPr>
          <w:lang w:val="en-US"/>
        </w:rPr>
        <w:t xml:space="preserve">. 9th </w:t>
      </w:r>
      <w:proofErr w:type="spellStart"/>
      <w:r w:rsidRPr="001D3DD1">
        <w:rPr>
          <w:lang w:val="en-US"/>
        </w:rPr>
        <w:t>edn</w:t>
      </w:r>
      <w:proofErr w:type="spellEnd"/>
      <w:r w:rsidRPr="001D3DD1">
        <w:rPr>
          <w:lang w:val="en-US"/>
        </w:rPr>
        <w:t>. Boca Raton: CRC Press.</w:t>
      </w:r>
    </w:p>
    <w:p w14:paraId="1A20ADF6" w14:textId="77777777" w:rsidR="001D3DD1" w:rsidRDefault="001D3DD1" w:rsidP="001D3DD1">
      <w:pPr>
        <w:rPr>
          <w:lang w:val="en-US"/>
        </w:rPr>
      </w:pPr>
      <w:proofErr w:type="spellStart"/>
      <w:r w:rsidRPr="001D3DD1">
        <w:rPr>
          <w:lang w:val="en-US"/>
        </w:rPr>
        <w:t>Trianni</w:t>
      </w:r>
      <w:proofErr w:type="spellEnd"/>
      <w:r w:rsidRPr="001D3DD1">
        <w:rPr>
          <w:lang w:val="en-US"/>
        </w:rPr>
        <w:t xml:space="preserve">, A. and Cagno, E. (2012) ‘Dealing with barriers to energy efficiency and SMEs: Some empirical </w:t>
      </w:r>
      <w:proofErr w:type="gramStart"/>
      <w:r w:rsidRPr="001D3DD1">
        <w:rPr>
          <w:lang w:val="en-US"/>
        </w:rPr>
        <w:t>evidences’</w:t>
      </w:r>
      <w:proofErr w:type="gramEnd"/>
      <w:r w:rsidRPr="001D3DD1">
        <w:rPr>
          <w:lang w:val="en-US"/>
        </w:rPr>
        <w:t xml:space="preserve">, </w:t>
      </w:r>
      <w:r w:rsidRPr="001D3DD1">
        <w:rPr>
          <w:i/>
          <w:iCs/>
          <w:lang w:val="en-US"/>
        </w:rPr>
        <w:t>Energy</w:t>
      </w:r>
      <w:r w:rsidRPr="001D3DD1">
        <w:rPr>
          <w:lang w:val="en-US"/>
        </w:rPr>
        <w:t>, 37(1), pp. 494–504.</w:t>
      </w:r>
    </w:p>
    <w:p w14:paraId="3D9E418D" w14:textId="41D12ACB" w:rsidR="009C38DF" w:rsidRPr="001D3DD1" w:rsidRDefault="009C38DF" w:rsidP="001D3DD1">
      <w:pPr>
        <w:rPr>
          <w:lang w:val="en-US"/>
        </w:rPr>
      </w:pPr>
      <w:proofErr w:type="spellStart"/>
      <w:r w:rsidRPr="009C38DF">
        <w:t>Varelen</w:t>
      </w:r>
      <w:proofErr w:type="spellEnd"/>
      <w:r w:rsidRPr="009C38DF">
        <w:t xml:space="preserve"> Electric (no date) </w:t>
      </w:r>
      <w:r w:rsidRPr="009C38DF">
        <w:rPr>
          <w:i/>
          <w:iCs/>
        </w:rPr>
        <w:t>Distribution transformer core</w:t>
      </w:r>
      <w:r w:rsidRPr="009C38DF">
        <w:t>. Available at: [</w:t>
      </w:r>
      <w:hyperlink r:id="rId22" w:history="1">
        <w:r w:rsidR="001D2082" w:rsidRPr="001D2082">
          <w:rPr>
            <w:rStyle w:val="Hyperlink"/>
          </w:rPr>
          <w:t>distribution transformer core -</w:t>
        </w:r>
        <w:proofErr w:type="spellStart"/>
        <w:r w:rsidR="001D2082" w:rsidRPr="001D2082">
          <w:rPr>
            <w:rStyle w:val="Hyperlink"/>
          </w:rPr>
          <w:t>Varelen</w:t>
        </w:r>
        <w:proofErr w:type="spellEnd"/>
        <w:r w:rsidR="001D2082" w:rsidRPr="001D2082">
          <w:rPr>
            <w:rStyle w:val="Hyperlink"/>
          </w:rPr>
          <w:t xml:space="preserve"> Electric</w:t>
        </w:r>
      </w:hyperlink>
      <w:r w:rsidRPr="009C38DF">
        <w:t>] (Accessed: 31 May 2026).</w:t>
      </w:r>
    </w:p>
    <w:p w14:paraId="72BE82A4" w14:textId="77777777" w:rsidR="001D3DD1" w:rsidRPr="001D3DD1" w:rsidRDefault="001D3DD1" w:rsidP="001D3DD1">
      <w:pPr>
        <w:rPr>
          <w:lang w:val="en-US"/>
        </w:rPr>
      </w:pPr>
      <w:r w:rsidRPr="001D3DD1">
        <w:rPr>
          <w:lang w:val="en-US"/>
        </w:rPr>
        <w:t xml:space="preserve">Wani, S.A., Ahmad, F., Khan, S. and Hussain, A. (2021) ‘Dissolved gas analysis techniques for transformer condition monitoring: A review’, </w:t>
      </w:r>
      <w:r w:rsidRPr="001D3DD1">
        <w:rPr>
          <w:i/>
          <w:iCs/>
          <w:lang w:val="en-US"/>
        </w:rPr>
        <w:t>IEEE Access</w:t>
      </w:r>
      <w:r w:rsidRPr="001D3DD1">
        <w:rPr>
          <w:lang w:val="en-US"/>
        </w:rPr>
        <w:t>, 9, pp. 112233–112250.</w:t>
      </w:r>
    </w:p>
    <w:p w14:paraId="11A6CA56" w14:textId="77777777" w:rsidR="001D3DD1" w:rsidRPr="001D3DD1" w:rsidRDefault="001D3DD1" w:rsidP="001D3DD1">
      <w:pPr>
        <w:rPr>
          <w:lang w:val="en-US"/>
        </w:rPr>
      </w:pPr>
      <w:r w:rsidRPr="001D3DD1">
        <w:rPr>
          <w:lang w:val="en-US"/>
        </w:rPr>
        <w:t xml:space="preserve">Zapf, M., Müller, H. and Richter, K. (2021) ‘Ageing mechanisms and lifetime assessment of paper insulated lead covered cable systems’, </w:t>
      </w:r>
      <w:r w:rsidRPr="001D3DD1">
        <w:rPr>
          <w:i/>
          <w:iCs/>
          <w:lang w:val="en-US"/>
        </w:rPr>
        <w:t>Electric Power Systems Research</w:t>
      </w:r>
      <w:r w:rsidRPr="001D3DD1">
        <w:rPr>
          <w:lang w:val="en-US"/>
        </w:rPr>
        <w:t>, 197, pp. 1–10.</w:t>
      </w:r>
    </w:p>
    <w:p w14:paraId="349EDD45" w14:textId="77777777" w:rsidR="00514681" w:rsidRPr="003927BC" w:rsidRDefault="00514681"/>
    <w:p w14:paraId="4B44C48A" w14:textId="77777777" w:rsidR="00E0183B" w:rsidRPr="003927BC" w:rsidRDefault="00E0183B"/>
    <w:p w14:paraId="08C320A7" w14:textId="77777777" w:rsidR="00E0183B" w:rsidRPr="003927BC" w:rsidRDefault="00E0183B"/>
    <w:p w14:paraId="6084D721" w14:textId="77777777" w:rsidR="00E0183B" w:rsidRPr="003927BC" w:rsidRDefault="00E0183B"/>
    <w:p w14:paraId="5C8779C0" w14:textId="77777777" w:rsidR="00E0183B" w:rsidRPr="003927BC" w:rsidRDefault="00E0183B"/>
    <w:p w14:paraId="1A6C6110" w14:textId="77777777" w:rsidR="00E0183B" w:rsidRPr="003927BC" w:rsidRDefault="00E0183B"/>
    <w:p w14:paraId="4FE51C35" w14:textId="77777777" w:rsidR="00E0183B" w:rsidRPr="003927BC" w:rsidRDefault="00E0183B"/>
    <w:p w14:paraId="4E93CB44" w14:textId="77777777" w:rsidR="00E0183B" w:rsidRPr="003927BC" w:rsidRDefault="00E0183B"/>
    <w:p w14:paraId="238F1808" w14:textId="77777777" w:rsidR="00E0183B" w:rsidRPr="003927BC" w:rsidRDefault="00E0183B"/>
    <w:p w14:paraId="77E22152" w14:textId="77777777" w:rsidR="00E0183B" w:rsidRPr="003927BC" w:rsidRDefault="00E0183B"/>
    <w:p w14:paraId="66664CEA" w14:textId="77777777" w:rsidR="00E0183B" w:rsidRPr="003927BC" w:rsidRDefault="00E0183B"/>
    <w:p w14:paraId="3C25FD52" w14:textId="77777777" w:rsidR="00E0183B" w:rsidRDefault="00E0183B"/>
    <w:p w14:paraId="78649520" w14:textId="77777777" w:rsidR="00B4511B" w:rsidRDefault="00B4511B"/>
    <w:p w14:paraId="0A436162" w14:textId="77777777" w:rsidR="00B4511B" w:rsidRDefault="00B4511B"/>
    <w:p w14:paraId="305B9AE6" w14:textId="77777777" w:rsidR="00B4511B" w:rsidRDefault="00B4511B"/>
    <w:p w14:paraId="7BAEDC60" w14:textId="77777777" w:rsidR="00B4511B" w:rsidRDefault="00B4511B"/>
    <w:p w14:paraId="5BB3B7DF" w14:textId="77777777" w:rsidR="00B4511B" w:rsidRDefault="00B4511B"/>
    <w:p w14:paraId="14D32B9F" w14:textId="77777777" w:rsidR="00B4511B" w:rsidRDefault="00B4511B"/>
    <w:p w14:paraId="3C54DCC7" w14:textId="77777777" w:rsidR="00B4511B" w:rsidRDefault="00B4511B"/>
    <w:p w14:paraId="0D68A120" w14:textId="132C4E14" w:rsidR="00E0183B" w:rsidRPr="003927BC" w:rsidRDefault="00E0183B" w:rsidP="00E0183B">
      <w:pPr>
        <w:pStyle w:val="Heading2"/>
      </w:pPr>
      <w:bookmarkStart w:id="23" w:name="_Toc231032076"/>
      <w:r w:rsidRPr="003927BC">
        <w:lastRenderedPageBreak/>
        <w:t>Appendices.</w:t>
      </w:r>
      <w:bookmarkEnd w:id="23"/>
    </w:p>
    <w:p w14:paraId="3DBAFE75" w14:textId="77777777" w:rsidR="00AF4AB8" w:rsidRPr="003927BC" w:rsidRDefault="00AF4AB8" w:rsidP="00AF4AB8"/>
    <w:p w14:paraId="3EEC8BF4" w14:textId="6515AB48" w:rsidR="00E0183B" w:rsidRPr="003927BC" w:rsidRDefault="00AF4AB8">
      <w:r w:rsidRPr="003927BC">
        <w:drawing>
          <wp:inline distT="0" distB="0" distL="0" distR="0" wp14:anchorId="0B58D20F" wp14:editId="697F4850">
            <wp:extent cx="5159187" cy="4305673"/>
            <wp:effectExtent l="0" t="0" r="3810" b="0"/>
            <wp:docPr id="5793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33954" name=""/>
                    <pic:cNvPicPr/>
                  </pic:nvPicPr>
                  <pic:blipFill>
                    <a:blip r:embed="rId23"/>
                    <a:stretch>
                      <a:fillRect/>
                    </a:stretch>
                  </pic:blipFill>
                  <pic:spPr>
                    <a:xfrm>
                      <a:off x="0" y="0"/>
                      <a:ext cx="5159187" cy="4305673"/>
                    </a:xfrm>
                    <a:prstGeom prst="rect">
                      <a:avLst/>
                    </a:prstGeom>
                  </pic:spPr>
                </pic:pic>
              </a:graphicData>
            </a:graphic>
          </wp:inline>
        </w:drawing>
      </w:r>
    </w:p>
    <w:p w14:paraId="7F0FA940" w14:textId="50DC9469" w:rsidR="00AF4AB8" w:rsidRPr="003927BC" w:rsidRDefault="0098511B">
      <w:r w:rsidRPr="003927BC">
        <w:lastRenderedPageBreak/>
        <w:drawing>
          <wp:inline distT="0" distB="0" distL="0" distR="0" wp14:anchorId="39365830" wp14:editId="686A2B49">
            <wp:extent cx="5375564" cy="6770923"/>
            <wp:effectExtent l="0" t="0" r="0" b="0"/>
            <wp:docPr id="1457626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26204" name=""/>
                    <pic:cNvPicPr/>
                  </pic:nvPicPr>
                  <pic:blipFill>
                    <a:blip r:embed="rId24"/>
                    <a:stretch>
                      <a:fillRect/>
                    </a:stretch>
                  </pic:blipFill>
                  <pic:spPr>
                    <a:xfrm>
                      <a:off x="0" y="0"/>
                      <a:ext cx="5379129" cy="6775413"/>
                    </a:xfrm>
                    <a:prstGeom prst="rect">
                      <a:avLst/>
                    </a:prstGeom>
                  </pic:spPr>
                </pic:pic>
              </a:graphicData>
            </a:graphic>
          </wp:inline>
        </w:drawing>
      </w:r>
    </w:p>
    <w:p w14:paraId="5E3856DA" w14:textId="77777777" w:rsidR="00A33856" w:rsidRPr="003927BC" w:rsidRDefault="00A33856"/>
    <w:p w14:paraId="7BBAF7A6" w14:textId="37F1EF6E" w:rsidR="00A33856" w:rsidRPr="003927BC" w:rsidRDefault="00A33856">
      <w:r w:rsidRPr="003927BC">
        <w:lastRenderedPageBreak/>
        <w:drawing>
          <wp:inline distT="0" distB="0" distL="0" distR="0" wp14:anchorId="577B0DAD" wp14:editId="27E9B5E0">
            <wp:extent cx="5514109" cy="6528610"/>
            <wp:effectExtent l="0" t="0" r="0" b="5715"/>
            <wp:docPr id="173256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62164" name=""/>
                    <pic:cNvPicPr/>
                  </pic:nvPicPr>
                  <pic:blipFill>
                    <a:blip r:embed="rId25"/>
                    <a:stretch>
                      <a:fillRect/>
                    </a:stretch>
                  </pic:blipFill>
                  <pic:spPr>
                    <a:xfrm>
                      <a:off x="0" y="0"/>
                      <a:ext cx="5526904" cy="6543759"/>
                    </a:xfrm>
                    <a:prstGeom prst="rect">
                      <a:avLst/>
                    </a:prstGeom>
                  </pic:spPr>
                </pic:pic>
              </a:graphicData>
            </a:graphic>
          </wp:inline>
        </w:drawing>
      </w:r>
    </w:p>
    <w:p w14:paraId="12E513EA" w14:textId="77777777" w:rsidR="00CF70D1" w:rsidRPr="003927BC" w:rsidRDefault="00CF70D1"/>
    <w:p w14:paraId="35299D92" w14:textId="5293AF2C" w:rsidR="00CF70D1" w:rsidRPr="003927BC" w:rsidRDefault="00CF70D1">
      <w:r w:rsidRPr="003927BC">
        <w:lastRenderedPageBreak/>
        <w:drawing>
          <wp:inline distT="0" distB="0" distL="0" distR="0" wp14:anchorId="06B401D5" wp14:editId="42B6E97F">
            <wp:extent cx="4892464" cy="6729043"/>
            <wp:effectExtent l="0" t="0" r="3810" b="0"/>
            <wp:docPr id="662715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15137" name=""/>
                    <pic:cNvPicPr/>
                  </pic:nvPicPr>
                  <pic:blipFill>
                    <a:blip r:embed="rId26"/>
                    <a:stretch>
                      <a:fillRect/>
                    </a:stretch>
                  </pic:blipFill>
                  <pic:spPr>
                    <a:xfrm>
                      <a:off x="0" y="0"/>
                      <a:ext cx="4892464" cy="6729043"/>
                    </a:xfrm>
                    <a:prstGeom prst="rect">
                      <a:avLst/>
                    </a:prstGeom>
                  </pic:spPr>
                </pic:pic>
              </a:graphicData>
            </a:graphic>
          </wp:inline>
        </w:drawing>
      </w:r>
    </w:p>
    <w:p w14:paraId="69CFEC9C" w14:textId="77777777" w:rsidR="002A17B2" w:rsidRPr="003927BC" w:rsidRDefault="002A17B2"/>
    <w:p w14:paraId="39DB1401" w14:textId="77777777" w:rsidR="00F3381E" w:rsidRPr="003927BC" w:rsidRDefault="00F3381E"/>
    <w:p w14:paraId="362960A9" w14:textId="77777777" w:rsidR="002A17B2" w:rsidRPr="003927BC" w:rsidRDefault="002A17B2"/>
    <w:p w14:paraId="55E47E1F" w14:textId="77777777" w:rsidR="002A17B2" w:rsidRDefault="002A17B2"/>
    <w:sectPr w:rsidR="002A17B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01C8A" w14:textId="77777777" w:rsidR="00EF6F1F" w:rsidRPr="003927BC" w:rsidRDefault="00EF6F1F" w:rsidP="00E40477">
      <w:pPr>
        <w:spacing w:after="0" w:line="240" w:lineRule="auto"/>
      </w:pPr>
      <w:r w:rsidRPr="003927BC">
        <w:separator/>
      </w:r>
    </w:p>
  </w:endnote>
  <w:endnote w:type="continuationSeparator" w:id="0">
    <w:p w14:paraId="55B5B2D8" w14:textId="77777777" w:rsidR="00EF6F1F" w:rsidRPr="003927BC" w:rsidRDefault="00EF6F1F" w:rsidP="00E40477">
      <w:pPr>
        <w:spacing w:after="0" w:line="240" w:lineRule="auto"/>
      </w:pPr>
      <w:r w:rsidRPr="003927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132552"/>
      <w:docPartObj>
        <w:docPartGallery w:val="Page Numbers (Bottom of Page)"/>
        <w:docPartUnique/>
      </w:docPartObj>
    </w:sdtPr>
    <w:sdtEndPr/>
    <w:sdtContent>
      <w:p w14:paraId="5981A532" w14:textId="77777777" w:rsidR="00E40477" w:rsidRPr="003927BC" w:rsidRDefault="00E40477">
        <w:pPr>
          <w:pStyle w:val="Footer"/>
          <w:jc w:val="center"/>
        </w:pPr>
        <w:r w:rsidRPr="003927BC">
          <w:fldChar w:fldCharType="begin"/>
        </w:r>
        <w:r w:rsidRPr="003927BC">
          <w:instrText xml:space="preserve"> PAGE   \* MERGEFORMAT </w:instrText>
        </w:r>
        <w:r w:rsidRPr="003927BC">
          <w:fldChar w:fldCharType="separate"/>
        </w:r>
        <w:r w:rsidRPr="003927BC">
          <w:t>2</w:t>
        </w:r>
        <w:r w:rsidRPr="003927BC">
          <w:fldChar w:fldCharType="end"/>
        </w:r>
      </w:p>
    </w:sdtContent>
  </w:sdt>
  <w:p w14:paraId="483A40C9" w14:textId="77777777" w:rsidR="00E40477" w:rsidRPr="003927BC" w:rsidRDefault="00E40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E53AD" w14:textId="77777777" w:rsidR="00EF6F1F" w:rsidRPr="003927BC" w:rsidRDefault="00EF6F1F" w:rsidP="00E40477">
      <w:pPr>
        <w:spacing w:after="0" w:line="240" w:lineRule="auto"/>
      </w:pPr>
      <w:r w:rsidRPr="003927BC">
        <w:separator/>
      </w:r>
    </w:p>
  </w:footnote>
  <w:footnote w:type="continuationSeparator" w:id="0">
    <w:p w14:paraId="3AD94CAE" w14:textId="77777777" w:rsidR="00EF6F1F" w:rsidRPr="003927BC" w:rsidRDefault="00EF6F1F" w:rsidP="00E40477">
      <w:pPr>
        <w:spacing w:after="0" w:line="240" w:lineRule="auto"/>
      </w:pPr>
      <w:r w:rsidRPr="003927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3B75"/>
    <w:multiLevelType w:val="multilevel"/>
    <w:tmpl w:val="7874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21E0F"/>
    <w:multiLevelType w:val="multilevel"/>
    <w:tmpl w:val="AF10A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947CBB"/>
    <w:multiLevelType w:val="multilevel"/>
    <w:tmpl w:val="DC18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F1602"/>
    <w:multiLevelType w:val="multilevel"/>
    <w:tmpl w:val="152E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D54C3"/>
    <w:multiLevelType w:val="multilevel"/>
    <w:tmpl w:val="FA7A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A077C"/>
    <w:multiLevelType w:val="hybridMultilevel"/>
    <w:tmpl w:val="74486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662C4"/>
    <w:multiLevelType w:val="multilevel"/>
    <w:tmpl w:val="8A36B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074E72"/>
    <w:multiLevelType w:val="multilevel"/>
    <w:tmpl w:val="4C026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F1758F"/>
    <w:multiLevelType w:val="multilevel"/>
    <w:tmpl w:val="90BE3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BB6772"/>
    <w:multiLevelType w:val="multilevel"/>
    <w:tmpl w:val="7F36B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9359671">
    <w:abstractNumId w:val="4"/>
  </w:num>
  <w:num w:numId="2" w16cid:durableId="445200997">
    <w:abstractNumId w:val="3"/>
  </w:num>
  <w:num w:numId="3" w16cid:durableId="1324352014">
    <w:abstractNumId w:val="0"/>
  </w:num>
  <w:num w:numId="4" w16cid:durableId="416097662">
    <w:abstractNumId w:val="1"/>
  </w:num>
  <w:num w:numId="5" w16cid:durableId="1399671587">
    <w:abstractNumId w:val="9"/>
  </w:num>
  <w:num w:numId="6" w16cid:durableId="1753627307">
    <w:abstractNumId w:val="7"/>
  </w:num>
  <w:num w:numId="7" w16cid:durableId="39596283">
    <w:abstractNumId w:val="2"/>
  </w:num>
  <w:num w:numId="8" w16cid:durableId="1754888892">
    <w:abstractNumId w:val="6"/>
  </w:num>
  <w:num w:numId="9" w16cid:durableId="254439609">
    <w:abstractNumId w:val="8"/>
  </w:num>
  <w:num w:numId="10" w16cid:durableId="862705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B5A"/>
    <w:rsid w:val="000117BD"/>
    <w:rsid w:val="00011DE7"/>
    <w:rsid w:val="00013A55"/>
    <w:rsid w:val="0001584D"/>
    <w:rsid w:val="00031F78"/>
    <w:rsid w:val="00032226"/>
    <w:rsid w:val="00036A79"/>
    <w:rsid w:val="00047994"/>
    <w:rsid w:val="000479FC"/>
    <w:rsid w:val="00070E3C"/>
    <w:rsid w:val="0007754D"/>
    <w:rsid w:val="000810FF"/>
    <w:rsid w:val="00084078"/>
    <w:rsid w:val="000936AB"/>
    <w:rsid w:val="00093AF3"/>
    <w:rsid w:val="00094192"/>
    <w:rsid w:val="0009605D"/>
    <w:rsid w:val="00097866"/>
    <w:rsid w:val="000A0693"/>
    <w:rsid w:val="000A1185"/>
    <w:rsid w:val="000B0686"/>
    <w:rsid w:val="000B0BA5"/>
    <w:rsid w:val="000B2133"/>
    <w:rsid w:val="000B4D3B"/>
    <w:rsid w:val="000C6973"/>
    <w:rsid w:val="000D40EA"/>
    <w:rsid w:val="000D68CF"/>
    <w:rsid w:val="000E6330"/>
    <w:rsid w:val="000F0D23"/>
    <w:rsid w:val="0011181C"/>
    <w:rsid w:val="001136EB"/>
    <w:rsid w:val="00117DF2"/>
    <w:rsid w:val="00121685"/>
    <w:rsid w:val="00123F91"/>
    <w:rsid w:val="00136646"/>
    <w:rsid w:val="00137696"/>
    <w:rsid w:val="00144BAB"/>
    <w:rsid w:val="00150F2F"/>
    <w:rsid w:val="00167E39"/>
    <w:rsid w:val="00172C04"/>
    <w:rsid w:val="00176A7A"/>
    <w:rsid w:val="001B0263"/>
    <w:rsid w:val="001B0C87"/>
    <w:rsid w:val="001B1FF8"/>
    <w:rsid w:val="001B609C"/>
    <w:rsid w:val="001C36EB"/>
    <w:rsid w:val="001D2082"/>
    <w:rsid w:val="001D3DD1"/>
    <w:rsid w:val="001D7FBD"/>
    <w:rsid w:val="001E1394"/>
    <w:rsid w:val="001E24A0"/>
    <w:rsid w:val="001F013E"/>
    <w:rsid w:val="0020184D"/>
    <w:rsid w:val="00203BD2"/>
    <w:rsid w:val="00206D21"/>
    <w:rsid w:val="002111DD"/>
    <w:rsid w:val="002148A8"/>
    <w:rsid w:val="002150BE"/>
    <w:rsid w:val="0023269A"/>
    <w:rsid w:val="0023581E"/>
    <w:rsid w:val="002410BA"/>
    <w:rsid w:val="00242F65"/>
    <w:rsid w:val="00247E18"/>
    <w:rsid w:val="00256163"/>
    <w:rsid w:val="002567D7"/>
    <w:rsid w:val="00284F5D"/>
    <w:rsid w:val="00285B54"/>
    <w:rsid w:val="00292DF7"/>
    <w:rsid w:val="002A05ED"/>
    <w:rsid w:val="002A17B2"/>
    <w:rsid w:val="002A24D0"/>
    <w:rsid w:val="002B1D03"/>
    <w:rsid w:val="002B6ACB"/>
    <w:rsid w:val="002B7362"/>
    <w:rsid w:val="002C13EA"/>
    <w:rsid w:val="002C3281"/>
    <w:rsid w:val="002C7720"/>
    <w:rsid w:val="002E0467"/>
    <w:rsid w:val="002E4B1E"/>
    <w:rsid w:val="002E71CA"/>
    <w:rsid w:val="002F5981"/>
    <w:rsid w:val="002F7BFA"/>
    <w:rsid w:val="002F7CE6"/>
    <w:rsid w:val="0030705B"/>
    <w:rsid w:val="00316E6A"/>
    <w:rsid w:val="0033172E"/>
    <w:rsid w:val="00334DEE"/>
    <w:rsid w:val="00346C34"/>
    <w:rsid w:val="00350B55"/>
    <w:rsid w:val="003521F3"/>
    <w:rsid w:val="00352BEB"/>
    <w:rsid w:val="003534E5"/>
    <w:rsid w:val="00363291"/>
    <w:rsid w:val="0037520F"/>
    <w:rsid w:val="00387A4D"/>
    <w:rsid w:val="003926A7"/>
    <w:rsid w:val="003927BC"/>
    <w:rsid w:val="003A1078"/>
    <w:rsid w:val="003B0C12"/>
    <w:rsid w:val="003B642E"/>
    <w:rsid w:val="003C0FCF"/>
    <w:rsid w:val="003D0213"/>
    <w:rsid w:val="003E068E"/>
    <w:rsid w:val="003F78C7"/>
    <w:rsid w:val="00401C8D"/>
    <w:rsid w:val="0041164C"/>
    <w:rsid w:val="00413B22"/>
    <w:rsid w:val="00415170"/>
    <w:rsid w:val="00415C3F"/>
    <w:rsid w:val="00442398"/>
    <w:rsid w:val="00454A92"/>
    <w:rsid w:val="004623B0"/>
    <w:rsid w:val="00490EF4"/>
    <w:rsid w:val="004967EA"/>
    <w:rsid w:val="00496A6A"/>
    <w:rsid w:val="004B06F3"/>
    <w:rsid w:val="004B0F87"/>
    <w:rsid w:val="004D7B5A"/>
    <w:rsid w:val="00514681"/>
    <w:rsid w:val="00514D49"/>
    <w:rsid w:val="00525E63"/>
    <w:rsid w:val="00526130"/>
    <w:rsid w:val="00542B79"/>
    <w:rsid w:val="00545B0E"/>
    <w:rsid w:val="00547760"/>
    <w:rsid w:val="005556C5"/>
    <w:rsid w:val="00556027"/>
    <w:rsid w:val="00565065"/>
    <w:rsid w:val="00584263"/>
    <w:rsid w:val="005A4C8F"/>
    <w:rsid w:val="005B176C"/>
    <w:rsid w:val="005B1AE1"/>
    <w:rsid w:val="005B5F21"/>
    <w:rsid w:val="005C01A7"/>
    <w:rsid w:val="005D6302"/>
    <w:rsid w:val="005E04AC"/>
    <w:rsid w:val="005E0CFB"/>
    <w:rsid w:val="005F5985"/>
    <w:rsid w:val="00610367"/>
    <w:rsid w:val="006201D2"/>
    <w:rsid w:val="00632CBF"/>
    <w:rsid w:val="00634432"/>
    <w:rsid w:val="00634E67"/>
    <w:rsid w:val="0063514B"/>
    <w:rsid w:val="00643C19"/>
    <w:rsid w:val="0064654B"/>
    <w:rsid w:val="00663B6B"/>
    <w:rsid w:val="00665040"/>
    <w:rsid w:val="00665EC7"/>
    <w:rsid w:val="00673C61"/>
    <w:rsid w:val="00673C9A"/>
    <w:rsid w:val="00675450"/>
    <w:rsid w:val="006812FC"/>
    <w:rsid w:val="00690202"/>
    <w:rsid w:val="00695434"/>
    <w:rsid w:val="00695D3F"/>
    <w:rsid w:val="006A01AF"/>
    <w:rsid w:val="006A302F"/>
    <w:rsid w:val="006B6D49"/>
    <w:rsid w:val="006B7EFA"/>
    <w:rsid w:val="006C5EB2"/>
    <w:rsid w:val="006E1840"/>
    <w:rsid w:val="006E70B7"/>
    <w:rsid w:val="006F077E"/>
    <w:rsid w:val="00702343"/>
    <w:rsid w:val="00703547"/>
    <w:rsid w:val="007127D4"/>
    <w:rsid w:val="00730C13"/>
    <w:rsid w:val="00730C77"/>
    <w:rsid w:val="00764EEE"/>
    <w:rsid w:val="00771C83"/>
    <w:rsid w:val="00785977"/>
    <w:rsid w:val="00790124"/>
    <w:rsid w:val="00790B12"/>
    <w:rsid w:val="007A09C4"/>
    <w:rsid w:val="007A2AD6"/>
    <w:rsid w:val="007B295B"/>
    <w:rsid w:val="007C0A44"/>
    <w:rsid w:val="007C2EA8"/>
    <w:rsid w:val="007D051D"/>
    <w:rsid w:val="007D2AC5"/>
    <w:rsid w:val="007E290B"/>
    <w:rsid w:val="007E4372"/>
    <w:rsid w:val="007E5AA9"/>
    <w:rsid w:val="007E5E21"/>
    <w:rsid w:val="007F1662"/>
    <w:rsid w:val="007F55BE"/>
    <w:rsid w:val="007F77BC"/>
    <w:rsid w:val="008018D0"/>
    <w:rsid w:val="0081043A"/>
    <w:rsid w:val="008420F4"/>
    <w:rsid w:val="00846C60"/>
    <w:rsid w:val="0085555E"/>
    <w:rsid w:val="0086335E"/>
    <w:rsid w:val="00890F02"/>
    <w:rsid w:val="008A4BBA"/>
    <w:rsid w:val="008B2721"/>
    <w:rsid w:val="008D4CBC"/>
    <w:rsid w:val="008D62CB"/>
    <w:rsid w:val="009063D3"/>
    <w:rsid w:val="00914094"/>
    <w:rsid w:val="009254DF"/>
    <w:rsid w:val="00932805"/>
    <w:rsid w:val="009503AF"/>
    <w:rsid w:val="009540AB"/>
    <w:rsid w:val="009556AA"/>
    <w:rsid w:val="009567B2"/>
    <w:rsid w:val="009604A5"/>
    <w:rsid w:val="00980CCD"/>
    <w:rsid w:val="0098511B"/>
    <w:rsid w:val="009A43F9"/>
    <w:rsid w:val="009A51B7"/>
    <w:rsid w:val="009B29B5"/>
    <w:rsid w:val="009B5118"/>
    <w:rsid w:val="009B74A6"/>
    <w:rsid w:val="009B7E29"/>
    <w:rsid w:val="009C38DF"/>
    <w:rsid w:val="009D786E"/>
    <w:rsid w:val="009E5027"/>
    <w:rsid w:val="009E7A73"/>
    <w:rsid w:val="009F2DCB"/>
    <w:rsid w:val="00A27BFB"/>
    <w:rsid w:val="00A30141"/>
    <w:rsid w:val="00A33856"/>
    <w:rsid w:val="00A36088"/>
    <w:rsid w:val="00A37EEE"/>
    <w:rsid w:val="00A40D43"/>
    <w:rsid w:val="00A410C4"/>
    <w:rsid w:val="00A45F98"/>
    <w:rsid w:val="00A564E2"/>
    <w:rsid w:val="00A81A0C"/>
    <w:rsid w:val="00A93FFD"/>
    <w:rsid w:val="00AA1E99"/>
    <w:rsid w:val="00AA5C01"/>
    <w:rsid w:val="00AB4F52"/>
    <w:rsid w:val="00AB7A37"/>
    <w:rsid w:val="00AC00F2"/>
    <w:rsid w:val="00AD077A"/>
    <w:rsid w:val="00AE5F29"/>
    <w:rsid w:val="00AE714D"/>
    <w:rsid w:val="00AF20BF"/>
    <w:rsid w:val="00AF4AB8"/>
    <w:rsid w:val="00B027D1"/>
    <w:rsid w:val="00B0470D"/>
    <w:rsid w:val="00B0574E"/>
    <w:rsid w:val="00B0595C"/>
    <w:rsid w:val="00B1375A"/>
    <w:rsid w:val="00B14EDF"/>
    <w:rsid w:val="00B43B0A"/>
    <w:rsid w:val="00B4511B"/>
    <w:rsid w:val="00B56315"/>
    <w:rsid w:val="00B57575"/>
    <w:rsid w:val="00B65503"/>
    <w:rsid w:val="00B926D6"/>
    <w:rsid w:val="00B94323"/>
    <w:rsid w:val="00B962F8"/>
    <w:rsid w:val="00B96F90"/>
    <w:rsid w:val="00BA2E91"/>
    <w:rsid w:val="00BA4CB1"/>
    <w:rsid w:val="00BC3B2D"/>
    <w:rsid w:val="00BC754F"/>
    <w:rsid w:val="00BD20B2"/>
    <w:rsid w:val="00BD36D8"/>
    <w:rsid w:val="00BE09A1"/>
    <w:rsid w:val="00C01BF6"/>
    <w:rsid w:val="00C060FA"/>
    <w:rsid w:val="00C14410"/>
    <w:rsid w:val="00C146F7"/>
    <w:rsid w:val="00C17910"/>
    <w:rsid w:val="00C22FBB"/>
    <w:rsid w:val="00C23275"/>
    <w:rsid w:val="00C52B39"/>
    <w:rsid w:val="00C62795"/>
    <w:rsid w:val="00C733AE"/>
    <w:rsid w:val="00C73814"/>
    <w:rsid w:val="00C852B2"/>
    <w:rsid w:val="00C91559"/>
    <w:rsid w:val="00C91923"/>
    <w:rsid w:val="00C91CA4"/>
    <w:rsid w:val="00CA6C25"/>
    <w:rsid w:val="00CD053F"/>
    <w:rsid w:val="00CD48BB"/>
    <w:rsid w:val="00CF500D"/>
    <w:rsid w:val="00CF70D1"/>
    <w:rsid w:val="00CF74D9"/>
    <w:rsid w:val="00D05A29"/>
    <w:rsid w:val="00D33017"/>
    <w:rsid w:val="00D3383A"/>
    <w:rsid w:val="00D350BB"/>
    <w:rsid w:val="00D35566"/>
    <w:rsid w:val="00D51610"/>
    <w:rsid w:val="00D55907"/>
    <w:rsid w:val="00D63B45"/>
    <w:rsid w:val="00D70A73"/>
    <w:rsid w:val="00D72EC0"/>
    <w:rsid w:val="00D734CC"/>
    <w:rsid w:val="00D73990"/>
    <w:rsid w:val="00DA04C7"/>
    <w:rsid w:val="00DA5A85"/>
    <w:rsid w:val="00DB6DFB"/>
    <w:rsid w:val="00DC0206"/>
    <w:rsid w:val="00DC194A"/>
    <w:rsid w:val="00DD0C01"/>
    <w:rsid w:val="00DE0807"/>
    <w:rsid w:val="00E0183B"/>
    <w:rsid w:val="00E0251C"/>
    <w:rsid w:val="00E054CE"/>
    <w:rsid w:val="00E21B88"/>
    <w:rsid w:val="00E22415"/>
    <w:rsid w:val="00E276AD"/>
    <w:rsid w:val="00E31901"/>
    <w:rsid w:val="00E401F2"/>
    <w:rsid w:val="00E40477"/>
    <w:rsid w:val="00E5371D"/>
    <w:rsid w:val="00E606B9"/>
    <w:rsid w:val="00E87DCB"/>
    <w:rsid w:val="00E928E3"/>
    <w:rsid w:val="00EA19A9"/>
    <w:rsid w:val="00EA5E7D"/>
    <w:rsid w:val="00EB5008"/>
    <w:rsid w:val="00EE4C04"/>
    <w:rsid w:val="00EF1958"/>
    <w:rsid w:val="00EF6F1F"/>
    <w:rsid w:val="00F15E45"/>
    <w:rsid w:val="00F24815"/>
    <w:rsid w:val="00F31182"/>
    <w:rsid w:val="00F3381E"/>
    <w:rsid w:val="00F56405"/>
    <w:rsid w:val="00F6315B"/>
    <w:rsid w:val="00F64FC6"/>
    <w:rsid w:val="00F65C61"/>
    <w:rsid w:val="00F719F9"/>
    <w:rsid w:val="00F921DC"/>
    <w:rsid w:val="00F97182"/>
    <w:rsid w:val="00FA16FC"/>
    <w:rsid w:val="00FA4ED6"/>
    <w:rsid w:val="00FC2F38"/>
    <w:rsid w:val="00FC30C2"/>
    <w:rsid w:val="00FC6B49"/>
    <w:rsid w:val="00FE3CAC"/>
    <w:rsid w:val="00FE4262"/>
    <w:rsid w:val="00FF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2CBD8"/>
  <w15:chartTrackingRefBased/>
  <w15:docId w15:val="{AFA27F43-F67C-4AA6-A00A-55987A52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7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7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B5A"/>
    <w:rPr>
      <w:rFonts w:eastAsiaTheme="majorEastAsia" w:cstheme="majorBidi"/>
      <w:color w:val="272727" w:themeColor="text1" w:themeTint="D8"/>
    </w:rPr>
  </w:style>
  <w:style w:type="paragraph" w:styleId="Title">
    <w:name w:val="Title"/>
    <w:basedOn w:val="Normal"/>
    <w:next w:val="Normal"/>
    <w:link w:val="TitleChar"/>
    <w:uiPriority w:val="10"/>
    <w:qFormat/>
    <w:rsid w:val="004D7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B5A"/>
    <w:pPr>
      <w:spacing w:before="160"/>
      <w:jc w:val="center"/>
    </w:pPr>
    <w:rPr>
      <w:i/>
      <w:iCs/>
      <w:color w:val="404040" w:themeColor="text1" w:themeTint="BF"/>
    </w:rPr>
  </w:style>
  <w:style w:type="character" w:customStyle="1" w:styleId="QuoteChar">
    <w:name w:val="Quote Char"/>
    <w:basedOn w:val="DefaultParagraphFont"/>
    <w:link w:val="Quote"/>
    <w:uiPriority w:val="29"/>
    <w:rsid w:val="004D7B5A"/>
    <w:rPr>
      <w:i/>
      <w:iCs/>
      <w:color w:val="404040" w:themeColor="text1" w:themeTint="BF"/>
    </w:rPr>
  </w:style>
  <w:style w:type="paragraph" w:styleId="ListParagraph">
    <w:name w:val="List Paragraph"/>
    <w:basedOn w:val="Normal"/>
    <w:uiPriority w:val="34"/>
    <w:qFormat/>
    <w:rsid w:val="004D7B5A"/>
    <w:pPr>
      <w:ind w:left="720"/>
      <w:contextualSpacing/>
    </w:pPr>
  </w:style>
  <w:style w:type="character" w:styleId="IntenseEmphasis">
    <w:name w:val="Intense Emphasis"/>
    <w:basedOn w:val="DefaultParagraphFont"/>
    <w:uiPriority w:val="21"/>
    <w:qFormat/>
    <w:rsid w:val="004D7B5A"/>
    <w:rPr>
      <w:i/>
      <w:iCs/>
      <w:color w:val="0F4761" w:themeColor="accent1" w:themeShade="BF"/>
    </w:rPr>
  </w:style>
  <w:style w:type="paragraph" w:styleId="IntenseQuote">
    <w:name w:val="Intense Quote"/>
    <w:basedOn w:val="Normal"/>
    <w:next w:val="Normal"/>
    <w:link w:val="IntenseQuoteChar"/>
    <w:uiPriority w:val="30"/>
    <w:qFormat/>
    <w:rsid w:val="004D7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B5A"/>
    <w:rPr>
      <w:i/>
      <w:iCs/>
      <w:color w:val="0F4761" w:themeColor="accent1" w:themeShade="BF"/>
    </w:rPr>
  </w:style>
  <w:style w:type="character" w:styleId="IntenseReference">
    <w:name w:val="Intense Reference"/>
    <w:basedOn w:val="DefaultParagraphFont"/>
    <w:uiPriority w:val="32"/>
    <w:qFormat/>
    <w:rsid w:val="004D7B5A"/>
    <w:rPr>
      <w:b/>
      <w:bCs/>
      <w:smallCaps/>
      <w:color w:val="0F4761" w:themeColor="accent1" w:themeShade="BF"/>
      <w:spacing w:val="5"/>
    </w:rPr>
  </w:style>
  <w:style w:type="paragraph" w:styleId="Header">
    <w:name w:val="header"/>
    <w:basedOn w:val="Normal"/>
    <w:link w:val="HeaderChar"/>
    <w:uiPriority w:val="99"/>
    <w:unhideWhenUsed/>
    <w:rsid w:val="00E404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0477"/>
  </w:style>
  <w:style w:type="paragraph" w:styleId="Footer">
    <w:name w:val="footer"/>
    <w:basedOn w:val="Normal"/>
    <w:link w:val="FooterChar"/>
    <w:uiPriority w:val="99"/>
    <w:unhideWhenUsed/>
    <w:rsid w:val="00E404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0477"/>
  </w:style>
  <w:style w:type="paragraph" w:styleId="TOCHeading">
    <w:name w:val="TOC Heading"/>
    <w:basedOn w:val="Heading1"/>
    <w:next w:val="Normal"/>
    <w:uiPriority w:val="39"/>
    <w:unhideWhenUsed/>
    <w:qFormat/>
    <w:rsid w:val="00285B54"/>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85B54"/>
    <w:pPr>
      <w:spacing w:after="100"/>
      <w:ind w:left="220"/>
    </w:pPr>
  </w:style>
  <w:style w:type="character" w:styleId="Hyperlink">
    <w:name w:val="Hyperlink"/>
    <w:basedOn w:val="DefaultParagraphFont"/>
    <w:uiPriority w:val="99"/>
    <w:unhideWhenUsed/>
    <w:rsid w:val="00285B54"/>
    <w:rPr>
      <w:color w:val="467886" w:themeColor="hyperlink"/>
      <w:u w:val="single"/>
    </w:rPr>
  </w:style>
  <w:style w:type="character" w:styleId="UnresolvedMention">
    <w:name w:val="Unresolved Mention"/>
    <w:basedOn w:val="DefaultParagraphFont"/>
    <w:uiPriority w:val="99"/>
    <w:semiHidden/>
    <w:unhideWhenUsed/>
    <w:rsid w:val="00FA16FC"/>
    <w:rPr>
      <w:color w:val="605E5C"/>
      <w:shd w:val="clear" w:color="auto" w:fill="E1DFDD"/>
    </w:rPr>
  </w:style>
  <w:style w:type="paragraph" w:styleId="Caption">
    <w:name w:val="caption"/>
    <w:basedOn w:val="Normal"/>
    <w:next w:val="Normal"/>
    <w:uiPriority w:val="35"/>
    <w:unhideWhenUsed/>
    <w:qFormat/>
    <w:rsid w:val="00D63B4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1D2082"/>
    <w:rPr>
      <w:color w:val="96607D" w:themeColor="followedHyperlink"/>
      <w:u w:val="single"/>
    </w:rPr>
  </w:style>
  <w:style w:type="paragraph" w:styleId="TOC1">
    <w:name w:val="toc 1"/>
    <w:basedOn w:val="Normal"/>
    <w:next w:val="Normal"/>
    <w:autoRedefine/>
    <w:uiPriority w:val="39"/>
    <w:unhideWhenUsed/>
    <w:rsid w:val="002F598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F5981"/>
    <w:pPr>
      <w:spacing w:after="100"/>
      <w:ind w:left="440"/>
    </w:pPr>
    <w:rPr>
      <w:rFonts w:eastAsiaTheme="minorEastAsia" w:cs="Times New Roman"/>
      <w:kern w:val="0"/>
      <w:lang w:val="en-US"/>
      <w14:ligatures w14:val="none"/>
    </w:rPr>
  </w:style>
  <w:style w:type="paragraph" w:styleId="TableofFigures">
    <w:name w:val="table of figures"/>
    <w:basedOn w:val="Normal"/>
    <w:next w:val="Normal"/>
    <w:uiPriority w:val="99"/>
    <w:unhideWhenUsed/>
    <w:rsid w:val="00284F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varelen.com/news/what-is-the-distribution-transformer-core.html"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c5021818c4ae8fa/Desktop/Uni/Dissertation/Prices%20record%20for%20fluctuating%20KWH%20Over%204%20Year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u="sng"/>
              <a:t>Effective Electricity Prices (p/kWh)</a:t>
            </a:r>
            <a:r>
              <a:rPr lang="en-GB" b="1" u="sng" baseline="0"/>
              <a:t> in Vale Energy reporting system </a:t>
            </a:r>
            <a:endParaRPr lang="en-GB" b="1" u="sng"/>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28575" cap="rnd">
                <a:solidFill>
                  <a:schemeClr val="accent1"/>
                </a:solidFill>
                <a:prstDash val="solid"/>
              </a:ln>
              <a:effectLst/>
            </c:spPr>
            <c:trendlineType val="movingAvg"/>
            <c:period val="2"/>
            <c:dispRSqr val="0"/>
            <c:dispEq val="0"/>
          </c:trendline>
          <c:xVal>
            <c:numRef>
              <c:f>Sheet1!$E$7:$E$287</c:f>
              <c:numCache>
                <c:formatCode>m/d/yyyy</c:formatCode>
                <c:ptCount val="281"/>
                <c:pt idx="0">
                  <c:v>44201</c:v>
                </c:pt>
                <c:pt idx="1">
                  <c:v>44208</c:v>
                </c:pt>
                <c:pt idx="2">
                  <c:v>44215</c:v>
                </c:pt>
                <c:pt idx="3">
                  <c:v>44222</c:v>
                </c:pt>
                <c:pt idx="4">
                  <c:v>44229</c:v>
                </c:pt>
                <c:pt idx="5">
                  <c:v>44236</c:v>
                </c:pt>
                <c:pt idx="6">
                  <c:v>44243</c:v>
                </c:pt>
                <c:pt idx="7">
                  <c:v>44250</c:v>
                </c:pt>
                <c:pt idx="8">
                  <c:v>44257</c:v>
                </c:pt>
                <c:pt idx="9">
                  <c:v>44264</c:v>
                </c:pt>
                <c:pt idx="10">
                  <c:v>44271</c:v>
                </c:pt>
                <c:pt idx="11">
                  <c:v>44278</c:v>
                </c:pt>
                <c:pt idx="12">
                  <c:v>44285</c:v>
                </c:pt>
                <c:pt idx="13">
                  <c:v>44292</c:v>
                </c:pt>
                <c:pt idx="14">
                  <c:v>44299</c:v>
                </c:pt>
                <c:pt idx="15">
                  <c:v>44306</c:v>
                </c:pt>
                <c:pt idx="16">
                  <c:v>44313</c:v>
                </c:pt>
                <c:pt idx="17">
                  <c:v>44320</c:v>
                </c:pt>
                <c:pt idx="18">
                  <c:v>44327</c:v>
                </c:pt>
                <c:pt idx="19">
                  <c:v>44334</c:v>
                </c:pt>
                <c:pt idx="20">
                  <c:v>44341</c:v>
                </c:pt>
                <c:pt idx="21">
                  <c:v>44348</c:v>
                </c:pt>
                <c:pt idx="22">
                  <c:v>44355</c:v>
                </c:pt>
                <c:pt idx="23">
                  <c:v>44362</c:v>
                </c:pt>
                <c:pt idx="24">
                  <c:v>44369</c:v>
                </c:pt>
                <c:pt idx="25">
                  <c:v>44376</c:v>
                </c:pt>
                <c:pt idx="26">
                  <c:v>44383</c:v>
                </c:pt>
                <c:pt idx="27">
                  <c:v>44390</c:v>
                </c:pt>
                <c:pt idx="28">
                  <c:v>44397</c:v>
                </c:pt>
                <c:pt idx="29">
                  <c:v>44404</c:v>
                </c:pt>
                <c:pt idx="30">
                  <c:v>44411</c:v>
                </c:pt>
                <c:pt idx="31">
                  <c:v>44418</c:v>
                </c:pt>
                <c:pt idx="32">
                  <c:v>44425</c:v>
                </c:pt>
                <c:pt idx="33">
                  <c:v>44432</c:v>
                </c:pt>
                <c:pt idx="34">
                  <c:v>44439</c:v>
                </c:pt>
                <c:pt idx="35">
                  <c:v>44446</c:v>
                </c:pt>
                <c:pt idx="36">
                  <c:v>44453</c:v>
                </c:pt>
                <c:pt idx="37">
                  <c:v>44460</c:v>
                </c:pt>
                <c:pt idx="38">
                  <c:v>44467</c:v>
                </c:pt>
                <c:pt idx="39">
                  <c:v>44474</c:v>
                </c:pt>
                <c:pt idx="40">
                  <c:v>44481</c:v>
                </c:pt>
                <c:pt idx="41">
                  <c:v>44488</c:v>
                </c:pt>
                <c:pt idx="42">
                  <c:v>44495</c:v>
                </c:pt>
                <c:pt idx="43">
                  <c:v>44502</c:v>
                </c:pt>
                <c:pt idx="44">
                  <c:v>44509</c:v>
                </c:pt>
                <c:pt idx="45">
                  <c:v>44516</c:v>
                </c:pt>
                <c:pt idx="46">
                  <c:v>44523</c:v>
                </c:pt>
                <c:pt idx="47">
                  <c:v>44530</c:v>
                </c:pt>
                <c:pt idx="48">
                  <c:v>44537</c:v>
                </c:pt>
                <c:pt idx="49">
                  <c:v>44544</c:v>
                </c:pt>
                <c:pt idx="50">
                  <c:v>44551</c:v>
                </c:pt>
                <c:pt idx="51">
                  <c:v>44558</c:v>
                </c:pt>
                <c:pt idx="52">
                  <c:v>44565</c:v>
                </c:pt>
                <c:pt idx="53">
                  <c:v>44572</c:v>
                </c:pt>
                <c:pt idx="54">
                  <c:v>44579</c:v>
                </c:pt>
                <c:pt idx="55">
                  <c:v>44586</c:v>
                </c:pt>
                <c:pt idx="56">
                  <c:v>44593</c:v>
                </c:pt>
                <c:pt idx="57">
                  <c:v>44600</c:v>
                </c:pt>
                <c:pt idx="58">
                  <c:v>44607</c:v>
                </c:pt>
                <c:pt idx="59">
                  <c:v>44614</c:v>
                </c:pt>
                <c:pt idx="60">
                  <c:v>44621</c:v>
                </c:pt>
                <c:pt idx="61">
                  <c:v>44628</c:v>
                </c:pt>
                <c:pt idx="62">
                  <c:v>44635</c:v>
                </c:pt>
                <c:pt idx="63">
                  <c:v>44642</c:v>
                </c:pt>
                <c:pt idx="64">
                  <c:v>44649</c:v>
                </c:pt>
                <c:pt idx="65">
                  <c:v>44656</c:v>
                </c:pt>
                <c:pt idx="66">
                  <c:v>44663</c:v>
                </c:pt>
                <c:pt idx="67">
                  <c:v>44670</c:v>
                </c:pt>
                <c:pt idx="68">
                  <c:v>44677</c:v>
                </c:pt>
                <c:pt idx="69">
                  <c:v>44684</c:v>
                </c:pt>
                <c:pt idx="70">
                  <c:v>44691</c:v>
                </c:pt>
                <c:pt idx="71">
                  <c:v>44698</c:v>
                </c:pt>
                <c:pt idx="72">
                  <c:v>44705</c:v>
                </c:pt>
                <c:pt idx="73">
                  <c:v>44712</c:v>
                </c:pt>
                <c:pt idx="74">
                  <c:v>44719</c:v>
                </c:pt>
                <c:pt idx="75">
                  <c:v>44726</c:v>
                </c:pt>
                <c:pt idx="76">
                  <c:v>44733</c:v>
                </c:pt>
                <c:pt idx="77">
                  <c:v>44740</c:v>
                </c:pt>
                <c:pt idx="78">
                  <c:v>44747</c:v>
                </c:pt>
                <c:pt idx="79">
                  <c:v>44754</c:v>
                </c:pt>
                <c:pt idx="80">
                  <c:v>44761</c:v>
                </c:pt>
                <c:pt idx="81">
                  <c:v>44768</c:v>
                </c:pt>
                <c:pt idx="82">
                  <c:v>44775</c:v>
                </c:pt>
                <c:pt idx="83">
                  <c:v>44782</c:v>
                </c:pt>
                <c:pt idx="84">
                  <c:v>44789</c:v>
                </c:pt>
                <c:pt idx="85">
                  <c:v>44796</c:v>
                </c:pt>
                <c:pt idx="86">
                  <c:v>44803</c:v>
                </c:pt>
                <c:pt idx="87">
                  <c:v>44810</c:v>
                </c:pt>
                <c:pt idx="88">
                  <c:v>44817</c:v>
                </c:pt>
                <c:pt idx="89">
                  <c:v>44824</c:v>
                </c:pt>
                <c:pt idx="90">
                  <c:v>44831</c:v>
                </c:pt>
                <c:pt idx="91">
                  <c:v>44838</c:v>
                </c:pt>
                <c:pt idx="92">
                  <c:v>44845</c:v>
                </c:pt>
                <c:pt idx="93">
                  <c:v>44852</c:v>
                </c:pt>
                <c:pt idx="94">
                  <c:v>44859</c:v>
                </c:pt>
                <c:pt idx="95">
                  <c:v>44866</c:v>
                </c:pt>
                <c:pt idx="96">
                  <c:v>44873</c:v>
                </c:pt>
                <c:pt idx="97">
                  <c:v>44880</c:v>
                </c:pt>
                <c:pt idx="98">
                  <c:v>44887</c:v>
                </c:pt>
                <c:pt idx="99">
                  <c:v>44894</c:v>
                </c:pt>
                <c:pt idx="100">
                  <c:v>44901</c:v>
                </c:pt>
                <c:pt idx="101">
                  <c:v>44908</c:v>
                </c:pt>
                <c:pt idx="102">
                  <c:v>44915</c:v>
                </c:pt>
                <c:pt idx="103">
                  <c:v>44922</c:v>
                </c:pt>
                <c:pt idx="104">
                  <c:v>44929</c:v>
                </c:pt>
                <c:pt idx="105">
                  <c:v>44936</c:v>
                </c:pt>
                <c:pt idx="106">
                  <c:v>44943</c:v>
                </c:pt>
                <c:pt idx="107">
                  <c:v>44950</c:v>
                </c:pt>
                <c:pt idx="108">
                  <c:v>44957</c:v>
                </c:pt>
                <c:pt idx="109">
                  <c:v>44964</c:v>
                </c:pt>
                <c:pt idx="110">
                  <c:v>44971</c:v>
                </c:pt>
                <c:pt idx="111">
                  <c:v>44978</c:v>
                </c:pt>
                <c:pt idx="112">
                  <c:v>44985</c:v>
                </c:pt>
                <c:pt idx="113">
                  <c:v>44992</c:v>
                </c:pt>
                <c:pt idx="114">
                  <c:v>44999</c:v>
                </c:pt>
                <c:pt idx="115">
                  <c:v>45006</c:v>
                </c:pt>
                <c:pt idx="116">
                  <c:v>45013</c:v>
                </c:pt>
                <c:pt idx="117">
                  <c:v>45020</c:v>
                </c:pt>
                <c:pt idx="118">
                  <c:v>45027</c:v>
                </c:pt>
                <c:pt idx="119">
                  <c:v>45034</c:v>
                </c:pt>
                <c:pt idx="120">
                  <c:v>45041</c:v>
                </c:pt>
                <c:pt idx="121">
                  <c:v>45048</c:v>
                </c:pt>
                <c:pt idx="122">
                  <c:v>45055</c:v>
                </c:pt>
                <c:pt idx="123">
                  <c:v>45062</c:v>
                </c:pt>
                <c:pt idx="124">
                  <c:v>45069</c:v>
                </c:pt>
                <c:pt idx="125">
                  <c:v>45076</c:v>
                </c:pt>
                <c:pt idx="126">
                  <c:v>45083</c:v>
                </c:pt>
                <c:pt idx="127">
                  <c:v>45090</c:v>
                </c:pt>
                <c:pt idx="128">
                  <c:v>45097</c:v>
                </c:pt>
                <c:pt idx="129">
                  <c:v>45104</c:v>
                </c:pt>
                <c:pt idx="130">
                  <c:v>45111</c:v>
                </c:pt>
                <c:pt idx="131">
                  <c:v>45118</c:v>
                </c:pt>
                <c:pt idx="132">
                  <c:v>45125</c:v>
                </c:pt>
                <c:pt idx="133">
                  <c:v>45132</c:v>
                </c:pt>
                <c:pt idx="134">
                  <c:v>45139</c:v>
                </c:pt>
                <c:pt idx="135">
                  <c:v>45146</c:v>
                </c:pt>
                <c:pt idx="136">
                  <c:v>45153</c:v>
                </c:pt>
                <c:pt idx="137">
                  <c:v>45160</c:v>
                </c:pt>
                <c:pt idx="138">
                  <c:v>45167</c:v>
                </c:pt>
                <c:pt idx="139">
                  <c:v>45174</c:v>
                </c:pt>
                <c:pt idx="140">
                  <c:v>45181</c:v>
                </c:pt>
                <c:pt idx="141">
                  <c:v>45188</c:v>
                </c:pt>
                <c:pt idx="142">
                  <c:v>45195</c:v>
                </c:pt>
                <c:pt idx="143">
                  <c:v>45202</c:v>
                </c:pt>
                <c:pt idx="144">
                  <c:v>45209</c:v>
                </c:pt>
                <c:pt idx="145">
                  <c:v>45216</c:v>
                </c:pt>
                <c:pt idx="146">
                  <c:v>45223</c:v>
                </c:pt>
                <c:pt idx="147">
                  <c:v>45230</c:v>
                </c:pt>
                <c:pt idx="148">
                  <c:v>45237</c:v>
                </c:pt>
                <c:pt idx="149">
                  <c:v>45244</c:v>
                </c:pt>
                <c:pt idx="150">
                  <c:v>45251</c:v>
                </c:pt>
                <c:pt idx="151">
                  <c:v>45258</c:v>
                </c:pt>
                <c:pt idx="152">
                  <c:v>45265</c:v>
                </c:pt>
                <c:pt idx="153">
                  <c:v>45272</c:v>
                </c:pt>
                <c:pt idx="154">
                  <c:v>45279</c:v>
                </c:pt>
                <c:pt idx="155">
                  <c:v>45286</c:v>
                </c:pt>
                <c:pt idx="156">
                  <c:v>45293</c:v>
                </c:pt>
                <c:pt idx="157">
                  <c:v>45300</c:v>
                </c:pt>
                <c:pt idx="158">
                  <c:v>45307</c:v>
                </c:pt>
                <c:pt idx="159">
                  <c:v>45314</c:v>
                </c:pt>
                <c:pt idx="160">
                  <c:v>45321</c:v>
                </c:pt>
                <c:pt idx="161">
                  <c:v>45328</c:v>
                </c:pt>
                <c:pt idx="162">
                  <c:v>45335</c:v>
                </c:pt>
                <c:pt idx="163">
                  <c:v>45342</c:v>
                </c:pt>
                <c:pt idx="164">
                  <c:v>45349</c:v>
                </c:pt>
                <c:pt idx="165">
                  <c:v>45356</c:v>
                </c:pt>
                <c:pt idx="166">
                  <c:v>45363</c:v>
                </c:pt>
                <c:pt idx="167">
                  <c:v>45370</c:v>
                </c:pt>
                <c:pt idx="168">
                  <c:v>45377</c:v>
                </c:pt>
                <c:pt idx="169">
                  <c:v>45384</c:v>
                </c:pt>
                <c:pt idx="170">
                  <c:v>45391</c:v>
                </c:pt>
                <c:pt idx="171">
                  <c:v>45398</c:v>
                </c:pt>
                <c:pt idx="172">
                  <c:v>45405</c:v>
                </c:pt>
                <c:pt idx="173">
                  <c:v>45412</c:v>
                </c:pt>
                <c:pt idx="174">
                  <c:v>45419</c:v>
                </c:pt>
                <c:pt idx="175">
                  <c:v>45426</c:v>
                </c:pt>
                <c:pt idx="176">
                  <c:v>45433</c:v>
                </c:pt>
                <c:pt idx="177">
                  <c:v>45440</c:v>
                </c:pt>
                <c:pt idx="178">
                  <c:v>45447</c:v>
                </c:pt>
                <c:pt idx="179">
                  <c:v>45454</c:v>
                </c:pt>
                <c:pt idx="180">
                  <c:v>45461</c:v>
                </c:pt>
                <c:pt idx="181">
                  <c:v>45468</c:v>
                </c:pt>
                <c:pt idx="182">
                  <c:v>45475</c:v>
                </c:pt>
                <c:pt idx="183">
                  <c:v>45482</c:v>
                </c:pt>
                <c:pt idx="184">
                  <c:v>45489</c:v>
                </c:pt>
                <c:pt idx="185">
                  <c:v>45496</c:v>
                </c:pt>
                <c:pt idx="186">
                  <c:v>45503</c:v>
                </c:pt>
                <c:pt idx="187">
                  <c:v>45510</c:v>
                </c:pt>
                <c:pt idx="188">
                  <c:v>45517</c:v>
                </c:pt>
                <c:pt idx="189">
                  <c:v>45524</c:v>
                </c:pt>
                <c:pt idx="190">
                  <c:v>45531</c:v>
                </c:pt>
                <c:pt idx="191">
                  <c:v>45538</c:v>
                </c:pt>
                <c:pt idx="192">
                  <c:v>45545</c:v>
                </c:pt>
                <c:pt idx="193">
                  <c:v>45552</c:v>
                </c:pt>
                <c:pt idx="194">
                  <c:v>45559</c:v>
                </c:pt>
                <c:pt idx="195">
                  <c:v>45566</c:v>
                </c:pt>
                <c:pt idx="196">
                  <c:v>45573</c:v>
                </c:pt>
                <c:pt idx="197">
                  <c:v>45580</c:v>
                </c:pt>
                <c:pt idx="198">
                  <c:v>45587</c:v>
                </c:pt>
                <c:pt idx="199">
                  <c:v>45594</c:v>
                </c:pt>
                <c:pt idx="200">
                  <c:v>45601</c:v>
                </c:pt>
                <c:pt idx="201">
                  <c:v>45608</c:v>
                </c:pt>
                <c:pt idx="202">
                  <c:v>45615</c:v>
                </c:pt>
                <c:pt idx="203">
                  <c:v>45622</c:v>
                </c:pt>
                <c:pt idx="204">
                  <c:v>45629</c:v>
                </c:pt>
                <c:pt idx="205">
                  <c:v>45636</c:v>
                </c:pt>
                <c:pt idx="206">
                  <c:v>45643</c:v>
                </c:pt>
                <c:pt idx="207">
                  <c:v>45650</c:v>
                </c:pt>
                <c:pt idx="208">
                  <c:v>45657</c:v>
                </c:pt>
                <c:pt idx="209">
                  <c:v>45664</c:v>
                </c:pt>
                <c:pt idx="210">
                  <c:v>45671</c:v>
                </c:pt>
                <c:pt idx="211">
                  <c:v>45678</c:v>
                </c:pt>
                <c:pt idx="212">
                  <c:v>45685</c:v>
                </c:pt>
                <c:pt idx="213">
                  <c:v>45692</c:v>
                </c:pt>
                <c:pt idx="214">
                  <c:v>45699</c:v>
                </c:pt>
                <c:pt idx="215">
                  <c:v>45706</c:v>
                </c:pt>
                <c:pt idx="216">
                  <c:v>45713</c:v>
                </c:pt>
                <c:pt idx="217">
                  <c:v>45720</c:v>
                </c:pt>
                <c:pt idx="218">
                  <c:v>45727</c:v>
                </c:pt>
                <c:pt idx="219">
                  <c:v>45734</c:v>
                </c:pt>
                <c:pt idx="220">
                  <c:v>45741</c:v>
                </c:pt>
                <c:pt idx="221">
                  <c:v>45748</c:v>
                </c:pt>
                <c:pt idx="222">
                  <c:v>45755</c:v>
                </c:pt>
                <c:pt idx="223">
                  <c:v>45762</c:v>
                </c:pt>
                <c:pt idx="224">
                  <c:v>45769</c:v>
                </c:pt>
                <c:pt idx="225">
                  <c:v>45776</c:v>
                </c:pt>
                <c:pt idx="226">
                  <c:v>45783</c:v>
                </c:pt>
                <c:pt idx="227">
                  <c:v>45790</c:v>
                </c:pt>
                <c:pt idx="228">
                  <c:v>45797</c:v>
                </c:pt>
                <c:pt idx="229">
                  <c:v>45804</c:v>
                </c:pt>
                <c:pt idx="230">
                  <c:v>45811</c:v>
                </c:pt>
                <c:pt idx="231">
                  <c:v>45818</c:v>
                </c:pt>
                <c:pt idx="232">
                  <c:v>45825</c:v>
                </c:pt>
                <c:pt idx="233">
                  <c:v>45832</c:v>
                </c:pt>
                <c:pt idx="234">
                  <c:v>45839</c:v>
                </c:pt>
                <c:pt idx="235">
                  <c:v>45846</c:v>
                </c:pt>
                <c:pt idx="236">
                  <c:v>45853</c:v>
                </c:pt>
                <c:pt idx="237">
                  <c:v>45860</c:v>
                </c:pt>
                <c:pt idx="238">
                  <c:v>45867</c:v>
                </c:pt>
                <c:pt idx="239">
                  <c:v>45874</c:v>
                </c:pt>
                <c:pt idx="240">
                  <c:v>45881</c:v>
                </c:pt>
                <c:pt idx="241">
                  <c:v>45888</c:v>
                </c:pt>
                <c:pt idx="242">
                  <c:v>45895</c:v>
                </c:pt>
                <c:pt idx="243">
                  <c:v>45902</c:v>
                </c:pt>
                <c:pt idx="244">
                  <c:v>45909</c:v>
                </c:pt>
                <c:pt idx="245">
                  <c:v>45916</c:v>
                </c:pt>
                <c:pt idx="246">
                  <c:v>45923</c:v>
                </c:pt>
                <c:pt idx="247">
                  <c:v>45930</c:v>
                </c:pt>
                <c:pt idx="248">
                  <c:v>45937</c:v>
                </c:pt>
                <c:pt idx="249">
                  <c:v>45944</c:v>
                </c:pt>
                <c:pt idx="250">
                  <c:v>45951</c:v>
                </c:pt>
                <c:pt idx="251">
                  <c:v>45958</c:v>
                </c:pt>
                <c:pt idx="252">
                  <c:v>45965</c:v>
                </c:pt>
                <c:pt idx="253">
                  <c:v>45972</c:v>
                </c:pt>
                <c:pt idx="254">
                  <c:v>45979</c:v>
                </c:pt>
                <c:pt idx="255">
                  <c:v>45986</c:v>
                </c:pt>
                <c:pt idx="256">
                  <c:v>45993</c:v>
                </c:pt>
                <c:pt idx="257">
                  <c:v>46000</c:v>
                </c:pt>
                <c:pt idx="258">
                  <c:v>46007</c:v>
                </c:pt>
                <c:pt idx="259">
                  <c:v>46014</c:v>
                </c:pt>
                <c:pt idx="260">
                  <c:v>46021</c:v>
                </c:pt>
                <c:pt idx="261">
                  <c:v>46028</c:v>
                </c:pt>
                <c:pt idx="262">
                  <c:v>46035</c:v>
                </c:pt>
                <c:pt idx="263">
                  <c:v>46042</c:v>
                </c:pt>
                <c:pt idx="264">
                  <c:v>46049</c:v>
                </c:pt>
                <c:pt idx="265">
                  <c:v>46056</c:v>
                </c:pt>
                <c:pt idx="266">
                  <c:v>46063</c:v>
                </c:pt>
                <c:pt idx="267">
                  <c:v>46070</c:v>
                </c:pt>
                <c:pt idx="268">
                  <c:v>46077</c:v>
                </c:pt>
                <c:pt idx="269">
                  <c:v>46084</c:v>
                </c:pt>
                <c:pt idx="270">
                  <c:v>46091</c:v>
                </c:pt>
                <c:pt idx="271">
                  <c:v>46098</c:v>
                </c:pt>
                <c:pt idx="272">
                  <c:v>46105</c:v>
                </c:pt>
                <c:pt idx="273">
                  <c:v>46112</c:v>
                </c:pt>
                <c:pt idx="274">
                  <c:v>46119</c:v>
                </c:pt>
                <c:pt idx="275">
                  <c:v>46126</c:v>
                </c:pt>
                <c:pt idx="276">
                  <c:v>46133</c:v>
                </c:pt>
                <c:pt idx="277">
                  <c:v>46140</c:v>
                </c:pt>
                <c:pt idx="278">
                  <c:v>46147</c:v>
                </c:pt>
                <c:pt idx="279">
                  <c:v>46154</c:v>
                </c:pt>
                <c:pt idx="280">
                  <c:v>46161</c:v>
                </c:pt>
              </c:numCache>
            </c:numRef>
          </c:xVal>
          <c:yVal>
            <c:numRef>
              <c:f>Sheet1!$F$7:$F$287</c:f>
              <c:numCache>
                <c:formatCode>0.000</c:formatCode>
                <c:ptCount val="281"/>
                <c:pt idx="0">
                  <c:v>10.596179929811173</c:v>
                </c:pt>
                <c:pt idx="1">
                  <c:v>10.596179929811173</c:v>
                </c:pt>
                <c:pt idx="2">
                  <c:v>10.596179929811173</c:v>
                </c:pt>
                <c:pt idx="3">
                  <c:v>10.596179929811173</c:v>
                </c:pt>
                <c:pt idx="4">
                  <c:v>10.596179929811173</c:v>
                </c:pt>
                <c:pt idx="5">
                  <c:v>10.876142570157182</c:v>
                </c:pt>
                <c:pt idx="6">
                  <c:v>10.876142570157182</c:v>
                </c:pt>
                <c:pt idx="7">
                  <c:v>10.876142570157182</c:v>
                </c:pt>
                <c:pt idx="8">
                  <c:v>10.876142570157182</c:v>
                </c:pt>
                <c:pt idx="9">
                  <c:v>10.56</c:v>
                </c:pt>
                <c:pt idx="10">
                  <c:v>10.56</c:v>
                </c:pt>
                <c:pt idx="11">
                  <c:v>10.56</c:v>
                </c:pt>
                <c:pt idx="12">
                  <c:v>10.56</c:v>
                </c:pt>
                <c:pt idx="13">
                  <c:v>10.56</c:v>
                </c:pt>
                <c:pt idx="14">
                  <c:v>10.630890605576219</c:v>
                </c:pt>
                <c:pt idx="15">
                  <c:v>10.630890605576219</c:v>
                </c:pt>
                <c:pt idx="16">
                  <c:v>10.630890605576219</c:v>
                </c:pt>
                <c:pt idx="17">
                  <c:v>10.630890605576219</c:v>
                </c:pt>
                <c:pt idx="18">
                  <c:v>11.2624370559544</c:v>
                </c:pt>
                <c:pt idx="19">
                  <c:v>11.2624370559544</c:v>
                </c:pt>
                <c:pt idx="20">
                  <c:v>11.2624370559544</c:v>
                </c:pt>
                <c:pt idx="21">
                  <c:v>11.2624370559544</c:v>
                </c:pt>
                <c:pt idx="22">
                  <c:v>10.938138251462901</c:v>
                </c:pt>
                <c:pt idx="23">
                  <c:v>10.938138251462901</c:v>
                </c:pt>
                <c:pt idx="24">
                  <c:v>10.938138251462901</c:v>
                </c:pt>
                <c:pt idx="25">
                  <c:v>10.938138251462901</c:v>
                </c:pt>
                <c:pt idx="26">
                  <c:v>10.455125594599009</c:v>
                </c:pt>
                <c:pt idx="27">
                  <c:v>10.455125594599009</c:v>
                </c:pt>
                <c:pt idx="28">
                  <c:v>10.455125594599009</c:v>
                </c:pt>
                <c:pt idx="29">
                  <c:v>10.455125594599009</c:v>
                </c:pt>
                <c:pt idx="30">
                  <c:v>10.455125594599009</c:v>
                </c:pt>
                <c:pt idx="31">
                  <c:v>10.801174567440352</c:v>
                </c:pt>
                <c:pt idx="32">
                  <c:v>10.801174567440352</c:v>
                </c:pt>
                <c:pt idx="33">
                  <c:v>10.801174567440352</c:v>
                </c:pt>
                <c:pt idx="34">
                  <c:v>10.801174567440352</c:v>
                </c:pt>
                <c:pt idx="35">
                  <c:v>10.442025361244001</c:v>
                </c:pt>
                <c:pt idx="36">
                  <c:v>10.442025361244001</c:v>
                </c:pt>
                <c:pt idx="37">
                  <c:v>10.442025361244001</c:v>
                </c:pt>
                <c:pt idx="38">
                  <c:v>10.442025361244001</c:v>
                </c:pt>
                <c:pt idx="39">
                  <c:v>10.781283984235182</c:v>
                </c:pt>
                <c:pt idx="40">
                  <c:v>10.781283984235182</c:v>
                </c:pt>
                <c:pt idx="41">
                  <c:v>10.781283984235182</c:v>
                </c:pt>
                <c:pt idx="42">
                  <c:v>10.781283984235182</c:v>
                </c:pt>
                <c:pt idx="43">
                  <c:v>10.781283984235182</c:v>
                </c:pt>
                <c:pt idx="44">
                  <c:v>11.00557889917296</c:v>
                </c:pt>
                <c:pt idx="45">
                  <c:v>11.00557889917296</c:v>
                </c:pt>
                <c:pt idx="46">
                  <c:v>11.00557889917296</c:v>
                </c:pt>
                <c:pt idx="47">
                  <c:v>11.00557889917296</c:v>
                </c:pt>
                <c:pt idx="48">
                  <c:v>10.1693913913145</c:v>
                </c:pt>
                <c:pt idx="49">
                  <c:v>10.1693913913145</c:v>
                </c:pt>
                <c:pt idx="50">
                  <c:v>10.1693913913145</c:v>
                </c:pt>
                <c:pt idx="51">
                  <c:v>10.1693913913145</c:v>
                </c:pt>
                <c:pt idx="52">
                  <c:v>10.1693913913145</c:v>
                </c:pt>
                <c:pt idx="53">
                  <c:v>10.337020135106002</c:v>
                </c:pt>
                <c:pt idx="54">
                  <c:v>10.337020135106002</c:v>
                </c:pt>
                <c:pt idx="55">
                  <c:v>10.337020135106002</c:v>
                </c:pt>
                <c:pt idx="56">
                  <c:v>10.337020135106002</c:v>
                </c:pt>
                <c:pt idx="57">
                  <c:v>10.221754809814044</c:v>
                </c:pt>
                <c:pt idx="58">
                  <c:v>10.221754809814044</c:v>
                </c:pt>
                <c:pt idx="59">
                  <c:v>10.221754809814044</c:v>
                </c:pt>
                <c:pt idx="60">
                  <c:v>10.221754809814044</c:v>
                </c:pt>
                <c:pt idx="61">
                  <c:v>10.457755782990199</c:v>
                </c:pt>
                <c:pt idx="62">
                  <c:v>10.457755782990199</c:v>
                </c:pt>
                <c:pt idx="63">
                  <c:v>10.457755782990199</c:v>
                </c:pt>
                <c:pt idx="64">
                  <c:v>10.457755782990199</c:v>
                </c:pt>
                <c:pt idx="65">
                  <c:v>10.457755782990199</c:v>
                </c:pt>
                <c:pt idx="66">
                  <c:v>28</c:v>
                </c:pt>
                <c:pt idx="67">
                  <c:v>28</c:v>
                </c:pt>
                <c:pt idx="68">
                  <c:v>28</c:v>
                </c:pt>
                <c:pt idx="69">
                  <c:v>28</c:v>
                </c:pt>
                <c:pt idx="70">
                  <c:v>25</c:v>
                </c:pt>
                <c:pt idx="71">
                  <c:v>25</c:v>
                </c:pt>
                <c:pt idx="72">
                  <c:v>25</c:v>
                </c:pt>
                <c:pt idx="73">
                  <c:v>25</c:v>
                </c:pt>
                <c:pt idx="74">
                  <c:v>25</c:v>
                </c:pt>
                <c:pt idx="75">
                  <c:v>25</c:v>
                </c:pt>
                <c:pt idx="76">
                  <c:v>25</c:v>
                </c:pt>
                <c:pt idx="77">
                  <c:v>25</c:v>
                </c:pt>
                <c:pt idx="78">
                  <c:v>25</c:v>
                </c:pt>
                <c:pt idx="79">
                  <c:v>25.75</c:v>
                </c:pt>
                <c:pt idx="80">
                  <c:v>25.75</c:v>
                </c:pt>
                <c:pt idx="81">
                  <c:v>25.75</c:v>
                </c:pt>
                <c:pt idx="82">
                  <c:v>25.75</c:v>
                </c:pt>
                <c:pt idx="83">
                  <c:v>27</c:v>
                </c:pt>
                <c:pt idx="84">
                  <c:v>27</c:v>
                </c:pt>
                <c:pt idx="85">
                  <c:v>27</c:v>
                </c:pt>
                <c:pt idx="86">
                  <c:v>27</c:v>
                </c:pt>
                <c:pt idx="87">
                  <c:v>36</c:v>
                </c:pt>
                <c:pt idx="88">
                  <c:v>36</c:v>
                </c:pt>
                <c:pt idx="89">
                  <c:v>36</c:v>
                </c:pt>
                <c:pt idx="90">
                  <c:v>36</c:v>
                </c:pt>
                <c:pt idx="91">
                  <c:v>21.1</c:v>
                </c:pt>
                <c:pt idx="92">
                  <c:v>21.1</c:v>
                </c:pt>
                <c:pt idx="93">
                  <c:v>21.1</c:v>
                </c:pt>
                <c:pt idx="94">
                  <c:v>21.1</c:v>
                </c:pt>
                <c:pt idx="95">
                  <c:v>21.1</c:v>
                </c:pt>
                <c:pt idx="96">
                  <c:v>21.1</c:v>
                </c:pt>
                <c:pt idx="97">
                  <c:v>21.1</c:v>
                </c:pt>
                <c:pt idx="98">
                  <c:v>26</c:v>
                </c:pt>
                <c:pt idx="99">
                  <c:v>26</c:v>
                </c:pt>
                <c:pt idx="100">
                  <c:v>26</c:v>
                </c:pt>
                <c:pt idx="101">
                  <c:v>26</c:v>
                </c:pt>
                <c:pt idx="102">
                  <c:v>29</c:v>
                </c:pt>
                <c:pt idx="103">
                  <c:v>29</c:v>
                </c:pt>
                <c:pt idx="104">
                  <c:v>29</c:v>
                </c:pt>
                <c:pt idx="105">
                  <c:v>29</c:v>
                </c:pt>
                <c:pt idx="106">
                  <c:v>29.13</c:v>
                </c:pt>
                <c:pt idx="107">
                  <c:v>29.13</c:v>
                </c:pt>
                <c:pt idx="108">
                  <c:v>29.13</c:v>
                </c:pt>
                <c:pt idx="109">
                  <c:v>28.88</c:v>
                </c:pt>
                <c:pt idx="110">
                  <c:v>28.88</c:v>
                </c:pt>
                <c:pt idx="111">
                  <c:v>28.88</c:v>
                </c:pt>
                <c:pt idx="112">
                  <c:v>28.88</c:v>
                </c:pt>
                <c:pt idx="113">
                  <c:v>28.88</c:v>
                </c:pt>
                <c:pt idx="114">
                  <c:v>28.88</c:v>
                </c:pt>
                <c:pt idx="115">
                  <c:v>32.51</c:v>
                </c:pt>
                <c:pt idx="116">
                  <c:v>32.51</c:v>
                </c:pt>
                <c:pt idx="117">
                  <c:v>32.51</c:v>
                </c:pt>
                <c:pt idx="118">
                  <c:v>32.51</c:v>
                </c:pt>
                <c:pt idx="119">
                  <c:v>26.86</c:v>
                </c:pt>
                <c:pt idx="120">
                  <c:v>26.86</c:v>
                </c:pt>
                <c:pt idx="121">
                  <c:v>26.86</c:v>
                </c:pt>
                <c:pt idx="122">
                  <c:v>26.86</c:v>
                </c:pt>
                <c:pt idx="123">
                  <c:v>25.098991731799678</c:v>
                </c:pt>
                <c:pt idx="124">
                  <c:v>25.098991731799678</c:v>
                </c:pt>
                <c:pt idx="125">
                  <c:v>25.098991731799678</c:v>
                </c:pt>
                <c:pt idx="126">
                  <c:v>25.098991731799678</c:v>
                </c:pt>
                <c:pt idx="127">
                  <c:v>25.098991731799678</c:v>
                </c:pt>
                <c:pt idx="128">
                  <c:v>25.098991731799678</c:v>
                </c:pt>
                <c:pt idx="129">
                  <c:v>31.626774134430164</c:v>
                </c:pt>
                <c:pt idx="130">
                  <c:v>31.626774134430164</c:v>
                </c:pt>
                <c:pt idx="131">
                  <c:v>31.626774134430164</c:v>
                </c:pt>
                <c:pt idx="132">
                  <c:v>31.626774134430164</c:v>
                </c:pt>
                <c:pt idx="133">
                  <c:v>31.626774134430164</c:v>
                </c:pt>
                <c:pt idx="134">
                  <c:v>31.626774134430164</c:v>
                </c:pt>
                <c:pt idx="135">
                  <c:v>26.251583725558401</c:v>
                </c:pt>
                <c:pt idx="136">
                  <c:v>26.251583725558401</c:v>
                </c:pt>
                <c:pt idx="137">
                  <c:v>26.251583725558401</c:v>
                </c:pt>
                <c:pt idx="138">
                  <c:v>26.251583725558401</c:v>
                </c:pt>
                <c:pt idx="139">
                  <c:v>26.251583725558401</c:v>
                </c:pt>
                <c:pt idx="140">
                  <c:v>26.251583725558401</c:v>
                </c:pt>
                <c:pt idx="141">
                  <c:v>25.119002712066159</c:v>
                </c:pt>
                <c:pt idx="142">
                  <c:v>25.119002712066159</c:v>
                </c:pt>
                <c:pt idx="143">
                  <c:v>25.119002712066159</c:v>
                </c:pt>
                <c:pt idx="144">
                  <c:v>25.119002712066159</c:v>
                </c:pt>
                <c:pt idx="145">
                  <c:v>25.502839996574998</c:v>
                </c:pt>
                <c:pt idx="146">
                  <c:v>25.502839996574998</c:v>
                </c:pt>
                <c:pt idx="147">
                  <c:v>25.502839996574998</c:v>
                </c:pt>
                <c:pt idx="148">
                  <c:v>25.502839996574998</c:v>
                </c:pt>
                <c:pt idx="149">
                  <c:v>27.486724446938844</c:v>
                </c:pt>
                <c:pt idx="150">
                  <c:v>27.486724446938844</c:v>
                </c:pt>
                <c:pt idx="151">
                  <c:v>27.486724446938844</c:v>
                </c:pt>
                <c:pt idx="152">
                  <c:v>27.486724446938844</c:v>
                </c:pt>
                <c:pt idx="153">
                  <c:v>26.750407424554133</c:v>
                </c:pt>
                <c:pt idx="154">
                  <c:v>26.750407424554133</c:v>
                </c:pt>
                <c:pt idx="155">
                  <c:v>26.750407424554133</c:v>
                </c:pt>
                <c:pt idx="156">
                  <c:v>26.750407424554133</c:v>
                </c:pt>
                <c:pt idx="157">
                  <c:v>17.3</c:v>
                </c:pt>
                <c:pt idx="158">
                  <c:v>17.3</c:v>
                </c:pt>
                <c:pt idx="159">
                  <c:v>17.3</c:v>
                </c:pt>
                <c:pt idx="160">
                  <c:v>19.670902305100903</c:v>
                </c:pt>
                <c:pt idx="161">
                  <c:v>19.670902305100903</c:v>
                </c:pt>
                <c:pt idx="162">
                  <c:v>19.670902305100903</c:v>
                </c:pt>
                <c:pt idx="163">
                  <c:v>19.670902305100903</c:v>
                </c:pt>
                <c:pt idx="164">
                  <c:v>19.670902305100903</c:v>
                </c:pt>
                <c:pt idx="165">
                  <c:v>19.277651142446263</c:v>
                </c:pt>
                <c:pt idx="166">
                  <c:v>19.277651142446263</c:v>
                </c:pt>
                <c:pt idx="167">
                  <c:v>19.277651142446263</c:v>
                </c:pt>
                <c:pt idx="168">
                  <c:v>19.277651142446263</c:v>
                </c:pt>
                <c:pt idx="169">
                  <c:v>19.277651142446263</c:v>
                </c:pt>
                <c:pt idx="170">
                  <c:v>19.277651142446263</c:v>
                </c:pt>
                <c:pt idx="171">
                  <c:v>19.277651142446263</c:v>
                </c:pt>
                <c:pt idx="172">
                  <c:v>19.277651142446263</c:v>
                </c:pt>
                <c:pt idx="173">
                  <c:v>13.07779078877182</c:v>
                </c:pt>
                <c:pt idx="174">
                  <c:v>13.07779078877182</c:v>
                </c:pt>
                <c:pt idx="175">
                  <c:v>13.07779078877182</c:v>
                </c:pt>
                <c:pt idx="176">
                  <c:v>13.07779078877182</c:v>
                </c:pt>
                <c:pt idx="177">
                  <c:v>13.07779078877182</c:v>
                </c:pt>
                <c:pt idx="178">
                  <c:v>16.014937051614933</c:v>
                </c:pt>
                <c:pt idx="179">
                  <c:v>16.014937051614933</c:v>
                </c:pt>
                <c:pt idx="180">
                  <c:v>16.014937051614933</c:v>
                </c:pt>
                <c:pt idx="181">
                  <c:v>16.014937051614933</c:v>
                </c:pt>
                <c:pt idx="182">
                  <c:v>15.7</c:v>
                </c:pt>
                <c:pt idx="183">
                  <c:v>15.7</c:v>
                </c:pt>
                <c:pt idx="184">
                  <c:v>11</c:v>
                </c:pt>
                <c:pt idx="185">
                  <c:v>11</c:v>
                </c:pt>
                <c:pt idx="186">
                  <c:v>11</c:v>
                </c:pt>
                <c:pt idx="187">
                  <c:v>11</c:v>
                </c:pt>
                <c:pt idx="188">
                  <c:v>11</c:v>
                </c:pt>
                <c:pt idx="189">
                  <c:v>11</c:v>
                </c:pt>
                <c:pt idx="190">
                  <c:v>11</c:v>
                </c:pt>
                <c:pt idx="191">
                  <c:v>11</c:v>
                </c:pt>
                <c:pt idx="192">
                  <c:v>11</c:v>
                </c:pt>
                <c:pt idx="193">
                  <c:v>11</c:v>
                </c:pt>
                <c:pt idx="194">
                  <c:v>11</c:v>
                </c:pt>
                <c:pt idx="195">
                  <c:v>11</c:v>
                </c:pt>
                <c:pt idx="196">
                  <c:v>11</c:v>
                </c:pt>
                <c:pt idx="197">
                  <c:v>11</c:v>
                </c:pt>
                <c:pt idx="198">
                  <c:v>11</c:v>
                </c:pt>
                <c:pt idx="199">
                  <c:v>11</c:v>
                </c:pt>
                <c:pt idx="200">
                  <c:v>11</c:v>
                </c:pt>
                <c:pt idx="201">
                  <c:v>11</c:v>
                </c:pt>
                <c:pt idx="202">
                  <c:v>11</c:v>
                </c:pt>
                <c:pt idx="203">
                  <c:v>11</c:v>
                </c:pt>
                <c:pt idx="204">
                  <c:v>11</c:v>
                </c:pt>
                <c:pt idx="205">
                  <c:v>11</c:v>
                </c:pt>
                <c:pt idx="206">
                  <c:v>11</c:v>
                </c:pt>
                <c:pt idx="207">
                  <c:v>11</c:v>
                </c:pt>
                <c:pt idx="208">
                  <c:v>11</c:v>
                </c:pt>
                <c:pt idx="209">
                  <c:v>11</c:v>
                </c:pt>
                <c:pt idx="210">
                  <c:v>11</c:v>
                </c:pt>
                <c:pt idx="211">
                  <c:v>11</c:v>
                </c:pt>
                <c:pt idx="212">
                  <c:v>11</c:v>
                </c:pt>
                <c:pt idx="213">
                  <c:v>12.5</c:v>
                </c:pt>
                <c:pt idx="214">
                  <c:v>12.5</c:v>
                </c:pt>
                <c:pt idx="215">
                  <c:v>12.5</c:v>
                </c:pt>
                <c:pt idx="216">
                  <c:v>12.5</c:v>
                </c:pt>
                <c:pt idx="217">
                  <c:v>12.5</c:v>
                </c:pt>
                <c:pt idx="218">
                  <c:v>12.5</c:v>
                </c:pt>
                <c:pt idx="219">
                  <c:v>12.5</c:v>
                </c:pt>
                <c:pt idx="220">
                  <c:v>12.5</c:v>
                </c:pt>
                <c:pt idx="221">
                  <c:v>12.5</c:v>
                </c:pt>
                <c:pt idx="222">
                  <c:v>12.5</c:v>
                </c:pt>
                <c:pt idx="223">
                  <c:v>12.5</c:v>
                </c:pt>
                <c:pt idx="224">
                  <c:v>12.5</c:v>
                </c:pt>
                <c:pt idx="225">
                  <c:v>12.5</c:v>
                </c:pt>
                <c:pt idx="226">
                  <c:v>12.5</c:v>
                </c:pt>
                <c:pt idx="227">
                  <c:v>12.5</c:v>
                </c:pt>
                <c:pt idx="228">
                  <c:v>12.5</c:v>
                </c:pt>
                <c:pt idx="229">
                  <c:v>12.5</c:v>
                </c:pt>
                <c:pt idx="230">
                  <c:v>12.5</c:v>
                </c:pt>
                <c:pt idx="231">
                  <c:v>11.3</c:v>
                </c:pt>
                <c:pt idx="232">
                  <c:v>11.3</c:v>
                </c:pt>
                <c:pt idx="233">
                  <c:v>11.3</c:v>
                </c:pt>
                <c:pt idx="234">
                  <c:v>11.3</c:v>
                </c:pt>
                <c:pt idx="235">
                  <c:v>11.3</c:v>
                </c:pt>
                <c:pt idx="236">
                  <c:v>11.3</c:v>
                </c:pt>
                <c:pt idx="237">
                  <c:v>10.69</c:v>
                </c:pt>
                <c:pt idx="238">
                  <c:v>10.69</c:v>
                </c:pt>
                <c:pt idx="239">
                  <c:v>10.69</c:v>
                </c:pt>
                <c:pt idx="240">
                  <c:v>10.69</c:v>
                </c:pt>
                <c:pt idx="241">
                  <c:v>10.69</c:v>
                </c:pt>
                <c:pt idx="242">
                  <c:v>10.69</c:v>
                </c:pt>
                <c:pt idx="243">
                  <c:v>10.69</c:v>
                </c:pt>
                <c:pt idx="244">
                  <c:v>10.69</c:v>
                </c:pt>
                <c:pt idx="245">
                  <c:v>10.69</c:v>
                </c:pt>
                <c:pt idx="246">
                  <c:v>10.69</c:v>
                </c:pt>
                <c:pt idx="247">
                  <c:v>10.69</c:v>
                </c:pt>
                <c:pt idx="248">
                  <c:v>10.62</c:v>
                </c:pt>
                <c:pt idx="249">
                  <c:v>10.62</c:v>
                </c:pt>
                <c:pt idx="250">
                  <c:v>10.62</c:v>
                </c:pt>
                <c:pt idx="251">
                  <c:v>10.62</c:v>
                </c:pt>
                <c:pt idx="252">
                  <c:v>10.62</c:v>
                </c:pt>
                <c:pt idx="253">
                  <c:v>10.62</c:v>
                </c:pt>
                <c:pt idx="254">
                  <c:v>10.62</c:v>
                </c:pt>
                <c:pt idx="255">
                  <c:v>10.62</c:v>
                </c:pt>
                <c:pt idx="256">
                  <c:v>10.62</c:v>
                </c:pt>
                <c:pt idx="257">
                  <c:v>10.62</c:v>
                </c:pt>
                <c:pt idx="258">
                  <c:v>10.62</c:v>
                </c:pt>
                <c:pt idx="259">
                  <c:v>10.62</c:v>
                </c:pt>
                <c:pt idx="260">
                  <c:v>10.62</c:v>
                </c:pt>
                <c:pt idx="261">
                  <c:v>10.62</c:v>
                </c:pt>
                <c:pt idx="262">
                  <c:v>10.64</c:v>
                </c:pt>
                <c:pt idx="263">
                  <c:v>10.64</c:v>
                </c:pt>
                <c:pt idx="264">
                  <c:v>10.64</c:v>
                </c:pt>
                <c:pt idx="265">
                  <c:v>10.64</c:v>
                </c:pt>
                <c:pt idx="266">
                  <c:v>10.64</c:v>
                </c:pt>
                <c:pt idx="267">
                  <c:v>10.64</c:v>
                </c:pt>
                <c:pt idx="268">
                  <c:v>10.64</c:v>
                </c:pt>
                <c:pt idx="269">
                  <c:v>10.64</c:v>
                </c:pt>
                <c:pt idx="270">
                  <c:v>10.64</c:v>
                </c:pt>
                <c:pt idx="271">
                  <c:v>10.64</c:v>
                </c:pt>
                <c:pt idx="272">
                  <c:v>10.64</c:v>
                </c:pt>
                <c:pt idx="273">
                  <c:v>10.64</c:v>
                </c:pt>
                <c:pt idx="274">
                  <c:v>12.7</c:v>
                </c:pt>
                <c:pt idx="275">
                  <c:v>12.7</c:v>
                </c:pt>
                <c:pt idx="276">
                  <c:v>12.7</c:v>
                </c:pt>
                <c:pt idx="277">
                  <c:v>12.7</c:v>
                </c:pt>
                <c:pt idx="278">
                  <c:v>12.7</c:v>
                </c:pt>
                <c:pt idx="279">
                  <c:v>12.7</c:v>
                </c:pt>
                <c:pt idx="280">
                  <c:v>12.7</c:v>
                </c:pt>
              </c:numCache>
            </c:numRef>
          </c:yVal>
          <c:smooth val="0"/>
          <c:extLst>
            <c:ext xmlns:c16="http://schemas.microsoft.com/office/drawing/2014/chart" uri="{C3380CC4-5D6E-409C-BE32-E72D297353CC}">
              <c16:uniqueId val="{00000001-3821-41BB-AC48-3A8CBD070464}"/>
            </c:ext>
          </c:extLst>
        </c:ser>
        <c:dLbls>
          <c:showLegendKey val="0"/>
          <c:showVal val="0"/>
          <c:showCatName val="0"/>
          <c:showSerName val="0"/>
          <c:showPercent val="0"/>
          <c:showBubbleSize val="0"/>
        </c:dLbls>
        <c:axId val="1919718799"/>
        <c:axId val="1919716399"/>
      </c:scatterChart>
      <c:valAx>
        <c:axId val="19197187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Date of reported Values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716399"/>
        <c:crosses val="autoZero"/>
        <c:crossBetween val="midCat"/>
      </c:valAx>
      <c:valAx>
        <c:axId val="1919716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Value in pence £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71879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F5BCE-564A-4C33-9240-D653C264D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TotalTime>
  <Pages>46</Pages>
  <Words>9948</Words>
  <Characters>69444</Characters>
  <Application>Microsoft Office Word</Application>
  <DocSecurity>0</DocSecurity>
  <Lines>1310</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340</cp:revision>
  <dcterms:created xsi:type="dcterms:W3CDTF">2026-05-25T18:57:00Z</dcterms:created>
  <dcterms:modified xsi:type="dcterms:W3CDTF">2026-05-31T12:02:00Z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edc8d09f-ee53-41a9-b927-d188d4f2fa18</vt:lpwstr>
  </property>
</Properties>
</file>