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2CC701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F3DAA">
        <w:rPr>
          <w:rFonts w:asciiTheme="minorBidi" w:hAnsiTheme="minorBidi"/>
          <w:sz w:val="28"/>
          <w:szCs w:val="28"/>
        </w:rPr>
        <w:t>Samson Boher Joseph</w:t>
      </w:r>
      <w:r w:rsidR="00705207">
        <w:rPr>
          <w:rFonts w:asciiTheme="minorBidi" w:hAnsiTheme="minorBidi"/>
          <w:sz w:val="28"/>
          <w:szCs w:val="28"/>
        </w:rPr>
        <w:t>.</w:t>
      </w:r>
    </w:p>
    <w:p w14:paraId="485B6F49" w14:textId="67F5884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F3DAA">
        <w:rPr>
          <w:rFonts w:ascii="Times New Roman" w:hAnsi="Times New Roman"/>
          <w:sz w:val="28"/>
          <w:szCs w:val="28"/>
        </w:rPr>
        <w:t>2523179</w:t>
      </w:r>
      <w:r w:rsidR="00705207">
        <w:rPr>
          <w:rFonts w:ascii="Times New Roman" w:hAnsi="Times New Roman"/>
          <w:sz w:val="28"/>
          <w:szCs w:val="28"/>
        </w:rPr>
        <w:t>.</w:t>
      </w:r>
    </w:p>
    <w:p w14:paraId="3C1E7A20" w14:textId="517B29FF" w:rsidR="00ED5964" w:rsidRPr="00FF3DAA" w:rsidRDefault="00ED5964" w:rsidP="00FF3DAA">
      <w:pPr>
        <w:spacing w:line="360" w:lineRule="auto"/>
        <w:jc w:val="both"/>
        <w:rPr>
          <w:rFonts w:asciiTheme="minorBidi" w:hAnsiTheme="minorBidi"/>
          <w:sz w:val="22"/>
        </w:rPr>
      </w:pPr>
      <w:r>
        <w:rPr>
          <w:rFonts w:asciiTheme="minorBidi" w:hAnsiTheme="minorBidi"/>
          <w:sz w:val="28"/>
          <w:szCs w:val="28"/>
        </w:rPr>
        <w:t xml:space="preserve">Module Code: </w:t>
      </w:r>
      <w:r w:rsidR="00705207">
        <w:rPr>
          <w:rFonts w:asciiTheme="minorBidi" w:hAnsiTheme="minorBidi"/>
          <w:sz w:val="28"/>
          <w:szCs w:val="28"/>
        </w:rPr>
        <w:t>LCHS4007.</w:t>
      </w:r>
    </w:p>
    <w:p w14:paraId="4EEB2DA3" w14:textId="7D06F9A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F3DAA">
        <w:rPr>
          <w:rFonts w:asciiTheme="minorBidi" w:hAnsiTheme="minorBidi"/>
          <w:sz w:val="28"/>
          <w:szCs w:val="28"/>
        </w:rPr>
        <w:t>Digital Skills and Research Methods</w:t>
      </w:r>
      <w:r w:rsidR="00705207">
        <w:rPr>
          <w:rFonts w:asciiTheme="minorBidi" w:hAnsiTheme="minorBidi"/>
          <w:sz w:val="28"/>
          <w:szCs w:val="28"/>
        </w:rPr>
        <w:t>.</w:t>
      </w:r>
    </w:p>
    <w:p w14:paraId="112342CB" w14:textId="0FA513C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F3DAA">
        <w:rPr>
          <w:rFonts w:asciiTheme="minorBidi" w:hAnsiTheme="minorBidi"/>
          <w:sz w:val="28"/>
          <w:szCs w:val="28"/>
        </w:rPr>
        <w:t>Bianca Dodgen</w:t>
      </w:r>
      <w:r w:rsidR="00705207">
        <w:rPr>
          <w:rFonts w:asciiTheme="minorBidi" w:hAnsiTheme="minorBidi"/>
          <w:sz w:val="28"/>
          <w:szCs w:val="28"/>
        </w:rPr>
        <w:t>.</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FF3DAA">
      <w:pPr>
        <w:spacing w:after="0"/>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5118C65"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369C3">
        <w:rPr>
          <w:rFonts w:asciiTheme="minorBidi" w:hAnsiTheme="minorBidi"/>
          <w:sz w:val="28"/>
          <w:szCs w:val="28"/>
        </w:rPr>
        <w:t>23/03/2026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4A159F97" w14:textId="48664CE9" w:rsidR="00ED5964" w:rsidRPr="00B467F3" w:rsidRDefault="00B467F3" w:rsidP="00ED5964">
      <w:pPr>
        <w:jc w:val="both"/>
        <w:rPr>
          <w:rFonts w:ascii="Arial" w:hAnsi="Arial" w:cs="Arial"/>
          <w:b/>
          <w:bCs/>
          <w:sz w:val="28"/>
          <w:szCs w:val="28"/>
        </w:rPr>
      </w:pPr>
      <w:r w:rsidRPr="00B467F3">
        <w:rPr>
          <w:rFonts w:ascii="Arial" w:hAnsi="Arial" w:cs="Arial"/>
          <w:b/>
          <w:bCs/>
          <w:sz w:val="22"/>
        </w:rPr>
        <w:lastRenderedPageBreak/>
        <w:t>Table of Contents</w:t>
      </w:r>
    </w:p>
    <w:p w14:paraId="6956D747" w14:textId="6E36A9E3" w:rsidR="00710F59" w:rsidRPr="00710F59" w:rsidRDefault="00710F59" w:rsidP="00710F59">
      <w:pPr>
        <w:jc w:val="both"/>
        <w:rPr>
          <w:rFonts w:asciiTheme="minorBidi" w:hAnsiTheme="minorBidi"/>
          <w:b/>
          <w:bCs/>
          <w:sz w:val="28"/>
          <w:szCs w:val="28"/>
        </w:rPr>
      </w:pPr>
    </w:p>
    <w:p w14:paraId="09E24E55" w14:textId="00D8C3A4" w:rsidR="00ED5964" w:rsidRPr="00242974" w:rsidRDefault="00B467F3" w:rsidP="00ED5964">
      <w:pPr>
        <w:jc w:val="both"/>
        <w:rPr>
          <w:rFonts w:asciiTheme="minorBidi" w:hAnsiTheme="minorBidi"/>
          <w:b/>
          <w:bCs/>
          <w:sz w:val="28"/>
          <w:szCs w:val="28"/>
        </w:rPr>
      </w:pPr>
      <w:r>
        <w:rPr>
          <w:rFonts w:asciiTheme="minorBidi" w:hAnsiTheme="minorBidi"/>
          <w:b/>
          <w:bCs/>
          <w:sz w:val="28"/>
          <w:szCs w:val="28"/>
        </w:rPr>
        <w:t>1: Introductions</w:t>
      </w:r>
      <w:r w:rsidR="000A2EAC">
        <w:rPr>
          <w:rFonts w:asciiTheme="minorBidi" w:hAnsiTheme="minorBidi"/>
          <w:b/>
          <w:bCs/>
          <w:sz w:val="28"/>
          <w:szCs w:val="28"/>
        </w:rPr>
        <w:t>…………………</w:t>
      </w:r>
      <w:r w:rsidR="00A369C3">
        <w:rPr>
          <w:rFonts w:asciiTheme="minorBidi" w:hAnsiTheme="minorBidi"/>
          <w:b/>
          <w:bCs/>
          <w:sz w:val="28"/>
          <w:szCs w:val="28"/>
        </w:rPr>
        <w:t>…...</w:t>
      </w:r>
      <w:r w:rsidR="000A2EAC">
        <w:rPr>
          <w:rFonts w:asciiTheme="minorBidi" w:hAnsiTheme="minorBidi"/>
          <w:b/>
          <w:bCs/>
          <w:sz w:val="28"/>
          <w:szCs w:val="28"/>
        </w:rPr>
        <w:t>2</w:t>
      </w:r>
    </w:p>
    <w:p w14:paraId="40BC340F" w14:textId="4F4ED85A" w:rsidR="00ED5964" w:rsidRDefault="00B467F3" w:rsidP="00ED5964">
      <w:pPr>
        <w:jc w:val="both"/>
        <w:rPr>
          <w:rFonts w:asciiTheme="minorBidi" w:hAnsiTheme="minorBidi"/>
          <w:b/>
          <w:bCs/>
          <w:sz w:val="28"/>
          <w:szCs w:val="28"/>
        </w:rPr>
      </w:pPr>
      <w:r>
        <w:rPr>
          <w:rFonts w:asciiTheme="minorBidi" w:hAnsiTheme="minorBidi"/>
          <w:b/>
          <w:bCs/>
          <w:sz w:val="28"/>
          <w:szCs w:val="28"/>
        </w:rPr>
        <w:t>2: who it is affected</w:t>
      </w:r>
      <w:r w:rsidR="000A2EAC">
        <w:rPr>
          <w:rFonts w:asciiTheme="minorBidi" w:hAnsiTheme="minorBidi"/>
          <w:b/>
          <w:bCs/>
          <w:sz w:val="28"/>
          <w:szCs w:val="28"/>
        </w:rPr>
        <w:t>…………………3</w:t>
      </w:r>
    </w:p>
    <w:p w14:paraId="402DF0AF" w14:textId="1ECEC492" w:rsidR="00B467F3" w:rsidRDefault="00B467F3" w:rsidP="00ED5964">
      <w:pPr>
        <w:jc w:val="both"/>
        <w:rPr>
          <w:rFonts w:asciiTheme="minorBidi" w:hAnsiTheme="minorBidi"/>
          <w:b/>
          <w:bCs/>
          <w:sz w:val="28"/>
          <w:szCs w:val="28"/>
        </w:rPr>
      </w:pPr>
      <w:r>
        <w:rPr>
          <w:rFonts w:asciiTheme="minorBidi" w:hAnsiTheme="minorBidi"/>
          <w:b/>
          <w:bCs/>
          <w:sz w:val="28"/>
          <w:szCs w:val="28"/>
        </w:rPr>
        <w:t>3: Reflection</w:t>
      </w:r>
      <w:r w:rsidR="000A2EAC">
        <w:rPr>
          <w:rFonts w:asciiTheme="minorBidi" w:hAnsiTheme="minorBidi"/>
          <w:b/>
          <w:bCs/>
          <w:sz w:val="28"/>
          <w:szCs w:val="28"/>
        </w:rPr>
        <w:t>………………………….3</w:t>
      </w:r>
    </w:p>
    <w:p w14:paraId="56CCB991" w14:textId="5B2EEEC3" w:rsidR="00B467F3" w:rsidRDefault="00B467F3" w:rsidP="00ED5964">
      <w:pPr>
        <w:jc w:val="both"/>
        <w:rPr>
          <w:rFonts w:asciiTheme="minorBidi" w:hAnsiTheme="minorBidi"/>
          <w:b/>
          <w:bCs/>
          <w:sz w:val="28"/>
          <w:szCs w:val="28"/>
        </w:rPr>
      </w:pPr>
      <w:r>
        <w:rPr>
          <w:rFonts w:asciiTheme="minorBidi" w:hAnsiTheme="minorBidi"/>
          <w:b/>
          <w:bCs/>
          <w:sz w:val="28"/>
          <w:szCs w:val="28"/>
        </w:rPr>
        <w:t xml:space="preserve">4: </w:t>
      </w:r>
      <w:r w:rsidR="000A2EAC">
        <w:rPr>
          <w:rFonts w:asciiTheme="minorBidi" w:hAnsiTheme="minorBidi"/>
          <w:b/>
          <w:bCs/>
          <w:sz w:val="28"/>
          <w:szCs w:val="28"/>
        </w:rPr>
        <w:t>Evaluation…………………………</w:t>
      </w:r>
      <w:r w:rsidR="00A369C3">
        <w:rPr>
          <w:rFonts w:asciiTheme="minorBidi" w:hAnsiTheme="minorBidi"/>
          <w:b/>
          <w:bCs/>
          <w:sz w:val="28"/>
          <w:szCs w:val="28"/>
        </w:rPr>
        <w:t>.</w:t>
      </w:r>
      <w:r w:rsidR="000A2EAC">
        <w:rPr>
          <w:rFonts w:asciiTheme="minorBidi" w:hAnsiTheme="minorBidi"/>
          <w:b/>
          <w:bCs/>
          <w:sz w:val="28"/>
          <w:szCs w:val="28"/>
        </w:rPr>
        <w:t>3</w:t>
      </w:r>
    </w:p>
    <w:p w14:paraId="5EDBDA42" w14:textId="02105AA6" w:rsidR="000A2EAC" w:rsidRDefault="000A2EAC" w:rsidP="00ED5964">
      <w:pPr>
        <w:jc w:val="both"/>
        <w:rPr>
          <w:rFonts w:asciiTheme="minorBidi" w:hAnsiTheme="minorBidi"/>
          <w:b/>
          <w:bCs/>
          <w:sz w:val="28"/>
          <w:szCs w:val="28"/>
        </w:rPr>
      </w:pPr>
      <w:r>
        <w:rPr>
          <w:rFonts w:asciiTheme="minorBidi" w:hAnsiTheme="minorBidi"/>
          <w:b/>
          <w:bCs/>
          <w:sz w:val="28"/>
          <w:szCs w:val="28"/>
        </w:rPr>
        <w:t>5: Types of Research……………</w:t>
      </w:r>
      <w:r w:rsidR="00A369C3">
        <w:rPr>
          <w:rFonts w:asciiTheme="minorBidi" w:hAnsiTheme="minorBidi"/>
          <w:b/>
          <w:bCs/>
          <w:sz w:val="28"/>
          <w:szCs w:val="28"/>
        </w:rPr>
        <w:t>.….</w:t>
      </w:r>
      <w:r>
        <w:rPr>
          <w:rFonts w:asciiTheme="minorBidi" w:hAnsiTheme="minorBidi"/>
          <w:b/>
          <w:bCs/>
          <w:sz w:val="28"/>
          <w:szCs w:val="28"/>
        </w:rPr>
        <w:t>4</w:t>
      </w:r>
    </w:p>
    <w:p w14:paraId="1E1351F4" w14:textId="038E383E" w:rsidR="000A2EAC" w:rsidRDefault="000A2EAC" w:rsidP="00ED5964">
      <w:pPr>
        <w:jc w:val="both"/>
        <w:rPr>
          <w:rFonts w:asciiTheme="minorBidi" w:hAnsiTheme="minorBidi"/>
          <w:b/>
          <w:bCs/>
          <w:sz w:val="28"/>
          <w:szCs w:val="28"/>
        </w:rPr>
      </w:pPr>
      <w:r>
        <w:rPr>
          <w:rFonts w:asciiTheme="minorBidi" w:hAnsiTheme="minorBidi"/>
          <w:b/>
          <w:bCs/>
          <w:sz w:val="28"/>
          <w:szCs w:val="28"/>
        </w:rPr>
        <w:t>6: Types of Data……………………</w:t>
      </w:r>
      <w:r w:rsidR="00A369C3">
        <w:rPr>
          <w:rFonts w:asciiTheme="minorBidi" w:hAnsiTheme="minorBidi"/>
          <w:b/>
          <w:bCs/>
          <w:sz w:val="28"/>
          <w:szCs w:val="28"/>
        </w:rPr>
        <w:t>…</w:t>
      </w:r>
      <w:r>
        <w:rPr>
          <w:rFonts w:asciiTheme="minorBidi" w:hAnsiTheme="minorBidi"/>
          <w:b/>
          <w:bCs/>
          <w:sz w:val="28"/>
          <w:szCs w:val="28"/>
        </w:rPr>
        <w:t>5</w:t>
      </w:r>
      <w:r w:rsidR="00A369C3">
        <w:rPr>
          <w:rFonts w:asciiTheme="minorBidi" w:hAnsiTheme="minorBidi"/>
          <w:b/>
          <w:bCs/>
          <w:sz w:val="28"/>
          <w:szCs w:val="28"/>
        </w:rPr>
        <w:t>.</w:t>
      </w:r>
    </w:p>
    <w:p w14:paraId="00AD106C" w14:textId="6E85635C" w:rsidR="000A2EAC" w:rsidRDefault="000A2EAC" w:rsidP="00ED5964">
      <w:pPr>
        <w:jc w:val="both"/>
        <w:rPr>
          <w:rFonts w:asciiTheme="minorBidi" w:hAnsiTheme="minorBidi"/>
          <w:b/>
          <w:bCs/>
          <w:sz w:val="28"/>
          <w:szCs w:val="28"/>
        </w:rPr>
      </w:pPr>
      <w:r>
        <w:rPr>
          <w:rFonts w:asciiTheme="minorBidi" w:hAnsiTheme="minorBidi"/>
          <w:b/>
          <w:bCs/>
          <w:sz w:val="28"/>
          <w:szCs w:val="28"/>
        </w:rPr>
        <w:t>7: Conclusions……………………….</w:t>
      </w:r>
      <w:r w:rsidR="00A369C3">
        <w:rPr>
          <w:rFonts w:asciiTheme="minorBidi" w:hAnsiTheme="minorBidi"/>
          <w:b/>
          <w:bCs/>
          <w:sz w:val="28"/>
          <w:szCs w:val="28"/>
        </w:rPr>
        <w:t>5.</w:t>
      </w:r>
    </w:p>
    <w:p w14:paraId="2C5E6085" w14:textId="23027CA3" w:rsidR="000A2EAC" w:rsidRDefault="000A2EAC" w:rsidP="00ED5964">
      <w:pPr>
        <w:jc w:val="both"/>
        <w:rPr>
          <w:rFonts w:asciiTheme="minorBidi" w:hAnsiTheme="minorBidi"/>
          <w:b/>
          <w:bCs/>
          <w:sz w:val="28"/>
          <w:szCs w:val="28"/>
        </w:rPr>
      </w:pPr>
      <w:r>
        <w:rPr>
          <w:rFonts w:asciiTheme="minorBidi" w:hAnsiTheme="minorBidi"/>
          <w:b/>
          <w:bCs/>
          <w:sz w:val="28"/>
          <w:szCs w:val="28"/>
        </w:rPr>
        <w:t>8: References…………………………</w:t>
      </w:r>
      <w:r w:rsidR="00A369C3">
        <w:rPr>
          <w:rFonts w:asciiTheme="minorBidi" w:hAnsiTheme="minorBidi"/>
          <w:b/>
          <w:bCs/>
          <w:sz w:val="28"/>
          <w:szCs w:val="28"/>
        </w:rPr>
        <w:t>6.</w:t>
      </w:r>
    </w:p>
    <w:p w14:paraId="66089FA9" w14:textId="77777777" w:rsidR="000A2EAC" w:rsidRDefault="000A2EAC" w:rsidP="00ED5964">
      <w:pPr>
        <w:jc w:val="both"/>
        <w:rPr>
          <w:rFonts w:asciiTheme="minorBidi" w:hAnsiTheme="minorBidi"/>
          <w:b/>
          <w:bCs/>
          <w:sz w:val="28"/>
          <w:szCs w:val="28"/>
        </w:rPr>
      </w:pPr>
    </w:p>
    <w:p w14:paraId="14C89A31" w14:textId="77777777" w:rsidR="00B467F3" w:rsidRPr="00242974" w:rsidRDefault="00B467F3"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753C479" w14:textId="77777777" w:rsidR="000A2EAC" w:rsidRPr="00B50309" w:rsidRDefault="000A2EAC" w:rsidP="000A2EAC">
      <w:pPr>
        <w:rPr>
          <w:b/>
          <w:bCs/>
        </w:rPr>
      </w:pPr>
      <w:r>
        <w:rPr>
          <w:rFonts w:asciiTheme="minorBidi" w:hAnsiTheme="minorBidi"/>
          <w:b/>
          <w:bCs/>
          <w:sz w:val="28"/>
          <w:szCs w:val="28"/>
        </w:rPr>
        <w:t xml:space="preserve">                                                 </w:t>
      </w:r>
      <w:r w:rsidRPr="00B50309">
        <w:rPr>
          <w:b/>
          <w:bCs/>
        </w:rPr>
        <w:t>INTRODUCTION</w:t>
      </w:r>
    </w:p>
    <w:p w14:paraId="03A50A43" w14:textId="77777777" w:rsidR="000A2EAC" w:rsidRDefault="000A2EAC" w:rsidP="000A2EAC">
      <w:r>
        <w:t xml:space="preserve">1:1-Burnout is a syndrome associated with a high-level job with high demands and a lack of resources or motivation. This report aims to highlight who is affected by this issue, evaluate three (3) credible sources, and explain the usefulness and gaps in the research by Zhou et al. (2020), Google Scholar. </w:t>
      </w:r>
      <w:r w:rsidRPr="00D105D8">
        <w:t>Many healthcare workplaces face high rates of mental health issues like burnout, anxiety, and depression because of poor psychosocial working conditions, and midwives are no</w:t>
      </w:r>
      <w:r>
        <w:t xml:space="preserve"> exception (</w:t>
      </w:r>
      <w:r w:rsidRPr="00127901">
        <w:t>Hadžibajramović</w:t>
      </w:r>
      <w:r>
        <w:t xml:space="preserve"> et al, (2022).</w:t>
      </w:r>
    </w:p>
    <w:p w14:paraId="6D875792" w14:textId="77777777" w:rsidR="000A2EAC" w:rsidRDefault="000A2EAC" w:rsidP="000A2EAC">
      <w:r>
        <w:t>1:2-</w:t>
      </w:r>
      <w:r w:rsidRPr="00E319C9">
        <w:t xml:space="preserve">This study examined </w:t>
      </w:r>
      <w:r>
        <w:t xml:space="preserve">how </w:t>
      </w:r>
      <w:r w:rsidRPr="00E319C9">
        <w:t xml:space="preserve">COVID-19 alters </w:t>
      </w:r>
      <w:r>
        <w:t>the relationship between work resources and demands and</w:t>
      </w:r>
      <w:r w:rsidRPr="00E319C9">
        <w:t xml:space="preserve"> burnout. The survey included 771 nurses from 10 hospitals in northern Spain</w:t>
      </w:r>
      <w:r>
        <w:t xml:space="preserve"> and was conducted during the last two weeks of April 2020,</w:t>
      </w:r>
      <w:r w:rsidRPr="00E319C9">
        <w:t xml:space="preserve"> using an online questionnaire. Using several </w:t>
      </w:r>
      <w:r>
        <w:t>organised</w:t>
      </w:r>
      <w:r w:rsidRPr="00E319C9">
        <w:t xml:space="preserve"> linear regression models, the study found that work overload, material and human resources, and social support at work all significantly explained burnout. The feeling of threat from COVID-19 was also important and had the strongest effect (β = 0.392). It also affected how social support at work related to burnout.</w:t>
      </w:r>
      <w:r>
        <w:t xml:space="preserve"> </w:t>
      </w:r>
      <w:r w:rsidRPr="00E319C9">
        <w:t>The perceived threat of COVID-19 helped explain the extent of nurses' burnout and the link between social support at work and burnou</w:t>
      </w:r>
      <w:r>
        <w:t>t, Garcia and Juan (2020)</w:t>
      </w:r>
    </w:p>
    <w:p w14:paraId="7C3774D2" w14:textId="77777777" w:rsidR="000A2EAC" w:rsidRPr="00D87CF4" w:rsidRDefault="000A2EAC" w:rsidP="000A2EAC">
      <w:pPr>
        <w:spacing w:line="278" w:lineRule="auto"/>
      </w:pPr>
      <w:r>
        <w:t>1:3-</w:t>
      </w:r>
      <w:r w:rsidRPr="00D87CF4">
        <w:t xml:space="preserve">Health professionals experience burnout at higher rates than other occupational groups. This study systematically reviews and </w:t>
      </w:r>
      <w:r>
        <w:t>meta-analyses</w:t>
      </w:r>
      <w:r w:rsidRPr="00D87CF4">
        <w:t xml:space="preserve"> thirteen occupational risk factors associated with burnout syndrome among health professionals worldwide. A comprehensive literature search was performed in August 2023</w:t>
      </w:r>
      <w:r>
        <w:t>, Amiri et al. (2024)</w:t>
      </w:r>
    </w:p>
    <w:p w14:paraId="768994FF" w14:textId="77777777" w:rsidR="000A2EAC" w:rsidRPr="00E319C9" w:rsidRDefault="000A2EAC" w:rsidP="000A2EAC">
      <w:pPr>
        <w:spacing w:line="278" w:lineRule="auto"/>
      </w:pPr>
    </w:p>
    <w:p w14:paraId="1725EC75" w14:textId="77777777" w:rsidR="000A2EAC" w:rsidRDefault="000A2EAC" w:rsidP="000A2EAC"/>
    <w:p w14:paraId="24ECF4AF" w14:textId="77777777" w:rsidR="000A2EAC" w:rsidRPr="00D87CF4" w:rsidRDefault="000A2EAC" w:rsidP="000A2EAC">
      <w:pPr>
        <w:ind w:left="360"/>
        <w:rPr>
          <w:b/>
          <w:bCs/>
        </w:rPr>
      </w:pPr>
      <w:r>
        <w:rPr>
          <w:b/>
          <w:bCs/>
        </w:rPr>
        <w:t xml:space="preserve">2: </w:t>
      </w:r>
      <w:r w:rsidRPr="00D87CF4">
        <w:rPr>
          <w:b/>
          <w:bCs/>
        </w:rPr>
        <w:t xml:space="preserve">WHO IS IT </w:t>
      </w:r>
      <w:r>
        <w:rPr>
          <w:b/>
          <w:bCs/>
        </w:rPr>
        <w:t>AFFECTING?</w:t>
      </w:r>
    </w:p>
    <w:p w14:paraId="3173AF8C" w14:textId="77777777" w:rsidR="000A2EAC" w:rsidRPr="00B5107C" w:rsidRDefault="000A2EAC" w:rsidP="000A2EAC">
      <w:pPr>
        <w:spacing w:line="278" w:lineRule="auto"/>
        <w:rPr>
          <w:rFonts w:ascii="Arial" w:hAnsi="Arial" w:cs="Arial"/>
          <w:sz w:val="22"/>
        </w:rPr>
      </w:pPr>
      <w:r>
        <w:rPr>
          <w:rFonts w:ascii="Arial" w:hAnsi="Arial" w:cs="Arial"/>
          <w:sz w:val="22"/>
        </w:rPr>
        <w:lastRenderedPageBreak/>
        <w:t>2:1- Report</w:t>
      </w:r>
      <w:r w:rsidRPr="00B5107C">
        <w:rPr>
          <w:rFonts w:ascii="Arial" w:hAnsi="Arial" w:cs="Arial"/>
          <w:sz w:val="22"/>
        </w:rPr>
        <w:t xml:space="preserve"> highlights concern about burnout in healthcare workers. A meta-analysis identified several work-related causes of burnout, including work-life imbalance, worries about patients’ conditions, medical speciality, professional degree, and training. Stressors outside the workplace, such as financial issues, demographic factors, and health conditions, were also noted</w:t>
      </w:r>
      <w:r>
        <w:rPr>
          <w:rFonts w:ascii="Arial" w:hAnsi="Arial" w:cs="Arial"/>
          <w:sz w:val="22"/>
        </w:rPr>
        <w:t xml:space="preserve"> by </w:t>
      </w:r>
      <w:r>
        <w:t>Zhou et al. (2020), Google Scholar.</w:t>
      </w:r>
    </w:p>
    <w:p w14:paraId="3E225CC2" w14:textId="77777777" w:rsidR="000A2EAC" w:rsidRDefault="000A2EAC" w:rsidP="000A2EAC">
      <w:r>
        <w:rPr>
          <w:rFonts w:ascii="Arial" w:hAnsi="Arial" w:cs="Arial"/>
          <w:sz w:val="22"/>
        </w:rPr>
        <w:t>2:2- Fatigue, a feeling of unease, lower job satisfaction, overuse of some medications, stigmatisation, and younger age are key predictors of burnout symptoms. This condition can develop rapidly and lead to serious short-term consequences, including suicidal thoughts. Zhou et al. (2020), Google Scholar.</w:t>
      </w:r>
    </w:p>
    <w:p w14:paraId="474D6295" w14:textId="77777777" w:rsidR="000A2EAC" w:rsidRDefault="000A2EAC" w:rsidP="000A2EAC">
      <w:r>
        <w:t xml:space="preserve">2:3- </w:t>
      </w:r>
      <w:r w:rsidRPr="006243EF">
        <w:t xml:space="preserve">High levels of burnout among midwives greatly affect both the individuals and their </w:t>
      </w:r>
      <w:r>
        <w:t>organisations</w:t>
      </w:r>
      <w:r w:rsidRPr="006243EF">
        <w:t>. This leads to lower-quality care, increased sick leave, and higher turnover, all of which contribute to a shortage of midwives. In Sweden, stress-related illnesses are the main reasons for sick leave, especially in female-dominated sectors. Swedish midwives have the third-highest sick leave rates among healthcare workers</w:t>
      </w:r>
      <w:r>
        <w:t xml:space="preserve"> </w:t>
      </w:r>
      <w:r w:rsidRPr="00127901">
        <w:t>Hadžibajramović</w:t>
      </w:r>
      <w:r>
        <w:t xml:space="preserve"> et al. (2022).</w:t>
      </w:r>
    </w:p>
    <w:p w14:paraId="7ECBBB60" w14:textId="77777777" w:rsidR="000A2EAC" w:rsidRPr="00D87CF4" w:rsidRDefault="000A2EAC" w:rsidP="000A2EAC">
      <w:pPr>
        <w:ind w:left="360"/>
        <w:rPr>
          <w:b/>
          <w:bCs/>
        </w:rPr>
      </w:pPr>
      <w:r>
        <w:rPr>
          <w:b/>
          <w:bCs/>
        </w:rPr>
        <w:t>3: -</w:t>
      </w:r>
      <w:r w:rsidRPr="00D87CF4">
        <w:rPr>
          <w:b/>
          <w:bCs/>
        </w:rPr>
        <w:t>REFLECTION:</w:t>
      </w:r>
    </w:p>
    <w:p w14:paraId="68E05C7D" w14:textId="77777777" w:rsidR="000A2EAC" w:rsidRDefault="000A2EAC" w:rsidP="000A2EAC">
      <w:pPr>
        <w:rPr>
          <w:b/>
          <w:bCs/>
        </w:rPr>
      </w:pPr>
      <w:r w:rsidRPr="00EB6919">
        <w:rPr>
          <w:rFonts w:ascii="Arial" w:hAnsi="Arial" w:cs="Arial"/>
          <w:sz w:val="22"/>
        </w:rPr>
        <w:t>Healthcare shapes how people and communities experience wellbeing. Looking closely at it reveals both its strengths and its challenges. It’s more than just treatment; it’s a system based on compassion, access, and trust. When it works well, healthcare helps people live healthier, safer lives. But inequalities, limited resources, and growing demand create gaps that affect results and morale. That’s why healthcare is a shared responsibility among professionals, organisations, and society. Focusing on prevention, supporting staff, and listening to patients can strengthen the system. Thinking about healthcare reminds me how important fairness, dignity, and ongoing improvement are for everyone’s future</w:t>
      </w:r>
      <w:r w:rsidRPr="00EB6919">
        <w:rPr>
          <w:b/>
          <w:bCs/>
        </w:rPr>
        <w:t>.</w:t>
      </w:r>
    </w:p>
    <w:p w14:paraId="0249291D" w14:textId="77777777" w:rsidR="000A2EAC" w:rsidRDefault="000A2EAC" w:rsidP="000A2EAC">
      <w:pPr>
        <w:rPr>
          <w:b/>
          <w:bCs/>
        </w:rPr>
      </w:pPr>
      <w:r>
        <w:rPr>
          <w:b/>
          <w:bCs/>
        </w:rPr>
        <w:t xml:space="preserve">4: EVALUATION </w:t>
      </w:r>
    </w:p>
    <w:p w14:paraId="4BBB011F" w14:textId="77777777" w:rsidR="000A2EAC" w:rsidRDefault="000A2EAC" w:rsidP="000A2EAC">
      <w:pPr>
        <w:rPr>
          <w:rFonts w:ascii="Arial" w:hAnsi="Arial" w:cs="Arial"/>
          <w:sz w:val="22"/>
        </w:rPr>
      </w:pPr>
      <w:r>
        <w:rPr>
          <w:b/>
          <w:bCs/>
        </w:rPr>
        <w:t xml:space="preserve">4:1 </w:t>
      </w:r>
      <w:r w:rsidRPr="000E459C">
        <w:rPr>
          <w:rFonts w:ascii="Arial" w:hAnsi="Arial" w:cs="Arial"/>
          <w:sz w:val="22"/>
        </w:rPr>
        <w:t>The study investigated whether feeling threatened by COVID-19 influenced the effects of work resources and demands on burnout among nurses</w:t>
      </w:r>
      <w:r>
        <w:rPr>
          <w:rFonts w:ascii="Arial" w:hAnsi="Arial" w:cs="Arial"/>
          <w:sz w:val="22"/>
        </w:rPr>
        <w:t xml:space="preserve"> by using qualitative research.</w:t>
      </w:r>
      <w:r w:rsidRPr="000E459C">
        <w:rPr>
          <w:rFonts w:ascii="Arial" w:hAnsi="Arial" w:cs="Arial"/>
          <w:sz w:val="22"/>
        </w:rPr>
        <w:t xml:space="preserve"> Surveying 771 nurses in northern Spain in April 2020, the researchers found that work overload, available resources, and social support at work significantly contributed to burnout. Importantly, the perceived threat from COVID-19 not only had the strongest effect on burnout (β = 0.392) but also influenced the relationship between social support at work and burnout. In summary, the perceived threat of COVID-19 played a key role in both the degree of burnout experienced by nurses and in moderating the relationship between social support and burnout</w:t>
      </w:r>
      <w:r w:rsidRPr="000E459C">
        <w:rPr>
          <w:b/>
          <w:bCs/>
        </w:rPr>
        <w:t>.</w:t>
      </w:r>
      <w:r>
        <w:rPr>
          <w:b/>
          <w:bCs/>
        </w:rPr>
        <w:t xml:space="preserve"> </w:t>
      </w:r>
      <w:r w:rsidRPr="005732AB">
        <w:rPr>
          <w:rFonts w:ascii="Arial" w:hAnsi="Arial" w:cs="Arial"/>
          <w:sz w:val="22"/>
        </w:rPr>
        <w:t>Nur</w:t>
      </w:r>
      <w:r>
        <w:rPr>
          <w:rFonts w:ascii="Arial" w:hAnsi="Arial" w:cs="Arial"/>
          <w:sz w:val="22"/>
        </w:rPr>
        <w:t>ses were working increased hours from 8-12, Garcia and Juan (2020).</w:t>
      </w:r>
    </w:p>
    <w:p w14:paraId="6026D5F5" w14:textId="77777777" w:rsidR="000A2EAC" w:rsidRDefault="000A2EAC" w:rsidP="000A2EAC">
      <w:pPr>
        <w:rPr>
          <w:rFonts w:ascii="Arial" w:hAnsi="Arial" w:cs="Arial"/>
          <w:sz w:val="22"/>
        </w:rPr>
      </w:pPr>
      <w:r>
        <w:rPr>
          <w:rFonts w:ascii="Arial" w:hAnsi="Arial" w:cs="Arial"/>
          <w:sz w:val="22"/>
        </w:rPr>
        <w:t>4:2-In t</w:t>
      </w:r>
      <w:r w:rsidRPr="00B965FC">
        <w:rPr>
          <w:rFonts w:ascii="Arial" w:hAnsi="Arial" w:cs="Arial"/>
          <w:sz w:val="22"/>
        </w:rPr>
        <w:t>his research</w:t>
      </w:r>
      <w:r>
        <w:rPr>
          <w:rFonts w:ascii="Arial" w:hAnsi="Arial" w:cs="Arial"/>
          <w:sz w:val="22"/>
        </w:rPr>
        <w:t>, a systematic search of three databases: PubMed, Web of Science, and Scopus, along with a manual search of the grey literature database Google Scholar, was utilised to find additional studies. We</w:t>
      </w:r>
      <w:r w:rsidRPr="00B965FC">
        <w:rPr>
          <w:rFonts w:ascii="Arial" w:hAnsi="Arial" w:cs="Arial"/>
          <w:sz w:val="22"/>
        </w:rPr>
        <w:t xml:space="preserve"> also checked the references of related articles. Each database was searched using a specific keyword strategy. The searches covered all records up to August 2023, including all manuscripts from their start dates. Both quantitative and </w:t>
      </w:r>
      <w:r>
        <w:rPr>
          <w:rFonts w:ascii="Arial" w:hAnsi="Arial" w:cs="Arial"/>
          <w:sz w:val="22"/>
        </w:rPr>
        <w:t xml:space="preserve">secondary </w:t>
      </w:r>
      <w:r w:rsidRPr="00B965FC">
        <w:rPr>
          <w:rFonts w:ascii="Arial" w:hAnsi="Arial" w:cs="Arial"/>
          <w:sz w:val="22"/>
        </w:rPr>
        <w:t>qualitative</w:t>
      </w:r>
      <w:r>
        <w:rPr>
          <w:rFonts w:ascii="Arial" w:hAnsi="Arial" w:cs="Arial"/>
          <w:sz w:val="22"/>
        </w:rPr>
        <w:t xml:space="preserve"> </w:t>
      </w:r>
      <w:r w:rsidRPr="00B965FC">
        <w:rPr>
          <w:rFonts w:ascii="Arial" w:hAnsi="Arial" w:cs="Arial"/>
          <w:sz w:val="22"/>
        </w:rPr>
        <w:t>studies seem to have been included in this research</w:t>
      </w:r>
      <w:r>
        <w:rPr>
          <w:rFonts w:ascii="Arial" w:hAnsi="Arial" w:cs="Arial"/>
          <w:sz w:val="22"/>
        </w:rPr>
        <w:t>, Amiri et al. (2024).</w:t>
      </w:r>
    </w:p>
    <w:p w14:paraId="4CEB04B9" w14:textId="77777777" w:rsidR="000A2EAC" w:rsidRPr="005602D9" w:rsidRDefault="000A2EAC" w:rsidP="000A2EAC">
      <w:pPr>
        <w:rPr>
          <w:b/>
          <w:bCs/>
        </w:rPr>
      </w:pPr>
      <w:r>
        <w:rPr>
          <w:b/>
          <w:bCs/>
        </w:rPr>
        <w:t>4:3-</w:t>
      </w:r>
      <w:r w:rsidRPr="005602D9">
        <w:rPr>
          <w:rFonts w:ascii="Arial" w:hAnsi="Arial" w:cs="Arial"/>
          <w:sz w:val="22"/>
        </w:rPr>
        <w:t xml:space="preserve">Many healthcare workplaces face high rates of mental health issues like burnout, anxiety, and depression because of poor psychosocial working conditions, and midwives are no exception. To create effective prevention strategies, we need to monitor burnout levels and </w:t>
      </w:r>
      <w:r>
        <w:rPr>
          <w:rFonts w:ascii="Arial" w:hAnsi="Arial" w:cs="Arial"/>
          <w:sz w:val="22"/>
        </w:rPr>
        <w:t>their relationship</w:t>
      </w:r>
      <w:r w:rsidRPr="005602D9">
        <w:rPr>
          <w:rFonts w:ascii="Arial" w:hAnsi="Arial" w:cs="Arial"/>
          <w:sz w:val="22"/>
        </w:rPr>
        <w:t xml:space="preserve"> to job-specific conditions. This study aims to test the validity of the Burnout Assessment Tool (BAT) for Swedish midwives, </w:t>
      </w:r>
      <w:r>
        <w:rPr>
          <w:rFonts w:ascii="Arial" w:hAnsi="Arial" w:cs="Arial"/>
          <w:sz w:val="22"/>
        </w:rPr>
        <w:t xml:space="preserve">assess whether responses can be </w:t>
      </w:r>
      <w:r>
        <w:rPr>
          <w:rFonts w:ascii="Arial" w:hAnsi="Arial" w:cs="Arial"/>
          <w:sz w:val="22"/>
        </w:rPr>
        <w:lastRenderedPageBreak/>
        <w:t>combined into a single</w:t>
      </w:r>
      <w:r w:rsidRPr="005602D9">
        <w:rPr>
          <w:rFonts w:ascii="Arial" w:hAnsi="Arial" w:cs="Arial"/>
          <w:sz w:val="22"/>
        </w:rPr>
        <w:t xml:space="preserve"> score, and examine differences by age. Another goal is to measure burnout levels among Swedish midwives.</w:t>
      </w:r>
    </w:p>
    <w:p w14:paraId="6F211C8C" w14:textId="77777777" w:rsidR="000A2EAC" w:rsidRDefault="000A2EAC" w:rsidP="000A2EAC">
      <w:pPr>
        <w:rPr>
          <w:b/>
          <w:bCs/>
        </w:rPr>
      </w:pPr>
    </w:p>
    <w:p w14:paraId="645123EA" w14:textId="228EE077" w:rsidR="000A2EAC" w:rsidRDefault="000A2EAC" w:rsidP="000A2EAC">
      <w:pPr>
        <w:rPr>
          <w:b/>
          <w:bCs/>
        </w:rPr>
      </w:pPr>
      <w:r>
        <w:rPr>
          <w:b/>
          <w:bCs/>
        </w:rPr>
        <w:t xml:space="preserve">5: Types </w:t>
      </w:r>
      <w:r w:rsidR="00653C21">
        <w:rPr>
          <w:b/>
          <w:bCs/>
        </w:rPr>
        <w:t>of Methodologies</w:t>
      </w:r>
      <w:r>
        <w:rPr>
          <w:b/>
          <w:bCs/>
        </w:rPr>
        <w:t xml:space="preserve"> Research:</w:t>
      </w:r>
    </w:p>
    <w:p w14:paraId="17DBA7FE" w14:textId="77777777" w:rsidR="000A2EAC" w:rsidRDefault="000A2EAC" w:rsidP="000A2EAC">
      <w:pPr>
        <w:rPr>
          <w:b/>
          <w:bCs/>
        </w:rPr>
      </w:pPr>
      <w:r>
        <w:rPr>
          <w:b/>
          <w:bCs/>
        </w:rPr>
        <w:t>5:1 Qualitative:</w:t>
      </w:r>
    </w:p>
    <w:p w14:paraId="60C888E6" w14:textId="77777777" w:rsidR="000A2EAC" w:rsidRDefault="000A2EAC" w:rsidP="000A2EAC">
      <w:pPr>
        <w:rPr>
          <w:rFonts w:ascii="Arial" w:hAnsi="Arial" w:cs="Arial"/>
          <w:sz w:val="22"/>
        </w:rPr>
      </w:pPr>
      <w:r w:rsidRPr="00E9118F">
        <w:rPr>
          <w:rFonts w:ascii="Arial" w:hAnsi="Arial" w:cs="Arial"/>
          <w:sz w:val="22"/>
        </w:rPr>
        <w:t xml:space="preserve">Qualitative research is a general term for methods that collect and study data to explain or understand meaning. Data </w:t>
      </w:r>
      <w:r>
        <w:rPr>
          <w:rFonts w:ascii="Arial" w:hAnsi="Arial" w:cs="Arial"/>
          <w:sz w:val="22"/>
        </w:rPr>
        <w:t xml:space="preserve">are collected in real-life settings such as clinics, hospitals, or participants’ homes because these methods aim to describe and understand experiences from the perspectives of individuals or groups. Elsevier 2004), </w:t>
      </w:r>
      <w:hyperlink r:id="rId12" w:history="1">
        <w:r w:rsidRPr="00E9118F">
          <w:rPr>
            <w:rStyle w:val="Hyperlink"/>
            <w:rFonts w:ascii="Arial" w:hAnsi="Arial" w:cs="Arial"/>
            <w:sz w:val="22"/>
          </w:rPr>
          <w:t>Google Scholar</w:t>
        </w:r>
      </w:hyperlink>
      <w:r>
        <w:rPr>
          <w:rFonts w:ascii="Arial" w:hAnsi="Arial" w:cs="Arial"/>
          <w:sz w:val="22"/>
        </w:rPr>
        <w:t>.</w:t>
      </w:r>
    </w:p>
    <w:p w14:paraId="0838C04A" w14:textId="77777777" w:rsidR="000A2EAC" w:rsidRDefault="000A2EAC" w:rsidP="000A2EAC">
      <w:pPr>
        <w:rPr>
          <w:rFonts w:ascii="Arial" w:hAnsi="Arial" w:cs="Arial"/>
          <w:sz w:val="22"/>
        </w:rPr>
      </w:pPr>
      <w:r>
        <w:rPr>
          <w:rFonts w:ascii="Arial" w:hAnsi="Arial" w:cs="Arial"/>
          <w:sz w:val="22"/>
        </w:rPr>
        <w:t>⃰⃰ Example could be interviews</w:t>
      </w:r>
    </w:p>
    <w:p w14:paraId="04359D78" w14:textId="77777777" w:rsidR="000A2EAC" w:rsidRDefault="000A2EAC" w:rsidP="000A2EAC">
      <w:pPr>
        <w:rPr>
          <w:rFonts w:ascii="Arial" w:hAnsi="Arial" w:cs="Arial"/>
          <w:sz w:val="22"/>
        </w:rPr>
      </w:pPr>
      <w:r>
        <w:rPr>
          <w:rFonts w:ascii="Arial" w:hAnsi="Arial" w:cs="Arial"/>
          <w:sz w:val="22"/>
        </w:rPr>
        <w:t>⃰ Document</w:t>
      </w:r>
    </w:p>
    <w:p w14:paraId="17E6BC1E" w14:textId="77777777" w:rsidR="000A2EAC" w:rsidRDefault="000A2EAC" w:rsidP="000A2EAC">
      <w:pPr>
        <w:rPr>
          <w:rFonts w:ascii="Arial" w:hAnsi="Arial" w:cs="Arial"/>
          <w:sz w:val="22"/>
        </w:rPr>
      </w:pPr>
      <w:r>
        <w:rPr>
          <w:rFonts w:ascii="Arial" w:hAnsi="Arial" w:cs="Arial"/>
          <w:sz w:val="22"/>
        </w:rPr>
        <w:t>⃰ Survey respondents.</w:t>
      </w:r>
    </w:p>
    <w:p w14:paraId="09CB953B" w14:textId="77777777" w:rsidR="000A2EAC" w:rsidRDefault="000A2EAC" w:rsidP="000A2EAC">
      <w:pPr>
        <w:rPr>
          <w:rFonts w:ascii="Arial" w:hAnsi="Arial" w:cs="Arial"/>
          <w:sz w:val="22"/>
        </w:rPr>
      </w:pPr>
      <w:r>
        <w:rPr>
          <w:rFonts w:ascii="Arial" w:hAnsi="Arial" w:cs="Arial"/>
          <w:sz w:val="22"/>
        </w:rPr>
        <w:t>⃰ Interpretations of Images/ Visuals</w:t>
      </w:r>
    </w:p>
    <w:p w14:paraId="6228B31A" w14:textId="77777777" w:rsidR="000A2EAC" w:rsidRPr="00E9118F" w:rsidRDefault="000A2EAC" w:rsidP="000A2EAC">
      <w:pPr>
        <w:spacing w:line="278" w:lineRule="auto"/>
        <w:rPr>
          <w:rFonts w:ascii="Arial" w:hAnsi="Arial" w:cs="Arial"/>
          <w:sz w:val="22"/>
        </w:rPr>
      </w:pPr>
      <w:r>
        <w:rPr>
          <w:rFonts w:ascii="Arial" w:hAnsi="Arial" w:cs="Arial"/>
          <w:sz w:val="22"/>
        </w:rPr>
        <w:t>⃰ Videos</w:t>
      </w:r>
    </w:p>
    <w:p w14:paraId="4E6BCEE7" w14:textId="77777777" w:rsidR="000A2EAC" w:rsidRDefault="000A2EAC" w:rsidP="000A2EAC">
      <w:pPr>
        <w:rPr>
          <w:rFonts w:ascii="Arial" w:hAnsi="Arial" w:cs="Arial"/>
          <w:sz w:val="22"/>
        </w:rPr>
      </w:pPr>
      <w:r w:rsidRPr="005602D9">
        <w:rPr>
          <w:rFonts w:ascii="Arial" w:hAnsi="Arial" w:cs="Arial"/>
          <w:sz w:val="22"/>
        </w:rPr>
        <w:t xml:space="preserve">Qualitative research is multimethod in focus, involving an interpretative, naturalistic approach to its subject matter. This means that qualitative researchers study </w:t>
      </w:r>
      <w:r>
        <w:rPr>
          <w:rFonts w:ascii="Arial" w:hAnsi="Arial" w:cs="Arial"/>
          <w:sz w:val="22"/>
        </w:rPr>
        <w:t>phenomena in their natural settings, attempting to make sense of or interpret them</w:t>
      </w:r>
      <w:r w:rsidRPr="005602D9">
        <w:rPr>
          <w:rFonts w:ascii="Arial" w:hAnsi="Arial" w:cs="Arial"/>
          <w:sz w:val="22"/>
        </w:rPr>
        <w:t xml:space="preserve"> in terms of the meanings people bring to them. Qualitative research involves the </w:t>
      </w:r>
      <w:r>
        <w:rPr>
          <w:rFonts w:ascii="Arial" w:hAnsi="Arial" w:cs="Arial"/>
          <w:sz w:val="22"/>
        </w:rPr>
        <w:t>study</w:t>
      </w:r>
      <w:r w:rsidRPr="005602D9">
        <w:rPr>
          <w:rFonts w:ascii="Arial" w:hAnsi="Arial" w:cs="Arial"/>
          <w:sz w:val="22"/>
        </w:rPr>
        <w:t xml:space="preserve"> and collection of a variety of empirical materials– case study, personal experience, introspective, life story, interview, observational, historical, interactional, and visual texts– that describe routine and problematic moments and meanings in individuals’ lives.</w:t>
      </w:r>
      <w:r>
        <w:rPr>
          <w:rFonts w:ascii="Arial" w:hAnsi="Arial" w:cs="Arial"/>
          <w:sz w:val="22"/>
        </w:rPr>
        <w:t xml:space="preserve"> In other words, q</w:t>
      </w:r>
      <w:r w:rsidRPr="00870505">
        <w:rPr>
          <w:rFonts w:ascii="Arial" w:hAnsi="Arial" w:cs="Arial"/>
          <w:sz w:val="22"/>
        </w:rPr>
        <w:t xml:space="preserve">ualitative research is a repeated process that helps the scientific community better understand </w:t>
      </w:r>
      <w:r>
        <w:rPr>
          <w:rFonts w:ascii="Arial" w:hAnsi="Arial" w:cs="Arial"/>
          <w:sz w:val="22"/>
        </w:rPr>
        <w:t>phenomena by identifying important new differences through closer study</w:t>
      </w:r>
      <w:r w:rsidRPr="00870505">
        <w:rPr>
          <w:rFonts w:ascii="Arial" w:hAnsi="Arial" w:cs="Arial"/>
          <w:sz w:val="22"/>
        </w:rPr>
        <w:t>.</w:t>
      </w:r>
      <w:r>
        <w:rPr>
          <w:rFonts w:ascii="Arial" w:hAnsi="Arial" w:cs="Arial"/>
          <w:sz w:val="22"/>
        </w:rPr>
        <w:t xml:space="preserve"> </w:t>
      </w:r>
      <w:r w:rsidRPr="005602D9">
        <w:rPr>
          <w:rFonts w:ascii="Arial" w:hAnsi="Arial" w:cs="Arial"/>
          <w:sz w:val="22"/>
        </w:rPr>
        <w:t>(Denzin and Lincoln 2005:2)</w:t>
      </w:r>
      <w:r>
        <w:rPr>
          <w:rFonts w:ascii="Arial" w:hAnsi="Arial" w:cs="Arial"/>
          <w:sz w:val="22"/>
        </w:rPr>
        <w:t xml:space="preserve"> Cited in </w:t>
      </w:r>
      <w:r>
        <w:rPr>
          <w:sz w:val="22"/>
        </w:rPr>
        <w:t>Asper et al. June (2019).</w:t>
      </w:r>
      <w:r>
        <w:rPr>
          <w:rFonts w:ascii="Arial" w:hAnsi="Arial" w:cs="Arial"/>
          <w:sz w:val="22"/>
        </w:rPr>
        <w:t xml:space="preserve"> </w:t>
      </w:r>
    </w:p>
    <w:p w14:paraId="18ED4152" w14:textId="77777777" w:rsidR="000A2EAC" w:rsidRDefault="000A2EAC" w:rsidP="000A2EAC">
      <w:pPr>
        <w:rPr>
          <w:rFonts w:ascii="Arial" w:hAnsi="Arial" w:cs="Arial"/>
          <w:sz w:val="22"/>
        </w:rPr>
      </w:pPr>
      <w:r>
        <w:rPr>
          <w:rFonts w:ascii="Arial" w:hAnsi="Arial" w:cs="Arial"/>
          <w:sz w:val="22"/>
        </w:rPr>
        <w:t xml:space="preserve">5:2. </w:t>
      </w:r>
      <w:r w:rsidRPr="00B5239A">
        <w:rPr>
          <w:rFonts w:ascii="Arial" w:hAnsi="Arial" w:cs="Arial"/>
          <w:b/>
          <w:bCs/>
          <w:sz w:val="22"/>
        </w:rPr>
        <w:t>Quantitative</w:t>
      </w:r>
      <w:r>
        <w:rPr>
          <w:rFonts w:ascii="Arial" w:hAnsi="Arial" w:cs="Arial"/>
          <w:sz w:val="22"/>
        </w:rPr>
        <w:t>:</w:t>
      </w:r>
    </w:p>
    <w:p w14:paraId="60EFB29D" w14:textId="77777777" w:rsidR="000A2EAC" w:rsidRDefault="000A2EAC" w:rsidP="000A2EAC">
      <w:pPr>
        <w:rPr>
          <w:rFonts w:ascii="Arial" w:hAnsi="Arial" w:cs="Arial"/>
          <w:sz w:val="22"/>
        </w:rPr>
      </w:pPr>
      <w:r>
        <w:rPr>
          <w:rFonts w:ascii="Arial" w:hAnsi="Arial" w:cs="Arial"/>
          <w:sz w:val="22"/>
        </w:rPr>
        <w:t xml:space="preserve">Quantitative research is used to quantify behaviours. Opinions, attitudes and other variables are used to make generalisations from larger populations. </w:t>
      </w:r>
    </w:p>
    <w:p w14:paraId="66A42A58" w14:textId="77777777" w:rsidR="000A2EAC" w:rsidRDefault="000A2EAC" w:rsidP="000A2EAC">
      <w:pPr>
        <w:rPr>
          <w:rFonts w:ascii="Arial" w:hAnsi="Arial" w:cs="Arial"/>
          <w:sz w:val="22"/>
        </w:rPr>
      </w:pPr>
      <w:r>
        <w:rPr>
          <w:rFonts w:ascii="Arial" w:hAnsi="Arial" w:cs="Arial"/>
          <w:sz w:val="22"/>
        </w:rPr>
        <w:t>Examples include the use of statistics and mathematical data, e.g.</w:t>
      </w:r>
    </w:p>
    <w:p w14:paraId="42F94EBB" w14:textId="77777777" w:rsidR="000A2EAC" w:rsidRDefault="000A2EAC" w:rsidP="000A2EAC">
      <w:pPr>
        <w:rPr>
          <w:rFonts w:ascii="Arial" w:hAnsi="Arial" w:cs="Arial"/>
          <w:sz w:val="22"/>
        </w:rPr>
      </w:pPr>
      <w:r>
        <w:rPr>
          <w:rFonts w:ascii="Arial" w:hAnsi="Arial" w:cs="Arial"/>
          <w:sz w:val="22"/>
        </w:rPr>
        <w:t>A collection of large national I.D. statistics for opinion implementation would be more appropriate, as quantitative data would eliminate bias.</w:t>
      </w:r>
    </w:p>
    <w:p w14:paraId="714E30D3" w14:textId="77777777" w:rsidR="000A2EAC" w:rsidRDefault="000A2EAC" w:rsidP="000A2EAC">
      <w:pPr>
        <w:rPr>
          <w:rFonts w:ascii="Arial" w:hAnsi="Arial" w:cs="Arial"/>
          <w:sz w:val="22"/>
        </w:rPr>
      </w:pPr>
      <w:r>
        <w:rPr>
          <w:rFonts w:ascii="Arial" w:hAnsi="Arial" w:cs="Arial"/>
          <w:sz w:val="22"/>
        </w:rPr>
        <w:t>I would prefer quantitative research if more of the research is run on the analysis data, it focuses on a clear objective before the research is started.</w:t>
      </w:r>
    </w:p>
    <w:p w14:paraId="5FB40723" w14:textId="77777777" w:rsidR="000A2EAC" w:rsidRPr="006C7EA3" w:rsidRDefault="000A2EAC" w:rsidP="000A2EAC">
      <w:pPr>
        <w:rPr>
          <w:rFonts w:ascii="Arial" w:hAnsi="Arial" w:cs="Arial"/>
          <w:sz w:val="22"/>
        </w:rPr>
      </w:pPr>
      <w:r>
        <w:rPr>
          <w:rFonts w:ascii="Arial" w:hAnsi="Arial" w:cs="Arial"/>
          <w:sz w:val="22"/>
        </w:rPr>
        <w:t xml:space="preserve">  </w:t>
      </w:r>
      <w:r>
        <w:rPr>
          <w:sz w:val="22"/>
        </w:rPr>
        <w:t>In quantitative research, the ideal-typical representation</w:t>
      </w:r>
      <w:r w:rsidRPr="00B5239A">
        <w:rPr>
          <w:sz w:val="22"/>
        </w:rPr>
        <w:t xml:space="preserve"> cannot get closer to the data. The data </w:t>
      </w:r>
      <w:r>
        <w:rPr>
          <w:sz w:val="22"/>
        </w:rPr>
        <w:t>are essentially numbers in tables that make</w:t>
      </w:r>
      <w:r w:rsidRPr="00B5239A">
        <w:rPr>
          <w:sz w:val="22"/>
        </w:rPr>
        <w:t xml:space="preserve"> up the variables (</w:t>
      </w:r>
      <w:proofErr w:type="spellStart"/>
      <w:r w:rsidRPr="00B5239A">
        <w:rPr>
          <w:sz w:val="22"/>
        </w:rPr>
        <w:t>Franzosi</w:t>
      </w:r>
      <w:proofErr w:type="spellEnd"/>
      <w:r w:rsidRPr="00B5239A">
        <w:rPr>
          <w:sz w:val="22"/>
        </w:rPr>
        <w:t xml:space="preserve"> 2016:138). The data may originally have been </w:t>
      </w:r>
      <w:r>
        <w:rPr>
          <w:sz w:val="22"/>
        </w:rPr>
        <w:t>qualitative, but once reduced to numbers, there can only be a type of hermeneutics about what the numbers</w:t>
      </w:r>
      <w:r w:rsidRPr="00B5239A">
        <w:rPr>
          <w:sz w:val="22"/>
        </w:rPr>
        <w:t xml:space="preserve"> may stand for. The numbers themselves, however, are non-ambiguous. Thus, in quantitative research, interpretation, if done, is not about the data itself—the numbers—but what the numbers stand for</w:t>
      </w:r>
      <w:r>
        <w:rPr>
          <w:sz w:val="22"/>
        </w:rPr>
        <w:t>. Asper et al. June (2019).</w:t>
      </w:r>
    </w:p>
    <w:p w14:paraId="1882A68E" w14:textId="77777777" w:rsidR="000A2EAC" w:rsidRDefault="000A2EAC" w:rsidP="000A2EAC">
      <w:pPr>
        <w:rPr>
          <w:b/>
          <w:bCs/>
          <w:sz w:val="22"/>
        </w:rPr>
      </w:pPr>
      <w:r>
        <w:rPr>
          <w:sz w:val="22"/>
        </w:rPr>
        <w:lastRenderedPageBreak/>
        <w:t xml:space="preserve">5:3: </w:t>
      </w:r>
      <w:r w:rsidRPr="00870505">
        <w:rPr>
          <w:b/>
          <w:bCs/>
          <w:sz w:val="22"/>
        </w:rPr>
        <w:t>Mixed Method</w:t>
      </w:r>
      <w:r>
        <w:rPr>
          <w:b/>
          <w:bCs/>
          <w:sz w:val="22"/>
        </w:rPr>
        <w:t>.</w:t>
      </w:r>
    </w:p>
    <w:p w14:paraId="673C4B15" w14:textId="77777777" w:rsidR="000A2EAC" w:rsidRDefault="000A2EAC" w:rsidP="000A2EAC">
      <w:pPr>
        <w:rPr>
          <w:sz w:val="22"/>
        </w:rPr>
      </w:pPr>
      <w:r w:rsidRPr="00EC52A0">
        <w:rPr>
          <w:sz w:val="22"/>
        </w:rPr>
        <w:t>A mixed-methods research design combines qualitative and quantitative approaches within a single study to gather the evidence needed for a thorough understanding of the research problem</w:t>
      </w:r>
      <w:r>
        <w:rPr>
          <w:sz w:val="22"/>
        </w:rPr>
        <w:t>.</w:t>
      </w:r>
      <w:r w:rsidRPr="00732499">
        <w:rPr>
          <w:sz w:val="22"/>
        </w:rPr>
        <w:t xml:space="preserve"> Mixed methods research combines quantitative and qualitative approaches and is gaining recognition </w:t>
      </w:r>
      <w:r>
        <w:rPr>
          <w:sz w:val="22"/>
        </w:rPr>
        <w:t>for its ability to leverage</w:t>
      </w:r>
      <w:r w:rsidRPr="00732499">
        <w:rPr>
          <w:sz w:val="22"/>
        </w:rPr>
        <w:t xml:space="preserve"> the strengths of both.</w:t>
      </w:r>
      <w:r>
        <w:rPr>
          <w:sz w:val="22"/>
        </w:rPr>
        <w:t xml:space="preserve"> Baran (2020)</w:t>
      </w:r>
    </w:p>
    <w:p w14:paraId="0F1958FF" w14:textId="77777777" w:rsidR="000A2EAC" w:rsidRDefault="000A2EAC" w:rsidP="000A2EAC">
      <w:pPr>
        <w:rPr>
          <w:rFonts w:ascii="Arial" w:hAnsi="Arial" w:cs="Arial"/>
          <w:b/>
          <w:bCs/>
          <w:sz w:val="22"/>
        </w:rPr>
      </w:pPr>
      <w:r>
        <w:rPr>
          <w:rFonts w:ascii="Arial" w:hAnsi="Arial" w:cs="Arial"/>
          <w:b/>
          <w:bCs/>
          <w:sz w:val="22"/>
        </w:rPr>
        <w:t xml:space="preserve">6- </w:t>
      </w:r>
      <w:r w:rsidRPr="00830CFB">
        <w:rPr>
          <w:rFonts w:ascii="Arial" w:hAnsi="Arial" w:cs="Arial"/>
          <w:b/>
          <w:bCs/>
          <w:sz w:val="22"/>
        </w:rPr>
        <w:t>Data and Types</w:t>
      </w:r>
      <w:r>
        <w:rPr>
          <w:rFonts w:ascii="Arial" w:hAnsi="Arial" w:cs="Arial"/>
          <w:b/>
          <w:bCs/>
          <w:sz w:val="22"/>
        </w:rPr>
        <w:t>:</w:t>
      </w:r>
    </w:p>
    <w:p w14:paraId="5A77E57C" w14:textId="77777777" w:rsidR="000A2EAC" w:rsidRPr="00830CFB" w:rsidRDefault="000A2EAC" w:rsidP="000A2EAC">
      <w:pPr>
        <w:spacing w:line="278" w:lineRule="auto"/>
        <w:rPr>
          <w:rFonts w:ascii="Arial" w:hAnsi="Arial" w:cs="Arial"/>
          <w:b/>
          <w:bCs/>
          <w:sz w:val="22"/>
        </w:rPr>
      </w:pPr>
      <w:r>
        <w:rPr>
          <w:rFonts w:ascii="Arial" w:hAnsi="Arial" w:cs="Arial"/>
          <w:b/>
          <w:bCs/>
          <w:sz w:val="22"/>
        </w:rPr>
        <w:t xml:space="preserve">6:1- </w:t>
      </w:r>
      <w:r w:rsidRPr="00830CFB">
        <w:rPr>
          <w:rFonts w:ascii="Arial" w:hAnsi="Arial" w:cs="Arial"/>
          <w:b/>
          <w:bCs/>
          <w:sz w:val="22"/>
        </w:rPr>
        <w:t xml:space="preserve">Primary </w:t>
      </w:r>
      <w:r w:rsidRPr="00830CFB">
        <w:rPr>
          <w:rFonts w:ascii="Arial" w:hAnsi="Arial" w:cs="Arial"/>
          <w:sz w:val="22"/>
        </w:rPr>
        <w:t>research involves studying original data from a research project and using mathematical tools to analyse it</w:t>
      </w:r>
      <w:r w:rsidRPr="00830CFB">
        <w:rPr>
          <w:rFonts w:ascii="Arial" w:hAnsi="Arial" w:cs="Arial"/>
          <w:b/>
          <w:bCs/>
          <w:sz w:val="22"/>
        </w:rPr>
        <w:t>.</w:t>
      </w:r>
    </w:p>
    <w:p w14:paraId="44AB9E63" w14:textId="77777777" w:rsidR="000A2EAC" w:rsidRDefault="000A2EAC" w:rsidP="000A2EAC">
      <w:pPr>
        <w:rPr>
          <w:rFonts w:ascii="Arial" w:hAnsi="Arial" w:cs="Arial"/>
          <w:b/>
          <w:bCs/>
          <w:sz w:val="22"/>
        </w:rPr>
      </w:pPr>
      <w:r>
        <w:rPr>
          <w:rFonts w:ascii="Arial" w:hAnsi="Arial" w:cs="Arial"/>
          <w:b/>
          <w:bCs/>
          <w:sz w:val="22"/>
        </w:rPr>
        <w:t xml:space="preserve">6:2- </w:t>
      </w:r>
      <w:r w:rsidRPr="00830CFB">
        <w:rPr>
          <w:rFonts w:ascii="Arial" w:hAnsi="Arial" w:cs="Arial"/>
          <w:b/>
          <w:bCs/>
          <w:sz w:val="22"/>
        </w:rPr>
        <w:t xml:space="preserve">Secondary </w:t>
      </w:r>
      <w:r w:rsidRPr="00830CFB">
        <w:rPr>
          <w:rFonts w:ascii="Arial" w:hAnsi="Arial" w:cs="Arial"/>
          <w:sz w:val="22"/>
        </w:rPr>
        <w:t>research is re-examining old data to answer the original questions using better analytical tools or to find new answers with the same data. Tom Cook (1974) cited in JSTOR (2026</w:t>
      </w:r>
      <w:r w:rsidRPr="00830CFB">
        <w:rPr>
          <w:rFonts w:ascii="Arial" w:hAnsi="Arial" w:cs="Arial"/>
          <w:b/>
          <w:bCs/>
          <w:sz w:val="22"/>
        </w:rPr>
        <w:t>)</w:t>
      </w:r>
      <w:r>
        <w:rPr>
          <w:rFonts w:ascii="Arial" w:hAnsi="Arial" w:cs="Arial"/>
          <w:b/>
          <w:bCs/>
          <w:sz w:val="22"/>
        </w:rPr>
        <w:t>.</w:t>
      </w:r>
    </w:p>
    <w:p w14:paraId="06E81BBA" w14:textId="77777777" w:rsidR="000A2EAC" w:rsidRDefault="000A2EAC" w:rsidP="000A2EAC">
      <w:pPr>
        <w:rPr>
          <w:rFonts w:ascii="Arial" w:hAnsi="Arial" w:cs="Arial"/>
          <w:sz w:val="22"/>
        </w:rPr>
      </w:pPr>
      <w:r w:rsidRPr="002D20D6">
        <w:rPr>
          <w:rFonts w:ascii="Arial" w:hAnsi="Arial" w:cs="Arial"/>
          <w:sz w:val="22"/>
        </w:rPr>
        <w:t>I would prefer to use secondary data because the original data can still be used to create new data. This means doing statistical analysis on a larger set of results from individual studies to combine the findings. Tom Cook (1974) cited in JSTOR (2026)</w:t>
      </w:r>
      <w:r>
        <w:rPr>
          <w:rFonts w:ascii="Arial" w:hAnsi="Arial" w:cs="Arial"/>
          <w:sz w:val="22"/>
        </w:rPr>
        <w:t>.</w:t>
      </w:r>
    </w:p>
    <w:p w14:paraId="117C674B" w14:textId="77777777" w:rsidR="000A2EAC" w:rsidRDefault="000A2EAC" w:rsidP="000A2EAC">
      <w:pPr>
        <w:spacing w:line="278" w:lineRule="auto"/>
        <w:rPr>
          <w:rFonts w:ascii="Arial" w:hAnsi="Arial" w:cs="Arial"/>
          <w:sz w:val="22"/>
        </w:rPr>
      </w:pPr>
      <w:r>
        <w:rPr>
          <w:rFonts w:ascii="Arial" w:hAnsi="Arial" w:cs="Arial"/>
          <w:sz w:val="22"/>
        </w:rPr>
        <w:t>To</w:t>
      </w:r>
      <w:r w:rsidRPr="004819B6">
        <w:rPr>
          <w:rFonts w:ascii="Arial" w:hAnsi="Arial" w:cs="Arial"/>
          <w:sz w:val="22"/>
        </w:rPr>
        <w:t xml:space="preserve"> answer this question, I will use the prison education system as an example, highlighting its challenges. Problems with planning research, gathering data, and sharing results hold back the overall growth of correctional education, especially higher education. Future studies need to address these problems and demonstrate how higher education in prisons can save money, reduce crime, and improve community safety.</w:t>
      </w:r>
    </w:p>
    <w:p w14:paraId="04BBD541" w14:textId="5EE52B23" w:rsidR="00A369C3" w:rsidRPr="00A369C3" w:rsidRDefault="00A369C3" w:rsidP="00A369C3">
      <w:pPr>
        <w:spacing w:line="278" w:lineRule="auto"/>
        <w:rPr>
          <w:rFonts w:ascii="Arial" w:hAnsi="Arial" w:cs="Arial"/>
          <w:b/>
          <w:bCs/>
          <w:sz w:val="22"/>
        </w:rPr>
      </w:pPr>
      <w:r>
        <w:rPr>
          <w:rFonts w:ascii="Arial" w:hAnsi="Arial" w:cs="Arial"/>
          <w:b/>
          <w:bCs/>
          <w:sz w:val="22"/>
        </w:rPr>
        <w:t xml:space="preserve">7: </w:t>
      </w:r>
      <w:r w:rsidRPr="00A369C3">
        <w:rPr>
          <w:rFonts w:ascii="Arial" w:hAnsi="Arial" w:cs="Arial"/>
          <w:b/>
          <w:bCs/>
          <w:sz w:val="22"/>
        </w:rPr>
        <w:t>Conclusion</w:t>
      </w:r>
    </w:p>
    <w:p w14:paraId="34F0BE75" w14:textId="6695D9B9" w:rsidR="00A369C3" w:rsidRPr="00A369C3" w:rsidRDefault="00A369C3" w:rsidP="00A369C3">
      <w:pPr>
        <w:spacing w:line="278" w:lineRule="auto"/>
        <w:rPr>
          <w:rFonts w:ascii="Arial" w:hAnsi="Arial" w:cs="Arial"/>
          <w:sz w:val="22"/>
        </w:rPr>
      </w:pPr>
      <w:r w:rsidRPr="00A369C3">
        <w:rPr>
          <w:rFonts w:ascii="Arial" w:hAnsi="Arial" w:cs="Arial"/>
          <w:sz w:val="22"/>
        </w:rPr>
        <w:t>In conclusion, burnout among healthcare professionals is a complex, multi-dimensional issue with significant consequences for individuals and health systems. Research consistently shows that high job demands, limited resources, and external stressors</w:t>
      </w:r>
      <w:r>
        <w:rPr>
          <w:rFonts w:ascii="Arial" w:hAnsi="Arial" w:cs="Arial"/>
          <w:sz w:val="22"/>
        </w:rPr>
        <w:t>, such as COVID-19, greatly increase the risk of burnout</w:t>
      </w:r>
      <w:r w:rsidRPr="00A369C3">
        <w:rPr>
          <w:rFonts w:ascii="Arial" w:hAnsi="Arial" w:cs="Arial"/>
          <w:sz w:val="22"/>
        </w:rPr>
        <w:t xml:space="preserve">, especially among nurses and midwives. Addressing burnout requires a systemic approach: improving workplace conditions, </w:t>
      </w:r>
      <w:r>
        <w:rPr>
          <w:rFonts w:ascii="Arial" w:hAnsi="Arial" w:cs="Arial"/>
          <w:sz w:val="22"/>
        </w:rPr>
        <w:t>prioritising</w:t>
      </w:r>
      <w:r w:rsidRPr="00A369C3">
        <w:rPr>
          <w:rFonts w:ascii="Arial" w:hAnsi="Arial" w:cs="Arial"/>
          <w:sz w:val="22"/>
        </w:rPr>
        <w:t xml:space="preserve"> staff wellbeing, and implementing evidence-based interventions. Ongoing research using both qualitative and quantitative methods is essential for understanding and combating burnout. Ultimately, supporting healthcare workers not only benefits their mental health but also </w:t>
      </w:r>
      <w:r>
        <w:rPr>
          <w:rFonts w:ascii="Arial" w:hAnsi="Arial" w:cs="Arial"/>
          <w:sz w:val="22"/>
        </w:rPr>
        <w:t xml:space="preserve">improves the quality of care </w:t>
      </w:r>
      <w:r w:rsidRPr="00A369C3">
        <w:rPr>
          <w:rFonts w:ascii="Arial" w:hAnsi="Arial" w:cs="Arial"/>
          <w:sz w:val="22"/>
        </w:rPr>
        <w:t>and outcomes for patients and communities.</w:t>
      </w:r>
    </w:p>
    <w:p w14:paraId="09EB349D" w14:textId="77777777" w:rsidR="00A369C3" w:rsidRPr="004819B6" w:rsidRDefault="00A369C3" w:rsidP="000A2EAC">
      <w:pPr>
        <w:spacing w:line="278" w:lineRule="auto"/>
        <w:rPr>
          <w:rFonts w:ascii="Arial" w:hAnsi="Arial" w:cs="Arial"/>
          <w:b/>
          <w:bCs/>
          <w:sz w:val="22"/>
        </w:rPr>
      </w:pPr>
    </w:p>
    <w:p w14:paraId="123865CA" w14:textId="6C936EFA"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1D0F2D59" w14:textId="203FEFB3" w:rsidR="004552CE" w:rsidRDefault="004552CE" w:rsidP="00655E31">
      <w:pPr>
        <w:pStyle w:val="Heading2"/>
        <w:rPr>
          <w:color w:val="FF0000"/>
        </w:rPr>
      </w:pPr>
    </w:p>
    <w:p w14:paraId="24C5C94F" w14:textId="77777777" w:rsidR="00B467F3" w:rsidRPr="00B467F3" w:rsidRDefault="00B467F3" w:rsidP="00B467F3"/>
    <w:p w14:paraId="73F2B9F7" w14:textId="77777777" w:rsidR="00B467F3" w:rsidRPr="00B467F3" w:rsidRDefault="00B467F3" w:rsidP="00B467F3"/>
    <w:p w14:paraId="28E81DC0" w14:textId="77777777" w:rsidR="00B467F3" w:rsidRPr="00B467F3" w:rsidRDefault="00B467F3" w:rsidP="00B467F3"/>
    <w:p w14:paraId="42004302" w14:textId="77777777" w:rsidR="00B467F3" w:rsidRPr="00B467F3" w:rsidRDefault="00B467F3" w:rsidP="00B467F3"/>
    <w:p w14:paraId="60FFCEF4" w14:textId="77777777" w:rsidR="00B467F3" w:rsidRPr="00B467F3" w:rsidRDefault="00B467F3" w:rsidP="00B467F3"/>
    <w:p w14:paraId="0938EF4A" w14:textId="51BA8321" w:rsidR="00B467F3" w:rsidRPr="00A369C3" w:rsidRDefault="00A369C3" w:rsidP="00B467F3">
      <w:pPr>
        <w:rPr>
          <w:rFonts w:ascii="Arial" w:hAnsi="Arial" w:cs="Arial"/>
          <w:b/>
          <w:bCs/>
          <w:sz w:val="22"/>
        </w:rPr>
      </w:pPr>
      <w:r w:rsidRPr="00A369C3">
        <w:rPr>
          <w:rFonts w:ascii="Arial" w:hAnsi="Arial" w:cs="Arial"/>
          <w:b/>
          <w:bCs/>
          <w:sz w:val="22"/>
        </w:rPr>
        <w:lastRenderedPageBreak/>
        <w:t>Reference:</w:t>
      </w:r>
    </w:p>
    <w:p w14:paraId="07F3922C" w14:textId="77777777" w:rsidR="00A369C3" w:rsidRPr="00A369C3" w:rsidRDefault="00A369C3" w:rsidP="00A369C3">
      <w:pPr>
        <w:rPr>
          <w:rFonts w:ascii="Arial" w:hAnsi="Arial" w:cs="Arial"/>
          <w:sz w:val="22"/>
        </w:rPr>
      </w:pPr>
      <w:r w:rsidRPr="00A369C3">
        <w:rPr>
          <w:rFonts w:ascii="Arial" w:hAnsi="Arial" w:cs="Arial"/>
          <w:sz w:val="22"/>
        </w:rPr>
        <w:t>Amiri, S., Mahmood, N., Mustafa, H., Javaid, S. F., &amp; Khan, M. A. (2024). Occupational Risk Factors for Burnout Syndrome Among Healthcare Professionals: A Global Systematic Review and Meta-Analysis. </w:t>
      </w:r>
      <w:r w:rsidRPr="00A369C3">
        <w:rPr>
          <w:rFonts w:ascii="Arial" w:hAnsi="Arial" w:cs="Arial"/>
          <w:i/>
          <w:iCs/>
          <w:sz w:val="22"/>
        </w:rPr>
        <w:t>International Journal of Environmental Research and Public Health</w:t>
      </w:r>
      <w:r w:rsidRPr="00A369C3">
        <w:rPr>
          <w:rFonts w:ascii="Arial" w:hAnsi="Arial" w:cs="Arial"/>
          <w:sz w:val="22"/>
        </w:rPr>
        <w:t>, </w:t>
      </w:r>
      <w:r w:rsidRPr="00A369C3">
        <w:rPr>
          <w:rFonts w:ascii="Arial" w:hAnsi="Arial" w:cs="Arial"/>
          <w:i/>
          <w:iCs/>
          <w:sz w:val="22"/>
        </w:rPr>
        <w:t>21</w:t>
      </w:r>
      <w:r w:rsidRPr="00A369C3">
        <w:rPr>
          <w:rFonts w:ascii="Arial" w:hAnsi="Arial" w:cs="Arial"/>
          <w:sz w:val="22"/>
        </w:rPr>
        <w:t>(12). https://doi.org/10.3390/ijerph21121583</w:t>
      </w:r>
    </w:p>
    <w:p w14:paraId="263B65DF" w14:textId="77777777" w:rsidR="00A369C3" w:rsidRPr="00A369C3" w:rsidRDefault="00A369C3" w:rsidP="00A369C3">
      <w:pPr>
        <w:rPr>
          <w:rFonts w:ascii="Arial" w:hAnsi="Arial" w:cs="Arial"/>
          <w:sz w:val="22"/>
        </w:rPr>
      </w:pPr>
      <w:r w:rsidRPr="005E4706">
        <w:rPr>
          <w:rFonts w:ascii="Arial" w:hAnsi="Arial" w:cs="Arial"/>
          <w:sz w:val="22"/>
        </w:rPr>
        <w:t>Burnout among midwives</w:t>
      </w:r>
      <w:r w:rsidRPr="005E4706">
        <w:rPr>
          <w:rFonts w:ascii="Arial" w:hAnsi="Arial" w:cs="Arial"/>
          <w:i/>
          <w:iCs/>
          <w:sz w:val="22"/>
        </w:rPr>
        <w:t>—</w:t>
      </w:r>
      <w:r w:rsidRPr="005E4706">
        <w:rPr>
          <w:rFonts w:ascii="Arial" w:hAnsi="Arial" w:cs="Arial"/>
          <w:sz w:val="22"/>
        </w:rPr>
        <w:t>the factorial structure of the burnout assessment tool and an assessment of burnout levels in a Swedish national sample</w:t>
      </w:r>
      <w:r w:rsidRPr="00A369C3">
        <w:rPr>
          <w:rFonts w:ascii="Arial" w:hAnsi="Arial" w:cs="Arial"/>
          <w:sz w:val="22"/>
        </w:rPr>
        <w:t>,</w:t>
      </w:r>
      <w:hyperlink r:id="rId13" w:history="1">
        <w:r w:rsidRPr="00A369C3">
          <w:rPr>
            <w:rStyle w:val="Hyperlink"/>
            <w:rFonts w:ascii="Arial" w:hAnsi="Arial" w:cs="Arial"/>
            <w:sz w:val="22"/>
          </w:rPr>
          <w:t xml:space="preserve"> Hadžibajramović, Emina</w:t>
        </w:r>
      </w:hyperlink>
      <w:r w:rsidRPr="005E4706">
        <w:rPr>
          <w:rFonts w:ascii="Arial" w:hAnsi="Arial" w:cs="Arial"/>
          <w:sz w:val="22"/>
        </w:rPr>
        <w:t>; </w:t>
      </w:r>
      <w:hyperlink r:id="rId14" w:history="1">
        <w:r w:rsidRPr="005E4706">
          <w:rPr>
            <w:rStyle w:val="Hyperlink"/>
            <w:rFonts w:ascii="Arial" w:hAnsi="Arial" w:cs="Arial"/>
            <w:sz w:val="22"/>
          </w:rPr>
          <w:t>Akerstrom, Magnus</w:t>
        </w:r>
      </w:hyperlink>
      <w:r w:rsidRPr="005E4706">
        <w:rPr>
          <w:rFonts w:ascii="Arial" w:hAnsi="Arial" w:cs="Arial"/>
          <w:sz w:val="22"/>
        </w:rPr>
        <w:t>; </w:t>
      </w:r>
      <w:hyperlink r:id="rId15" w:history="1">
        <w:r w:rsidRPr="005E4706">
          <w:rPr>
            <w:rStyle w:val="Hyperlink"/>
            <w:rFonts w:ascii="Arial" w:hAnsi="Arial" w:cs="Arial"/>
            <w:sz w:val="22"/>
          </w:rPr>
          <w:t>Dencker, Anna</w:t>
        </w:r>
      </w:hyperlink>
      <w:r w:rsidRPr="005E4706">
        <w:rPr>
          <w:rFonts w:ascii="Arial" w:hAnsi="Arial" w:cs="Arial"/>
          <w:sz w:val="22"/>
        </w:rPr>
        <w:t>; </w:t>
      </w:r>
      <w:hyperlink r:id="rId16" w:history="1">
        <w:r w:rsidRPr="005E4706">
          <w:rPr>
            <w:rStyle w:val="Hyperlink"/>
            <w:rFonts w:ascii="Arial" w:hAnsi="Arial" w:cs="Arial"/>
            <w:sz w:val="22"/>
          </w:rPr>
          <w:t>Hensing, Gunnel</w:t>
        </w:r>
      </w:hyperlink>
      <w:r w:rsidRPr="005E4706">
        <w:rPr>
          <w:rFonts w:ascii="Arial" w:hAnsi="Arial" w:cs="Arial"/>
          <w:sz w:val="22"/>
        </w:rPr>
        <w:t>.  </w:t>
      </w:r>
      <w:hyperlink r:id="rId17" w:history="1">
        <w:r w:rsidRPr="005E4706">
          <w:rPr>
            <w:rStyle w:val="Hyperlink"/>
            <w:rFonts w:ascii="Arial" w:hAnsi="Arial" w:cs="Arial"/>
            <w:b/>
            <w:bCs/>
            <w:sz w:val="22"/>
          </w:rPr>
          <w:t>BMC Health Services Research</w:t>
        </w:r>
      </w:hyperlink>
      <w:r w:rsidRPr="005E4706">
        <w:rPr>
          <w:rFonts w:ascii="Arial" w:hAnsi="Arial" w:cs="Arial"/>
          <w:b/>
          <w:bCs/>
          <w:sz w:val="22"/>
        </w:rPr>
        <w:t>; London</w:t>
      </w:r>
      <w:hyperlink r:id="rId18" w:tooltip="Click to search for more items from this issue" w:history="1">
        <w:r w:rsidRPr="005E4706">
          <w:rPr>
            <w:rStyle w:val="Hyperlink"/>
            <w:rFonts w:ascii="Arial" w:hAnsi="Arial" w:cs="Arial"/>
            <w:sz w:val="22"/>
          </w:rPr>
          <w:t> Vol. 22, </w:t>
        </w:r>
      </w:hyperlink>
      <w:r w:rsidRPr="005E4706">
        <w:rPr>
          <w:rFonts w:ascii="Arial" w:hAnsi="Arial" w:cs="Arial"/>
          <w:sz w:val="22"/>
        </w:rPr>
        <w:t> (2022): 1</w:t>
      </w:r>
      <w:r w:rsidRPr="00A369C3">
        <w:rPr>
          <w:rFonts w:ascii="Arial" w:hAnsi="Arial" w:cs="Arial"/>
          <w:sz w:val="22"/>
        </w:rPr>
        <w:t>,</w:t>
      </w:r>
    </w:p>
    <w:p w14:paraId="4FBFE537" w14:textId="77777777" w:rsidR="00A369C3" w:rsidRPr="00A369C3" w:rsidRDefault="00A369C3" w:rsidP="00A369C3">
      <w:pPr>
        <w:rPr>
          <w:rFonts w:ascii="Arial" w:hAnsi="Arial" w:cs="Arial"/>
          <w:sz w:val="22"/>
        </w:rPr>
      </w:pPr>
      <w:r w:rsidRPr="00A369C3">
        <w:rPr>
          <w:rFonts w:ascii="Arial" w:hAnsi="Arial" w:cs="Arial"/>
          <w:sz w:val="22"/>
        </w:rPr>
        <w:t>Denzin, Norman K., and Yvonna S. Lincoln. 2005. Introduction. The discipline and practice of qualitative research. In The Sage Handbook of Qualitative Research, ed. Norman K. Denzin and Yvonna S. Lincoln, 1 32. Thousand Oaks: SAGE Publications.</w:t>
      </w:r>
    </w:p>
    <w:p w14:paraId="0FC95A95" w14:textId="77777777" w:rsidR="00A369C3" w:rsidRPr="00A369C3" w:rsidRDefault="00A369C3" w:rsidP="00A369C3">
      <w:pPr>
        <w:rPr>
          <w:rFonts w:ascii="Arial" w:hAnsi="Arial" w:cs="Arial"/>
          <w:sz w:val="22"/>
        </w:rPr>
      </w:pPr>
      <w:r w:rsidRPr="00A369C3">
        <w:rPr>
          <w:rFonts w:ascii="Arial" w:hAnsi="Arial" w:cs="Arial"/>
          <w:sz w:val="22"/>
        </w:rPr>
        <w:t>Glass, Gene V. “Primary, Secondary, and Meta-Analysis of Research.” </w:t>
      </w:r>
      <w:r w:rsidRPr="00A369C3">
        <w:rPr>
          <w:rFonts w:ascii="Arial" w:hAnsi="Arial" w:cs="Arial"/>
          <w:i/>
          <w:iCs/>
          <w:sz w:val="22"/>
        </w:rPr>
        <w:t>Educational Researcher</w:t>
      </w:r>
      <w:r w:rsidRPr="00A369C3">
        <w:rPr>
          <w:rFonts w:ascii="Arial" w:hAnsi="Arial" w:cs="Arial"/>
          <w:sz w:val="22"/>
        </w:rPr>
        <w:t>, vol. 5, no. 10, 1976, pp. 3–8. </w:t>
      </w:r>
      <w:r w:rsidRPr="00A369C3">
        <w:rPr>
          <w:rFonts w:ascii="Arial" w:hAnsi="Arial" w:cs="Arial"/>
          <w:i/>
          <w:iCs/>
          <w:sz w:val="22"/>
        </w:rPr>
        <w:t>JSTOR</w:t>
      </w:r>
      <w:r w:rsidRPr="00A369C3">
        <w:rPr>
          <w:rFonts w:ascii="Arial" w:hAnsi="Arial" w:cs="Arial"/>
          <w:sz w:val="22"/>
        </w:rPr>
        <w:t>, https://doi.org/10.2307/1174772. Accessed 23 Mar. 2026.</w:t>
      </w:r>
    </w:p>
    <w:p w14:paraId="3AA4B350" w14:textId="77777777" w:rsidR="00A369C3" w:rsidRPr="00E9118F" w:rsidRDefault="00A369C3" w:rsidP="00A369C3">
      <w:pPr>
        <w:spacing w:after="0" w:line="360" w:lineRule="auto"/>
        <w:rPr>
          <w:rFonts w:ascii="Arial" w:hAnsi="Arial" w:cs="Arial"/>
          <w:sz w:val="22"/>
        </w:rPr>
      </w:pPr>
      <w:r w:rsidRPr="00E9118F">
        <w:rPr>
          <w:rFonts w:ascii="Arial" w:hAnsi="Arial" w:cs="Arial"/>
          <w:sz w:val="22"/>
        </w:rPr>
        <w:t>Lee B</w:t>
      </w:r>
      <w:r w:rsidRPr="00E9118F">
        <w:rPr>
          <w:rFonts w:ascii="Arial" w:hAnsi="Arial" w:cs="Arial"/>
          <w:i/>
          <w:iCs/>
          <w:sz w:val="22"/>
        </w:rPr>
        <w:t>A real life guide to accounting research: a behind the scenes view of using qualitative research methods</w:t>
      </w:r>
      <w:r w:rsidRPr="00E9118F">
        <w:rPr>
          <w:rFonts w:ascii="Arial" w:hAnsi="Arial" w:cs="Arial"/>
          <w:sz w:val="22"/>
        </w:rPr>
        <w:t>. Amsterdam: Elsevier, 2004.</w:t>
      </w:r>
      <w:hyperlink r:id="rId19" w:history="1">
        <w:r w:rsidRPr="00E9118F">
          <w:rPr>
            <w:rStyle w:val="Hyperlink"/>
            <w:rFonts w:ascii="Arial" w:hAnsi="Arial" w:cs="Arial"/>
            <w:sz w:val="22"/>
          </w:rPr>
          <w:t>Google Scholar</w:t>
        </w:r>
      </w:hyperlink>
    </w:p>
    <w:p w14:paraId="5B7FCBD8" w14:textId="77777777" w:rsidR="00A369C3" w:rsidRPr="005602D9" w:rsidRDefault="00A369C3" w:rsidP="00A369C3">
      <w:pPr>
        <w:spacing w:line="278" w:lineRule="auto"/>
        <w:rPr>
          <w:rFonts w:ascii="Arial" w:hAnsi="Arial" w:cs="Arial"/>
          <w:sz w:val="22"/>
        </w:rPr>
      </w:pPr>
      <w:r w:rsidRPr="00A369C3">
        <w:rPr>
          <w:rFonts w:ascii="Arial" w:hAnsi="Arial" w:cs="Arial"/>
          <w:sz w:val="22"/>
        </w:rPr>
        <w:t>Manzano García G, Ayala Calvo JC. The threat of COVID-19 and its influence on nursing staff burnout. J. Adv. Nurs.2021;77:832–844. </w:t>
      </w:r>
      <w:hyperlink r:id="rId20" w:history="1">
        <w:r w:rsidRPr="00A369C3">
          <w:rPr>
            <w:rStyle w:val="Hyperlink"/>
            <w:rFonts w:ascii="Arial" w:hAnsi="Arial" w:cs="Arial"/>
            <w:b/>
            <w:bCs/>
            <w:sz w:val="22"/>
          </w:rPr>
          <w:t>https://doi-org.uwtsd.idm.oclc.org/10.1111/jan.14642</w:t>
        </w:r>
      </w:hyperlink>
    </w:p>
    <w:p w14:paraId="50BBF7C2" w14:textId="77777777" w:rsidR="00A369C3" w:rsidRPr="00A369C3" w:rsidRDefault="00A369C3" w:rsidP="00A369C3">
      <w:pPr>
        <w:rPr>
          <w:rFonts w:ascii="Arial" w:hAnsi="Arial" w:cs="Arial"/>
          <w:sz w:val="22"/>
        </w:rPr>
      </w:pPr>
      <w:r w:rsidRPr="005602D9">
        <w:rPr>
          <w:rFonts w:ascii="Arial" w:hAnsi="Arial" w:cs="Arial"/>
          <w:sz w:val="22"/>
        </w:rPr>
        <w:t>What is Qualitative in Qualitative Research</w:t>
      </w:r>
      <w:r w:rsidRPr="00A369C3">
        <w:rPr>
          <w:rFonts w:ascii="Arial" w:hAnsi="Arial" w:cs="Arial"/>
          <w:sz w:val="22"/>
        </w:rPr>
        <w:t xml:space="preserve">, </w:t>
      </w:r>
      <w:hyperlink r:id="rId21" w:history="1">
        <w:r w:rsidRPr="005602D9">
          <w:rPr>
            <w:rStyle w:val="Hyperlink"/>
            <w:rFonts w:ascii="Arial" w:hAnsi="Arial" w:cs="Arial"/>
            <w:sz w:val="22"/>
          </w:rPr>
          <w:t>Aspers, Patrik</w:t>
        </w:r>
      </w:hyperlink>
      <w:r w:rsidRPr="005602D9">
        <w:rPr>
          <w:rFonts w:ascii="Arial" w:hAnsi="Arial" w:cs="Arial"/>
          <w:sz w:val="22"/>
        </w:rPr>
        <w:t>; </w:t>
      </w:r>
      <w:hyperlink r:id="rId22" w:history="1">
        <w:r w:rsidRPr="005602D9">
          <w:rPr>
            <w:rStyle w:val="Hyperlink"/>
            <w:rFonts w:ascii="Arial" w:hAnsi="Arial" w:cs="Arial"/>
            <w:sz w:val="22"/>
          </w:rPr>
          <w:t>Corte, Ugo</w:t>
        </w:r>
      </w:hyperlink>
      <w:r w:rsidRPr="005602D9">
        <w:rPr>
          <w:rFonts w:ascii="Arial" w:hAnsi="Arial" w:cs="Arial"/>
          <w:sz w:val="22"/>
        </w:rPr>
        <w:t>.  </w:t>
      </w:r>
      <w:hyperlink r:id="rId23" w:history="1">
        <w:r w:rsidRPr="00A369C3">
          <w:rPr>
            <w:rStyle w:val="Hyperlink"/>
            <w:rFonts w:ascii="Arial" w:hAnsi="Arial" w:cs="Arial"/>
            <w:b/>
            <w:bCs/>
            <w:sz w:val="22"/>
          </w:rPr>
          <w:t>Qualitative Sociology</w:t>
        </w:r>
      </w:hyperlink>
      <w:r w:rsidRPr="005602D9">
        <w:rPr>
          <w:rFonts w:ascii="Arial" w:hAnsi="Arial" w:cs="Arial"/>
          <w:b/>
          <w:bCs/>
          <w:sz w:val="22"/>
        </w:rPr>
        <w:t>; New York</w:t>
      </w:r>
      <w:hyperlink r:id="rId24" w:tooltip="Click to search for more items from this issue" w:history="1">
        <w:r w:rsidRPr="005602D9">
          <w:rPr>
            <w:rStyle w:val="Hyperlink"/>
            <w:rFonts w:ascii="Arial" w:hAnsi="Arial" w:cs="Arial"/>
            <w:sz w:val="22"/>
          </w:rPr>
          <w:t> Vol. 42, </w:t>
        </w:r>
        <w:proofErr w:type="spellStart"/>
        <w:r w:rsidRPr="005602D9">
          <w:rPr>
            <w:rStyle w:val="Hyperlink"/>
            <w:rFonts w:ascii="Arial" w:hAnsi="Arial" w:cs="Arial"/>
            <w:sz w:val="22"/>
          </w:rPr>
          <w:t>Iss</w:t>
        </w:r>
        <w:proofErr w:type="spellEnd"/>
        <w:r w:rsidRPr="005602D9">
          <w:rPr>
            <w:rStyle w:val="Hyperlink"/>
            <w:rFonts w:ascii="Arial" w:hAnsi="Arial" w:cs="Arial"/>
            <w:sz w:val="22"/>
          </w:rPr>
          <w:t>. 2, </w:t>
        </w:r>
      </w:hyperlink>
      <w:r w:rsidRPr="005602D9">
        <w:rPr>
          <w:rFonts w:ascii="Arial" w:hAnsi="Arial" w:cs="Arial"/>
          <w:sz w:val="22"/>
        </w:rPr>
        <w:t> (Jun 2019): 139-160. DOI:10.1007/s11133-019-9413-7</w:t>
      </w:r>
    </w:p>
    <w:p w14:paraId="561CA298" w14:textId="77777777" w:rsidR="00A369C3" w:rsidRDefault="00A369C3" w:rsidP="00A369C3">
      <w:r w:rsidRPr="00A369C3">
        <w:rPr>
          <w:rFonts w:ascii="Arial" w:hAnsi="Arial" w:cs="Arial"/>
          <w:sz w:val="22"/>
        </w:rPr>
        <w:t xml:space="preserve">Zhou, A.Y.; </w:t>
      </w:r>
      <w:proofErr w:type="spellStart"/>
      <w:r w:rsidRPr="00A369C3">
        <w:rPr>
          <w:rFonts w:ascii="Arial" w:hAnsi="Arial" w:cs="Arial"/>
          <w:sz w:val="22"/>
        </w:rPr>
        <w:t>Panagioti</w:t>
      </w:r>
      <w:proofErr w:type="spellEnd"/>
      <w:r w:rsidRPr="00A369C3">
        <w:rPr>
          <w:rFonts w:ascii="Arial" w:hAnsi="Arial" w:cs="Arial"/>
          <w:sz w:val="22"/>
        </w:rPr>
        <w:t>, M.; Esmail, A.; Agius, R.; Van Tongeren, M.; Bower, P. Factors Associated with Burnout and Stress in Trainee Physicians: A Systematic Review and Meta-analysis. </w:t>
      </w:r>
      <w:r w:rsidRPr="00A369C3">
        <w:rPr>
          <w:rFonts w:ascii="Arial" w:hAnsi="Arial" w:cs="Arial"/>
          <w:i/>
          <w:iCs/>
          <w:sz w:val="22"/>
        </w:rPr>
        <w:t xml:space="preserve">JAMA </w:t>
      </w:r>
      <w:proofErr w:type="spellStart"/>
      <w:r w:rsidRPr="00A369C3">
        <w:rPr>
          <w:rFonts w:ascii="Arial" w:hAnsi="Arial" w:cs="Arial"/>
          <w:i/>
          <w:iCs/>
          <w:sz w:val="22"/>
        </w:rPr>
        <w:t>Netw</w:t>
      </w:r>
      <w:proofErr w:type="spellEnd"/>
      <w:r w:rsidRPr="00A369C3">
        <w:rPr>
          <w:rFonts w:ascii="Arial" w:hAnsi="Arial" w:cs="Arial"/>
          <w:i/>
          <w:iCs/>
          <w:sz w:val="22"/>
        </w:rPr>
        <w:t>.</w:t>
      </w:r>
      <w:r w:rsidRPr="00737FD3">
        <w:rPr>
          <w:i/>
          <w:iCs/>
        </w:rPr>
        <w:t xml:space="preserve"> Open</w:t>
      </w:r>
      <w:r w:rsidRPr="00737FD3">
        <w:t> </w:t>
      </w:r>
      <w:r w:rsidRPr="00737FD3">
        <w:rPr>
          <w:b/>
          <w:bCs/>
        </w:rPr>
        <w:t>2020</w:t>
      </w:r>
      <w:r w:rsidRPr="00737FD3">
        <w:t>, </w:t>
      </w:r>
      <w:r w:rsidRPr="00737FD3">
        <w:rPr>
          <w:i/>
          <w:iCs/>
        </w:rPr>
        <w:t>3</w:t>
      </w:r>
      <w:r w:rsidRPr="00737FD3">
        <w:t>, e2013761.</w:t>
      </w:r>
    </w:p>
    <w:p w14:paraId="10C7F0C5" w14:textId="77777777" w:rsidR="00B467F3" w:rsidRPr="00A369C3" w:rsidRDefault="00B467F3" w:rsidP="00B467F3">
      <w:pPr>
        <w:rPr>
          <w:rFonts w:ascii="Arial" w:hAnsi="Arial" w:cs="Arial"/>
          <w:sz w:val="22"/>
        </w:rPr>
      </w:pPr>
    </w:p>
    <w:p w14:paraId="19FD7A87" w14:textId="77777777" w:rsidR="00B467F3" w:rsidRPr="00B467F3" w:rsidRDefault="00B467F3" w:rsidP="00B467F3"/>
    <w:p w14:paraId="6E1F9658" w14:textId="77777777" w:rsidR="00B467F3" w:rsidRPr="00B467F3" w:rsidRDefault="00B467F3" w:rsidP="00B467F3"/>
    <w:p w14:paraId="05CC4791" w14:textId="77777777" w:rsidR="00B467F3" w:rsidRPr="00B467F3" w:rsidRDefault="00B467F3" w:rsidP="00B467F3"/>
    <w:p w14:paraId="6B2FEDE5" w14:textId="77777777" w:rsidR="00B467F3" w:rsidRPr="00B467F3" w:rsidRDefault="00B467F3" w:rsidP="00B467F3"/>
    <w:p w14:paraId="5E70DBEC" w14:textId="77777777" w:rsidR="00B467F3" w:rsidRPr="00B467F3" w:rsidRDefault="00B467F3" w:rsidP="00B467F3"/>
    <w:p w14:paraId="0499BEDC" w14:textId="77777777" w:rsidR="00B467F3" w:rsidRPr="00B467F3" w:rsidRDefault="00B467F3" w:rsidP="00B467F3"/>
    <w:p w14:paraId="1FA76389" w14:textId="77777777" w:rsidR="00B467F3" w:rsidRPr="00B467F3" w:rsidRDefault="00B467F3" w:rsidP="00B467F3"/>
    <w:p w14:paraId="30EA0700" w14:textId="77777777" w:rsidR="00B467F3" w:rsidRPr="00B467F3" w:rsidRDefault="00B467F3" w:rsidP="00B467F3"/>
    <w:p w14:paraId="3B5AC76C" w14:textId="77777777" w:rsidR="00B467F3" w:rsidRPr="00B467F3" w:rsidRDefault="00B467F3" w:rsidP="00B467F3"/>
    <w:p w14:paraId="59B64A82" w14:textId="77777777" w:rsidR="00B467F3" w:rsidRPr="00B467F3" w:rsidRDefault="00B467F3" w:rsidP="00B467F3"/>
    <w:p w14:paraId="7E480C2C" w14:textId="77777777" w:rsidR="00B467F3" w:rsidRPr="00B467F3" w:rsidRDefault="00B467F3" w:rsidP="00B467F3"/>
    <w:p w14:paraId="22164AE1" w14:textId="77777777" w:rsidR="00B467F3" w:rsidRPr="00B467F3" w:rsidRDefault="00B467F3" w:rsidP="00B467F3"/>
    <w:p w14:paraId="51AA7277" w14:textId="12F61840" w:rsidR="00B467F3" w:rsidRPr="00B467F3" w:rsidRDefault="00B467F3" w:rsidP="00B467F3">
      <w:pPr>
        <w:tabs>
          <w:tab w:val="left" w:pos="3210"/>
        </w:tabs>
      </w:pPr>
      <w:r>
        <w:tab/>
      </w:r>
    </w:p>
    <w:sectPr w:rsidR="00B467F3" w:rsidRPr="00B467F3">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932EF8" w14:textId="77777777" w:rsidR="00590F1C" w:rsidRDefault="00590F1C" w:rsidP="003C7C97">
      <w:pPr>
        <w:spacing w:after="0" w:line="240" w:lineRule="auto"/>
      </w:pPr>
      <w:r>
        <w:separator/>
      </w:r>
    </w:p>
  </w:endnote>
  <w:endnote w:type="continuationSeparator" w:id="0">
    <w:p w14:paraId="62F7E0B2" w14:textId="77777777" w:rsidR="00590F1C" w:rsidRDefault="00590F1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7845707"/>
      <w:docPartObj>
        <w:docPartGallery w:val="Page Numbers (Bottom of Page)"/>
        <w:docPartUnique/>
      </w:docPartObj>
    </w:sdtPr>
    <w:sdtContent>
      <w:p w14:paraId="64941C99" w14:textId="70DAAA12" w:rsidR="00655E31" w:rsidRDefault="00655E31">
        <w:pPr>
          <w:pStyle w:val="Footer"/>
          <w:jc w:val="center"/>
        </w:pPr>
        <w:r>
          <w:fldChar w:fldCharType="begin"/>
        </w:r>
        <w:r>
          <w:instrText>PAGE   \* MERGEFORMAT</w:instrText>
        </w:r>
        <w:r>
          <w:fldChar w:fldCharType="separate"/>
        </w:r>
        <w:r>
          <w:t>2</w:t>
        </w:r>
        <w:r>
          <w:fldChar w:fldCharType="end"/>
        </w:r>
      </w:p>
    </w:sdtContent>
  </w:sdt>
  <w:p w14:paraId="1781090E" w14:textId="77777777" w:rsidR="00655E31" w:rsidRDefault="00655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9B085" w14:textId="77777777" w:rsidR="00590F1C" w:rsidRDefault="00590F1C" w:rsidP="003C7C97">
      <w:pPr>
        <w:spacing w:after="0" w:line="240" w:lineRule="auto"/>
      </w:pPr>
      <w:r>
        <w:separator/>
      </w:r>
    </w:p>
  </w:footnote>
  <w:footnote w:type="continuationSeparator" w:id="0">
    <w:p w14:paraId="025E6E45" w14:textId="77777777" w:rsidR="00590F1C" w:rsidRDefault="00590F1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A2EAC"/>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5999"/>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B2528"/>
    <w:rsid w:val="00500295"/>
    <w:rsid w:val="00501AAF"/>
    <w:rsid w:val="00527AFA"/>
    <w:rsid w:val="005419DA"/>
    <w:rsid w:val="005678AC"/>
    <w:rsid w:val="005709B1"/>
    <w:rsid w:val="00572B3B"/>
    <w:rsid w:val="005836D2"/>
    <w:rsid w:val="00587C58"/>
    <w:rsid w:val="00590F1C"/>
    <w:rsid w:val="005A7FD4"/>
    <w:rsid w:val="005B1A84"/>
    <w:rsid w:val="005D1AF9"/>
    <w:rsid w:val="005D5457"/>
    <w:rsid w:val="005E2699"/>
    <w:rsid w:val="005E44B5"/>
    <w:rsid w:val="00612DEA"/>
    <w:rsid w:val="00614572"/>
    <w:rsid w:val="006232DF"/>
    <w:rsid w:val="00631F2E"/>
    <w:rsid w:val="006457C0"/>
    <w:rsid w:val="00652BB7"/>
    <w:rsid w:val="00653C21"/>
    <w:rsid w:val="00655E31"/>
    <w:rsid w:val="00661758"/>
    <w:rsid w:val="0067612C"/>
    <w:rsid w:val="00676FEB"/>
    <w:rsid w:val="006912C4"/>
    <w:rsid w:val="006A5CFC"/>
    <w:rsid w:val="006C5138"/>
    <w:rsid w:val="006C689B"/>
    <w:rsid w:val="006E005C"/>
    <w:rsid w:val="006E6EE5"/>
    <w:rsid w:val="006F0029"/>
    <w:rsid w:val="00705207"/>
    <w:rsid w:val="00710F5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A3871"/>
    <w:rsid w:val="009C7E52"/>
    <w:rsid w:val="009E4934"/>
    <w:rsid w:val="009F40A7"/>
    <w:rsid w:val="009F5CE6"/>
    <w:rsid w:val="00A035CD"/>
    <w:rsid w:val="00A369C3"/>
    <w:rsid w:val="00A50E80"/>
    <w:rsid w:val="00A513B0"/>
    <w:rsid w:val="00A63F7F"/>
    <w:rsid w:val="00A667CE"/>
    <w:rsid w:val="00A75042"/>
    <w:rsid w:val="00A774BC"/>
    <w:rsid w:val="00A82678"/>
    <w:rsid w:val="00A946CB"/>
    <w:rsid w:val="00AA77C8"/>
    <w:rsid w:val="00AC7BE2"/>
    <w:rsid w:val="00AE35BF"/>
    <w:rsid w:val="00B1067E"/>
    <w:rsid w:val="00B467F3"/>
    <w:rsid w:val="00B81790"/>
    <w:rsid w:val="00B81BBC"/>
    <w:rsid w:val="00BD03D5"/>
    <w:rsid w:val="00C3215E"/>
    <w:rsid w:val="00C45272"/>
    <w:rsid w:val="00C47770"/>
    <w:rsid w:val="00C75856"/>
    <w:rsid w:val="00C85A7C"/>
    <w:rsid w:val="00C95214"/>
    <w:rsid w:val="00CC3F59"/>
    <w:rsid w:val="00CD4774"/>
    <w:rsid w:val="00D10AAF"/>
    <w:rsid w:val="00D27540"/>
    <w:rsid w:val="00D30536"/>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3DA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docview/2715453909/fulltext/FE964564F6874057PQ/1?accountid=130472&amp;sourcetype=Scholarly%20Journals" TargetMode="External"/><Relationship Id="rId18" Type="http://schemas.openxmlformats.org/officeDocument/2006/relationships/hyperlink" Target="https://www.proquest.com/indexingvolumeissuelinkhandler/44821/BMC+Health+Services+Research/02022Y01Y01$232022$3b++Vol.+22/22/$B?accountid=130472"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proquest.com/docview/2186635866?accountid=130472&amp;parentSessionId=0GOCisGLvkQC1TXJ3muUDu%2Bs%2FF8TkceIVwErk5HsWU8%3D&amp;pq-origsite=primo&amp;sourcetype=Scholarly%20Journals" TargetMode="External"/><Relationship Id="rId7" Type="http://schemas.openxmlformats.org/officeDocument/2006/relationships/settings" Target="settings.xml"/><Relationship Id="rId12" Type="http://schemas.openxmlformats.org/officeDocument/2006/relationships/hyperlink" Target="https://ebn.bmj.com/lookup/google-scholar?link_type=googlescholar&amp;gs_type=article&amp;q_txt=A+real+life+guide+to+accounting+research%3A+a+behind+the+scenes+view+of+using+qualitative+research+methods.+Amsterdam%3A+Elsevier%2C+2004." TargetMode="External"/><Relationship Id="rId17" Type="http://schemas.openxmlformats.org/officeDocument/2006/relationships/hyperlink" Target="https://www.proquest.com/docview/2715453909/fulltext/FE964564F6874057PQ/1?accountid=130472&amp;sourcetype=Scholarly%20Journal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roquest.com/docview/2715453909/fulltext/FE964564F6874057PQ/1?accountid=130472&amp;sourcetype=Scholarly%20Journals" TargetMode="External"/><Relationship Id="rId20" Type="http://schemas.openxmlformats.org/officeDocument/2006/relationships/hyperlink" Target="https://doi-org.uwtsd.idm.oclc.org/10.1111/jan.1464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roquest.com/indexingvolumeissuelinkhandler/54067/Qualitative+Sociology/02019Y06Y01$23Jun+2019$3b++Vol.+42+$282$29/42/2?accountid=130472" TargetMode="External"/><Relationship Id="rId5" Type="http://schemas.openxmlformats.org/officeDocument/2006/relationships/numbering" Target="numbering.xml"/><Relationship Id="rId15" Type="http://schemas.openxmlformats.org/officeDocument/2006/relationships/hyperlink" Target="https://www.proquest.com/docview/2715453909/fulltext/FE964564F6874057PQ/1?accountid=130472&amp;sourcetype=Scholarly%20Journals" TargetMode="External"/><Relationship Id="rId23" Type="http://schemas.openxmlformats.org/officeDocument/2006/relationships/hyperlink" Target="https://www.proquest.com/docview/2186635866?accountid=130472&amp;parentSessionId=0GOCisGLvkQC1TXJ3muUDu%2Bs%2FF8TkceIVwErk5HsWU8%3D&amp;pq-origsite=primo&amp;sourcetype=Scholarly%20Journals" TargetMode="External"/><Relationship Id="rId10" Type="http://schemas.openxmlformats.org/officeDocument/2006/relationships/endnotes" Target="endnotes.xml"/><Relationship Id="rId19" Type="http://schemas.openxmlformats.org/officeDocument/2006/relationships/hyperlink" Target="https://ebn.bmj.com/lookup/google-scholar?link_type=googlescholar&amp;gs_type=article&amp;q_txt=A+real+life+guide+to+accounting+research%3A+a+behind+the+scenes+view+of+using+qualitative+research+methods.+Amsterdam%3A+Elsevier%2C+200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quest.com/docview/2715453909/fulltext/FE964564F6874057PQ/1?accountid=130472&amp;sourcetype=Scholarly%20Journals" TargetMode="External"/><Relationship Id="rId22" Type="http://schemas.openxmlformats.org/officeDocument/2006/relationships/hyperlink" Target="https://www.proquest.com/docview/2186635866?accountid=130472&amp;parentSessionId=0GOCisGLvkQC1TXJ3muUDu%2Bs%2FF8TkceIVwErk5HsWU8%3D&amp;pq-origsite=primo&amp;sourcetype=Scholarly%20Journa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f655cc624ba06f0fa5f8382a2f3ee172">
  <xsd:schema xmlns:xsd="http://www.w3.org/2001/XMLSchema" xmlns:xs="http://www.w3.org/2001/XMLSchema" xmlns:p="http://schemas.microsoft.com/office/2006/metadata/properties" xmlns:ns3="901b7179-a49d-4669-ab88-101a0e80079b" targetNamespace="http://schemas.microsoft.com/office/2006/metadata/properties" ma:root="true" ma:fieldsID="25c14b31c707e5fb80d4506101873b4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31C2813C-E798-49B1-B6C2-23B380F2A9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676CAE-4692-4A4B-96BE-317A118E4CD0}">
  <ds:schemaRefs>
    <ds:schemaRef ds:uri="http://schemas.microsoft.com/sharepoint/v3/contenttype/forms"/>
  </ds:schemaRefs>
</ds:datastoreItem>
</file>

<file path=customXml/itemProps4.xml><?xml version="1.0" encoding="utf-8"?>
<ds:datastoreItem xmlns:ds="http://schemas.openxmlformats.org/officeDocument/2006/customXml" ds:itemID="{CC5EDA6B-366A-4F67-AA44-2D65FB175CEA}">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Samson Joseph (2523179)</cp:lastModifiedBy>
  <cp:revision>4</cp:revision>
  <dcterms:created xsi:type="dcterms:W3CDTF">2026-03-24T01:08:00Z</dcterms:created>
  <dcterms:modified xsi:type="dcterms:W3CDTF">2026-03-24T01:19:00Z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cb179fae-82be-4ce0-9be9-b5543436caea</vt:lpwstr>
  </property>
  <property fmtid="{D5CDD505-2E9C-101B-9397-08002B2CF9AE}" pid="10" name="ContentTypeId">
    <vt:lpwstr>0x01010028991669DF84244A81B93216713AC0FD</vt:lpwstr>
  </property>
</Properties>
</file>