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00D2F" w14:textId="36B26444" w:rsidR="00BD1578" w:rsidRDefault="00BD1578" w:rsidP="007A5DD0">
      <w:pPr>
        <w:spacing w:line="480" w:lineRule="auto"/>
        <w:rPr>
          <w:b/>
          <w:bCs/>
          <w:sz w:val="22"/>
          <w:szCs w:val="20"/>
        </w:rPr>
      </w:pPr>
      <w:r>
        <w:rPr>
          <w:b/>
          <w:bCs/>
          <w:sz w:val="22"/>
          <w:szCs w:val="20"/>
        </w:rPr>
        <w:t xml:space="preserve">Student Id: 2118804   </w:t>
      </w:r>
    </w:p>
    <w:p w14:paraId="2CE065CB" w14:textId="385CE52A" w:rsidR="00BD1578" w:rsidRDefault="00BD1578" w:rsidP="007A5DD0">
      <w:pPr>
        <w:spacing w:line="480" w:lineRule="auto"/>
        <w:rPr>
          <w:b/>
          <w:bCs/>
          <w:sz w:val="22"/>
          <w:szCs w:val="20"/>
        </w:rPr>
      </w:pPr>
      <w:r>
        <w:rPr>
          <w:b/>
          <w:bCs/>
          <w:sz w:val="22"/>
          <w:szCs w:val="20"/>
        </w:rPr>
        <w:t xml:space="preserve">Student name: Mircea </w:t>
      </w:r>
      <w:proofErr w:type="spellStart"/>
      <w:r>
        <w:rPr>
          <w:b/>
          <w:bCs/>
          <w:sz w:val="22"/>
          <w:szCs w:val="20"/>
        </w:rPr>
        <w:t>ilie</w:t>
      </w:r>
      <w:proofErr w:type="spellEnd"/>
      <w:r>
        <w:rPr>
          <w:b/>
          <w:bCs/>
          <w:sz w:val="22"/>
          <w:szCs w:val="20"/>
        </w:rPr>
        <w:t xml:space="preserve"> </w:t>
      </w:r>
    </w:p>
    <w:p w14:paraId="6FFA2A30" w14:textId="77777777" w:rsidR="00BD1578" w:rsidRDefault="00BD1578" w:rsidP="00BD1578">
      <w:pPr>
        <w:spacing w:line="480" w:lineRule="auto"/>
        <w:rPr>
          <w:b/>
          <w:bCs/>
          <w:sz w:val="22"/>
          <w:szCs w:val="20"/>
        </w:rPr>
      </w:pPr>
      <w:r>
        <w:rPr>
          <w:b/>
          <w:bCs/>
          <w:sz w:val="22"/>
          <w:szCs w:val="20"/>
        </w:rPr>
        <w:t xml:space="preserve">Lecturer: Mr Ehsan </w:t>
      </w:r>
      <w:proofErr w:type="spellStart"/>
      <w:r>
        <w:rPr>
          <w:b/>
          <w:bCs/>
          <w:sz w:val="22"/>
          <w:szCs w:val="20"/>
        </w:rPr>
        <w:t>Khajeh</w:t>
      </w:r>
      <w:proofErr w:type="spellEnd"/>
      <w:r>
        <w:rPr>
          <w:b/>
          <w:bCs/>
          <w:sz w:val="22"/>
          <w:szCs w:val="20"/>
        </w:rPr>
        <w:t xml:space="preserve"> </w:t>
      </w:r>
      <w:bookmarkStart w:id="0" w:name="_Toc137220798"/>
    </w:p>
    <w:p w14:paraId="3CA109CB" w14:textId="075BFFB6" w:rsidR="00BD1578" w:rsidRDefault="00D60654" w:rsidP="00BD1578">
      <w:pPr>
        <w:spacing w:line="480" w:lineRule="auto"/>
        <w:rPr>
          <w:b/>
          <w:bCs/>
          <w:sz w:val="22"/>
        </w:rPr>
      </w:pPr>
      <w:bookmarkStart w:id="1" w:name="_Toc137220799"/>
      <w:bookmarkEnd w:id="0"/>
      <w:r>
        <w:rPr>
          <w:b/>
          <w:bCs/>
          <w:sz w:val="22"/>
        </w:rPr>
        <w:t>Module code: BMSW5101</w:t>
      </w:r>
    </w:p>
    <w:p w14:paraId="33A71274" w14:textId="77777777" w:rsidR="00BD1578" w:rsidRDefault="00BD1578" w:rsidP="00BD1578">
      <w:pPr>
        <w:spacing w:line="480" w:lineRule="auto"/>
        <w:rPr>
          <w:b/>
          <w:bCs/>
          <w:sz w:val="28"/>
          <w:szCs w:val="24"/>
        </w:rPr>
      </w:pPr>
      <w:r w:rsidRPr="00BD1578">
        <w:rPr>
          <w:b/>
          <w:bCs/>
          <w:sz w:val="28"/>
          <w:szCs w:val="24"/>
        </w:rPr>
        <w:t xml:space="preserve">WORKPLACE CRITICAL THINKING </w:t>
      </w:r>
    </w:p>
    <w:p w14:paraId="7590003C" w14:textId="0BE68E5B" w:rsidR="00D60654" w:rsidRDefault="00D60654" w:rsidP="00D60654">
      <w:pPr>
        <w:spacing w:line="480" w:lineRule="auto"/>
        <w:rPr>
          <w:b/>
          <w:bCs/>
          <w:sz w:val="22"/>
        </w:rPr>
      </w:pPr>
      <w:r w:rsidRPr="007A5DD0">
        <w:rPr>
          <w:b/>
          <w:bCs/>
          <w:sz w:val="22"/>
        </w:rPr>
        <w:t>Task 3</w:t>
      </w:r>
      <w:r>
        <w:rPr>
          <w:b/>
          <w:bCs/>
          <w:sz w:val="22"/>
        </w:rPr>
        <w:t xml:space="preserve"> written report </w:t>
      </w:r>
      <w:r w:rsidRPr="007A5DD0">
        <w:rPr>
          <w:b/>
          <w:bCs/>
          <w:sz w:val="22"/>
        </w:rPr>
        <w:t xml:space="preserve"> + task 4  reflective Report. </w:t>
      </w:r>
    </w:p>
    <w:p w14:paraId="274668B9" w14:textId="77777777" w:rsidR="00D60654" w:rsidRDefault="00D60654" w:rsidP="00D60654">
      <w:pPr>
        <w:spacing w:line="480" w:lineRule="auto"/>
        <w:rPr>
          <w:b/>
          <w:bCs/>
        </w:rPr>
      </w:pPr>
    </w:p>
    <w:p w14:paraId="4615CFA7" w14:textId="4DCC0771" w:rsidR="00D60654" w:rsidRPr="00D60654" w:rsidRDefault="0015296E" w:rsidP="00D60654">
      <w:pPr>
        <w:spacing w:line="480" w:lineRule="auto"/>
        <w:rPr>
          <w:b/>
          <w:bCs/>
        </w:rPr>
      </w:pPr>
      <w:r w:rsidRPr="00D60654">
        <w:rPr>
          <w:b/>
          <w:bCs/>
        </w:rPr>
        <w:t>Introduction</w:t>
      </w:r>
      <w:bookmarkEnd w:id="1"/>
    </w:p>
    <w:p w14:paraId="148A0538" w14:textId="4312DF85" w:rsidR="0015296E" w:rsidRPr="00D60654" w:rsidRDefault="0015296E" w:rsidP="00D60654">
      <w:pPr>
        <w:spacing w:line="480" w:lineRule="auto"/>
        <w:rPr>
          <w:b/>
          <w:bCs/>
          <w:sz w:val="22"/>
          <w:szCs w:val="20"/>
        </w:rPr>
      </w:pPr>
      <w:r w:rsidRPr="007A5DD0">
        <w:t xml:space="preserve">In this case, this report will outline and comprehensively </w:t>
      </w:r>
      <w:r w:rsidR="007A5DD0" w:rsidRPr="007A5DD0">
        <w:t>analyse</w:t>
      </w:r>
      <w:r w:rsidRPr="007A5DD0">
        <w:t xml:space="preserve"> specific management theories. Here Weber's concept of bureaucracy will be chosen and its applicability to organizational issues or conflicts in appropriate organizational contexts will be provided. Professor and sociologist Max Weber provided an outline of multiple context management areas such as supplier and customer relationships through his Theory of Bureaucracy. Although bureaucracy theory primarily focuses on the management of large-scale organizational activities, its principles apply not only to supplier and customer relationship management. The discussion of this report will focus on solving the misunderstandings that arise between customer and supplier relationships in the business context of GeeVee Ltd through a comprehensive analysis of bureaucracy theory.</w:t>
      </w:r>
      <w:r w:rsidR="006A14A4" w:rsidRPr="007A5DD0">
        <w:t xml:space="preserve"> </w:t>
      </w:r>
      <w:r w:rsidR="00407962" w:rsidRPr="007A5DD0">
        <w:t xml:space="preserve"> </w:t>
      </w:r>
      <w:r w:rsidR="0030138B" w:rsidRPr="007A5DD0">
        <w:t xml:space="preserve"> </w:t>
      </w:r>
      <w:r w:rsidR="0013752C" w:rsidRPr="007A5DD0">
        <w:t xml:space="preserve"> </w:t>
      </w:r>
    </w:p>
    <w:p w14:paraId="0DF6FEB4" w14:textId="77777777" w:rsidR="0015296E" w:rsidRPr="00705B69" w:rsidRDefault="0015296E" w:rsidP="0015296E">
      <w:pPr>
        <w:spacing w:line="480" w:lineRule="auto"/>
        <w:rPr>
          <w:rFonts w:eastAsiaTheme="majorEastAsia" w:cstheme="majorBidi"/>
          <w:b/>
          <w:sz w:val="28"/>
          <w:szCs w:val="32"/>
        </w:rPr>
      </w:pPr>
      <w:r w:rsidRPr="00705B69">
        <w:br w:type="page"/>
      </w:r>
    </w:p>
    <w:p w14:paraId="5795EC32" w14:textId="77777777" w:rsidR="0015296E" w:rsidRPr="007A5DD0" w:rsidRDefault="0015296E" w:rsidP="007A5DD0">
      <w:pPr>
        <w:pStyle w:val="Heading1"/>
      </w:pPr>
      <w:bookmarkStart w:id="2" w:name="_Toc137220800"/>
      <w:r w:rsidRPr="007A5DD0">
        <w:lastRenderedPageBreak/>
        <w:t>Management Theory</w:t>
      </w:r>
      <w:bookmarkEnd w:id="2"/>
    </w:p>
    <w:p w14:paraId="2D932BD5" w14:textId="77777777" w:rsidR="0015296E" w:rsidRPr="007A5DD0" w:rsidRDefault="0015296E" w:rsidP="0015296E">
      <w:pPr>
        <w:spacing w:line="480" w:lineRule="auto"/>
        <w:jc w:val="both"/>
        <w:rPr>
          <w:sz w:val="22"/>
        </w:rPr>
      </w:pPr>
      <w:r w:rsidRPr="007A5DD0">
        <w:rPr>
          <w:sz w:val="22"/>
        </w:rPr>
        <w:t xml:space="preserve">Weber's concept of bureaucracy was introduced by the German sociologist Max Weber and the purpose of this concept is the identification of the ideal characteristics of a bureaucratic organization through its principles in terms of specific organizational contexts. According to </w:t>
      </w:r>
      <w:r w:rsidRPr="007A5DD0">
        <w:rPr>
          <w:rFonts w:cs="Times New Roman"/>
          <w:sz w:val="22"/>
        </w:rPr>
        <w:t>Kanter</w:t>
      </w:r>
      <w:r w:rsidRPr="007A5DD0">
        <w:rPr>
          <w:sz w:val="22"/>
        </w:rPr>
        <w:t xml:space="preserve"> (2019), Weber's theory of bureaucracy was introduced in the early stages of the 20th century and is still used today as one of the most influential organizational management theories.</w:t>
      </w:r>
    </w:p>
    <w:p w14:paraId="214A87E4" w14:textId="77777777" w:rsidR="0015296E" w:rsidRPr="007A5DD0" w:rsidRDefault="0015296E" w:rsidP="0015296E">
      <w:pPr>
        <w:spacing w:line="480" w:lineRule="auto"/>
        <w:jc w:val="both"/>
        <w:rPr>
          <w:sz w:val="22"/>
        </w:rPr>
      </w:pPr>
      <w:r w:rsidRPr="007A5DD0">
        <w:rPr>
          <w:sz w:val="22"/>
        </w:rPr>
        <w:t xml:space="preserve">Although bureaucracy theory is primarily applicable to the management of formal organizational activities overall, incorporation of this framework is possible in the management of institutional supplier and customer relationships and interactions. According to </w:t>
      </w:r>
      <w:r w:rsidRPr="007A5DD0">
        <w:rPr>
          <w:rFonts w:cs="Times New Roman"/>
          <w:sz w:val="22"/>
        </w:rPr>
        <w:t>Churchill (2019)</w:t>
      </w:r>
      <w:r w:rsidRPr="007A5DD0">
        <w:rPr>
          <w:sz w:val="22"/>
        </w:rPr>
        <w:t>, adaptation by keeping its principles unchanged to fit a specific organizational situation or context can help achieve greater flexibility in customer-centric decision-making and supplier relationship management in organizational contexts.</w:t>
      </w:r>
    </w:p>
    <w:p w14:paraId="434C081A" w14:textId="77777777" w:rsidR="0015296E" w:rsidRPr="007A5DD0" w:rsidRDefault="0015296E" w:rsidP="0015296E">
      <w:pPr>
        <w:spacing w:line="480" w:lineRule="auto"/>
        <w:rPr>
          <w:rFonts w:eastAsiaTheme="majorEastAsia" w:cstheme="majorBidi"/>
          <w:b/>
          <w:sz w:val="22"/>
        </w:rPr>
      </w:pPr>
      <w:r w:rsidRPr="007A5DD0">
        <w:rPr>
          <w:sz w:val="22"/>
        </w:rPr>
        <w:br w:type="page"/>
      </w:r>
    </w:p>
    <w:p w14:paraId="722D79E4" w14:textId="47C5D221" w:rsidR="0015296E" w:rsidRPr="007A5DD0" w:rsidRDefault="0015296E" w:rsidP="007A5DD0">
      <w:pPr>
        <w:pStyle w:val="Heading1"/>
      </w:pPr>
      <w:bookmarkStart w:id="3" w:name="_Toc137220801"/>
      <w:r w:rsidRPr="007A5DD0">
        <w:lastRenderedPageBreak/>
        <w:t>Critical Analysis of Theory</w:t>
      </w:r>
      <w:bookmarkEnd w:id="3"/>
      <w:r w:rsidR="007A5DD0">
        <w:t xml:space="preserve">   </w:t>
      </w:r>
      <w:r w:rsidRPr="007A5DD0">
        <w:rPr>
          <w:b/>
          <w:i/>
          <w:iCs/>
        </w:rPr>
        <w:t>Authority Hierarchy:</w:t>
      </w:r>
    </w:p>
    <w:p w14:paraId="55AA1C48" w14:textId="1102BFC3" w:rsidR="0015296E" w:rsidRPr="007A5DD0" w:rsidRDefault="0015296E" w:rsidP="0015296E">
      <w:pPr>
        <w:spacing w:line="480" w:lineRule="auto"/>
        <w:jc w:val="both"/>
        <w:rPr>
          <w:sz w:val="22"/>
        </w:rPr>
      </w:pPr>
      <w:r w:rsidRPr="007A5DD0">
        <w:rPr>
          <w:sz w:val="22"/>
        </w:rPr>
        <w:t xml:space="preserve">Weber's theory suggests a focus on the hierarchy of authority because it provides different levels of supervision over the day-to-day activities of a business organization. The hierarchy of authority makes it possible to design expertise and knowledge-based effective decision-making to ensure satisfaction in both customer and supplier relationship management. It supports businesses in fast problem-solving, reducing service delays, and mitigating misunderstandings. According to </w:t>
      </w:r>
      <w:r w:rsidRPr="007A5DD0">
        <w:rPr>
          <w:rFonts w:cs="Times New Roman"/>
          <w:color w:val="222222"/>
          <w:sz w:val="22"/>
          <w:shd w:val="clear" w:color="auto" w:fill="FFFFFF"/>
        </w:rPr>
        <w:t>Htike</w:t>
      </w:r>
      <w:r w:rsidRPr="007A5DD0">
        <w:rPr>
          <w:sz w:val="22"/>
        </w:rPr>
        <w:t xml:space="preserve"> (2019), authority hierarchy also helps maintain accountability in customer, supplier, and organization relationships so that the authority hierarchy can demonstrate appropriate attitude and commitment to customer and supplier satisfaction.</w:t>
      </w:r>
    </w:p>
    <w:p w14:paraId="7A0BEB1E" w14:textId="77777777" w:rsidR="0015296E" w:rsidRPr="007A5DD0" w:rsidRDefault="0015296E" w:rsidP="0015296E">
      <w:pPr>
        <w:spacing w:line="480" w:lineRule="auto"/>
        <w:jc w:val="both"/>
        <w:rPr>
          <w:sz w:val="22"/>
        </w:rPr>
      </w:pPr>
      <w:r w:rsidRPr="007A5DD0">
        <w:rPr>
          <w:sz w:val="22"/>
        </w:rPr>
        <w:t>For example, GeeVee Ltd can address its customers' misunderstanding of the organization's supply chain shifting to India by prioritizing the hierarchy of authority. It can manage this conflict by helping the organization to convince target customers about the reasons and benefits of shifting its supply chain from the UK to India.</w:t>
      </w:r>
    </w:p>
    <w:p w14:paraId="3647CC7E" w14:textId="1971DC76" w:rsidR="0015296E" w:rsidRPr="007A5DD0" w:rsidRDefault="0015296E" w:rsidP="0015296E">
      <w:pPr>
        <w:spacing w:line="480" w:lineRule="auto"/>
        <w:jc w:val="both"/>
        <w:rPr>
          <w:b/>
          <w:bCs/>
          <w:i/>
          <w:iCs/>
          <w:sz w:val="22"/>
        </w:rPr>
      </w:pPr>
      <w:r w:rsidRPr="007A5DD0">
        <w:rPr>
          <w:b/>
          <w:bCs/>
          <w:i/>
          <w:iCs/>
          <w:sz w:val="22"/>
        </w:rPr>
        <w:t xml:space="preserve">Formal Rules and </w:t>
      </w:r>
      <w:r w:rsidR="000820D7">
        <w:rPr>
          <w:b/>
          <w:bCs/>
          <w:i/>
          <w:iCs/>
          <w:sz w:val="22"/>
        </w:rPr>
        <w:t>benefits</w:t>
      </w:r>
      <w:r w:rsidRPr="007A5DD0">
        <w:rPr>
          <w:b/>
          <w:bCs/>
          <w:i/>
          <w:iCs/>
          <w:sz w:val="22"/>
        </w:rPr>
        <w:t>:</w:t>
      </w:r>
    </w:p>
    <w:p w14:paraId="7B7CDB81" w14:textId="3E9E342F" w:rsidR="0015296E" w:rsidRPr="007A5DD0" w:rsidRDefault="0015296E" w:rsidP="0015296E">
      <w:pPr>
        <w:spacing w:line="480" w:lineRule="auto"/>
        <w:jc w:val="both"/>
        <w:rPr>
          <w:sz w:val="22"/>
        </w:rPr>
      </w:pPr>
      <w:r w:rsidRPr="007A5DD0">
        <w:rPr>
          <w:sz w:val="22"/>
        </w:rPr>
        <w:t xml:space="preserve">As formal rules and regulations demonstrate the organization's commitment and accountability to its customers and suppliers, Weber mentions in his theory to focus on its sustainability. </w:t>
      </w:r>
      <w:r w:rsidR="00703BFC">
        <w:rPr>
          <w:sz w:val="22"/>
        </w:rPr>
        <w:t>T</w:t>
      </w:r>
      <w:r w:rsidRPr="007A5DD0">
        <w:rPr>
          <w:sz w:val="22"/>
        </w:rPr>
        <w:t>he inclusion of these formal rules and regulations helps promote consistency, clarity, and fairness in</w:t>
      </w:r>
      <w:r w:rsidR="00703BFC">
        <w:rPr>
          <w:sz w:val="22"/>
        </w:rPr>
        <w:t xml:space="preserve"> </w:t>
      </w:r>
      <w:r w:rsidRPr="007A5DD0">
        <w:rPr>
          <w:sz w:val="22"/>
        </w:rPr>
        <w:t>customer and supplier relationship management. At the same time, through this, it becomes possible to identify and satisfy the expectations and needs of the suppliers and customers associated with the organization. In addition, the presence of formal regulations in the organizational context helps to maintain consistency in any situation regarding indirect interactions between customers and suppliers. Since formal rules and regulations follow specific trade laws and regulatory regulations, risks such as legal discrimination are also reduced.</w:t>
      </w:r>
    </w:p>
    <w:p w14:paraId="7FFDECFA" w14:textId="77777777" w:rsidR="0015296E" w:rsidRPr="007A5DD0" w:rsidRDefault="0015296E" w:rsidP="0015296E">
      <w:pPr>
        <w:spacing w:line="480" w:lineRule="auto"/>
        <w:jc w:val="both"/>
        <w:rPr>
          <w:sz w:val="22"/>
        </w:rPr>
      </w:pPr>
      <w:r w:rsidRPr="007A5DD0">
        <w:rPr>
          <w:sz w:val="22"/>
        </w:rPr>
        <w:t xml:space="preserve">For example, GeeVee Ltd may implement formal rules and regulations in its business context to maintain sustainability and consistency in indirect interactions between customers and Indian suppliers that help its business achieve greater benefits. GeeVee Ltd may have to satisfy legal </w:t>
      </w:r>
      <w:r w:rsidRPr="007A5DD0">
        <w:rPr>
          <w:sz w:val="22"/>
        </w:rPr>
        <w:lastRenderedPageBreak/>
        <w:t>requirements in both the Indian and UK contexts to minimize misunderstandings between both its suppliers and customers.</w:t>
      </w:r>
    </w:p>
    <w:p w14:paraId="4B79429B" w14:textId="77777777" w:rsidR="0015296E" w:rsidRPr="007A5DD0" w:rsidRDefault="0015296E" w:rsidP="0015296E">
      <w:pPr>
        <w:spacing w:line="480" w:lineRule="auto"/>
        <w:jc w:val="both"/>
        <w:rPr>
          <w:b/>
          <w:bCs/>
          <w:i/>
          <w:iCs/>
          <w:sz w:val="22"/>
        </w:rPr>
      </w:pPr>
      <w:r w:rsidRPr="007A5DD0">
        <w:rPr>
          <w:b/>
          <w:bCs/>
          <w:i/>
          <w:iCs/>
          <w:sz w:val="22"/>
        </w:rPr>
        <w:t>Division of Labour:</w:t>
      </w:r>
    </w:p>
    <w:p w14:paraId="05FD2408" w14:textId="77777777" w:rsidR="0015296E" w:rsidRPr="007A5DD0" w:rsidRDefault="0015296E" w:rsidP="0015296E">
      <w:pPr>
        <w:spacing w:line="480" w:lineRule="auto"/>
        <w:jc w:val="both"/>
        <w:rPr>
          <w:sz w:val="22"/>
        </w:rPr>
      </w:pPr>
      <w:r w:rsidRPr="007A5DD0">
        <w:rPr>
          <w:sz w:val="22"/>
        </w:rPr>
        <w:t xml:space="preserve">Weber's theory of bureaucracy proposes through its division of labor aspect to maintain the efficiency of organizational activities by dividing the employees associated with it into specific departments and responsibilities in specific business contexts. In this case, specific human resources are asked to focus on department-wise divisions according to their specialization and expertise to conduct organizational activities. According to </w:t>
      </w:r>
      <w:r w:rsidRPr="007A5DD0">
        <w:rPr>
          <w:rFonts w:cs="Times New Roman"/>
          <w:sz w:val="22"/>
        </w:rPr>
        <w:t xml:space="preserve">Dittes </w:t>
      </w:r>
      <w:r w:rsidRPr="007A5DD0">
        <w:rPr>
          <w:i/>
          <w:iCs/>
          <w:sz w:val="22"/>
        </w:rPr>
        <w:t xml:space="preserve">et al, </w:t>
      </w:r>
      <w:r w:rsidRPr="007A5DD0">
        <w:rPr>
          <w:sz w:val="22"/>
        </w:rPr>
        <w:t>(2019), in a business context, the division of labor facilitates diversity as well as maintaining a positive workplace culture. Allocation of human resources with specific expertise to designated departments in the field of supplier and customer management to assist in maintaining supplier and customer relationships.</w:t>
      </w:r>
    </w:p>
    <w:p w14:paraId="5B5BF3B6" w14:textId="77777777" w:rsidR="0015296E" w:rsidRPr="007A5DD0" w:rsidRDefault="0015296E" w:rsidP="0015296E">
      <w:pPr>
        <w:spacing w:line="480" w:lineRule="auto"/>
        <w:jc w:val="both"/>
        <w:rPr>
          <w:sz w:val="22"/>
        </w:rPr>
      </w:pPr>
      <w:r w:rsidRPr="007A5DD0">
        <w:rPr>
          <w:sz w:val="22"/>
        </w:rPr>
        <w:t>For example, in the context of GeeVee Ltd currently addressing customer dissatisfaction caused by the shifting of the supply chain to India, it may be possible to identify and mitigate areas of customer dissatisfaction through an expert employee division. This can also help the organization minimize the negative impact of shifting its supply chain to India while bringing improvements in customer satisfaction and experience.</w:t>
      </w:r>
    </w:p>
    <w:p w14:paraId="5C547721" w14:textId="77777777" w:rsidR="00703BFC" w:rsidRDefault="0015296E" w:rsidP="0015296E">
      <w:pPr>
        <w:spacing w:line="480" w:lineRule="auto"/>
        <w:jc w:val="both"/>
        <w:rPr>
          <w:b/>
          <w:bCs/>
          <w:i/>
          <w:iCs/>
          <w:sz w:val="22"/>
        </w:rPr>
      </w:pPr>
      <w:r w:rsidRPr="007A5DD0">
        <w:rPr>
          <w:b/>
          <w:bCs/>
          <w:i/>
          <w:iCs/>
          <w:sz w:val="22"/>
        </w:rPr>
        <w:t>Career Orientation:</w:t>
      </w:r>
    </w:p>
    <w:p w14:paraId="5B89AD8C" w14:textId="6A9E7752" w:rsidR="0015296E" w:rsidRPr="00703BFC" w:rsidRDefault="0015296E" w:rsidP="0015296E">
      <w:pPr>
        <w:spacing w:line="480" w:lineRule="auto"/>
        <w:jc w:val="both"/>
        <w:rPr>
          <w:b/>
          <w:bCs/>
          <w:i/>
          <w:iCs/>
          <w:sz w:val="22"/>
        </w:rPr>
      </w:pPr>
      <w:r w:rsidRPr="007A5DD0">
        <w:rPr>
          <w:sz w:val="22"/>
        </w:rPr>
        <w:t xml:space="preserve">According to Cadden </w:t>
      </w:r>
      <w:r w:rsidRPr="007A5DD0">
        <w:rPr>
          <w:i/>
          <w:iCs/>
          <w:sz w:val="22"/>
        </w:rPr>
        <w:t xml:space="preserve">et al, </w:t>
      </w:r>
      <w:r w:rsidRPr="007A5DD0">
        <w:rPr>
          <w:sz w:val="22"/>
        </w:rPr>
        <w:t>(2020), the career orientation of employees associated with the organization plays a special role in maintaining clear relationships between suppliers and customers. It creates a tendency to gain knowledge and experience among the employees associated with the organization and it helps the organization to get innovative insights and solutions to deal with adverse situations.</w:t>
      </w:r>
    </w:p>
    <w:p w14:paraId="4BD3CD78" w14:textId="77777777" w:rsidR="0015296E" w:rsidRPr="007A5DD0" w:rsidRDefault="0015296E" w:rsidP="0015296E">
      <w:pPr>
        <w:spacing w:line="480" w:lineRule="auto"/>
        <w:jc w:val="both"/>
        <w:rPr>
          <w:sz w:val="22"/>
        </w:rPr>
      </w:pPr>
      <w:r w:rsidRPr="007A5DD0">
        <w:rPr>
          <w:sz w:val="22"/>
        </w:rPr>
        <w:t>For example, in the case of GeeVee Ltd. the facility of epithetic professionalism can be achieved with the help of career orientation to deal with sensitive conditions like customer dissatisfaction due to the shifting of supply source to India. It can also help the organization assess the expectations and needs of its customers and new supply sources.</w:t>
      </w:r>
    </w:p>
    <w:p w14:paraId="177E46DE" w14:textId="77777777" w:rsidR="0015296E" w:rsidRPr="007A5DD0" w:rsidRDefault="0015296E" w:rsidP="0015296E">
      <w:pPr>
        <w:spacing w:line="480" w:lineRule="auto"/>
        <w:jc w:val="both"/>
        <w:rPr>
          <w:b/>
          <w:bCs/>
          <w:i/>
          <w:iCs/>
          <w:sz w:val="22"/>
        </w:rPr>
      </w:pPr>
      <w:r w:rsidRPr="007A5DD0">
        <w:rPr>
          <w:b/>
          <w:bCs/>
          <w:i/>
          <w:iCs/>
          <w:sz w:val="22"/>
        </w:rPr>
        <w:lastRenderedPageBreak/>
        <w:t>Impersonality:</w:t>
      </w:r>
    </w:p>
    <w:p w14:paraId="6271770E" w14:textId="77777777" w:rsidR="0015296E" w:rsidRPr="007A5DD0" w:rsidRDefault="0015296E" w:rsidP="0015296E">
      <w:pPr>
        <w:spacing w:line="480" w:lineRule="auto"/>
        <w:jc w:val="both"/>
        <w:rPr>
          <w:sz w:val="22"/>
        </w:rPr>
      </w:pPr>
      <w:r w:rsidRPr="007A5DD0">
        <w:rPr>
          <w:sz w:val="22"/>
        </w:rPr>
        <w:t xml:space="preserve">Professor Max Weber mentions in his theory that proper application and adaptation of impersonality can help the business organization to maintain sustainable relationships between its customers and suppliers. According to Fan </w:t>
      </w:r>
      <w:r w:rsidRPr="007A5DD0">
        <w:rPr>
          <w:i/>
          <w:iCs/>
          <w:sz w:val="22"/>
        </w:rPr>
        <w:t xml:space="preserve">et al, </w:t>
      </w:r>
      <w:r w:rsidRPr="007A5DD0">
        <w:rPr>
          <w:sz w:val="22"/>
        </w:rPr>
        <w:t>(2023), by prioritizing impersonality, the organization can maintain professionalism and consistency in its interactions with customers and suppliers by minimizing the influence of personal opinions and biases. At the same time, since impersonality promotes rational deliberation and objectivity in business organizations, it is possible to maintain impartiality and transparency in indirect interactions between customers and suppliers.</w:t>
      </w:r>
    </w:p>
    <w:p w14:paraId="054CD74B" w14:textId="77777777" w:rsidR="0015296E" w:rsidRPr="007A5DD0" w:rsidRDefault="0015296E" w:rsidP="0015296E">
      <w:pPr>
        <w:spacing w:line="480" w:lineRule="auto"/>
        <w:jc w:val="both"/>
        <w:rPr>
          <w:b/>
          <w:bCs/>
          <w:i/>
          <w:iCs/>
          <w:sz w:val="22"/>
        </w:rPr>
      </w:pPr>
      <w:r w:rsidRPr="007A5DD0">
        <w:rPr>
          <w:b/>
          <w:bCs/>
          <w:i/>
          <w:iCs/>
          <w:sz w:val="22"/>
        </w:rPr>
        <w:t>Formal Selection Process:</w:t>
      </w:r>
    </w:p>
    <w:p w14:paraId="6FEC080C" w14:textId="77777777" w:rsidR="0015296E" w:rsidRPr="007A5DD0" w:rsidRDefault="0015296E" w:rsidP="0015296E">
      <w:pPr>
        <w:spacing w:line="480" w:lineRule="auto"/>
        <w:jc w:val="both"/>
        <w:rPr>
          <w:sz w:val="22"/>
        </w:rPr>
      </w:pPr>
      <w:r w:rsidRPr="007A5DD0">
        <w:rPr>
          <w:sz w:val="22"/>
        </w:rPr>
        <w:t xml:space="preserve">Incorporation of a formal selection process can help the business in maintaining its supply chain and customer relationship. According to </w:t>
      </w:r>
      <w:r w:rsidRPr="007A5DD0">
        <w:rPr>
          <w:rFonts w:cs="Times New Roman"/>
          <w:color w:val="222222"/>
          <w:sz w:val="22"/>
          <w:shd w:val="clear" w:color="auto" w:fill="FFFFFF"/>
        </w:rPr>
        <w:t xml:space="preserve">Soderstrom and Weber (2020), </w:t>
      </w:r>
      <w:r w:rsidRPr="007A5DD0">
        <w:rPr>
          <w:sz w:val="22"/>
        </w:rPr>
        <w:t xml:space="preserve">Weber's theory states that employees recruited through formal selection processes are more dedicated and efficient in customer and supplier relationship management. In this case, they can help build clarity about the roles, importance, and mutual benefits of both the customer and the supplier through effective approaches and attitudes. According to Syed </w:t>
      </w:r>
      <w:r w:rsidRPr="007A5DD0">
        <w:rPr>
          <w:i/>
          <w:iCs/>
          <w:sz w:val="22"/>
        </w:rPr>
        <w:t xml:space="preserve">et al, </w:t>
      </w:r>
      <w:r w:rsidRPr="007A5DD0">
        <w:rPr>
          <w:sz w:val="22"/>
        </w:rPr>
        <w:t>(2020), human resources engaged through formal selection can help the organization maintain long-term benefits and sustainability in relationships between its suppliers and customers.</w:t>
      </w:r>
    </w:p>
    <w:p w14:paraId="4CFDB037" w14:textId="77777777" w:rsidR="0015296E" w:rsidRPr="007A5DD0" w:rsidRDefault="0015296E" w:rsidP="0015296E">
      <w:pPr>
        <w:spacing w:line="480" w:lineRule="auto"/>
        <w:jc w:val="both"/>
        <w:rPr>
          <w:sz w:val="22"/>
        </w:rPr>
      </w:pPr>
      <w:r w:rsidRPr="007A5DD0">
        <w:rPr>
          <w:sz w:val="22"/>
        </w:rPr>
        <w:t>For example, GeeVee Ltd. can provide customers in its business context with the awareness of the mutual benefits of shifting its supply sources to India through the incorporation of a formal selection process for employee relief in its customer relationship management department.</w:t>
      </w:r>
    </w:p>
    <w:p w14:paraId="3B5E1190" w14:textId="77777777" w:rsidR="0015296E" w:rsidRPr="00705B69" w:rsidRDefault="0015296E" w:rsidP="0015296E">
      <w:pPr>
        <w:spacing w:line="480" w:lineRule="auto"/>
        <w:jc w:val="center"/>
      </w:pPr>
      <w:r w:rsidRPr="00705B69">
        <w:rPr>
          <w:noProof/>
          <w:lang w:val="en-US"/>
        </w:rPr>
        <w:lastRenderedPageBreak/>
        <w:drawing>
          <wp:inline distT="0" distB="0" distL="0" distR="0" wp14:anchorId="329D8854" wp14:editId="6083C8B1">
            <wp:extent cx="4762500" cy="2600325"/>
            <wp:effectExtent l="19050" t="19050" r="19050" b="28575"/>
            <wp:docPr id="8" name="Picture 1" descr="Max Weber Bureaucracy Theory - Definition, Advantages, Disadvantages - The  Investor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647218" name="Picture 1" descr="Max Weber Bureaucracy Theory - Definition, Advantages, Disadvantages - The  Investors Book"/>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762500" cy="2600325"/>
                    </a:xfrm>
                    <a:prstGeom prst="rect">
                      <a:avLst/>
                    </a:prstGeom>
                    <a:noFill/>
                    <a:ln w="19050">
                      <a:solidFill>
                        <a:schemeClr val="tx1"/>
                      </a:solidFill>
                    </a:ln>
                  </pic:spPr>
                </pic:pic>
              </a:graphicData>
            </a:graphic>
          </wp:inline>
        </w:drawing>
      </w:r>
    </w:p>
    <w:p w14:paraId="22D48427" w14:textId="77777777" w:rsidR="0015296E" w:rsidRPr="00705B69" w:rsidRDefault="0015296E" w:rsidP="0015296E">
      <w:pPr>
        <w:spacing w:line="480" w:lineRule="auto"/>
        <w:jc w:val="center"/>
        <w:rPr>
          <w:b/>
          <w:bCs/>
        </w:rPr>
      </w:pPr>
      <w:r w:rsidRPr="00705B69">
        <w:rPr>
          <w:b/>
          <w:bCs/>
        </w:rPr>
        <w:t>Figure 1: Weber's Concept of Bureaucracy</w:t>
      </w:r>
    </w:p>
    <w:p w14:paraId="4DDE808B" w14:textId="77777777" w:rsidR="0015296E" w:rsidRPr="00705B69" w:rsidRDefault="0015296E" w:rsidP="0015296E">
      <w:pPr>
        <w:spacing w:line="480" w:lineRule="auto"/>
        <w:jc w:val="center"/>
      </w:pPr>
      <w:r w:rsidRPr="00705B69">
        <w:t>(Source: Kanter, 2019)</w:t>
      </w:r>
    </w:p>
    <w:p w14:paraId="5E2B8D1C" w14:textId="7551F9D5" w:rsidR="0015296E" w:rsidRPr="00703BFC" w:rsidRDefault="0015296E" w:rsidP="00703BFC">
      <w:pPr>
        <w:pStyle w:val="Heading1"/>
        <w:rPr>
          <w:b/>
          <w:sz w:val="28"/>
          <w:szCs w:val="32"/>
        </w:rPr>
      </w:pPr>
      <w:bookmarkStart w:id="4" w:name="_Toc137220802"/>
      <w:r w:rsidRPr="007A5DD0">
        <w:t>Conclusion</w:t>
      </w:r>
      <w:bookmarkEnd w:id="4"/>
    </w:p>
    <w:p w14:paraId="38FFF888" w14:textId="77777777" w:rsidR="00703BFC" w:rsidRDefault="0015296E" w:rsidP="0015296E">
      <w:pPr>
        <w:spacing w:line="480" w:lineRule="auto"/>
        <w:jc w:val="both"/>
        <w:rPr>
          <w:sz w:val="22"/>
        </w:rPr>
      </w:pPr>
      <w:r w:rsidRPr="007A5DD0">
        <w:rPr>
          <w:sz w:val="22"/>
        </w:rPr>
        <w:t>In view of the above discussion, it can be concluded that although there is an indirect relationship between suppliers and customers in the business context, different organizational conflict issues may arise through indirect interactions. The application of appropriate management theory can provide guidelines for resolving any misunderstandings and organizational conflicts that occur in business contexts. Along with that, through Weber's concept of bureaucracy theory, it is known that consistency needs to be maintained between indirect interactions between customers and suppliers in a modern workplace. It helps align supplier needs and expectations with those of customers associated with the organization. In addition, it is possible to maintain the satisfaction of both the customer and the supplier through the hierarchy of authority</w:t>
      </w:r>
      <w:r w:rsidR="000820D7">
        <w:rPr>
          <w:sz w:val="22"/>
        </w:rPr>
        <w:t>.</w:t>
      </w:r>
    </w:p>
    <w:p w14:paraId="275B70CD" w14:textId="77777777" w:rsidR="00703BFC" w:rsidRDefault="00703BFC" w:rsidP="0015296E">
      <w:pPr>
        <w:spacing w:line="480" w:lineRule="auto"/>
        <w:jc w:val="both"/>
        <w:rPr>
          <w:sz w:val="22"/>
        </w:rPr>
      </w:pPr>
    </w:p>
    <w:p w14:paraId="47D16455" w14:textId="4EEE4F0C" w:rsidR="0015296E" w:rsidRPr="00705B69" w:rsidRDefault="0015296E" w:rsidP="0015296E">
      <w:pPr>
        <w:spacing w:line="480" w:lineRule="auto"/>
        <w:jc w:val="both"/>
      </w:pPr>
      <w:r w:rsidRPr="007A5DD0">
        <w:rPr>
          <w:sz w:val="22"/>
        </w:rPr>
        <w:br w:type="page"/>
      </w:r>
    </w:p>
    <w:p w14:paraId="4702DFB4" w14:textId="77777777" w:rsidR="0015296E" w:rsidRPr="00703BFC" w:rsidRDefault="0015296E" w:rsidP="007A5DD0">
      <w:pPr>
        <w:pStyle w:val="Heading1"/>
      </w:pPr>
      <w:bookmarkStart w:id="5" w:name="_Toc137220803"/>
      <w:r w:rsidRPr="00703BFC">
        <w:lastRenderedPageBreak/>
        <w:t>References</w:t>
      </w:r>
      <w:bookmarkEnd w:id="5"/>
    </w:p>
    <w:p w14:paraId="544CD987" w14:textId="77777777" w:rsidR="0015296E" w:rsidRPr="00703BFC" w:rsidRDefault="0015296E" w:rsidP="0015296E">
      <w:pPr>
        <w:spacing w:line="480" w:lineRule="auto"/>
        <w:jc w:val="both"/>
        <w:rPr>
          <w:rFonts w:cs="Times New Roman"/>
          <w:sz w:val="22"/>
        </w:rPr>
      </w:pPr>
      <w:r w:rsidRPr="00703BFC">
        <w:rPr>
          <w:rFonts w:cs="Times New Roman"/>
          <w:sz w:val="22"/>
        </w:rPr>
        <w:t xml:space="preserve">Cadden, T., Millar, K., Treacy, R. and Humphreys, P., 2020. The mediating influence of organizational cultural practices in successful lean management implementation. International Journal of Production Economics, 229, p.107744. Available at: </w:t>
      </w:r>
      <w:hyperlink r:id="rId8" w:history="1">
        <w:r w:rsidRPr="00703BFC">
          <w:rPr>
            <w:rStyle w:val="Hyperlink"/>
            <w:rFonts w:cs="Times New Roman"/>
            <w:sz w:val="22"/>
          </w:rPr>
          <w:t>https://pure.ulster.ac.uk/ws/files/78677552/Accepted_submisson_IJPE_2020.pdf</w:t>
        </w:r>
      </w:hyperlink>
      <w:r w:rsidRPr="00703BFC">
        <w:rPr>
          <w:rFonts w:cs="Times New Roman"/>
          <w:sz w:val="22"/>
        </w:rPr>
        <w:t xml:space="preserve"> (Accessed on: 9</w:t>
      </w:r>
      <w:r w:rsidRPr="00703BFC">
        <w:rPr>
          <w:rFonts w:cs="Times New Roman"/>
          <w:sz w:val="22"/>
          <w:vertAlign w:val="superscript"/>
        </w:rPr>
        <w:t>th</w:t>
      </w:r>
      <w:r w:rsidRPr="00703BFC">
        <w:rPr>
          <w:rFonts w:cs="Times New Roman"/>
          <w:sz w:val="22"/>
        </w:rPr>
        <w:t xml:space="preserve"> June, 2023)</w:t>
      </w:r>
    </w:p>
    <w:p w14:paraId="2341E16B" w14:textId="77777777" w:rsidR="0015296E" w:rsidRPr="00703BFC" w:rsidRDefault="0015296E" w:rsidP="0015296E">
      <w:pPr>
        <w:spacing w:line="480" w:lineRule="auto"/>
        <w:jc w:val="both"/>
        <w:rPr>
          <w:rFonts w:cs="Times New Roman"/>
          <w:sz w:val="22"/>
        </w:rPr>
      </w:pPr>
      <w:r w:rsidRPr="00703BFC">
        <w:rPr>
          <w:rFonts w:cs="Times New Roman"/>
          <w:sz w:val="22"/>
        </w:rPr>
        <w:t>Churchill, W., (2019). 7 Executing Global Strategy: Foundations. International Management Behavior: Global and Sustainable Leadership, p.235.</w:t>
      </w:r>
    </w:p>
    <w:p w14:paraId="31718363" w14:textId="77777777" w:rsidR="0015296E" w:rsidRPr="00703BFC" w:rsidRDefault="0015296E" w:rsidP="0015296E">
      <w:pPr>
        <w:spacing w:line="480" w:lineRule="auto"/>
        <w:jc w:val="both"/>
        <w:rPr>
          <w:rFonts w:cs="Times New Roman"/>
          <w:sz w:val="22"/>
        </w:rPr>
      </w:pPr>
      <w:r w:rsidRPr="00703BFC">
        <w:rPr>
          <w:rFonts w:cs="Times New Roman"/>
          <w:sz w:val="22"/>
        </w:rPr>
        <w:t>Dittes, S., Richter, S., Richter, A. and Smolnik, S., (2019). Toward the workplace of the future: How organizations can facilitate digital work. Business Horizons, 62(5), pp.649-661.</w:t>
      </w:r>
    </w:p>
    <w:p w14:paraId="6ACA4BAC" w14:textId="77777777" w:rsidR="0015296E" w:rsidRPr="00703BFC" w:rsidRDefault="0015296E" w:rsidP="0015296E">
      <w:pPr>
        <w:spacing w:line="480" w:lineRule="auto"/>
        <w:jc w:val="both"/>
        <w:rPr>
          <w:rFonts w:cs="Times New Roman"/>
          <w:sz w:val="22"/>
        </w:rPr>
      </w:pPr>
      <w:r w:rsidRPr="00703BFC">
        <w:rPr>
          <w:rFonts w:cs="Times New Roman"/>
          <w:sz w:val="22"/>
        </w:rPr>
        <w:t xml:space="preserve">Fan, T.Y., Pan, B.Y., Tseng, S.D. and Chao, L.P., 2023. How to Enhance Corporate Customers’ Loyalty on Purchasing Service Products? Exploring from the Perspective of Information Search. Sustainability, 15(9), p.7101. Available at: </w:t>
      </w:r>
      <w:hyperlink r:id="rId9" w:history="1">
        <w:r w:rsidRPr="00703BFC">
          <w:rPr>
            <w:rStyle w:val="Hyperlink"/>
            <w:rFonts w:cs="Times New Roman"/>
            <w:sz w:val="22"/>
          </w:rPr>
          <w:t>https://www.mdpi.com/2071-1050/15/9/7101</w:t>
        </w:r>
      </w:hyperlink>
      <w:r w:rsidRPr="00703BFC">
        <w:rPr>
          <w:rFonts w:cs="Times New Roman"/>
          <w:sz w:val="22"/>
        </w:rPr>
        <w:t xml:space="preserve"> (Accessed on: 9</w:t>
      </w:r>
      <w:r w:rsidRPr="00703BFC">
        <w:rPr>
          <w:rFonts w:cs="Times New Roman"/>
          <w:sz w:val="22"/>
          <w:vertAlign w:val="superscript"/>
        </w:rPr>
        <w:t>th</w:t>
      </w:r>
      <w:r w:rsidRPr="00703BFC">
        <w:rPr>
          <w:rFonts w:cs="Times New Roman"/>
          <w:sz w:val="22"/>
        </w:rPr>
        <w:t xml:space="preserve"> June, 2023)</w:t>
      </w:r>
    </w:p>
    <w:p w14:paraId="6DC5F619" w14:textId="77777777" w:rsidR="0015296E" w:rsidRPr="00703BFC" w:rsidRDefault="0015296E" w:rsidP="0015296E">
      <w:pPr>
        <w:spacing w:line="480" w:lineRule="auto"/>
        <w:jc w:val="both"/>
        <w:rPr>
          <w:rFonts w:cs="Times New Roman"/>
          <w:sz w:val="22"/>
        </w:rPr>
      </w:pPr>
      <w:r w:rsidRPr="00703BFC">
        <w:rPr>
          <w:rFonts w:cs="Times New Roman"/>
          <w:sz w:val="22"/>
        </w:rPr>
        <w:t xml:space="preserve">Kanter, R.M., (2019). The future of bureaucracy and hierarchy in organizational theory: a report from the field. In Social theory for changing society (pp. 63-93). Routledge. </w:t>
      </w:r>
    </w:p>
    <w:p w14:paraId="5E7F1D95" w14:textId="77777777" w:rsidR="0015296E" w:rsidRPr="00703BFC" w:rsidRDefault="0015296E" w:rsidP="0015296E">
      <w:pPr>
        <w:spacing w:line="480" w:lineRule="auto"/>
        <w:jc w:val="both"/>
        <w:rPr>
          <w:rFonts w:cs="Times New Roman"/>
          <w:sz w:val="22"/>
        </w:rPr>
      </w:pPr>
      <w:r w:rsidRPr="00703BFC">
        <w:rPr>
          <w:rFonts w:cs="Times New Roman"/>
          <w:sz w:val="22"/>
        </w:rPr>
        <w:t>Masud, M.A.K., Rashid, M.H.U., Khan, T., Bae, S.M. and Kim, J.D., (2019). Organizational strategy and corporate social responsibility: The mediating effect of the triple bottom line. International Journal of environmental research and public health, 16(22), p.4559.</w:t>
      </w:r>
    </w:p>
    <w:p w14:paraId="5FD4F79F" w14:textId="77777777" w:rsidR="0015296E" w:rsidRPr="00703BFC" w:rsidRDefault="0015296E" w:rsidP="0015296E">
      <w:pPr>
        <w:spacing w:line="480" w:lineRule="auto"/>
        <w:jc w:val="both"/>
        <w:rPr>
          <w:rFonts w:cs="Times New Roman"/>
          <w:color w:val="222222"/>
          <w:sz w:val="22"/>
          <w:shd w:val="clear" w:color="auto" w:fill="FFFFFF"/>
        </w:rPr>
      </w:pPr>
      <w:r w:rsidRPr="00703BFC">
        <w:rPr>
          <w:rFonts w:cs="Times New Roman"/>
          <w:color w:val="222222"/>
          <w:sz w:val="22"/>
          <w:shd w:val="clear" w:color="auto" w:fill="FFFFFF"/>
        </w:rPr>
        <w:t xml:space="preserve">Soderstrom, S.B. and Weber, K., (2020). Organizational structure from interaction: Evidence from corporate sustainability efforts. Administrative Science Quarterly, 65(1), pp.226-271. Available at: </w:t>
      </w:r>
      <w:hyperlink r:id="rId10" w:history="1">
        <w:r w:rsidRPr="00703BFC">
          <w:rPr>
            <w:rStyle w:val="Hyperlink"/>
            <w:rFonts w:cs="Times New Roman"/>
            <w:sz w:val="22"/>
            <w:shd w:val="clear" w:color="auto" w:fill="FFFFFF"/>
          </w:rPr>
          <w:t>https://journals.sagepub.com/doi/pdf/10.1177/0001839219836670</w:t>
        </w:r>
      </w:hyperlink>
      <w:r w:rsidRPr="00703BFC">
        <w:rPr>
          <w:rFonts w:cs="Times New Roman"/>
          <w:color w:val="222222"/>
          <w:sz w:val="22"/>
          <w:shd w:val="clear" w:color="auto" w:fill="FFFFFF"/>
        </w:rPr>
        <w:t xml:space="preserve"> (Accessed on: 9</w:t>
      </w:r>
      <w:r w:rsidRPr="00703BFC">
        <w:rPr>
          <w:rFonts w:cs="Times New Roman"/>
          <w:color w:val="222222"/>
          <w:sz w:val="22"/>
          <w:shd w:val="clear" w:color="auto" w:fill="FFFFFF"/>
          <w:vertAlign w:val="superscript"/>
        </w:rPr>
        <w:t>th</w:t>
      </w:r>
      <w:r w:rsidRPr="00703BFC">
        <w:rPr>
          <w:rFonts w:cs="Times New Roman"/>
          <w:color w:val="222222"/>
          <w:sz w:val="22"/>
          <w:shd w:val="clear" w:color="auto" w:fill="FFFFFF"/>
        </w:rPr>
        <w:t xml:space="preserve"> June, 2023)</w:t>
      </w:r>
    </w:p>
    <w:p w14:paraId="082C80BB" w14:textId="77777777" w:rsidR="0015296E" w:rsidRPr="00703BFC" w:rsidRDefault="0015296E" w:rsidP="0015296E">
      <w:pPr>
        <w:spacing w:line="480" w:lineRule="auto"/>
        <w:jc w:val="both"/>
        <w:rPr>
          <w:rFonts w:cs="Times New Roman"/>
          <w:color w:val="222222"/>
          <w:sz w:val="22"/>
          <w:shd w:val="clear" w:color="auto" w:fill="FFFFFF"/>
        </w:rPr>
      </w:pPr>
      <w:r w:rsidRPr="00703BFC">
        <w:rPr>
          <w:rFonts w:cs="Times New Roman"/>
          <w:color w:val="222222"/>
          <w:sz w:val="22"/>
          <w:shd w:val="clear" w:color="auto" w:fill="FFFFFF"/>
        </w:rPr>
        <w:t>Htike, Z.M., (2019). Different leadership styles: impact on organizational performance. International Journal on Recent Trends in Business and Tourism (IJRTBT), 3(2), pp.8-12.</w:t>
      </w:r>
    </w:p>
    <w:p w14:paraId="2E5343FA" w14:textId="77777777" w:rsidR="0015296E" w:rsidRPr="00703BFC" w:rsidRDefault="0015296E" w:rsidP="0015296E">
      <w:pPr>
        <w:spacing w:line="480" w:lineRule="auto"/>
        <w:jc w:val="both"/>
        <w:rPr>
          <w:rFonts w:cs="Times New Roman"/>
          <w:color w:val="222222"/>
          <w:sz w:val="22"/>
          <w:shd w:val="clear" w:color="auto" w:fill="FFFFFF"/>
        </w:rPr>
      </w:pPr>
      <w:r w:rsidRPr="00703BFC">
        <w:rPr>
          <w:rFonts w:cs="Times New Roman"/>
          <w:color w:val="222222"/>
          <w:sz w:val="22"/>
          <w:shd w:val="clear" w:color="auto" w:fill="FFFFFF"/>
        </w:rPr>
        <w:lastRenderedPageBreak/>
        <w:t>Syed, M.W., Li, J.Z. and Junaid, M., (2020). Relationship between human resource management practices, relationship commitment, and sustainable performance. Green Finance, 2(3), pp.227-242.</w:t>
      </w:r>
    </w:p>
    <w:p w14:paraId="45AE77E6" w14:textId="77777777" w:rsidR="0015296E" w:rsidRPr="00705B69" w:rsidRDefault="0015296E" w:rsidP="0015296E">
      <w:pPr>
        <w:spacing w:line="480" w:lineRule="auto"/>
        <w:jc w:val="both"/>
        <w:rPr>
          <w:rFonts w:cs="Times New Roman"/>
        </w:rPr>
      </w:pPr>
    </w:p>
    <w:p w14:paraId="513A8F3E" w14:textId="77777777" w:rsidR="0015296E" w:rsidRPr="00705B69" w:rsidRDefault="0015296E" w:rsidP="0015296E">
      <w:pPr>
        <w:spacing w:line="480" w:lineRule="auto"/>
        <w:jc w:val="both"/>
        <w:rPr>
          <w:rFonts w:cs="Times New Roman"/>
        </w:rPr>
      </w:pPr>
    </w:p>
    <w:p w14:paraId="4E960B73" w14:textId="64C4A5ED" w:rsidR="0015296E" w:rsidRDefault="00703BFC" w:rsidP="0015296E">
      <w:pPr>
        <w:spacing w:line="480" w:lineRule="auto"/>
        <w:jc w:val="both"/>
        <w:rPr>
          <w:b/>
          <w:bCs/>
        </w:rPr>
      </w:pPr>
      <w:r>
        <w:t xml:space="preserve">                                </w:t>
      </w:r>
      <w:r>
        <w:rPr>
          <w:b/>
          <w:bCs/>
        </w:rPr>
        <w:t xml:space="preserve">Part 4 </w:t>
      </w:r>
      <w:r w:rsidR="000956CC">
        <w:rPr>
          <w:b/>
          <w:bCs/>
        </w:rPr>
        <w:t xml:space="preserve">reflective report </w:t>
      </w:r>
    </w:p>
    <w:p w14:paraId="6D421104" w14:textId="4A2D536D" w:rsidR="0015296E" w:rsidRDefault="000956CC" w:rsidP="0015296E">
      <w:pPr>
        <w:spacing w:line="480" w:lineRule="auto"/>
        <w:jc w:val="both"/>
        <w:rPr>
          <w:sz w:val="22"/>
          <w:szCs w:val="20"/>
        </w:rPr>
      </w:pPr>
      <w:r w:rsidRPr="000956CC">
        <w:rPr>
          <w:sz w:val="22"/>
          <w:szCs w:val="20"/>
        </w:rPr>
        <w:t>Introduction to the report – Understanding the critical thinking and management in the workplace</w:t>
      </w:r>
      <w:r>
        <w:rPr>
          <w:sz w:val="22"/>
          <w:szCs w:val="20"/>
        </w:rPr>
        <w:t>, in this context Kolbs learning cycle will be used to discus the learning on the module through out the weeks. In this module I have learnt how to manage critical thinking using the example of GeeVee Ltd and change of supplier channel therefore the report will focus on all my learning.</w:t>
      </w:r>
    </w:p>
    <w:p w14:paraId="136A298E" w14:textId="77777777" w:rsidR="00822514" w:rsidRDefault="00822514" w:rsidP="0015296E">
      <w:pPr>
        <w:spacing w:line="480" w:lineRule="auto"/>
        <w:jc w:val="both"/>
        <w:rPr>
          <w:b/>
          <w:bCs/>
        </w:rPr>
      </w:pPr>
      <w:r>
        <w:rPr>
          <w:b/>
          <w:bCs/>
        </w:rPr>
        <w:t>My experience on this module</w:t>
      </w:r>
    </w:p>
    <w:p w14:paraId="150396B6" w14:textId="0FF2494B" w:rsidR="00822514" w:rsidRDefault="00822514" w:rsidP="0015296E">
      <w:pPr>
        <w:spacing w:line="480" w:lineRule="auto"/>
        <w:jc w:val="both"/>
        <w:rPr>
          <w:sz w:val="22"/>
          <w:szCs w:val="20"/>
        </w:rPr>
      </w:pPr>
      <w:r>
        <w:rPr>
          <w:sz w:val="22"/>
          <w:szCs w:val="20"/>
        </w:rPr>
        <w:t xml:space="preserve">Here, I have experienced how effective changes in the supply channel can have bother positive and negative impact on the business (vince, 2022) for instance GeeVee ltd has changed its supply for  higher volume production at a cheaper cost. However, there is the quality of clothing and the poor material that crated poor costumers commenting and taking a stand against the company’s movements on social media. </w:t>
      </w:r>
    </w:p>
    <w:p w14:paraId="4E056A06" w14:textId="68C5835B" w:rsidR="00822514" w:rsidRDefault="00822514" w:rsidP="0015296E">
      <w:pPr>
        <w:spacing w:line="480" w:lineRule="auto"/>
        <w:jc w:val="both"/>
        <w:rPr>
          <w:sz w:val="22"/>
          <w:szCs w:val="20"/>
        </w:rPr>
      </w:pPr>
      <w:r>
        <w:rPr>
          <w:b/>
          <w:bCs/>
          <w:sz w:val="22"/>
          <w:szCs w:val="20"/>
        </w:rPr>
        <w:t xml:space="preserve">Feelings </w:t>
      </w:r>
    </w:p>
    <w:p w14:paraId="6CAC91A2" w14:textId="6886A199" w:rsidR="00822514" w:rsidRDefault="00822514" w:rsidP="0015296E">
      <w:pPr>
        <w:spacing w:line="480" w:lineRule="auto"/>
        <w:jc w:val="both"/>
        <w:rPr>
          <w:sz w:val="22"/>
          <w:szCs w:val="20"/>
        </w:rPr>
      </w:pPr>
      <w:r>
        <w:rPr>
          <w:sz w:val="22"/>
          <w:szCs w:val="20"/>
        </w:rPr>
        <w:t xml:space="preserve">The second step of the module is a reflective observation regarding the learning module using the actual </w:t>
      </w:r>
      <w:r w:rsidR="00D821B3">
        <w:rPr>
          <w:sz w:val="22"/>
          <w:szCs w:val="20"/>
        </w:rPr>
        <w:t>feeling towards the case scenario, here as stated in the scenario GeeVee has caused a significant harm to its image on social media by customers stating a hashtag movement online. This in turn has had a negative effect on the customers engagements leading to a significant lose on the revenue generated. (</w:t>
      </w:r>
      <w:proofErr w:type="gramStart"/>
      <w:r w:rsidR="00D821B3">
        <w:rPr>
          <w:sz w:val="22"/>
          <w:szCs w:val="20"/>
        </w:rPr>
        <w:t>hanisyah</w:t>
      </w:r>
      <w:proofErr w:type="gramEnd"/>
      <w:r w:rsidR="00D821B3">
        <w:rPr>
          <w:sz w:val="22"/>
          <w:szCs w:val="20"/>
        </w:rPr>
        <w:t xml:space="preserve"> et al, 2023)</w:t>
      </w:r>
    </w:p>
    <w:p w14:paraId="6A5C7F15" w14:textId="77777777" w:rsidR="00EB4FAC" w:rsidRDefault="00EB4FAC" w:rsidP="0015296E">
      <w:pPr>
        <w:spacing w:line="480" w:lineRule="auto"/>
        <w:jc w:val="both"/>
        <w:rPr>
          <w:b/>
          <w:bCs/>
          <w:sz w:val="22"/>
          <w:szCs w:val="20"/>
        </w:rPr>
      </w:pPr>
    </w:p>
    <w:p w14:paraId="6022051F" w14:textId="77777777" w:rsidR="00EB4FAC" w:rsidRDefault="00EB4FAC" w:rsidP="0015296E">
      <w:pPr>
        <w:spacing w:line="480" w:lineRule="auto"/>
        <w:jc w:val="both"/>
        <w:rPr>
          <w:b/>
          <w:bCs/>
          <w:sz w:val="22"/>
          <w:szCs w:val="20"/>
        </w:rPr>
      </w:pPr>
    </w:p>
    <w:p w14:paraId="7B9D9DCD" w14:textId="77777777" w:rsidR="00EB4FAC" w:rsidRDefault="00EB4FAC" w:rsidP="0015296E">
      <w:pPr>
        <w:spacing w:line="480" w:lineRule="auto"/>
        <w:jc w:val="both"/>
        <w:rPr>
          <w:b/>
          <w:bCs/>
          <w:sz w:val="22"/>
          <w:szCs w:val="20"/>
        </w:rPr>
      </w:pPr>
    </w:p>
    <w:p w14:paraId="6004E490" w14:textId="7C7DA7DC" w:rsidR="00D821B3" w:rsidRDefault="00D821B3" w:rsidP="0015296E">
      <w:pPr>
        <w:spacing w:line="480" w:lineRule="auto"/>
        <w:jc w:val="both"/>
        <w:rPr>
          <w:b/>
          <w:bCs/>
          <w:sz w:val="22"/>
          <w:szCs w:val="20"/>
        </w:rPr>
      </w:pPr>
      <w:r>
        <w:rPr>
          <w:b/>
          <w:bCs/>
          <w:sz w:val="22"/>
          <w:szCs w:val="20"/>
        </w:rPr>
        <w:lastRenderedPageBreak/>
        <w:t xml:space="preserve">Way of using the critical skills in the future </w:t>
      </w:r>
    </w:p>
    <w:p w14:paraId="41D28F1F" w14:textId="05F5D951" w:rsidR="003319B4" w:rsidRDefault="003319B4" w:rsidP="0015296E">
      <w:pPr>
        <w:spacing w:line="480" w:lineRule="auto"/>
        <w:jc w:val="both"/>
        <w:rPr>
          <w:sz w:val="22"/>
          <w:szCs w:val="20"/>
        </w:rPr>
      </w:pPr>
      <w:r>
        <w:rPr>
          <w:sz w:val="22"/>
          <w:szCs w:val="20"/>
        </w:rPr>
        <w:t xml:space="preserve">These steps of Kolbs learning cycle involve and include using them in active </w:t>
      </w:r>
      <w:r w:rsidR="000055A1">
        <w:rPr>
          <w:sz w:val="22"/>
          <w:szCs w:val="20"/>
        </w:rPr>
        <w:t>experimentation</w:t>
      </w:r>
      <w:r>
        <w:rPr>
          <w:sz w:val="22"/>
          <w:szCs w:val="20"/>
        </w:rPr>
        <w:t xml:space="preserve"> to reflect this with the GeeVee scenario, the firm needs to ensure that the Indian manufacturers provide quality clothing and quality cotton materials such as </w:t>
      </w:r>
      <w:r w:rsidR="000055A1">
        <w:rPr>
          <w:sz w:val="22"/>
          <w:szCs w:val="20"/>
        </w:rPr>
        <w:t>fair-trade</w:t>
      </w:r>
      <w:r>
        <w:rPr>
          <w:sz w:val="22"/>
          <w:szCs w:val="20"/>
        </w:rPr>
        <w:t xml:space="preserve"> cotton this will please costumers and business partners. Here using my critical </w:t>
      </w:r>
      <w:r w:rsidR="000055A1">
        <w:rPr>
          <w:sz w:val="22"/>
          <w:szCs w:val="20"/>
        </w:rPr>
        <w:t>thinking,</w:t>
      </w:r>
      <w:r>
        <w:rPr>
          <w:sz w:val="22"/>
          <w:szCs w:val="20"/>
        </w:rPr>
        <w:t xml:space="preserve"> I can deduce that the use of quality cotton materials by the Indian supply channel will </w:t>
      </w:r>
      <w:r w:rsidR="000055A1">
        <w:rPr>
          <w:sz w:val="22"/>
          <w:szCs w:val="20"/>
        </w:rPr>
        <w:t xml:space="preserve">be </w:t>
      </w:r>
      <w:r>
        <w:rPr>
          <w:sz w:val="22"/>
          <w:szCs w:val="20"/>
        </w:rPr>
        <w:t xml:space="preserve">cost effective, more productive and represent a better image online. </w:t>
      </w:r>
    </w:p>
    <w:p w14:paraId="6B1347D7" w14:textId="77777777" w:rsidR="00AB7396" w:rsidRDefault="00AB7396" w:rsidP="0015296E">
      <w:pPr>
        <w:spacing w:line="480" w:lineRule="auto"/>
        <w:jc w:val="both"/>
        <w:rPr>
          <w:sz w:val="22"/>
          <w:szCs w:val="20"/>
        </w:rPr>
      </w:pPr>
    </w:p>
    <w:p w14:paraId="3AC4792C" w14:textId="22FF98E0" w:rsidR="00AB7396" w:rsidRDefault="00AB7396" w:rsidP="0015296E">
      <w:pPr>
        <w:spacing w:line="480" w:lineRule="auto"/>
        <w:jc w:val="both"/>
        <w:rPr>
          <w:b/>
          <w:bCs/>
          <w:sz w:val="22"/>
          <w:szCs w:val="20"/>
        </w:rPr>
      </w:pPr>
      <w:r>
        <w:rPr>
          <w:b/>
          <w:bCs/>
          <w:sz w:val="22"/>
          <w:szCs w:val="20"/>
        </w:rPr>
        <w:t xml:space="preserve">The future professional development you would like </w:t>
      </w:r>
      <w:r w:rsidR="00157217">
        <w:rPr>
          <w:b/>
          <w:bCs/>
          <w:sz w:val="22"/>
          <w:szCs w:val="20"/>
        </w:rPr>
        <w:t>to relate</w:t>
      </w:r>
      <w:r>
        <w:rPr>
          <w:b/>
          <w:bCs/>
          <w:sz w:val="22"/>
          <w:szCs w:val="20"/>
        </w:rPr>
        <w:t xml:space="preserve"> to the </w:t>
      </w:r>
      <w:proofErr w:type="gramStart"/>
      <w:r>
        <w:rPr>
          <w:b/>
          <w:bCs/>
          <w:sz w:val="22"/>
          <w:szCs w:val="20"/>
        </w:rPr>
        <w:t>management</w:t>
      </w:r>
      <w:proofErr w:type="gramEnd"/>
      <w:r>
        <w:rPr>
          <w:b/>
          <w:bCs/>
          <w:sz w:val="22"/>
          <w:szCs w:val="20"/>
        </w:rPr>
        <w:t xml:space="preserve"> </w:t>
      </w:r>
    </w:p>
    <w:p w14:paraId="4DF3F1AF" w14:textId="78BC147E" w:rsidR="00AB7396" w:rsidRDefault="00AB7396" w:rsidP="0015296E">
      <w:pPr>
        <w:spacing w:line="480" w:lineRule="auto"/>
        <w:jc w:val="both"/>
        <w:rPr>
          <w:sz w:val="22"/>
          <w:szCs w:val="20"/>
        </w:rPr>
      </w:pPr>
      <w:r>
        <w:rPr>
          <w:sz w:val="22"/>
          <w:szCs w:val="20"/>
        </w:rPr>
        <w:t xml:space="preserve">The steps of </w:t>
      </w:r>
      <w:proofErr w:type="spellStart"/>
      <w:r>
        <w:rPr>
          <w:sz w:val="22"/>
          <w:szCs w:val="20"/>
        </w:rPr>
        <w:t>kolbs</w:t>
      </w:r>
      <w:proofErr w:type="spellEnd"/>
      <w:r>
        <w:rPr>
          <w:sz w:val="22"/>
          <w:szCs w:val="20"/>
        </w:rPr>
        <w:t xml:space="preserve"> learning cycle include future development using the concepts of </w:t>
      </w:r>
      <w:r w:rsidR="00157217">
        <w:rPr>
          <w:sz w:val="22"/>
          <w:szCs w:val="20"/>
        </w:rPr>
        <w:t>real-life</w:t>
      </w:r>
      <w:r>
        <w:rPr>
          <w:sz w:val="22"/>
          <w:szCs w:val="20"/>
        </w:rPr>
        <w:t xml:space="preserve"> scenario (</w:t>
      </w:r>
      <w:proofErr w:type="spellStart"/>
      <w:r>
        <w:rPr>
          <w:sz w:val="22"/>
          <w:szCs w:val="20"/>
        </w:rPr>
        <w:t>Muranah</w:t>
      </w:r>
      <w:proofErr w:type="spellEnd"/>
      <w:r>
        <w:rPr>
          <w:sz w:val="22"/>
          <w:szCs w:val="20"/>
        </w:rPr>
        <w:t xml:space="preserve"> et al, 2022). In this context, I can say that the firm needs to discus and demand that the Indian firm needs to use fairtrade sourced cotton for production of materials. This leads to helping the firm to manage customer satisfaction by delivering a quality product (Huang et al 2022)</w:t>
      </w:r>
      <w:r w:rsidR="00157217">
        <w:rPr>
          <w:sz w:val="22"/>
          <w:szCs w:val="20"/>
        </w:rPr>
        <w:t xml:space="preserve">. This in turn will help the firm to manage the customers positive feedback regarding the </w:t>
      </w:r>
      <w:proofErr w:type="spellStart"/>
      <w:r w:rsidR="00157217">
        <w:rPr>
          <w:sz w:val="22"/>
          <w:szCs w:val="20"/>
        </w:rPr>
        <w:t>GeeVee</w:t>
      </w:r>
      <w:proofErr w:type="spellEnd"/>
      <w:r w:rsidR="00157217">
        <w:rPr>
          <w:sz w:val="22"/>
          <w:szCs w:val="20"/>
        </w:rPr>
        <w:t xml:space="preserve"> brand on social media scandal, this will minimise to negativity and raise a good image that attracts the customers.</w:t>
      </w:r>
    </w:p>
    <w:p w14:paraId="6F73436F" w14:textId="77777777" w:rsidR="00DF6BFF" w:rsidRPr="00DF6BFF" w:rsidRDefault="00DF6BFF" w:rsidP="0015296E">
      <w:pPr>
        <w:spacing w:line="480" w:lineRule="auto"/>
        <w:jc w:val="both"/>
        <w:rPr>
          <w:b/>
          <w:bCs/>
          <w:sz w:val="22"/>
          <w:szCs w:val="20"/>
        </w:rPr>
      </w:pPr>
    </w:p>
    <w:p w14:paraId="6EE52472" w14:textId="68CDA994" w:rsidR="00DF6BFF" w:rsidRDefault="00DF6BFF" w:rsidP="0015296E">
      <w:pPr>
        <w:spacing w:line="480" w:lineRule="auto"/>
        <w:jc w:val="both"/>
        <w:rPr>
          <w:b/>
          <w:bCs/>
          <w:sz w:val="22"/>
          <w:szCs w:val="20"/>
        </w:rPr>
      </w:pPr>
      <w:r w:rsidRPr="00DF6BFF">
        <w:rPr>
          <w:b/>
          <w:bCs/>
          <w:sz w:val="22"/>
          <w:szCs w:val="20"/>
        </w:rPr>
        <w:t xml:space="preserve">Conclusion </w:t>
      </w:r>
    </w:p>
    <w:p w14:paraId="61DB3452" w14:textId="38C01F94" w:rsidR="00DF6BFF" w:rsidRPr="00DF6BFF" w:rsidRDefault="00DF6BFF" w:rsidP="0015296E">
      <w:pPr>
        <w:spacing w:line="480" w:lineRule="auto"/>
        <w:jc w:val="both"/>
        <w:rPr>
          <w:sz w:val="22"/>
          <w:szCs w:val="20"/>
        </w:rPr>
      </w:pPr>
      <w:r>
        <w:rPr>
          <w:sz w:val="22"/>
          <w:szCs w:val="20"/>
        </w:rPr>
        <w:t xml:space="preserve">In conclusion all the discussion </w:t>
      </w:r>
      <w:r w:rsidR="00891C9B">
        <w:rPr>
          <w:sz w:val="22"/>
          <w:szCs w:val="20"/>
        </w:rPr>
        <w:t>summarises</w:t>
      </w:r>
      <w:r>
        <w:rPr>
          <w:sz w:val="22"/>
          <w:szCs w:val="20"/>
        </w:rPr>
        <w:t xml:space="preserve"> that I have a solid understanding of the Kolb model. Analysing the case scenario of th</w:t>
      </w:r>
      <w:r w:rsidR="00891C9B">
        <w:rPr>
          <w:sz w:val="22"/>
          <w:szCs w:val="20"/>
        </w:rPr>
        <w:t>e</w:t>
      </w:r>
      <w:r>
        <w:rPr>
          <w:sz w:val="22"/>
          <w:szCs w:val="20"/>
        </w:rPr>
        <w:t xml:space="preserve"> learning mode of this term I can deduct that, any </w:t>
      </w:r>
      <w:r w:rsidR="00891C9B">
        <w:rPr>
          <w:sz w:val="22"/>
          <w:szCs w:val="20"/>
        </w:rPr>
        <w:t>organisation</w:t>
      </w:r>
      <w:r>
        <w:rPr>
          <w:sz w:val="22"/>
          <w:szCs w:val="20"/>
        </w:rPr>
        <w:t xml:space="preserve"> such as </w:t>
      </w:r>
      <w:proofErr w:type="spellStart"/>
      <w:r>
        <w:rPr>
          <w:sz w:val="22"/>
          <w:szCs w:val="20"/>
        </w:rPr>
        <w:t>GeeVee</w:t>
      </w:r>
      <w:proofErr w:type="spellEnd"/>
      <w:r>
        <w:rPr>
          <w:sz w:val="22"/>
          <w:szCs w:val="20"/>
        </w:rPr>
        <w:t xml:space="preserve"> Ltd must ensure the quality of the production for not just gaining the customers but also attracting the trust </w:t>
      </w:r>
      <w:r w:rsidR="00891C9B">
        <w:rPr>
          <w:sz w:val="22"/>
          <w:szCs w:val="20"/>
        </w:rPr>
        <w:t>regarding</w:t>
      </w:r>
      <w:r>
        <w:rPr>
          <w:sz w:val="22"/>
          <w:szCs w:val="20"/>
        </w:rPr>
        <w:t xml:space="preserve"> their opinions of the company. In the next stage the firm needs to analyse the cost and quality of production for managing the overall profit of the firm.</w:t>
      </w:r>
      <w:r w:rsidR="00891C9B">
        <w:rPr>
          <w:sz w:val="22"/>
          <w:szCs w:val="20"/>
        </w:rPr>
        <w:t xml:space="preserve"> On the other hand, poor managing skills and wrong decision (like using poor quality and cheap cotton) can crate issues of customers satisfaction with </w:t>
      </w:r>
      <w:proofErr w:type="spellStart"/>
      <w:r w:rsidR="00891C9B">
        <w:rPr>
          <w:sz w:val="22"/>
          <w:szCs w:val="20"/>
        </w:rPr>
        <w:t>GeeVee</w:t>
      </w:r>
      <w:proofErr w:type="spellEnd"/>
      <w:r w:rsidR="00891C9B">
        <w:rPr>
          <w:sz w:val="22"/>
          <w:szCs w:val="20"/>
        </w:rPr>
        <w:t xml:space="preserve"> Ltd just like the scandal that has started a hashtag trending online that harms the company’s image.</w:t>
      </w:r>
    </w:p>
    <w:p w14:paraId="09DC6A1B" w14:textId="6B1F5C29" w:rsidR="00891C9B" w:rsidRDefault="00BD1578" w:rsidP="00891C9B">
      <w:pPr>
        <w:pStyle w:val="NormalWeb"/>
        <w:shd w:val="clear" w:color="auto" w:fill="FFFFFF"/>
        <w:spacing w:after="0" w:line="480" w:lineRule="auto"/>
        <w:jc w:val="both"/>
        <w:rPr>
          <w:b/>
          <w:bCs/>
          <w:sz w:val="22"/>
          <w:szCs w:val="20"/>
        </w:rPr>
      </w:pPr>
      <w:r>
        <w:rPr>
          <w:noProof/>
        </w:rPr>
        <w:lastRenderedPageBreak/>
        <w:drawing>
          <wp:inline distT="0" distB="0" distL="0" distR="0" wp14:anchorId="53E4B73D" wp14:editId="08567089">
            <wp:extent cx="2133600" cy="2143125"/>
            <wp:effectExtent l="0" t="0" r="0" b="9525"/>
            <wp:docPr id="4" name="Picture 3" descr="Kolb's Experiential Learning Cycle - Experiential Learning - Toronto  Metropolit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olb's Experiential Learning Cycle - Experiential Learning - Toronto  Metropolitan Universit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3600" cy="2143125"/>
                    </a:xfrm>
                    <a:prstGeom prst="rect">
                      <a:avLst/>
                    </a:prstGeom>
                    <a:noFill/>
                    <a:ln>
                      <a:noFill/>
                    </a:ln>
                  </pic:spPr>
                </pic:pic>
              </a:graphicData>
            </a:graphic>
          </wp:inline>
        </w:drawing>
      </w:r>
      <w:r>
        <w:rPr>
          <w:b/>
          <w:bCs/>
          <w:sz w:val="22"/>
          <w:szCs w:val="20"/>
        </w:rPr>
        <w:t xml:space="preserve">figure one </w:t>
      </w:r>
      <w:proofErr w:type="spellStart"/>
      <w:r>
        <w:rPr>
          <w:b/>
          <w:bCs/>
          <w:sz w:val="22"/>
          <w:szCs w:val="20"/>
        </w:rPr>
        <w:t>Kolbs</w:t>
      </w:r>
      <w:proofErr w:type="spellEnd"/>
      <w:r>
        <w:rPr>
          <w:b/>
          <w:bCs/>
          <w:sz w:val="22"/>
          <w:szCs w:val="20"/>
        </w:rPr>
        <w:t xml:space="preserve"> learning cycle (source: </w:t>
      </w:r>
      <w:proofErr w:type="spellStart"/>
      <w:r>
        <w:rPr>
          <w:b/>
          <w:bCs/>
          <w:sz w:val="22"/>
          <w:szCs w:val="20"/>
        </w:rPr>
        <w:t>Mujanha</w:t>
      </w:r>
      <w:proofErr w:type="spellEnd"/>
      <w:r>
        <w:rPr>
          <w:b/>
          <w:bCs/>
          <w:sz w:val="22"/>
          <w:szCs w:val="20"/>
        </w:rPr>
        <w:t xml:space="preserve"> et al 2022)</w:t>
      </w:r>
    </w:p>
    <w:p w14:paraId="78D8B635" w14:textId="77777777" w:rsidR="00891C9B" w:rsidRDefault="00891C9B" w:rsidP="00891C9B">
      <w:pPr>
        <w:pStyle w:val="NormalWeb"/>
        <w:shd w:val="clear" w:color="auto" w:fill="FFFFFF"/>
        <w:spacing w:after="0" w:line="480" w:lineRule="auto"/>
        <w:jc w:val="both"/>
        <w:rPr>
          <w:b/>
          <w:bCs/>
          <w:sz w:val="22"/>
          <w:szCs w:val="20"/>
        </w:rPr>
      </w:pPr>
    </w:p>
    <w:p w14:paraId="38A5C602" w14:textId="77777777" w:rsidR="00891C9B" w:rsidRDefault="00891C9B" w:rsidP="00891C9B">
      <w:pPr>
        <w:pStyle w:val="NormalWeb"/>
        <w:shd w:val="clear" w:color="auto" w:fill="FFFFFF"/>
        <w:spacing w:after="0" w:line="480" w:lineRule="auto"/>
        <w:jc w:val="both"/>
        <w:rPr>
          <w:b/>
          <w:bCs/>
          <w:sz w:val="22"/>
          <w:szCs w:val="20"/>
        </w:rPr>
      </w:pPr>
    </w:p>
    <w:p w14:paraId="089B4FC2" w14:textId="67CC86A4" w:rsidR="00891C9B" w:rsidRPr="00891C9B" w:rsidRDefault="00891C9B" w:rsidP="00891C9B">
      <w:pPr>
        <w:pStyle w:val="NormalWeb"/>
        <w:shd w:val="clear" w:color="auto" w:fill="FFFFFF"/>
        <w:spacing w:after="0" w:line="480" w:lineRule="auto"/>
        <w:jc w:val="both"/>
        <w:rPr>
          <w:rFonts w:ascii="Arial" w:eastAsia="Times New Roman" w:hAnsi="Arial" w:cs="Arial"/>
          <w:color w:val="222222"/>
          <w:sz w:val="22"/>
          <w:szCs w:val="22"/>
          <w:lang w:eastAsia="en-GB"/>
        </w:rPr>
      </w:pPr>
      <w:r>
        <w:rPr>
          <w:b/>
          <w:bCs/>
          <w:sz w:val="22"/>
          <w:szCs w:val="20"/>
        </w:rPr>
        <w:t xml:space="preserve">References: </w:t>
      </w:r>
      <w:r w:rsidRPr="00891C9B">
        <w:rPr>
          <w:rFonts w:eastAsia="Times New Roman"/>
          <w:color w:val="222222"/>
          <w:sz w:val="22"/>
          <w:szCs w:val="22"/>
          <w:lang w:eastAsia="en-GB"/>
        </w:rPr>
        <w:t>Egan, J., Tolman, S., McBrayer, J.S. and Ballesteros, E., (2023). Reconceptualizing Kolb’s Learning Cycle as Episodic and Lifelong. Experiential Learning and Teaching in Higher Education, 6(1), pp.24-33.</w:t>
      </w:r>
    </w:p>
    <w:p w14:paraId="494F792D" w14:textId="77777777" w:rsidR="00891C9B" w:rsidRPr="00891C9B" w:rsidRDefault="00891C9B" w:rsidP="00891C9B">
      <w:pPr>
        <w:shd w:val="clear" w:color="auto" w:fill="FFFFFF"/>
        <w:spacing w:after="0" w:line="480" w:lineRule="auto"/>
        <w:jc w:val="both"/>
        <w:rPr>
          <w:rFonts w:ascii="Arial" w:eastAsia="Times New Roman" w:hAnsi="Arial" w:cs="Arial"/>
          <w:color w:val="222222"/>
          <w:sz w:val="22"/>
          <w:lang w:eastAsia="en-GB"/>
        </w:rPr>
      </w:pPr>
      <w:proofErr w:type="spellStart"/>
      <w:r w:rsidRPr="00891C9B">
        <w:rPr>
          <w:rFonts w:eastAsia="Times New Roman" w:cs="Times New Roman"/>
          <w:color w:val="222222"/>
          <w:sz w:val="22"/>
          <w:lang w:eastAsia="en-GB"/>
        </w:rPr>
        <w:t>Hanisyah</w:t>
      </w:r>
      <w:proofErr w:type="spellEnd"/>
      <w:r w:rsidRPr="00891C9B">
        <w:rPr>
          <w:rFonts w:eastAsia="Times New Roman" w:cs="Times New Roman"/>
          <w:color w:val="222222"/>
          <w:sz w:val="22"/>
          <w:lang w:eastAsia="en-GB"/>
        </w:rPr>
        <w:t xml:space="preserve">, W.A., </w:t>
      </w:r>
      <w:proofErr w:type="spellStart"/>
      <w:r w:rsidRPr="00891C9B">
        <w:rPr>
          <w:rFonts w:eastAsia="Times New Roman" w:cs="Times New Roman"/>
          <w:color w:val="222222"/>
          <w:sz w:val="22"/>
          <w:lang w:eastAsia="en-GB"/>
        </w:rPr>
        <w:t>Winarko</w:t>
      </w:r>
      <w:proofErr w:type="spellEnd"/>
      <w:r w:rsidRPr="00891C9B">
        <w:rPr>
          <w:rFonts w:eastAsia="Times New Roman" w:cs="Times New Roman"/>
          <w:color w:val="222222"/>
          <w:sz w:val="22"/>
          <w:lang w:eastAsia="en-GB"/>
        </w:rPr>
        <w:t xml:space="preserve">, G.C., </w:t>
      </w:r>
      <w:proofErr w:type="spellStart"/>
      <w:r w:rsidRPr="00891C9B">
        <w:rPr>
          <w:rFonts w:eastAsia="Times New Roman" w:cs="Times New Roman"/>
          <w:color w:val="222222"/>
          <w:sz w:val="22"/>
          <w:lang w:eastAsia="en-GB"/>
        </w:rPr>
        <w:t>Elfitria</w:t>
      </w:r>
      <w:proofErr w:type="spellEnd"/>
      <w:r w:rsidRPr="00891C9B">
        <w:rPr>
          <w:rFonts w:eastAsia="Times New Roman" w:cs="Times New Roman"/>
          <w:color w:val="222222"/>
          <w:sz w:val="22"/>
          <w:lang w:eastAsia="en-GB"/>
        </w:rPr>
        <w:t xml:space="preserve">, L.S. and </w:t>
      </w:r>
      <w:proofErr w:type="spellStart"/>
      <w:r w:rsidRPr="00891C9B">
        <w:rPr>
          <w:rFonts w:eastAsia="Times New Roman" w:cs="Times New Roman"/>
          <w:color w:val="222222"/>
          <w:sz w:val="22"/>
          <w:lang w:eastAsia="en-GB"/>
        </w:rPr>
        <w:t>Ardiansyah</w:t>
      </w:r>
      <w:proofErr w:type="spellEnd"/>
      <w:r w:rsidRPr="00891C9B">
        <w:rPr>
          <w:rFonts w:eastAsia="Times New Roman" w:cs="Times New Roman"/>
          <w:color w:val="222222"/>
          <w:sz w:val="22"/>
          <w:lang w:eastAsia="en-GB"/>
        </w:rPr>
        <w:t xml:space="preserve">, A.S., (2023), February. The Effect of Kolb's Learning Cycle on Students' Critical Thinking Skills. In PRISMA, </w:t>
      </w:r>
      <w:proofErr w:type="spellStart"/>
      <w:r w:rsidRPr="00891C9B">
        <w:rPr>
          <w:rFonts w:eastAsia="Times New Roman" w:cs="Times New Roman"/>
          <w:color w:val="222222"/>
          <w:sz w:val="22"/>
          <w:lang w:eastAsia="en-GB"/>
        </w:rPr>
        <w:t>Prosiding</w:t>
      </w:r>
      <w:proofErr w:type="spellEnd"/>
      <w:r w:rsidRPr="00891C9B">
        <w:rPr>
          <w:rFonts w:eastAsia="Times New Roman" w:cs="Times New Roman"/>
          <w:color w:val="222222"/>
          <w:sz w:val="22"/>
          <w:lang w:eastAsia="en-GB"/>
        </w:rPr>
        <w:t xml:space="preserve"> Seminar Nasional </w:t>
      </w:r>
      <w:proofErr w:type="spellStart"/>
      <w:r w:rsidRPr="00891C9B">
        <w:rPr>
          <w:rFonts w:eastAsia="Times New Roman" w:cs="Times New Roman"/>
          <w:color w:val="222222"/>
          <w:sz w:val="22"/>
          <w:lang w:eastAsia="en-GB"/>
        </w:rPr>
        <w:t>Matematika</w:t>
      </w:r>
      <w:proofErr w:type="spellEnd"/>
      <w:r w:rsidRPr="00891C9B">
        <w:rPr>
          <w:rFonts w:eastAsia="Times New Roman" w:cs="Times New Roman"/>
          <w:color w:val="222222"/>
          <w:sz w:val="22"/>
          <w:lang w:eastAsia="en-GB"/>
        </w:rPr>
        <w:t xml:space="preserve"> (Vol. 6, pp. 65-69).</w:t>
      </w:r>
    </w:p>
    <w:p w14:paraId="08E899EE" w14:textId="77777777" w:rsidR="00891C9B" w:rsidRPr="00891C9B" w:rsidRDefault="00891C9B" w:rsidP="00891C9B">
      <w:pPr>
        <w:shd w:val="clear" w:color="auto" w:fill="FFFFFF"/>
        <w:spacing w:after="0" w:line="480" w:lineRule="auto"/>
        <w:jc w:val="both"/>
        <w:rPr>
          <w:rFonts w:ascii="Arial" w:eastAsia="Times New Roman" w:hAnsi="Arial" w:cs="Arial"/>
          <w:color w:val="222222"/>
          <w:sz w:val="22"/>
          <w:lang w:eastAsia="en-GB"/>
        </w:rPr>
      </w:pPr>
      <w:r w:rsidRPr="00891C9B">
        <w:rPr>
          <w:rFonts w:eastAsia="Times New Roman" w:cs="Times New Roman"/>
          <w:color w:val="222222"/>
          <w:sz w:val="22"/>
          <w:lang w:eastAsia="en-GB"/>
        </w:rPr>
        <w:t xml:space="preserve">Huang, Y.M., </w:t>
      </w:r>
      <w:proofErr w:type="spellStart"/>
      <w:r w:rsidRPr="00891C9B">
        <w:rPr>
          <w:rFonts w:eastAsia="Times New Roman" w:cs="Times New Roman"/>
          <w:color w:val="222222"/>
          <w:sz w:val="22"/>
          <w:lang w:eastAsia="en-GB"/>
        </w:rPr>
        <w:t>Silitonga</w:t>
      </w:r>
      <w:proofErr w:type="spellEnd"/>
      <w:r w:rsidRPr="00891C9B">
        <w:rPr>
          <w:rFonts w:eastAsia="Times New Roman" w:cs="Times New Roman"/>
          <w:color w:val="222222"/>
          <w:sz w:val="22"/>
          <w:lang w:eastAsia="en-GB"/>
        </w:rPr>
        <w:t>, L.M. and Wu, T.T., (2022). Applying a business simulation game in a flipped classroom to enhance engagement, learning achievement, and higher-order thinking skills. Computers &amp; Education, 183, p.104494.</w:t>
      </w:r>
    </w:p>
    <w:p w14:paraId="5E65E61F" w14:textId="77777777" w:rsidR="00891C9B" w:rsidRPr="00891C9B" w:rsidRDefault="00891C9B" w:rsidP="00891C9B">
      <w:pPr>
        <w:shd w:val="clear" w:color="auto" w:fill="FFFFFF"/>
        <w:spacing w:after="0" w:line="480" w:lineRule="auto"/>
        <w:jc w:val="both"/>
        <w:rPr>
          <w:rFonts w:ascii="Arial" w:eastAsia="Times New Roman" w:hAnsi="Arial" w:cs="Arial"/>
          <w:color w:val="222222"/>
          <w:sz w:val="22"/>
          <w:lang w:eastAsia="en-GB"/>
        </w:rPr>
      </w:pPr>
      <w:proofErr w:type="spellStart"/>
      <w:r w:rsidRPr="00891C9B">
        <w:rPr>
          <w:rFonts w:eastAsia="Times New Roman" w:cs="Times New Roman"/>
          <w:color w:val="222222"/>
          <w:sz w:val="22"/>
          <w:lang w:eastAsia="en-GB"/>
        </w:rPr>
        <w:t>Mujanah</w:t>
      </w:r>
      <w:proofErr w:type="spellEnd"/>
      <w:r w:rsidRPr="00891C9B">
        <w:rPr>
          <w:rFonts w:eastAsia="Times New Roman" w:cs="Times New Roman"/>
          <w:color w:val="222222"/>
          <w:sz w:val="22"/>
          <w:lang w:eastAsia="en-GB"/>
        </w:rPr>
        <w:t xml:space="preserve">, S., </w:t>
      </w:r>
      <w:proofErr w:type="spellStart"/>
      <w:r w:rsidRPr="00891C9B">
        <w:rPr>
          <w:rFonts w:eastAsia="Times New Roman" w:cs="Times New Roman"/>
          <w:color w:val="222222"/>
          <w:sz w:val="22"/>
          <w:lang w:eastAsia="en-GB"/>
        </w:rPr>
        <w:t>Ardiana</w:t>
      </w:r>
      <w:proofErr w:type="spellEnd"/>
      <w:r w:rsidRPr="00891C9B">
        <w:rPr>
          <w:rFonts w:eastAsia="Times New Roman" w:cs="Times New Roman"/>
          <w:color w:val="222222"/>
          <w:sz w:val="22"/>
          <w:lang w:eastAsia="en-GB"/>
        </w:rPr>
        <w:t xml:space="preserve">, I.D.K.R., Nugroho, R., </w:t>
      </w:r>
      <w:proofErr w:type="spellStart"/>
      <w:r w:rsidRPr="00891C9B">
        <w:rPr>
          <w:rFonts w:eastAsia="Times New Roman" w:cs="Times New Roman"/>
          <w:color w:val="222222"/>
          <w:sz w:val="22"/>
          <w:lang w:eastAsia="en-GB"/>
        </w:rPr>
        <w:t>Candraningrat</w:t>
      </w:r>
      <w:proofErr w:type="spellEnd"/>
      <w:r w:rsidRPr="00891C9B">
        <w:rPr>
          <w:rFonts w:eastAsia="Times New Roman" w:cs="Times New Roman"/>
          <w:color w:val="222222"/>
          <w:sz w:val="22"/>
          <w:lang w:eastAsia="en-GB"/>
        </w:rPr>
        <w:t xml:space="preserve">, C., </w:t>
      </w:r>
      <w:proofErr w:type="spellStart"/>
      <w:r w:rsidRPr="00891C9B">
        <w:rPr>
          <w:rFonts w:eastAsia="Times New Roman" w:cs="Times New Roman"/>
          <w:color w:val="222222"/>
          <w:sz w:val="22"/>
          <w:lang w:eastAsia="en-GB"/>
        </w:rPr>
        <w:t>Fianto</w:t>
      </w:r>
      <w:proofErr w:type="spellEnd"/>
      <w:r w:rsidRPr="00891C9B">
        <w:rPr>
          <w:rFonts w:eastAsia="Times New Roman" w:cs="Times New Roman"/>
          <w:color w:val="222222"/>
          <w:sz w:val="22"/>
          <w:lang w:eastAsia="en-GB"/>
        </w:rPr>
        <w:t>, A. and Arif, D., (2022). Critical thinking and creativity of MSMEs in improving business performance during the covid-19 pandemic. Uncertain Supply Chain Management, 10(1), pp.19-28.</w:t>
      </w:r>
    </w:p>
    <w:p w14:paraId="063A28FA" w14:textId="77777777" w:rsidR="00891C9B" w:rsidRPr="00891C9B" w:rsidRDefault="00891C9B" w:rsidP="00891C9B">
      <w:pPr>
        <w:shd w:val="clear" w:color="auto" w:fill="FFFFFF"/>
        <w:spacing w:after="0" w:line="480" w:lineRule="auto"/>
        <w:jc w:val="both"/>
        <w:rPr>
          <w:rFonts w:ascii="Arial" w:eastAsia="Times New Roman" w:hAnsi="Arial" w:cs="Arial"/>
          <w:color w:val="222222"/>
          <w:sz w:val="22"/>
          <w:lang w:eastAsia="en-GB"/>
        </w:rPr>
      </w:pPr>
      <w:r w:rsidRPr="00891C9B">
        <w:rPr>
          <w:rFonts w:eastAsia="Times New Roman" w:cs="Times New Roman"/>
          <w:color w:val="222222"/>
          <w:sz w:val="22"/>
          <w:lang w:eastAsia="en-GB"/>
        </w:rPr>
        <w:t>Vince, R., (2022). Reflections on “Behind and Beyond Kolb’s Learning Cycle”. Journal of Management Education, 46(6), pp.983-989.</w:t>
      </w:r>
    </w:p>
    <w:p w14:paraId="0042C003" w14:textId="77777777" w:rsidR="00891C9B" w:rsidRPr="00891C9B" w:rsidRDefault="00891C9B" w:rsidP="00891C9B">
      <w:pPr>
        <w:shd w:val="clear" w:color="auto" w:fill="FFFFFF"/>
        <w:spacing w:after="0" w:line="324" w:lineRule="atLeast"/>
        <w:rPr>
          <w:rFonts w:ascii="Arial" w:eastAsia="Times New Roman" w:hAnsi="Arial" w:cs="Arial"/>
          <w:color w:val="222222"/>
          <w:sz w:val="22"/>
          <w:lang w:eastAsia="en-GB"/>
        </w:rPr>
      </w:pPr>
      <w:r w:rsidRPr="00891C9B">
        <w:rPr>
          <w:rFonts w:ascii="Arial" w:eastAsia="Times New Roman" w:hAnsi="Arial" w:cs="Arial"/>
          <w:color w:val="222222"/>
          <w:sz w:val="22"/>
          <w:lang w:eastAsia="en-GB"/>
        </w:rPr>
        <w:t>4</w:t>
      </w:r>
    </w:p>
    <w:p w14:paraId="54E531B8" w14:textId="7B264E70" w:rsidR="003319B4" w:rsidRPr="00891C9B" w:rsidRDefault="003319B4" w:rsidP="0015296E">
      <w:pPr>
        <w:spacing w:line="480" w:lineRule="auto"/>
        <w:jc w:val="both"/>
        <w:rPr>
          <w:b/>
          <w:bCs/>
          <w:sz w:val="22"/>
          <w:szCs w:val="20"/>
        </w:rPr>
      </w:pPr>
    </w:p>
    <w:p w14:paraId="17F15B1F" w14:textId="77777777" w:rsidR="00D821B3" w:rsidRPr="00D821B3" w:rsidRDefault="00D821B3" w:rsidP="0015296E">
      <w:pPr>
        <w:spacing w:line="480" w:lineRule="auto"/>
        <w:jc w:val="both"/>
        <w:rPr>
          <w:sz w:val="22"/>
          <w:szCs w:val="20"/>
        </w:rPr>
      </w:pPr>
    </w:p>
    <w:p w14:paraId="39763160" w14:textId="77777777" w:rsidR="00822514" w:rsidRPr="00822514" w:rsidRDefault="00822514" w:rsidP="0015296E">
      <w:pPr>
        <w:spacing w:line="480" w:lineRule="auto"/>
        <w:jc w:val="both"/>
      </w:pPr>
    </w:p>
    <w:p w14:paraId="0EC004AA" w14:textId="76C6878D" w:rsidR="00822514" w:rsidRPr="00822514" w:rsidRDefault="00822514" w:rsidP="0015296E">
      <w:pPr>
        <w:spacing w:line="480" w:lineRule="auto"/>
        <w:jc w:val="both"/>
        <w:rPr>
          <w:sz w:val="22"/>
          <w:szCs w:val="20"/>
        </w:rPr>
      </w:pPr>
    </w:p>
    <w:p w14:paraId="53039BF2" w14:textId="77777777" w:rsidR="00822514" w:rsidRPr="00822514" w:rsidRDefault="00822514" w:rsidP="0015296E">
      <w:pPr>
        <w:spacing w:line="480" w:lineRule="auto"/>
        <w:jc w:val="both"/>
        <w:rPr>
          <w:b/>
          <w:bCs/>
        </w:rPr>
      </w:pPr>
    </w:p>
    <w:p w14:paraId="1A93C948" w14:textId="77777777" w:rsidR="00B733F5" w:rsidRDefault="00B733F5"/>
    <w:sectPr w:rsidR="00B733F5" w:rsidSect="00403D8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57977" w14:textId="77777777" w:rsidR="00135B3A" w:rsidRDefault="00135B3A" w:rsidP="00DE3F42">
      <w:pPr>
        <w:spacing w:after="0" w:line="240" w:lineRule="auto"/>
      </w:pPr>
      <w:r>
        <w:separator/>
      </w:r>
    </w:p>
  </w:endnote>
  <w:endnote w:type="continuationSeparator" w:id="0">
    <w:p w14:paraId="5FE3BAED" w14:textId="77777777" w:rsidR="00135B3A" w:rsidRDefault="00135B3A" w:rsidP="00DE3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9069934"/>
      <w:docPartObj>
        <w:docPartGallery w:val="Page Numbers (Bottom of Page)"/>
        <w:docPartUnique/>
      </w:docPartObj>
    </w:sdtPr>
    <w:sdtEndPr>
      <w:rPr>
        <w:noProof/>
      </w:rPr>
    </w:sdtEndPr>
    <w:sdtContent>
      <w:p w14:paraId="3766ED3B" w14:textId="77777777" w:rsidR="00403D8E" w:rsidRDefault="00E702A7">
        <w:pPr>
          <w:pStyle w:val="Footer"/>
          <w:jc w:val="right"/>
        </w:pPr>
        <w:r>
          <w:fldChar w:fldCharType="begin"/>
        </w:r>
        <w:r>
          <w:instrText xml:space="preserve"> PAGE   \* MERGEFORMAT </w:instrText>
        </w:r>
        <w:r>
          <w:fldChar w:fldCharType="separate"/>
        </w:r>
        <w:r w:rsidR="0013752C">
          <w:rPr>
            <w:noProof/>
          </w:rPr>
          <w:t>3</w:t>
        </w:r>
        <w:r>
          <w:rPr>
            <w:noProof/>
          </w:rPr>
          <w:fldChar w:fldCharType="end"/>
        </w:r>
      </w:p>
    </w:sdtContent>
  </w:sdt>
  <w:p w14:paraId="02A7B094" w14:textId="77777777" w:rsidR="00403D8E" w:rsidRDefault="00403D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04386" w14:textId="77777777" w:rsidR="00135B3A" w:rsidRDefault="00135B3A" w:rsidP="00DE3F42">
      <w:pPr>
        <w:spacing w:after="0" w:line="240" w:lineRule="auto"/>
      </w:pPr>
      <w:r>
        <w:separator/>
      </w:r>
    </w:p>
  </w:footnote>
  <w:footnote w:type="continuationSeparator" w:id="0">
    <w:p w14:paraId="6DFD1342" w14:textId="77777777" w:rsidR="00135B3A" w:rsidRDefault="00135B3A" w:rsidP="00DE3F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A70AA"/>
    <w:multiLevelType w:val="hybridMultilevel"/>
    <w:tmpl w:val="066C98F8"/>
    <w:lvl w:ilvl="0" w:tplc="4CA6E77C">
      <w:start w:val="1"/>
      <w:numFmt w:val="bullet"/>
      <w:lvlText w:val=""/>
      <w:lvlJc w:val="left"/>
      <w:pPr>
        <w:ind w:left="720" w:hanging="360"/>
      </w:pPr>
      <w:rPr>
        <w:rFonts w:ascii="Symbol" w:hAnsi="Symbol" w:hint="default"/>
      </w:rPr>
    </w:lvl>
    <w:lvl w:ilvl="1" w:tplc="2392239C" w:tentative="1">
      <w:start w:val="1"/>
      <w:numFmt w:val="bullet"/>
      <w:lvlText w:val="o"/>
      <w:lvlJc w:val="left"/>
      <w:pPr>
        <w:ind w:left="1440" w:hanging="360"/>
      </w:pPr>
      <w:rPr>
        <w:rFonts w:ascii="Courier New" w:hAnsi="Courier New" w:cs="Courier New" w:hint="default"/>
      </w:rPr>
    </w:lvl>
    <w:lvl w:ilvl="2" w:tplc="92D2EBD8" w:tentative="1">
      <w:start w:val="1"/>
      <w:numFmt w:val="bullet"/>
      <w:lvlText w:val=""/>
      <w:lvlJc w:val="left"/>
      <w:pPr>
        <w:ind w:left="2160" w:hanging="360"/>
      </w:pPr>
      <w:rPr>
        <w:rFonts w:ascii="Wingdings" w:hAnsi="Wingdings" w:hint="default"/>
      </w:rPr>
    </w:lvl>
    <w:lvl w:ilvl="3" w:tplc="7892F93A" w:tentative="1">
      <w:start w:val="1"/>
      <w:numFmt w:val="bullet"/>
      <w:lvlText w:val=""/>
      <w:lvlJc w:val="left"/>
      <w:pPr>
        <w:ind w:left="2880" w:hanging="360"/>
      </w:pPr>
      <w:rPr>
        <w:rFonts w:ascii="Symbol" w:hAnsi="Symbol" w:hint="default"/>
      </w:rPr>
    </w:lvl>
    <w:lvl w:ilvl="4" w:tplc="A71E9E64" w:tentative="1">
      <w:start w:val="1"/>
      <w:numFmt w:val="bullet"/>
      <w:lvlText w:val="o"/>
      <w:lvlJc w:val="left"/>
      <w:pPr>
        <w:ind w:left="3600" w:hanging="360"/>
      </w:pPr>
      <w:rPr>
        <w:rFonts w:ascii="Courier New" w:hAnsi="Courier New" w:cs="Courier New" w:hint="default"/>
      </w:rPr>
    </w:lvl>
    <w:lvl w:ilvl="5" w:tplc="DA8A7C0A" w:tentative="1">
      <w:start w:val="1"/>
      <w:numFmt w:val="bullet"/>
      <w:lvlText w:val=""/>
      <w:lvlJc w:val="left"/>
      <w:pPr>
        <w:ind w:left="4320" w:hanging="360"/>
      </w:pPr>
      <w:rPr>
        <w:rFonts w:ascii="Wingdings" w:hAnsi="Wingdings" w:hint="default"/>
      </w:rPr>
    </w:lvl>
    <w:lvl w:ilvl="6" w:tplc="EDDCDABC" w:tentative="1">
      <w:start w:val="1"/>
      <w:numFmt w:val="bullet"/>
      <w:lvlText w:val=""/>
      <w:lvlJc w:val="left"/>
      <w:pPr>
        <w:ind w:left="5040" w:hanging="360"/>
      </w:pPr>
      <w:rPr>
        <w:rFonts w:ascii="Symbol" w:hAnsi="Symbol" w:hint="default"/>
      </w:rPr>
    </w:lvl>
    <w:lvl w:ilvl="7" w:tplc="EA320F96" w:tentative="1">
      <w:start w:val="1"/>
      <w:numFmt w:val="bullet"/>
      <w:lvlText w:val="o"/>
      <w:lvlJc w:val="left"/>
      <w:pPr>
        <w:ind w:left="5760" w:hanging="360"/>
      </w:pPr>
      <w:rPr>
        <w:rFonts w:ascii="Courier New" w:hAnsi="Courier New" w:cs="Courier New" w:hint="default"/>
      </w:rPr>
    </w:lvl>
    <w:lvl w:ilvl="8" w:tplc="5B146F5E" w:tentative="1">
      <w:start w:val="1"/>
      <w:numFmt w:val="bullet"/>
      <w:lvlText w:val=""/>
      <w:lvlJc w:val="left"/>
      <w:pPr>
        <w:ind w:left="6480" w:hanging="360"/>
      </w:pPr>
      <w:rPr>
        <w:rFonts w:ascii="Wingdings" w:hAnsi="Wingdings" w:hint="default"/>
      </w:rPr>
    </w:lvl>
  </w:abstractNum>
  <w:abstractNum w:abstractNumId="1" w15:restartNumberingAfterBreak="0">
    <w:nsid w:val="10EC6A36"/>
    <w:multiLevelType w:val="hybridMultilevel"/>
    <w:tmpl w:val="EB06F64A"/>
    <w:lvl w:ilvl="0" w:tplc="0EE49E32">
      <w:start w:val="1"/>
      <w:numFmt w:val="bullet"/>
      <w:lvlText w:val=""/>
      <w:lvlJc w:val="left"/>
      <w:pPr>
        <w:ind w:left="720" w:hanging="360"/>
      </w:pPr>
      <w:rPr>
        <w:rFonts w:ascii="Symbol" w:hAnsi="Symbol" w:hint="default"/>
      </w:rPr>
    </w:lvl>
    <w:lvl w:ilvl="1" w:tplc="5650D3B4" w:tentative="1">
      <w:start w:val="1"/>
      <w:numFmt w:val="bullet"/>
      <w:lvlText w:val="o"/>
      <w:lvlJc w:val="left"/>
      <w:pPr>
        <w:ind w:left="1440" w:hanging="360"/>
      </w:pPr>
      <w:rPr>
        <w:rFonts w:ascii="Courier New" w:hAnsi="Courier New" w:cs="Courier New" w:hint="default"/>
      </w:rPr>
    </w:lvl>
    <w:lvl w:ilvl="2" w:tplc="4198DB7E" w:tentative="1">
      <w:start w:val="1"/>
      <w:numFmt w:val="bullet"/>
      <w:lvlText w:val=""/>
      <w:lvlJc w:val="left"/>
      <w:pPr>
        <w:ind w:left="2160" w:hanging="360"/>
      </w:pPr>
      <w:rPr>
        <w:rFonts w:ascii="Wingdings" w:hAnsi="Wingdings" w:hint="default"/>
      </w:rPr>
    </w:lvl>
    <w:lvl w:ilvl="3" w:tplc="0500367A" w:tentative="1">
      <w:start w:val="1"/>
      <w:numFmt w:val="bullet"/>
      <w:lvlText w:val=""/>
      <w:lvlJc w:val="left"/>
      <w:pPr>
        <w:ind w:left="2880" w:hanging="360"/>
      </w:pPr>
      <w:rPr>
        <w:rFonts w:ascii="Symbol" w:hAnsi="Symbol" w:hint="default"/>
      </w:rPr>
    </w:lvl>
    <w:lvl w:ilvl="4" w:tplc="300CAAE6" w:tentative="1">
      <w:start w:val="1"/>
      <w:numFmt w:val="bullet"/>
      <w:lvlText w:val="o"/>
      <w:lvlJc w:val="left"/>
      <w:pPr>
        <w:ind w:left="3600" w:hanging="360"/>
      </w:pPr>
      <w:rPr>
        <w:rFonts w:ascii="Courier New" w:hAnsi="Courier New" w:cs="Courier New" w:hint="default"/>
      </w:rPr>
    </w:lvl>
    <w:lvl w:ilvl="5" w:tplc="D7D21A48" w:tentative="1">
      <w:start w:val="1"/>
      <w:numFmt w:val="bullet"/>
      <w:lvlText w:val=""/>
      <w:lvlJc w:val="left"/>
      <w:pPr>
        <w:ind w:left="4320" w:hanging="360"/>
      </w:pPr>
      <w:rPr>
        <w:rFonts w:ascii="Wingdings" w:hAnsi="Wingdings" w:hint="default"/>
      </w:rPr>
    </w:lvl>
    <w:lvl w:ilvl="6" w:tplc="A01A7534" w:tentative="1">
      <w:start w:val="1"/>
      <w:numFmt w:val="bullet"/>
      <w:lvlText w:val=""/>
      <w:lvlJc w:val="left"/>
      <w:pPr>
        <w:ind w:left="5040" w:hanging="360"/>
      </w:pPr>
      <w:rPr>
        <w:rFonts w:ascii="Symbol" w:hAnsi="Symbol" w:hint="default"/>
      </w:rPr>
    </w:lvl>
    <w:lvl w:ilvl="7" w:tplc="DC263C90" w:tentative="1">
      <w:start w:val="1"/>
      <w:numFmt w:val="bullet"/>
      <w:lvlText w:val="o"/>
      <w:lvlJc w:val="left"/>
      <w:pPr>
        <w:ind w:left="5760" w:hanging="360"/>
      </w:pPr>
      <w:rPr>
        <w:rFonts w:ascii="Courier New" w:hAnsi="Courier New" w:cs="Courier New" w:hint="default"/>
      </w:rPr>
    </w:lvl>
    <w:lvl w:ilvl="8" w:tplc="E4DA3E9E" w:tentative="1">
      <w:start w:val="1"/>
      <w:numFmt w:val="bullet"/>
      <w:lvlText w:val=""/>
      <w:lvlJc w:val="left"/>
      <w:pPr>
        <w:ind w:left="6480" w:hanging="360"/>
      </w:pPr>
      <w:rPr>
        <w:rFonts w:ascii="Wingdings" w:hAnsi="Wingdings" w:hint="default"/>
      </w:rPr>
    </w:lvl>
  </w:abstractNum>
  <w:abstractNum w:abstractNumId="2" w15:restartNumberingAfterBreak="0">
    <w:nsid w:val="78E6518D"/>
    <w:multiLevelType w:val="hybridMultilevel"/>
    <w:tmpl w:val="A4107B26"/>
    <w:lvl w:ilvl="0" w:tplc="991A129C">
      <w:start w:val="1"/>
      <w:numFmt w:val="bullet"/>
      <w:lvlText w:val=""/>
      <w:lvlJc w:val="left"/>
      <w:pPr>
        <w:ind w:left="720" w:hanging="360"/>
      </w:pPr>
      <w:rPr>
        <w:rFonts w:ascii="Symbol" w:hAnsi="Symbol" w:hint="default"/>
      </w:rPr>
    </w:lvl>
    <w:lvl w:ilvl="1" w:tplc="6FD6058E" w:tentative="1">
      <w:start w:val="1"/>
      <w:numFmt w:val="bullet"/>
      <w:lvlText w:val="o"/>
      <w:lvlJc w:val="left"/>
      <w:pPr>
        <w:ind w:left="1440" w:hanging="360"/>
      </w:pPr>
      <w:rPr>
        <w:rFonts w:ascii="Courier New" w:hAnsi="Courier New" w:cs="Courier New" w:hint="default"/>
      </w:rPr>
    </w:lvl>
    <w:lvl w:ilvl="2" w:tplc="9C86693A" w:tentative="1">
      <w:start w:val="1"/>
      <w:numFmt w:val="bullet"/>
      <w:lvlText w:val=""/>
      <w:lvlJc w:val="left"/>
      <w:pPr>
        <w:ind w:left="2160" w:hanging="360"/>
      </w:pPr>
      <w:rPr>
        <w:rFonts w:ascii="Wingdings" w:hAnsi="Wingdings" w:hint="default"/>
      </w:rPr>
    </w:lvl>
    <w:lvl w:ilvl="3" w:tplc="380EC2D0" w:tentative="1">
      <w:start w:val="1"/>
      <w:numFmt w:val="bullet"/>
      <w:lvlText w:val=""/>
      <w:lvlJc w:val="left"/>
      <w:pPr>
        <w:ind w:left="2880" w:hanging="360"/>
      </w:pPr>
      <w:rPr>
        <w:rFonts w:ascii="Symbol" w:hAnsi="Symbol" w:hint="default"/>
      </w:rPr>
    </w:lvl>
    <w:lvl w:ilvl="4" w:tplc="2E3031A4" w:tentative="1">
      <w:start w:val="1"/>
      <w:numFmt w:val="bullet"/>
      <w:lvlText w:val="o"/>
      <w:lvlJc w:val="left"/>
      <w:pPr>
        <w:ind w:left="3600" w:hanging="360"/>
      </w:pPr>
      <w:rPr>
        <w:rFonts w:ascii="Courier New" w:hAnsi="Courier New" w:cs="Courier New" w:hint="default"/>
      </w:rPr>
    </w:lvl>
    <w:lvl w:ilvl="5" w:tplc="A7B6A366" w:tentative="1">
      <w:start w:val="1"/>
      <w:numFmt w:val="bullet"/>
      <w:lvlText w:val=""/>
      <w:lvlJc w:val="left"/>
      <w:pPr>
        <w:ind w:left="4320" w:hanging="360"/>
      </w:pPr>
      <w:rPr>
        <w:rFonts w:ascii="Wingdings" w:hAnsi="Wingdings" w:hint="default"/>
      </w:rPr>
    </w:lvl>
    <w:lvl w:ilvl="6" w:tplc="E7FC2B54" w:tentative="1">
      <w:start w:val="1"/>
      <w:numFmt w:val="bullet"/>
      <w:lvlText w:val=""/>
      <w:lvlJc w:val="left"/>
      <w:pPr>
        <w:ind w:left="5040" w:hanging="360"/>
      </w:pPr>
      <w:rPr>
        <w:rFonts w:ascii="Symbol" w:hAnsi="Symbol" w:hint="default"/>
      </w:rPr>
    </w:lvl>
    <w:lvl w:ilvl="7" w:tplc="AEB843E4" w:tentative="1">
      <w:start w:val="1"/>
      <w:numFmt w:val="bullet"/>
      <w:lvlText w:val="o"/>
      <w:lvlJc w:val="left"/>
      <w:pPr>
        <w:ind w:left="5760" w:hanging="360"/>
      </w:pPr>
      <w:rPr>
        <w:rFonts w:ascii="Courier New" w:hAnsi="Courier New" w:cs="Courier New" w:hint="default"/>
      </w:rPr>
    </w:lvl>
    <w:lvl w:ilvl="8" w:tplc="DD5E0752" w:tentative="1">
      <w:start w:val="1"/>
      <w:numFmt w:val="bullet"/>
      <w:lvlText w:val=""/>
      <w:lvlJc w:val="left"/>
      <w:pPr>
        <w:ind w:left="6480" w:hanging="360"/>
      </w:pPr>
      <w:rPr>
        <w:rFonts w:ascii="Wingdings" w:hAnsi="Wingdings" w:hint="default"/>
      </w:rPr>
    </w:lvl>
  </w:abstractNum>
  <w:num w:numId="1" w16cid:durableId="456267038">
    <w:abstractNumId w:val="0"/>
  </w:num>
  <w:num w:numId="2" w16cid:durableId="1384209128">
    <w:abstractNumId w:val="2"/>
  </w:num>
  <w:num w:numId="3" w16cid:durableId="20468304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96E"/>
    <w:rsid w:val="000055A1"/>
    <w:rsid w:val="000820D7"/>
    <w:rsid w:val="000956CC"/>
    <w:rsid w:val="00135B3A"/>
    <w:rsid w:val="0013752C"/>
    <w:rsid w:val="0015296E"/>
    <w:rsid w:val="00157217"/>
    <w:rsid w:val="0030138B"/>
    <w:rsid w:val="003319B4"/>
    <w:rsid w:val="00403D8E"/>
    <w:rsid w:val="00407962"/>
    <w:rsid w:val="006A14A4"/>
    <w:rsid w:val="00703BFC"/>
    <w:rsid w:val="007A5DD0"/>
    <w:rsid w:val="00822514"/>
    <w:rsid w:val="008765B7"/>
    <w:rsid w:val="00891C9B"/>
    <w:rsid w:val="00983907"/>
    <w:rsid w:val="00AB0B30"/>
    <w:rsid w:val="00AB7396"/>
    <w:rsid w:val="00B733F5"/>
    <w:rsid w:val="00BD1578"/>
    <w:rsid w:val="00D60654"/>
    <w:rsid w:val="00D821B3"/>
    <w:rsid w:val="00DE3F42"/>
    <w:rsid w:val="00DF6BFF"/>
    <w:rsid w:val="00E702A7"/>
    <w:rsid w:val="00EB4FAC"/>
    <w:rsid w:val="00F65B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BE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96E"/>
    <w:pPr>
      <w:spacing w:after="160" w:line="259" w:lineRule="auto"/>
    </w:pPr>
    <w:rPr>
      <w:rFonts w:ascii="Times New Roman" w:hAnsi="Times New Roman"/>
      <w:sz w:val="24"/>
      <w:lang w:val="en-GB"/>
    </w:rPr>
  </w:style>
  <w:style w:type="paragraph" w:styleId="Heading1">
    <w:name w:val="heading 1"/>
    <w:basedOn w:val="Normal"/>
    <w:next w:val="Normal"/>
    <w:link w:val="Heading1Char"/>
    <w:autoRedefine/>
    <w:uiPriority w:val="9"/>
    <w:qFormat/>
    <w:rsid w:val="007A5DD0"/>
    <w:pPr>
      <w:keepNext/>
      <w:keepLines/>
      <w:spacing w:before="360" w:after="240" w:line="480" w:lineRule="auto"/>
      <w:jc w:val="both"/>
      <w:outlineLvl w:val="0"/>
    </w:pPr>
    <w:rPr>
      <w:rFonts w:eastAsiaTheme="majorEastAsia" w:cstheme="majorBidi"/>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DD0"/>
    <w:rPr>
      <w:rFonts w:ascii="Times New Roman" w:eastAsiaTheme="majorEastAsia" w:hAnsi="Times New Roman" w:cstheme="majorBidi"/>
      <w:bCs/>
      <w:lang w:val="en-GB"/>
    </w:rPr>
  </w:style>
  <w:style w:type="paragraph" w:styleId="TOC1">
    <w:name w:val="toc 1"/>
    <w:basedOn w:val="Normal"/>
    <w:next w:val="Normal"/>
    <w:autoRedefine/>
    <w:uiPriority w:val="39"/>
    <w:unhideWhenUsed/>
    <w:qFormat/>
    <w:rsid w:val="0015296E"/>
    <w:pPr>
      <w:spacing w:before="120" w:after="220"/>
    </w:pPr>
  </w:style>
  <w:style w:type="paragraph" w:styleId="TOCHeading">
    <w:name w:val="TOC Heading"/>
    <w:basedOn w:val="Heading1"/>
    <w:next w:val="Normal"/>
    <w:uiPriority w:val="39"/>
    <w:unhideWhenUsed/>
    <w:qFormat/>
    <w:rsid w:val="0015296E"/>
    <w:pPr>
      <w:spacing w:before="240" w:after="0"/>
      <w:jc w:val="left"/>
      <w:outlineLvl w:val="9"/>
    </w:pPr>
    <w:rPr>
      <w:rFonts w:asciiTheme="majorHAnsi" w:hAnsiTheme="majorHAnsi"/>
      <w:b/>
      <w:color w:val="365F91" w:themeColor="accent1" w:themeShade="BF"/>
      <w:sz w:val="32"/>
      <w:lang w:val="en-US"/>
    </w:rPr>
  </w:style>
  <w:style w:type="character" w:styleId="Hyperlink">
    <w:name w:val="Hyperlink"/>
    <w:basedOn w:val="DefaultParagraphFont"/>
    <w:uiPriority w:val="99"/>
    <w:unhideWhenUsed/>
    <w:rsid w:val="0015296E"/>
    <w:rPr>
      <w:color w:val="0000FF" w:themeColor="hyperlink"/>
      <w:u w:val="single"/>
    </w:rPr>
  </w:style>
  <w:style w:type="paragraph" w:styleId="Header">
    <w:name w:val="header"/>
    <w:basedOn w:val="Normal"/>
    <w:link w:val="HeaderChar"/>
    <w:uiPriority w:val="99"/>
    <w:unhideWhenUsed/>
    <w:rsid w:val="00152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296E"/>
    <w:rPr>
      <w:rFonts w:ascii="Times New Roman" w:hAnsi="Times New Roman"/>
      <w:sz w:val="24"/>
      <w:lang w:val="en-GB"/>
    </w:rPr>
  </w:style>
  <w:style w:type="paragraph" w:styleId="Footer">
    <w:name w:val="footer"/>
    <w:basedOn w:val="Normal"/>
    <w:link w:val="FooterChar"/>
    <w:uiPriority w:val="99"/>
    <w:unhideWhenUsed/>
    <w:rsid w:val="00152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296E"/>
    <w:rPr>
      <w:rFonts w:ascii="Times New Roman" w:hAnsi="Times New Roman"/>
      <w:sz w:val="24"/>
      <w:lang w:val="en-GB"/>
    </w:rPr>
  </w:style>
  <w:style w:type="paragraph" w:styleId="ListParagraph">
    <w:name w:val="List Paragraph"/>
    <w:basedOn w:val="Normal"/>
    <w:uiPriority w:val="34"/>
    <w:qFormat/>
    <w:rsid w:val="0015296E"/>
    <w:pPr>
      <w:ind w:left="720"/>
      <w:contextualSpacing/>
    </w:pPr>
  </w:style>
  <w:style w:type="paragraph" w:styleId="BalloonText">
    <w:name w:val="Balloon Text"/>
    <w:basedOn w:val="Normal"/>
    <w:link w:val="BalloonTextChar"/>
    <w:uiPriority w:val="99"/>
    <w:semiHidden/>
    <w:unhideWhenUsed/>
    <w:rsid w:val="001529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296E"/>
    <w:rPr>
      <w:rFonts w:ascii="Tahoma" w:hAnsi="Tahoma" w:cs="Tahoma"/>
      <w:sz w:val="16"/>
      <w:szCs w:val="16"/>
      <w:lang w:val="en-GB"/>
    </w:rPr>
  </w:style>
  <w:style w:type="paragraph" w:styleId="NormalWeb">
    <w:name w:val="Normal (Web)"/>
    <w:basedOn w:val="Normal"/>
    <w:uiPriority w:val="99"/>
    <w:semiHidden/>
    <w:unhideWhenUsed/>
    <w:rsid w:val="00891C9B"/>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236952">
      <w:bodyDiv w:val="1"/>
      <w:marLeft w:val="0"/>
      <w:marRight w:val="0"/>
      <w:marTop w:val="0"/>
      <w:marBottom w:val="0"/>
      <w:divBdr>
        <w:top w:val="none" w:sz="0" w:space="0" w:color="auto"/>
        <w:left w:val="none" w:sz="0" w:space="0" w:color="auto"/>
        <w:bottom w:val="none" w:sz="0" w:space="0" w:color="auto"/>
        <w:right w:val="none" w:sz="0" w:space="0" w:color="auto"/>
      </w:divBdr>
      <w:divsChild>
        <w:div w:id="1164390818">
          <w:marLeft w:val="0"/>
          <w:marRight w:val="0"/>
          <w:marTop w:val="0"/>
          <w:marBottom w:val="0"/>
          <w:divBdr>
            <w:top w:val="none" w:sz="0" w:space="0" w:color="auto"/>
            <w:left w:val="none" w:sz="0" w:space="0" w:color="auto"/>
            <w:bottom w:val="none" w:sz="0" w:space="0" w:color="auto"/>
            <w:right w:val="none" w:sz="0" w:space="0" w:color="auto"/>
          </w:divBdr>
          <w:divsChild>
            <w:div w:id="2086293665">
              <w:marLeft w:val="0"/>
              <w:marRight w:val="0"/>
              <w:marTop w:val="0"/>
              <w:marBottom w:val="0"/>
              <w:divBdr>
                <w:top w:val="none" w:sz="0" w:space="0" w:color="auto"/>
                <w:left w:val="none" w:sz="0" w:space="0" w:color="auto"/>
                <w:bottom w:val="none" w:sz="0" w:space="0" w:color="auto"/>
                <w:right w:val="none" w:sz="0" w:space="0" w:color="auto"/>
              </w:divBdr>
              <w:divsChild>
                <w:div w:id="1075397940">
                  <w:marLeft w:val="0"/>
                  <w:marRight w:val="0"/>
                  <w:marTop w:val="0"/>
                  <w:marBottom w:val="0"/>
                  <w:divBdr>
                    <w:top w:val="none" w:sz="0" w:space="0" w:color="auto"/>
                    <w:left w:val="none" w:sz="0" w:space="0" w:color="auto"/>
                    <w:bottom w:val="none" w:sz="0" w:space="0" w:color="auto"/>
                    <w:right w:val="none" w:sz="0" w:space="0" w:color="auto"/>
                  </w:divBdr>
                  <w:divsChild>
                    <w:div w:id="1846092867">
                      <w:marLeft w:val="0"/>
                      <w:marRight w:val="0"/>
                      <w:marTop w:val="120"/>
                      <w:marBottom w:val="0"/>
                      <w:divBdr>
                        <w:top w:val="none" w:sz="0" w:space="0" w:color="auto"/>
                        <w:left w:val="none" w:sz="0" w:space="0" w:color="auto"/>
                        <w:bottom w:val="none" w:sz="0" w:space="0" w:color="auto"/>
                        <w:right w:val="none" w:sz="0" w:space="0" w:color="auto"/>
                      </w:divBdr>
                      <w:divsChild>
                        <w:div w:id="69916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172066">
          <w:marLeft w:val="0"/>
          <w:marRight w:val="0"/>
          <w:marTop w:val="0"/>
          <w:marBottom w:val="0"/>
          <w:divBdr>
            <w:top w:val="none" w:sz="0" w:space="0" w:color="auto"/>
            <w:left w:val="none" w:sz="0" w:space="0" w:color="auto"/>
            <w:bottom w:val="none" w:sz="0" w:space="0" w:color="auto"/>
            <w:right w:val="none" w:sz="0" w:space="0" w:color="auto"/>
          </w:divBdr>
          <w:divsChild>
            <w:div w:id="205220332">
              <w:marLeft w:val="0"/>
              <w:marRight w:val="0"/>
              <w:marTop w:val="0"/>
              <w:marBottom w:val="0"/>
              <w:divBdr>
                <w:top w:val="none" w:sz="0" w:space="0" w:color="auto"/>
                <w:left w:val="none" w:sz="0" w:space="0" w:color="auto"/>
                <w:bottom w:val="none" w:sz="0" w:space="0" w:color="auto"/>
                <w:right w:val="none" w:sz="0" w:space="0" w:color="auto"/>
              </w:divBdr>
              <w:divsChild>
                <w:div w:id="191498825">
                  <w:marLeft w:val="0"/>
                  <w:marRight w:val="0"/>
                  <w:marTop w:val="0"/>
                  <w:marBottom w:val="0"/>
                  <w:divBdr>
                    <w:top w:val="none" w:sz="0" w:space="0" w:color="auto"/>
                    <w:left w:val="none" w:sz="0" w:space="0" w:color="auto"/>
                    <w:bottom w:val="none" w:sz="0" w:space="0" w:color="auto"/>
                    <w:right w:val="none" w:sz="0" w:space="0" w:color="auto"/>
                  </w:divBdr>
                  <w:divsChild>
                    <w:div w:id="95491938">
                      <w:marLeft w:val="0"/>
                      <w:marRight w:val="0"/>
                      <w:marTop w:val="0"/>
                      <w:marBottom w:val="0"/>
                      <w:divBdr>
                        <w:top w:val="none" w:sz="0" w:space="0" w:color="auto"/>
                        <w:left w:val="none" w:sz="0" w:space="0" w:color="auto"/>
                        <w:bottom w:val="none" w:sz="0" w:space="0" w:color="auto"/>
                        <w:right w:val="none" w:sz="0" w:space="0" w:color="auto"/>
                      </w:divBdr>
                      <w:divsChild>
                        <w:div w:id="2005932623">
                          <w:marLeft w:val="0"/>
                          <w:marRight w:val="0"/>
                          <w:marTop w:val="0"/>
                          <w:marBottom w:val="0"/>
                          <w:divBdr>
                            <w:top w:val="none" w:sz="0" w:space="0" w:color="auto"/>
                            <w:left w:val="none" w:sz="0" w:space="0" w:color="auto"/>
                            <w:bottom w:val="none" w:sz="0" w:space="0" w:color="auto"/>
                            <w:right w:val="none" w:sz="0" w:space="0" w:color="auto"/>
                          </w:divBdr>
                          <w:divsChild>
                            <w:div w:id="56441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ure.ulster.ac.uk/ws/files/78677552/Accepted_submisson_IJPE_2020.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https://journals.sagepub.com/doi/pdf/10.1177/0001839219836670" TargetMode="External"/><Relationship Id="rId4" Type="http://schemas.openxmlformats.org/officeDocument/2006/relationships/webSettings" Target="webSettings.xml"/><Relationship Id="rId9" Type="http://schemas.openxmlformats.org/officeDocument/2006/relationships/hyperlink" Target="https://www.mdpi.com/2071-1050/15/9/710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2365</Words>
  <Characters>13481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2023-07-02T09:54:00Z</dcterms:created>
  <dcterms:modified xsi:type="dcterms:W3CDTF">2023-07-02T09:54:00Z</dcterms:modified>
</cp:coreProperties>
</file>