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0A0919" w14:textId="77777777" w:rsidR="000450E8" w:rsidRDefault="000450E8" w:rsidP="00B93896">
      <w:pPr>
        <w:spacing w:line="480" w:lineRule="auto"/>
        <w:jc w:val="both"/>
      </w:pPr>
      <w:r>
        <w:t>In this essay I will discuss and evaluat</w:t>
      </w:r>
      <w:r w:rsidR="00B42BC8">
        <w:t>e</w:t>
      </w:r>
      <w:r>
        <w:t xml:space="preserve"> the relationship between teacher subject knowledge and effective teaching and learning within the primary school classroom. </w:t>
      </w:r>
      <w:r w:rsidR="00B42BC8">
        <w:t xml:space="preserve">Firstly, </w:t>
      </w:r>
      <w:r>
        <w:t xml:space="preserve">I will discuss the literature that surrounds teacher subject knowledge and reflect on whether the knowledge that a teacher has about subject matter </w:t>
      </w:r>
      <w:proofErr w:type="gramStart"/>
      <w:r>
        <w:t>is</w:t>
      </w:r>
      <w:proofErr w:type="gramEnd"/>
      <w:r>
        <w:t xml:space="preserve"> all that is needed for effective teaching and learning to occur. I will</w:t>
      </w:r>
      <w:r w:rsidR="00B42BC8">
        <w:t xml:space="preserve"> then</w:t>
      </w:r>
      <w:r>
        <w:t xml:space="preserve"> analyse my own teacher subject knowledge for primary teaching</w:t>
      </w:r>
      <w:r w:rsidR="00B42BC8">
        <w:t>,</w:t>
      </w:r>
      <w:r>
        <w:t xml:space="preserve"> bas</w:t>
      </w:r>
      <w:r w:rsidR="00B42BC8">
        <w:t>ing</w:t>
      </w:r>
      <w:r>
        <w:t xml:space="preserve"> my analysis on my first Professional Teaching Experience (PTE) in a placement school. For the purposes of this essay, I have chosen to take ethical considerations b</w:t>
      </w:r>
      <w:r w:rsidR="00B42BC8">
        <w:t>y</w:t>
      </w:r>
      <w:r>
        <w:t xml:space="preserve"> ensuring the anonymity of the school, the teachers and the pupils that I observed, according to the BERA (2018) guidelines. </w:t>
      </w:r>
    </w:p>
    <w:p w14:paraId="360BE544" w14:textId="77777777" w:rsidR="000450E8" w:rsidRDefault="000450E8" w:rsidP="00B93896">
      <w:pPr>
        <w:spacing w:line="480" w:lineRule="auto"/>
      </w:pPr>
    </w:p>
    <w:p w14:paraId="01672BBD" w14:textId="64A650C7" w:rsidR="000450E8" w:rsidRDefault="000450E8" w:rsidP="00B93896">
      <w:pPr>
        <w:spacing w:line="480" w:lineRule="auto"/>
        <w:jc w:val="both"/>
      </w:pPr>
      <w:r>
        <w:t xml:space="preserve">School X is a large, urban primary school in the centre of Swansea that accommodates pupils aged three to eleven. Of the 400 plus pupils that attend School X, 35 % of pupils are eligible for free school meals’ and 16 % of the pupils have been identified as having additional learning needs. The school also caters to children who speak English as an additional language (around 16%). I was placed in a Year 2 class with 30 students (22 female, 8 male) all aged 6-7 years of age. The class teacher was assisted by one full time teaching assistant, as well as two teaching assistants </w:t>
      </w:r>
      <w:r w:rsidR="00CF0807">
        <w:t>who</w:t>
      </w:r>
      <w:r>
        <w:t xml:space="preserve"> came in to help with reading.</w:t>
      </w:r>
    </w:p>
    <w:p w14:paraId="6E059074" w14:textId="77777777" w:rsidR="000450E8" w:rsidRDefault="000450E8" w:rsidP="00B93896">
      <w:pPr>
        <w:spacing w:line="480" w:lineRule="auto"/>
      </w:pPr>
    </w:p>
    <w:p w14:paraId="6683A514" w14:textId="77777777" w:rsidR="000450E8" w:rsidRDefault="000450E8" w:rsidP="00B93896">
      <w:pPr>
        <w:spacing w:line="480" w:lineRule="auto"/>
      </w:pPr>
    </w:p>
    <w:p w14:paraId="6360EE12" w14:textId="77777777" w:rsidR="000450E8" w:rsidRPr="00691382" w:rsidRDefault="00691382" w:rsidP="00B93896">
      <w:pPr>
        <w:spacing w:line="480" w:lineRule="auto"/>
        <w:rPr>
          <w:b/>
          <w:u w:val="single"/>
        </w:rPr>
      </w:pPr>
      <w:r w:rsidRPr="00691382">
        <w:rPr>
          <w:b/>
          <w:u w:val="single"/>
        </w:rPr>
        <w:t>Literature review</w:t>
      </w:r>
    </w:p>
    <w:p w14:paraId="189A0168" w14:textId="77777777" w:rsidR="000450E8" w:rsidRDefault="000450E8" w:rsidP="00B93896">
      <w:pPr>
        <w:spacing w:line="480" w:lineRule="auto"/>
      </w:pPr>
    </w:p>
    <w:p w14:paraId="6734B697" w14:textId="4D612FB1" w:rsidR="00361EEC" w:rsidRDefault="00952DD4" w:rsidP="00B93896">
      <w:pPr>
        <w:spacing w:line="480" w:lineRule="auto"/>
        <w:jc w:val="both"/>
      </w:pPr>
      <w:r>
        <w:t>A teacher</w:t>
      </w:r>
      <w:r w:rsidR="00D85E7F">
        <w:t xml:space="preserve"> has </w:t>
      </w:r>
      <w:r w:rsidR="00370D4F">
        <w:t>the crucial role of supporting children in their acquisition of knowledge and understanding</w:t>
      </w:r>
      <w:r w:rsidR="00BB1B30">
        <w:t xml:space="preserve">. </w:t>
      </w:r>
      <w:r w:rsidR="00022F28">
        <w:t xml:space="preserve">However, </w:t>
      </w:r>
      <w:r w:rsidR="005F25DA">
        <w:t xml:space="preserve">Ball (1991) argued that teachers cannot help children to learn </w:t>
      </w:r>
      <w:r w:rsidR="00E35163">
        <w:t>unless they themselves understand what they are teaching.</w:t>
      </w:r>
      <w:r w:rsidR="005F25DA">
        <w:t xml:space="preserve"> </w:t>
      </w:r>
      <w:r w:rsidR="00E35163">
        <w:t>Moreover</w:t>
      </w:r>
      <w:r w:rsidR="000D7C92">
        <w:t>,</w:t>
      </w:r>
      <w:r w:rsidR="00FA1EBF">
        <w:t xml:space="preserve"> </w:t>
      </w:r>
      <w:r w:rsidR="007F46E7">
        <w:t xml:space="preserve">the research </w:t>
      </w:r>
      <w:r w:rsidR="007F46E7">
        <w:lastRenderedPageBreak/>
        <w:t xml:space="preserve">conducted by Stronge (2018) on the qualities of effective teachers suggested that in order for effective teaching and learning to take place within the classroom a teacher must possess substantial thinking skills and a solid knowledge base to draw from. In his own words ‘Knowledge of subject matter is a prerequisite for effective classroom instruction’ (Stronge, 2018; 13). </w:t>
      </w:r>
      <w:r w:rsidR="004E017F">
        <w:t xml:space="preserve">Rowland et al. (2001) </w:t>
      </w:r>
      <w:r w:rsidR="00B42BC8">
        <w:t>supported this</w:t>
      </w:r>
      <w:r w:rsidR="004E017F">
        <w:t xml:space="preserve"> in their study of</w:t>
      </w:r>
      <w:r w:rsidR="00D663CE">
        <w:t xml:space="preserve"> the</w:t>
      </w:r>
      <w:r w:rsidR="004E017F">
        <w:t xml:space="preserve"> </w:t>
      </w:r>
      <w:r w:rsidR="00D663CE">
        <w:t>mathematics subject knowledge of trainee primary school teachers</w:t>
      </w:r>
      <w:r w:rsidR="00B42BC8">
        <w:t>, finding</w:t>
      </w:r>
      <w:r w:rsidR="00D663CE">
        <w:t xml:space="preserve"> that those </w:t>
      </w:r>
      <w:r w:rsidR="00A13E36">
        <w:t>trainees</w:t>
      </w:r>
      <w:r w:rsidR="00D663CE">
        <w:t xml:space="preserve"> with a secure knowledge of mathematics, including and extending beyond the primary school curriculum, were more likely to exhibit competent teaching of mathematics</w:t>
      </w:r>
      <w:r w:rsidR="00B42BC8">
        <w:t xml:space="preserve">, whilst </w:t>
      </w:r>
      <w:r w:rsidR="00A13E36">
        <w:t>poor subject matter knowledge led to less competent teaching of mathematics.</w:t>
      </w:r>
      <w:r w:rsidR="00361EEC">
        <w:t xml:space="preserve"> From this research the link between subject matter knowledge and effective teaching and learning can clearly be seen.</w:t>
      </w:r>
    </w:p>
    <w:p w14:paraId="6C4DA774" w14:textId="77777777" w:rsidR="00361EEC" w:rsidRDefault="00361EEC" w:rsidP="00B93896">
      <w:pPr>
        <w:spacing w:line="480" w:lineRule="auto"/>
      </w:pPr>
    </w:p>
    <w:p w14:paraId="7A1DFCDB" w14:textId="07D3773E" w:rsidR="009527A6" w:rsidRDefault="00A13E36" w:rsidP="00B93896">
      <w:pPr>
        <w:spacing w:line="480" w:lineRule="auto"/>
        <w:jc w:val="both"/>
      </w:pPr>
      <w:r>
        <w:t xml:space="preserve">It has also been suggested that teachers </w:t>
      </w:r>
      <w:r w:rsidR="00B42BC8">
        <w:t>who</w:t>
      </w:r>
      <w:r>
        <w:t xml:space="preserve"> hold a strong and secure knowledge of subject matter have more confidence in the classroom and are more likely to embrace</w:t>
      </w:r>
      <w:r w:rsidR="00361EEC">
        <w:t xml:space="preserve"> opportunities for student directed learning and discussion.</w:t>
      </w:r>
      <w:r>
        <w:t xml:space="preserve"> Goulding et al. (2002) noted that teachers that lack confidence in their subject matter knowledge may be inhibited in responding to </w:t>
      </w:r>
      <w:r w:rsidR="00361EEC">
        <w:t xml:space="preserve">students if an unexpected question is asked. Due to their lack of confidence, these teachers may resort to rigid, teacher directed lessons that leave little room for children to interact with and internalise the subject knowledge that is being imparted to them. This is demonstrated in Grossman’s (1985) study of trainee teacher Colleen. During Colleen’s lesson on literature, a subject that </w:t>
      </w:r>
      <w:r w:rsidR="00B42BC8">
        <w:t>she</w:t>
      </w:r>
      <w:r w:rsidR="00361EEC">
        <w:t xml:space="preserve"> was highly confident in due to </w:t>
      </w:r>
      <w:r w:rsidR="00B42BC8">
        <w:t>her</w:t>
      </w:r>
      <w:r w:rsidR="00361EEC">
        <w:t xml:space="preserve"> </w:t>
      </w:r>
      <w:r w:rsidR="004E055C">
        <w:t>Master’s</w:t>
      </w:r>
      <w:r w:rsidR="00361EEC">
        <w:t xml:space="preserve"> degree in the subject, Grossman observed how Colleen was highly interactive with her students </w:t>
      </w:r>
      <w:r w:rsidR="00FC45E7">
        <w:t xml:space="preserve">and adopted a constructivist approach to her teaching, drawing on student ideas from their discussion of the text they were studying. However, weeks later during a unit of grammar, which Colleen admitted to being unsure of, her teaching style altered dramatically because of her lack of confidence in </w:t>
      </w:r>
      <w:r w:rsidR="00FC45E7">
        <w:lastRenderedPageBreak/>
        <w:t>her subject matter knowledge. Gone was the interactive, constructivist teacher of the literature lesson and in her place was a nervous teacher lecturing her students from the front of the class. The dramatic change in Colleen and the way in which she taught her lessons emphasises the importance of having teachers with strong subject matter knowledge in the primary school classroom. It provides students with opportunities to engage directly with their own learning and ask questions/take part in discussions to extend their subject knowledge. This cannot happen if the teacher is not confident in their knowledge of the subject that they are teaching.</w:t>
      </w:r>
      <w:r w:rsidR="004B3DBE">
        <w:t xml:space="preserve"> It is important to note, however, that many of these studies </w:t>
      </w:r>
      <w:r w:rsidR="00C45FE6">
        <w:t xml:space="preserve">also </w:t>
      </w:r>
      <w:r w:rsidR="004B3DBE">
        <w:t>examined what constitutes a knowledge base for teaching. Is it just the subject matter knowledge of a teacher that is important, or are there other aspects of teaching that are necessary for effective teaching and learning to take place in the primary school classroom? Is effective teaching determined by how much a teacher knows about a subject or does a teacher’s pedagogical skills need to be taken into account?</w:t>
      </w:r>
      <w:r w:rsidR="00FA1EBF">
        <w:t xml:space="preserve"> Here I will focus on the importance of teacher subject knowledge and whether good subject knowledge</w:t>
      </w:r>
      <w:r w:rsidR="000D7C92">
        <w:t xml:space="preserve"> is all that is needed for effective teaching and learning to take place in the primary school classroom.</w:t>
      </w:r>
    </w:p>
    <w:p w14:paraId="6B7A572A" w14:textId="77777777" w:rsidR="004B3DBE" w:rsidRDefault="004B3DBE" w:rsidP="00B93896">
      <w:pPr>
        <w:spacing w:line="480" w:lineRule="auto"/>
      </w:pPr>
    </w:p>
    <w:p w14:paraId="4F6EDEF7" w14:textId="0B3C03A9" w:rsidR="004B3DBE" w:rsidRDefault="004B3DBE" w:rsidP="00B93896">
      <w:pPr>
        <w:spacing w:line="480" w:lineRule="auto"/>
        <w:jc w:val="both"/>
      </w:pPr>
      <w:r>
        <w:t xml:space="preserve">The discussion of teacher knowledge began with the seminal article by Shulman (1987), </w:t>
      </w:r>
      <w:r w:rsidR="007F5B67">
        <w:t>in which</w:t>
      </w:r>
      <w:r>
        <w:t xml:space="preserve"> he proposed an overarching knowledge base for teaching, consisting of seven categories. Three </w:t>
      </w:r>
      <w:r w:rsidR="00ED375A">
        <w:t xml:space="preserve">of the </w:t>
      </w:r>
      <w:r>
        <w:t>categories suggested by Shulman emphasise the importance of secure subject matter knowledge (SMK) in teaching. He defined this knowledge as ‘the amount and organisation of the knowledge per se in the mind of the teacher’ (Shulman, 1986; 9)</w:t>
      </w:r>
      <w:r w:rsidR="0063617B">
        <w:t xml:space="preserve">, consisting of both substantive knowledge (the key facts, concepts and principles of a subject) and syntactic knowledge (how new knowledge in introduced and integrated into the existing body of knowledge for a subject). </w:t>
      </w:r>
      <w:r w:rsidR="00A04A63">
        <w:t xml:space="preserve">However, in addition to a teacher’s SMK and their </w:t>
      </w:r>
      <w:r w:rsidR="00A04A63">
        <w:lastRenderedPageBreak/>
        <w:t>knowledge of general pedagogical principles, Shulman proposed that there was a special form of knowledge unique to the teaching profession</w:t>
      </w:r>
      <w:r w:rsidR="00E8578B">
        <w:t xml:space="preserve"> which constituted a major component of the knowledge base for teaching. This special form of knowledge became known as pedagogical content knowledge (PCK) and was based on the way in which expert teachers related their pedagogical knowledge (what they know and understand about teaching) to their subject matter knowledge (their knowledge about what they are teaching) to create a deep and integrated understanding of: the organisation of subject matter and topics and how to sequence this knowledge appropriately when teaching students, the misconceptions that students might face during their learning, as well as the ability to adapt and transform their SMK into something that can benefit student learning. Shulman defined pedagogical content knowledge as</w:t>
      </w:r>
    </w:p>
    <w:p w14:paraId="6B6C9B8B" w14:textId="77777777" w:rsidR="00E8578B" w:rsidRDefault="00E8578B" w:rsidP="00B93896">
      <w:pPr>
        <w:spacing w:line="480" w:lineRule="auto"/>
      </w:pPr>
    </w:p>
    <w:p w14:paraId="40982054" w14:textId="77777777" w:rsidR="00E8578B" w:rsidRDefault="00E8578B" w:rsidP="00B93896">
      <w:pPr>
        <w:spacing w:line="480" w:lineRule="auto"/>
      </w:pPr>
      <w:r>
        <w:t>‘…the blending of content and pedagogy…[and] the category most likely to distinguish the understanding of the content specialist from that of the pedagogue.’ (Shulman, 1987; 8)</w:t>
      </w:r>
    </w:p>
    <w:p w14:paraId="271D01AC" w14:textId="77777777" w:rsidR="00E8578B" w:rsidRDefault="00E8578B" w:rsidP="00B93896">
      <w:pPr>
        <w:spacing w:line="480" w:lineRule="auto"/>
      </w:pPr>
    </w:p>
    <w:p w14:paraId="1ED5DE15" w14:textId="2B2487CE" w:rsidR="00E8578B" w:rsidRDefault="00E8578B" w:rsidP="00B93896">
      <w:pPr>
        <w:spacing w:line="480" w:lineRule="auto"/>
        <w:jc w:val="both"/>
      </w:pPr>
      <w:r>
        <w:t>Th</w:t>
      </w:r>
      <w:r w:rsidR="00363A86">
        <w:t>is suggests that a teacher’s ‘subject’ knowledge cannot be limited to what they know about a particular subject. Instead, there is a need to acknowledge other aspects of teaching that contribute to effective teaching and learning. Shulman’s model of PCK suggests that a teacher’s knowledge of subject matter and their general pedagogical skills need to be integrated into one body of knowledge that a teacher can use to facilitate new understanding for their pupils. Without it, effective teaching and learning cannot occur.</w:t>
      </w:r>
      <w:r w:rsidR="00401A52">
        <w:t xml:space="preserve"> Additionally, i</w:t>
      </w:r>
      <w:r w:rsidR="00363A86">
        <w:t>n their research into what makes g</w:t>
      </w:r>
      <w:r w:rsidR="00195BB0">
        <w:t>ood</w:t>
      </w:r>
      <w:r w:rsidR="0038592F">
        <w:t xml:space="preserve"> teaching, Coe et al. (2014) found that it was the blending of content and pedagogy that had the biggest impact on student learning. They argued that a teacher must possess a strong level of SMK, as well as an innate understanding of how their </w:t>
      </w:r>
      <w:r w:rsidR="0038592F">
        <w:lastRenderedPageBreak/>
        <w:t xml:space="preserve">students think about the content being taught, for effective teaching and learning to take place. Having a strong understanding of SMK and how students think about content enables teachers to translate their understanding of a topic into student learning and understanding. Grant et al. (2013) </w:t>
      </w:r>
      <w:r w:rsidR="000635EC">
        <w:t>suggested that effective teaching does not reside simply in the subject matter knowledge of</w:t>
      </w:r>
      <w:r w:rsidR="00195BB0">
        <w:t xml:space="preserve"> the</w:t>
      </w:r>
      <w:r w:rsidR="000635EC">
        <w:t xml:space="preserve"> teacher, but that the teachers who understand how to transform that SMK into appropriate learning activities based on their students’ abilities</w:t>
      </w:r>
      <w:r w:rsidR="00C45FE6">
        <w:t xml:space="preserve"> are able to</w:t>
      </w:r>
      <w:r w:rsidR="000635EC">
        <w:t xml:space="preserve"> create the most effective learning environments. </w:t>
      </w:r>
    </w:p>
    <w:p w14:paraId="0DB580C2" w14:textId="77777777" w:rsidR="009C770E" w:rsidRDefault="009C770E" w:rsidP="00B93896">
      <w:pPr>
        <w:spacing w:line="480" w:lineRule="auto"/>
      </w:pPr>
    </w:p>
    <w:p w14:paraId="07193DA4" w14:textId="00A8C392" w:rsidR="009C770E" w:rsidRDefault="009C770E" w:rsidP="00B93896">
      <w:pPr>
        <w:spacing w:line="480" w:lineRule="auto"/>
        <w:jc w:val="both"/>
      </w:pPr>
      <w:r>
        <w:t>The case study of Lucy by Park &amp; Oliver (200</w:t>
      </w:r>
      <w:r w:rsidR="009B7EDA">
        <w:t>7</w:t>
      </w:r>
      <w:r>
        <w:t>) demonstrates the importance of integrating SMK and pedagogical knowledge for effective teaching. In th</w:t>
      </w:r>
      <w:r w:rsidR="00322122">
        <w:t>is</w:t>
      </w:r>
      <w:r>
        <w:t xml:space="preserve"> study</w:t>
      </w:r>
      <w:r w:rsidR="00322122">
        <w:t xml:space="preserve">, </w:t>
      </w:r>
      <w:r>
        <w:t xml:space="preserve">it is clear that the integration of </w:t>
      </w:r>
      <w:r w:rsidR="00322122">
        <w:t>Lucy’s</w:t>
      </w:r>
      <w:r>
        <w:t xml:space="preserve"> subject matter knowledge on the topic of zinc, her knowledge of the science curriculum and her understanding of the possible misconceptions her students might have during the lesson, and the resulting PCK she applied to her teaching allowed Lucy to overcome a challenging moment during her lesson</w:t>
      </w:r>
      <w:r w:rsidR="00C45FE6">
        <w:t>,</w:t>
      </w:r>
      <w:r>
        <w:t xml:space="preserve"> and to help her students arrive at an understanding of the topic that was being taught.</w:t>
      </w:r>
      <w:r w:rsidR="00763EFE">
        <w:t xml:space="preserve"> Van Driel et.al (1998) argued that an adequate knowledge of subject matter is needed for PCK to develop and this is shown in the case of Lucy and her science lesson. Her in-depth knowledge of the subject matter was a necessary and important part of </w:t>
      </w:r>
      <w:r w:rsidR="00AF7DE2">
        <w:t xml:space="preserve">the </w:t>
      </w:r>
      <w:r w:rsidR="00763EFE">
        <w:t>lesson</w:t>
      </w:r>
      <w:r w:rsidR="00322122">
        <w:t>, enabling</w:t>
      </w:r>
      <w:r w:rsidR="00763EFE">
        <w:t xml:space="preserve"> Lucy to recognise that the shattering of the zinc would lead to student misconceptions, however, it was</w:t>
      </w:r>
      <w:r w:rsidR="00322122">
        <w:t xml:space="preserve"> the</w:t>
      </w:r>
      <w:r w:rsidR="00763EFE">
        <w:t xml:space="preserve"> blending of this knowledge and Lucy’s pedagogical skills of questioning and discussion with her students that created an effective teaching and learning moment. Weiss and Miller (2006)</w:t>
      </w:r>
      <w:r w:rsidR="00C45FE6">
        <w:t xml:space="preserve"> has also</w:t>
      </w:r>
      <w:r w:rsidR="00763EFE">
        <w:t xml:space="preserve"> suggest</w:t>
      </w:r>
      <w:r w:rsidR="00C45FE6">
        <w:t>ed</w:t>
      </w:r>
      <w:r w:rsidR="00763EFE">
        <w:t xml:space="preserve"> that it is teachers with a strong and deep understanding of the</w:t>
      </w:r>
      <w:r w:rsidR="00195BB0">
        <w:t>ir</w:t>
      </w:r>
      <w:r w:rsidR="00763EFE">
        <w:t xml:space="preserve"> subject that are more likely to take a constructivist approach in the classroom. They noted that teachers secure in their knowledge of subject matter use teaching strategies that allow students to </w:t>
      </w:r>
      <w:r w:rsidR="00763EFE">
        <w:lastRenderedPageBreak/>
        <w:t>construct and internalise knowledge, leading to higher order learning in the classroom. When the zinc shattered, Lucy was able to apply her SMK and PCK to guide her students thinking away from misconceptions about what happens to zinc when hit</w:t>
      </w:r>
      <w:r w:rsidR="00322122">
        <w:t>,</w:t>
      </w:r>
      <w:r w:rsidR="00AF7DE2">
        <w:t xml:space="preserve"> and into an understanding of the topic</w:t>
      </w:r>
      <w:r w:rsidR="00195BB0">
        <w:t xml:space="preserve"> of zinc itself</w:t>
      </w:r>
      <w:r w:rsidR="00AF7DE2">
        <w:t>.</w:t>
      </w:r>
    </w:p>
    <w:p w14:paraId="6E5E61AA" w14:textId="77777777" w:rsidR="00763EFE" w:rsidRDefault="00763EFE" w:rsidP="00B93896">
      <w:pPr>
        <w:spacing w:line="480" w:lineRule="auto"/>
      </w:pPr>
    </w:p>
    <w:p w14:paraId="35D5B397" w14:textId="77777777" w:rsidR="00B129FC" w:rsidRDefault="00B129FC" w:rsidP="00B93896">
      <w:pPr>
        <w:spacing w:line="480" w:lineRule="auto"/>
        <w:jc w:val="both"/>
      </w:pPr>
      <w:r>
        <w:t xml:space="preserve">This emphasises how the knowledge base for teaching needs to be broader than simply focusing on subject matter knowledge. Research into this subject by Harris &amp; Sass (2009) and Agathangelou et al. (2016) indicates that SMK is an </w:t>
      </w:r>
      <w:r w:rsidR="00322122">
        <w:t xml:space="preserve">imperative </w:t>
      </w:r>
      <w:r>
        <w:t>aspect of the teacher knowledge base, as teachers with strong SMK are able to positively impact student learning. However, from Park &amp; Oliver’s research into PCK it can be seen that for effective teaching to occur in the classroom, a teacher must have more at their disposal than SMK. Without her blending of content and pedagogy, Lucy’s science lesson could have taken the same direction as trainee teacher Colleen in Grossman’s study (1985).</w:t>
      </w:r>
    </w:p>
    <w:p w14:paraId="62577302" w14:textId="77777777" w:rsidR="00B129FC" w:rsidRDefault="00B129FC" w:rsidP="00B93896">
      <w:pPr>
        <w:spacing w:line="480" w:lineRule="auto"/>
      </w:pPr>
    </w:p>
    <w:p w14:paraId="4FE3F4AF" w14:textId="3ABD998A" w:rsidR="00B129FC" w:rsidRDefault="00B129FC" w:rsidP="00B93896">
      <w:pPr>
        <w:spacing w:line="480" w:lineRule="auto"/>
        <w:jc w:val="both"/>
      </w:pPr>
      <w:r>
        <w:t>The importance of blending content and pedagogy in teaching is reflected in the research conducted by Rowland et al. (2003), in which they proposed a comprehensive tool through which to observe and analyse teacher subject knowledge. They named this tool the Knowledge Quartet (KQ). The KQ was split into four ‘members</w:t>
      </w:r>
      <w:r w:rsidR="00322122">
        <w:t>’</w:t>
      </w:r>
      <w:r>
        <w:t xml:space="preserve"> or dimensions that Rowland et al. named: foundation, transformation, connection and contingency. The first dimension of the KQ, Foundation, relates to the theoretical background of SMK and PCK in teaching, as well as a teacher’s beliefs about teaching. Transformation looks at the way in which teacher’s transform their SMK and transmit these ideas to their students by using examples, illustrations, and representations. Connection focuses on the sequencing of subjects and lessons, in addition to associating lessons with previous ones and using student’s prior </w:t>
      </w:r>
      <w:r>
        <w:lastRenderedPageBreak/>
        <w:t xml:space="preserve">knowledge to help move learning forward. The last member of the Quartet, Contingency, deals with the unexpected aspects of </w:t>
      </w:r>
      <w:r w:rsidR="002C316C">
        <w:t xml:space="preserve">a </w:t>
      </w:r>
      <w:r>
        <w:t xml:space="preserve">lesson that can cause a lesson to deviate from what was previously planned. These unexpected aspects can range from the teacher using an unplanned example to a student asking a question that the teacher is unprepared for. The KQ helps teachers to reflect on their own practice and use this knowledge to develop their own content knowledge to further student learning in lessons to come. Turner (2012) noted that the use of KQ in mathematics lessons specifically can help teachers become more reflective and continue their professional development. The KQ helps teachers to focus, not just on what they know and how that can be improved, but how they teach and the impact this has on student learning. </w:t>
      </w:r>
    </w:p>
    <w:p w14:paraId="772EB90F" w14:textId="77777777" w:rsidR="00B129FC" w:rsidRDefault="00B129FC" w:rsidP="00B93896">
      <w:pPr>
        <w:spacing w:line="480" w:lineRule="auto"/>
      </w:pPr>
    </w:p>
    <w:p w14:paraId="567E6C55" w14:textId="77777777" w:rsidR="00B129FC" w:rsidRDefault="00B129FC" w:rsidP="00B93896">
      <w:pPr>
        <w:spacing w:line="480" w:lineRule="auto"/>
        <w:jc w:val="both"/>
      </w:pPr>
      <w:r>
        <w:t>The Knowledge Quartet, therefore, correlate</w:t>
      </w:r>
      <w:r w:rsidR="00DA1A6B">
        <w:t>s</w:t>
      </w:r>
      <w:r>
        <w:t xml:space="preserve"> with the first three categories of Shulman’s knowledge base for teaching. In a later text, Rowland et al. (2009) clarified that the development of the Knowledge Quartet emerged from the observation and analysis of mathematics lessons. Indeed, much of the literature centred around the Knowledge Quartet focuses on mathematics and the teacher knowledge that is required to teach mathematics effectively (Weston, 2013; Liston, 2015; Unver, 2018). Despite the clarification put forward by Rowland et al. (2009), it is possible to apply the KQ to other aspects of the curriculum and subject knowledge as the main focus of the KQ is the SMK and PCK of teachers. This is demonstrated by </w:t>
      </w:r>
      <w:r w:rsidR="00DA1A6B">
        <w:t xml:space="preserve">referring to </w:t>
      </w:r>
      <w:r>
        <w:t xml:space="preserve">Park &amp; Oliver’s (2007) case study of Lucy. The many aspects of teaching that Lucy utilises in her lesson correlate to both Shulman’s knowledge base for teaching as well as the Knowledge Quartet. What should be noted here, however, is that the KQ is a tool for reflection in order to help teachers develop their professional knowledge. This has been demonstrated in the observations of mathematics lessons, (Turner, 2012; Livy, </w:t>
      </w:r>
      <w:r>
        <w:lastRenderedPageBreak/>
        <w:t>2010), and can be seen in Lucy’s analysis of her science lesson. It can be argued, therefore, that while the KQ shares many of the same views as Shulman’s knowledge base, primarily it is a tool for teachers to develop and expand their knowledge of teaching</w:t>
      </w:r>
      <w:r w:rsidR="00DA1A6B">
        <w:t xml:space="preserve"> and</w:t>
      </w:r>
      <w:r>
        <w:t xml:space="preserve"> can be used to improve both teaching and learning. </w:t>
      </w:r>
    </w:p>
    <w:p w14:paraId="4B0EEAB2" w14:textId="77777777" w:rsidR="003D7F27" w:rsidRDefault="003D7F27" w:rsidP="00B93896">
      <w:pPr>
        <w:spacing w:line="480" w:lineRule="auto"/>
      </w:pPr>
    </w:p>
    <w:p w14:paraId="164E8522" w14:textId="0669521C" w:rsidR="00B129FC" w:rsidRDefault="00B129FC" w:rsidP="00B93896">
      <w:pPr>
        <w:spacing w:line="480" w:lineRule="auto"/>
        <w:jc w:val="both"/>
      </w:pPr>
      <w:r>
        <w:t xml:space="preserve">From both of these essential readings and the literature that surrounds them, it is clear that a teacher’s ‘subject’ knowledge cannot be simply limited to what a teacher knows or how they manage a classroom. A broad view of the different aspects of teaching needs to be considered when discussing the knowledge of a teacher. A teacher must have a strong and secure knowledge of subject matter, the understanding of how to evaluate student knowledge and thinking, and the ability to transform this knowledge into something that can benefit student learning. While Shulman’s model of PCK, the specialised form of knowledge unique to teaching that has been outlined above, has been widely debated and contested, with researchers expanding and changing what constitutes PCK for teaching (Grossman, 1990; Hattie, 2012), it is acknowledged throughout the research into teaching that effective teaching and learning occurs when a teacher is able to blend content and pedagogy together. Therefore, a teacher’s ‘subject’ knowledge has to be seen as being more than their own understanding of subject </w:t>
      </w:r>
      <w:r w:rsidR="001411E0">
        <w:t>matter</w:t>
      </w:r>
      <w:r>
        <w:t xml:space="preserve"> and must include a range of aspects from the teaching knowledge base in order to be effective.</w:t>
      </w:r>
    </w:p>
    <w:p w14:paraId="5D56345A" w14:textId="77777777" w:rsidR="00335DDB" w:rsidRDefault="00335DDB" w:rsidP="00B93896">
      <w:pPr>
        <w:spacing w:line="480" w:lineRule="auto"/>
      </w:pPr>
    </w:p>
    <w:p w14:paraId="4F235A14" w14:textId="77777777" w:rsidR="006D4388" w:rsidRDefault="006D4388" w:rsidP="00B93896">
      <w:pPr>
        <w:spacing w:line="480" w:lineRule="auto"/>
        <w:rPr>
          <w:b/>
          <w:u w:val="single"/>
        </w:rPr>
      </w:pPr>
    </w:p>
    <w:p w14:paraId="0917F914" w14:textId="77777777" w:rsidR="00B93896" w:rsidRDefault="00B93896" w:rsidP="00B93896">
      <w:pPr>
        <w:spacing w:line="480" w:lineRule="auto"/>
        <w:rPr>
          <w:b/>
          <w:u w:val="single"/>
        </w:rPr>
      </w:pPr>
    </w:p>
    <w:p w14:paraId="6077E6A3" w14:textId="77777777" w:rsidR="00B93896" w:rsidRDefault="00B93896" w:rsidP="00B93896">
      <w:pPr>
        <w:spacing w:line="480" w:lineRule="auto"/>
        <w:rPr>
          <w:b/>
          <w:u w:val="single"/>
        </w:rPr>
      </w:pPr>
    </w:p>
    <w:p w14:paraId="5D71479E" w14:textId="77777777" w:rsidR="00B93896" w:rsidRDefault="00B93896" w:rsidP="00B93896">
      <w:pPr>
        <w:spacing w:line="480" w:lineRule="auto"/>
        <w:rPr>
          <w:b/>
          <w:u w:val="single"/>
        </w:rPr>
      </w:pPr>
    </w:p>
    <w:p w14:paraId="1A4394FF" w14:textId="72D7D773" w:rsidR="00763EFE" w:rsidRDefault="006D4388" w:rsidP="00B93896">
      <w:pPr>
        <w:spacing w:line="480" w:lineRule="auto"/>
        <w:rPr>
          <w:b/>
          <w:u w:val="single"/>
        </w:rPr>
      </w:pPr>
      <w:r w:rsidRPr="006D4388">
        <w:rPr>
          <w:b/>
          <w:u w:val="single"/>
        </w:rPr>
        <w:lastRenderedPageBreak/>
        <w:t>Analysis and Evaluation of Subject Knowledge</w:t>
      </w:r>
    </w:p>
    <w:p w14:paraId="2DB7CB69" w14:textId="77777777" w:rsidR="006D4388" w:rsidRDefault="006D4388" w:rsidP="00B93896">
      <w:pPr>
        <w:spacing w:line="480" w:lineRule="auto"/>
        <w:rPr>
          <w:b/>
          <w:u w:val="single"/>
        </w:rPr>
      </w:pPr>
    </w:p>
    <w:p w14:paraId="7F034DA3" w14:textId="65635EC6" w:rsidR="006D4388" w:rsidRDefault="006D4388" w:rsidP="00B93896">
      <w:pPr>
        <w:spacing w:line="480" w:lineRule="auto"/>
        <w:jc w:val="both"/>
      </w:pPr>
      <w:r>
        <w:t xml:space="preserve">Whilst on my first teaching practice, I noticed that I lacked an area of subject knowledge essential </w:t>
      </w:r>
      <w:r w:rsidR="00DA1A6B">
        <w:t>to</w:t>
      </w:r>
      <w:r>
        <w:t xml:space="preserve"> teaching in Wales. This was my knowledge of the subject Welsh. As noted by Donaldson (2015) in his proposal for the new curriculum, the Welsh Government has designated the teaching and learning of the Welsh language as a key priority moving forward. This has meant that the Welsh language has become a central element of one of the six new Areas of learning and experience set out in Donaldson’s report Successful Futures (2015). The lesson that I have chosen to focus on (see Appendix 1) is linked to the Languages, Literacy and Communication area of learning and experience, and this involved the pupils completing a questionnaire, using the new Welsh pattern that they had been taught. For the children working with the teaching assistant, the Welsh pattern</w:t>
      </w:r>
      <w:r w:rsidR="00E04D6F">
        <w:t xml:space="preserve"> was used</w:t>
      </w:r>
      <w:r>
        <w:t xml:space="preserve"> to ask and answer</w:t>
      </w:r>
      <w:r w:rsidR="00DA1A6B">
        <w:t xml:space="preserve"> questions</w:t>
      </w:r>
      <w:r>
        <w:t xml:space="preserve"> about their favourite colours.</w:t>
      </w:r>
    </w:p>
    <w:p w14:paraId="3CC665E5" w14:textId="77777777" w:rsidR="006D4388" w:rsidRDefault="006D4388" w:rsidP="00B93896">
      <w:pPr>
        <w:spacing w:line="480" w:lineRule="auto"/>
      </w:pPr>
    </w:p>
    <w:p w14:paraId="223FC973" w14:textId="3684E137" w:rsidR="006D4388" w:rsidRDefault="006D4388" w:rsidP="00B93896">
      <w:pPr>
        <w:spacing w:line="480" w:lineRule="auto"/>
        <w:jc w:val="both"/>
      </w:pPr>
      <w:r>
        <w:t>With limited foundation knowledge and no prior experience of teaching Welsh, I suffered from a lack of confidence before I began teaching the lesson. Despite my planning, I felt out of my depth with the subject matter (see Appendix 2) and this had a profound effect on how the children interacted with this new Welsh pattern. As noted</w:t>
      </w:r>
      <w:r w:rsidR="00AF684B">
        <w:t xml:space="preserve"> in Grossman’s study of Colleen</w:t>
      </w:r>
      <w:r>
        <w:t xml:space="preserve">, a lack of confidence in one’s own SMK can negatively impact the teaching and learning that occurs in the classroom (Goulding, 2002; Ball, 1991). Borko (2014) </w:t>
      </w:r>
      <w:r w:rsidR="00AF684B">
        <w:t xml:space="preserve">also </w:t>
      </w:r>
      <w:r>
        <w:t>argued that it is essential for a teacher to ‘understand the central facts and concepts of the discipline, how these ideas are connected, and the processes used to establish new knowledge’ (Borko, 2004; 5)</w:t>
      </w:r>
      <w:r w:rsidR="00AF684B">
        <w:t>, whilst</w:t>
      </w:r>
      <w:r>
        <w:t xml:space="preserve"> Stronge (2018) suggested that a teacher’s knowledge of subject matter (facts, principles, methods etc.) determines a teacher’s pedagogical thinking and decision making</w:t>
      </w:r>
      <w:r w:rsidR="00AF684B">
        <w:t>.</w:t>
      </w:r>
      <w:r>
        <w:t xml:space="preserve"> </w:t>
      </w:r>
      <w:r w:rsidR="00AF684B">
        <w:lastRenderedPageBreak/>
        <w:t>Despite my understanding of the central concepts, m</w:t>
      </w:r>
      <w:r>
        <w:t>y lack of confidence in my SMK effected my teaching methods</w:t>
      </w:r>
      <w:r w:rsidR="00AF684B">
        <w:t>, resulting in</w:t>
      </w:r>
      <w:r>
        <w:t xml:space="preserve"> a didactic, teacher-directed start to the lesson</w:t>
      </w:r>
      <w:r w:rsidR="00AF684B">
        <w:t xml:space="preserve"> in which I was unable to blend subject knowledge and pedagogical thinking</w:t>
      </w:r>
      <w:r>
        <w:t>. There was little room for students to interact with the lesson themselves, which left them confused and unsure when it came to them using the Welsh patterns. In this way, my lesson heavily resembled Colleen’s lesson from Grossman’s (1985) study, with both myself and Colleen controlling the lesson from the front of the classroom and preventing the children from interacting with and internalising the knowledge that I was trying to impart to them. Following this didactic start to the lesson then, many of the children completing the questionnaire resorted to using English to ask and answer the questions. It was my lack of confidence in my SMK and my consequent poor PCK that led to poor learning occurring during this lesson.</w:t>
      </w:r>
    </w:p>
    <w:p w14:paraId="042010A8" w14:textId="77777777" w:rsidR="006D4388" w:rsidRDefault="006D4388" w:rsidP="00B93896">
      <w:pPr>
        <w:spacing w:line="480" w:lineRule="auto"/>
      </w:pPr>
    </w:p>
    <w:p w14:paraId="5D2BA245" w14:textId="03176D84" w:rsidR="006D4388" w:rsidRDefault="006D4388" w:rsidP="00B93896">
      <w:pPr>
        <w:spacing w:line="480" w:lineRule="auto"/>
        <w:jc w:val="both"/>
      </w:pPr>
      <w:r>
        <w:t xml:space="preserve">In order to </w:t>
      </w:r>
      <w:r w:rsidR="00AA1DD8">
        <w:t>overcome this</w:t>
      </w:r>
      <w:r>
        <w:t>, I observed my class mentor teaching the introduction of the following Welsh lesson. The difference in the two lessons was drastic. My class mentor was confident in her SMK and this allowed her to successfully transform her knowledge into something that benefitted student learning. I noted the way in which she linked the new Welsh pattern with certain actions, which served as a prompt for the children when they were unsure of the pattern. I used what I had observed and reflected upon in these two lessons in my next attempt at a Welsh lesson (see Appendix 3). My use of reflection and analysis</w:t>
      </w:r>
      <w:r w:rsidR="00E04D6F">
        <w:t>, which</w:t>
      </w:r>
      <w:r w:rsidR="00C45FE6">
        <w:t xml:space="preserve"> is</w:t>
      </w:r>
      <w:r w:rsidR="00E04D6F">
        <w:t xml:space="preserve"> linked to the Knowledge Quartet,</w:t>
      </w:r>
      <w:r>
        <w:t xml:space="preserve"> enabled me to </w:t>
      </w:r>
      <w:r w:rsidR="00E04D6F">
        <w:t>better</w:t>
      </w:r>
      <w:r>
        <w:t xml:space="preserve"> my</w:t>
      </w:r>
      <w:r w:rsidR="00E04D6F">
        <w:t xml:space="preserve"> teacher knowledge and my</w:t>
      </w:r>
      <w:r>
        <w:t xml:space="preserve"> teaching of Welsh for my next lesson. I</w:t>
      </w:r>
      <w:r w:rsidR="00E04D6F">
        <w:t xml:space="preserve"> also</w:t>
      </w:r>
      <w:r>
        <w:t xml:space="preserve"> improved my SMK (as well as my confidence in teaching this subject) and consequently my PCK (Van Driel et al. 1998)</w:t>
      </w:r>
      <w:r w:rsidR="00AA1DD8">
        <w:t xml:space="preserve">, which </w:t>
      </w:r>
      <w:r>
        <w:t>was reflected in how my style of teaching</w:t>
      </w:r>
      <w:r w:rsidR="008D3F83">
        <w:t xml:space="preserve"> changed</w:t>
      </w:r>
      <w:r>
        <w:t xml:space="preserve"> and how I transformed my SMK into activities that were </w:t>
      </w:r>
      <w:r>
        <w:lastRenderedPageBreak/>
        <w:t>appropriate for the learners in my class</w:t>
      </w:r>
      <w:r w:rsidR="00AA1DD8">
        <w:t>,</w:t>
      </w:r>
      <w:r w:rsidR="008D3F83">
        <w:t xml:space="preserve"> allow</w:t>
      </w:r>
      <w:r w:rsidR="00AA1DD8">
        <w:t>ing</w:t>
      </w:r>
      <w:r w:rsidR="008D3F83">
        <w:t xml:space="preserve"> more effective teaching and learning to take place. </w:t>
      </w:r>
    </w:p>
    <w:p w14:paraId="6DFD1578" w14:textId="77777777" w:rsidR="006D4388" w:rsidRPr="006D4388" w:rsidRDefault="006D4388" w:rsidP="00B93896">
      <w:pPr>
        <w:spacing w:line="480" w:lineRule="auto"/>
        <w:rPr>
          <w:b/>
          <w:u w:val="single"/>
        </w:rPr>
      </w:pPr>
    </w:p>
    <w:p w14:paraId="212D85B8" w14:textId="43619A05" w:rsidR="003D49CB" w:rsidRDefault="003D49CB" w:rsidP="00B93896">
      <w:pPr>
        <w:spacing w:line="480" w:lineRule="auto"/>
        <w:jc w:val="both"/>
      </w:pPr>
      <w:r>
        <w:t xml:space="preserve">Another lesson (see Appendix 4) I have chosen to focus on for the analysis of my teacher subject knowledge is linked to the Mathematics and Numeracy area of learning and experience. This lesson involved the children rolling a dice and then doubling the number that they had rolled. My foundation knowledge for this lesson was much more secure than that of my Welsh lesson. My increased confidence allowed me to plan appropriate and engaging activities for the pupils to complete during the main body of the lesson. However, I took my understanding of the subject matter for granted and subsequently failed to explain the concept in an accessible way for the lower ability learners in my Maths group. The introduction of the lesson comprised of a video introduction of the concept and then working through an example of doubling on the interactive white board with the children. While this was a good start to the lesson, my class mentor noted in her oral feedback (see Appendix 5) that I should have worked through more examples with the children before </w:t>
      </w:r>
      <w:r w:rsidR="00AA1DD8">
        <w:t>asking</w:t>
      </w:r>
      <w:r>
        <w:t xml:space="preserve"> them</w:t>
      </w:r>
      <w:r w:rsidR="00AA1DD8">
        <w:t xml:space="preserve"> </w:t>
      </w:r>
      <w:r>
        <w:t>to complete the</w:t>
      </w:r>
      <w:r w:rsidR="00AA1DD8">
        <w:t xml:space="preserve"> tasks</w:t>
      </w:r>
      <w:r>
        <w:t>. I had dismissed them</w:t>
      </w:r>
      <w:r w:rsidR="00C45FE6">
        <w:t xml:space="preserve"> from the carpet</w:t>
      </w:r>
      <w:r>
        <w:t xml:space="preserve"> before I had ensured they had a good grasp of the mathematical concept they would be using throughout the lesson and this was reflected in the confusion of the lower ability learners. My class mentor, who I had asked to work with the lower ability learners, had to work with them as a group to structure their understanding,</w:t>
      </w:r>
      <w:r w:rsidR="00B75C8F">
        <w:t xml:space="preserve"> before</w:t>
      </w:r>
      <w:r>
        <w:t xml:space="preserve"> </w:t>
      </w:r>
      <w:r w:rsidR="00B75C8F">
        <w:t>they could attempt to</w:t>
      </w:r>
      <w:r>
        <w:t xml:space="preserve"> complete the main tasks independently.</w:t>
      </w:r>
    </w:p>
    <w:p w14:paraId="6A6FB7B0" w14:textId="77777777" w:rsidR="003D49CB" w:rsidRDefault="003D49CB" w:rsidP="00B93896">
      <w:pPr>
        <w:spacing w:line="480" w:lineRule="auto"/>
      </w:pPr>
    </w:p>
    <w:p w14:paraId="5AE6BE97" w14:textId="21E89262" w:rsidR="003D49CB" w:rsidRDefault="003D49CB" w:rsidP="00B93896">
      <w:pPr>
        <w:spacing w:line="480" w:lineRule="auto"/>
        <w:jc w:val="both"/>
      </w:pPr>
      <w:r>
        <w:t xml:space="preserve">My limited use of examples during this lesson is linked to the transformation stage of the Knowledge Quartet. </w:t>
      </w:r>
      <w:r w:rsidR="00AA1DD8">
        <w:t xml:space="preserve">This </w:t>
      </w:r>
      <w:r>
        <w:t xml:space="preserve">looks at the way a teacher is able to transform their SMK and transmit these ideas to their students through the use of examples, illustrations and </w:t>
      </w:r>
      <w:r>
        <w:lastRenderedPageBreak/>
        <w:t xml:space="preserve">representations. This </w:t>
      </w:r>
      <w:r w:rsidR="00AA1DD8">
        <w:t>example</w:t>
      </w:r>
      <w:r>
        <w:t xml:space="preserve"> also links to Shulman’s theory (1987) of the knowledge base for teaching, in which he argued that a teacher’s knowledge of subject matter, while important, is not the only aspect that should be considered when discussing effective teaching and learning. Ribeiro &amp; Yanez (2012)</w:t>
      </w:r>
      <w:r w:rsidR="00AA1DD8">
        <w:t xml:space="preserve"> support this,</w:t>
      </w:r>
      <w:r>
        <w:t xml:space="preserve"> suggest</w:t>
      </w:r>
      <w:r w:rsidR="00AA1DD8">
        <w:t>ing</w:t>
      </w:r>
      <w:r>
        <w:t xml:space="preserve"> that it was teachers with strong pedagogical content knowledge </w:t>
      </w:r>
      <w:r w:rsidR="00040E6D">
        <w:t>and</w:t>
      </w:r>
      <w:r>
        <w:t xml:space="preserve"> secure knowledge of the concepts they were teaching, </w:t>
      </w:r>
      <w:r w:rsidR="00C45FE6">
        <w:t>that had</w:t>
      </w:r>
      <w:r>
        <w:t xml:space="preserve"> a better understanding of how to choose examples and sequence tasks suitable for the lesson. This demonstrates that</w:t>
      </w:r>
      <w:r w:rsidR="00040E6D">
        <w:t>, during</w:t>
      </w:r>
      <w:r>
        <w:t xml:space="preserve"> this mathematics lesson</w:t>
      </w:r>
      <w:r w:rsidR="00040E6D">
        <w:t>,</w:t>
      </w:r>
      <w:r>
        <w:t xml:space="preserve"> it was my PCK that was lacking and not my SMK. I failed to transform my knowledge of the subject matter and transmit the concept of doubling in an accessible way for all of my students.</w:t>
      </w:r>
    </w:p>
    <w:p w14:paraId="612A9705" w14:textId="77777777" w:rsidR="003D49CB" w:rsidRDefault="003D49CB" w:rsidP="00B93896">
      <w:pPr>
        <w:spacing w:line="480" w:lineRule="auto"/>
      </w:pPr>
    </w:p>
    <w:p w14:paraId="39F097CC" w14:textId="4A28F68F" w:rsidR="003D49CB" w:rsidRDefault="003D49CB" w:rsidP="00B93896">
      <w:pPr>
        <w:spacing w:line="480" w:lineRule="auto"/>
        <w:jc w:val="both"/>
      </w:pPr>
      <w:r>
        <w:t xml:space="preserve">In order to </w:t>
      </w:r>
      <w:r w:rsidR="00040E6D">
        <w:t>improve</w:t>
      </w:r>
      <w:r>
        <w:t xml:space="preserve"> in my next lesson on doubling, I needed to rethink how I could transform and transmit my SMK to my students. Using the feedback of my class mentor and my</w:t>
      </w:r>
      <w:r w:rsidR="00F75EF3">
        <w:t xml:space="preserve"> own</w:t>
      </w:r>
      <w:r>
        <w:t xml:space="preserve"> reflection and analysis of the lesson, I altered my lesson plan to include more time to work through examples with the learners. This </w:t>
      </w:r>
      <w:r w:rsidR="00040E6D">
        <w:t>n</w:t>
      </w:r>
      <w:r>
        <w:t>ot only</w:t>
      </w:r>
      <w:r w:rsidR="00040E6D">
        <w:t xml:space="preserve"> allowed</w:t>
      </w:r>
      <w:r>
        <w:t xml:space="preserve"> me to address a gap in my own knowledge base for teaching, </w:t>
      </w:r>
      <w:r w:rsidR="00040E6D">
        <w:t xml:space="preserve">but </w:t>
      </w:r>
      <w:r>
        <w:t>to</w:t>
      </w:r>
      <w:r w:rsidR="00040E6D">
        <w:t xml:space="preserve"> also</w:t>
      </w:r>
      <w:r w:rsidR="00C45FE6">
        <w:t xml:space="preserve"> enabled me to</w:t>
      </w:r>
      <w:r>
        <w:t xml:space="preserve"> better assess the children’s understanding of the concept that was being taught. It </w:t>
      </w:r>
      <w:r w:rsidR="00F75EF3">
        <w:t>enabled</w:t>
      </w:r>
      <w:r>
        <w:t xml:space="preserve"> me to use more pedagogical strategies, such as questioning, to stretch and challenge the learners and help them to internalise the knowledge that I was teaching. </w:t>
      </w:r>
      <w:r w:rsidR="00BC0B7F">
        <w:t xml:space="preserve">My </w:t>
      </w:r>
      <w:r w:rsidR="00C45FE6">
        <w:t xml:space="preserve">more </w:t>
      </w:r>
      <w:r w:rsidR="00D1275C">
        <w:t>effective</w:t>
      </w:r>
      <w:r w:rsidR="00BC0B7F">
        <w:t xml:space="preserve"> transformation of subject knowledge allowed the </w:t>
      </w:r>
      <w:r w:rsidR="00FF71EA">
        <w:t>pupils</w:t>
      </w:r>
      <w:r w:rsidR="00BC0B7F">
        <w:t xml:space="preserve"> to progress</w:t>
      </w:r>
      <w:r w:rsidR="00D1275C">
        <w:t xml:space="preserve"> successfully </w:t>
      </w:r>
      <w:r w:rsidR="00FF71EA">
        <w:t>in their work on doubling</w:t>
      </w:r>
      <w:r w:rsidR="00ED3ED2">
        <w:t xml:space="preserve"> and this </w:t>
      </w:r>
      <w:r w:rsidR="00040E6D">
        <w:t>facilitated</w:t>
      </w:r>
      <w:r w:rsidR="00ED3ED2">
        <w:t xml:space="preserve"> more effective teaching and learning to take place</w:t>
      </w:r>
      <w:r w:rsidR="00F75EF3">
        <w:t>,</w:t>
      </w:r>
      <w:r w:rsidR="008A4CD7">
        <w:t xml:space="preserve"> </w:t>
      </w:r>
      <w:r w:rsidR="00F75EF3">
        <w:t>due to</w:t>
      </w:r>
      <w:r w:rsidR="00040E6D">
        <w:t xml:space="preserve"> my subsequent</w:t>
      </w:r>
      <w:r w:rsidR="00F75EF3">
        <w:t xml:space="preserve"> </w:t>
      </w:r>
      <w:r w:rsidR="00ED3ED2">
        <w:t>blend</w:t>
      </w:r>
      <w:r w:rsidR="00040E6D">
        <w:t>ing of</w:t>
      </w:r>
      <w:r w:rsidR="00ED3ED2">
        <w:t xml:space="preserve"> content and pedagogy</w:t>
      </w:r>
      <w:r w:rsidR="008A4CD7">
        <w:t xml:space="preserve"> </w:t>
      </w:r>
      <w:r w:rsidR="00040E6D">
        <w:t>(</w:t>
      </w:r>
      <w:r w:rsidR="008A4CD7">
        <w:t>Shulman</w:t>
      </w:r>
      <w:r w:rsidR="00040E6D">
        <w:t>,</w:t>
      </w:r>
      <w:r w:rsidR="008A4CD7">
        <w:t xml:space="preserve"> 1987)</w:t>
      </w:r>
      <w:r w:rsidR="00AA142A">
        <w:t xml:space="preserve">. </w:t>
      </w:r>
      <w:r w:rsidR="001171D3">
        <w:t xml:space="preserve">Furthermore, </w:t>
      </w:r>
      <w:proofErr w:type="spellStart"/>
      <w:r w:rsidR="00AA142A">
        <w:t>Mc</w:t>
      </w:r>
      <w:r w:rsidR="00240736">
        <w:t>Be</w:t>
      </w:r>
      <w:r w:rsidR="00AA142A">
        <w:t>r</w:t>
      </w:r>
      <w:proofErr w:type="spellEnd"/>
      <w:r w:rsidR="00AA142A">
        <w:t xml:space="preserve"> (2001)</w:t>
      </w:r>
      <w:r w:rsidR="001171D3">
        <w:t xml:space="preserve"> argued</w:t>
      </w:r>
      <w:r w:rsidR="00AA142A">
        <w:t xml:space="preserve"> in their research into early professional </w:t>
      </w:r>
      <w:r w:rsidR="001171D3">
        <w:t>development</w:t>
      </w:r>
      <w:r w:rsidR="00AA142A">
        <w:t xml:space="preserve"> for </w:t>
      </w:r>
      <w:r w:rsidR="001171D3">
        <w:t>teachers that</w:t>
      </w:r>
      <w:r w:rsidR="002477E4">
        <w:t xml:space="preserve"> pupil progress</w:t>
      </w:r>
      <w:r w:rsidR="00F167AE">
        <w:t xml:space="preserve"> only</w:t>
      </w:r>
      <w:r w:rsidR="00705BF6">
        <w:t xml:space="preserve"> occurs</w:t>
      </w:r>
      <w:r w:rsidR="002477E4">
        <w:t xml:space="preserve"> when a teacher is able to successfully apply subject knowledge and subject teaching methods</w:t>
      </w:r>
      <w:r w:rsidR="00705BF6">
        <w:t xml:space="preserve">. This is emphasised by the second doubling lesson that I taught, where I </w:t>
      </w:r>
      <w:r w:rsidR="00197FD9">
        <w:t xml:space="preserve">used my SMK and </w:t>
      </w:r>
      <w:r w:rsidR="00197FD9">
        <w:lastRenderedPageBreak/>
        <w:t>pedagogical skills to help the pupils progress in their knowledge of the mathematical concept of doubling.</w:t>
      </w:r>
    </w:p>
    <w:p w14:paraId="5DFC460C" w14:textId="77777777" w:rsidR="003D49CB" w:rsidRDefault="003D49CB" w:rsidP="00B93896">
      <w:pPr>
        <w:spacing w:line="480" w:lineRule="auto"/>
      </w:pPr>
    </w:p>
    <w:p w14:paraId="32182B81" w14:textId="2F4D26FC" w:rsidR="003D49CB" w:rsidRDefault="003D49CB" w:rsidP="00B93896">
      <w:pPr>
        <w:spacing w:line="480" w:lineRule="auto"/>
        <w:jc w:val="both"/>
      </w:pPr>
      <w:r>
        <w:t>Addressing this gap in my PCK for mathematics is significant with the introduction of the new curriculum. In Successful Futures (2015), Donaldson proposed three cross curricular responsibilities for teaching</w:t>
      </w:r>
      <w:r w:rsidR="00040E6D">
        <w:t>;</w:t>
      </w:r>
      <w:r>
        <w:t xml:space="preserve"> literacy, numeracy and digital competence. Literacy and numeracy have been cross curricular responsibilities for teachers since 2013, which saw the introduction of the Literacy and Numeracy Framework. However, more emphasis has been placed on these responsibilities to help improve these skills and ensure that learners have a solid foundation of knowledge that they can </w:t>
      </w:r>
      <w:r w:rsidR="00C45FE6">
        <w:t>use and apply across the curriculum</w:t>
      </w:r>
      <w:r>
        <w:t>. As numeracy is a cross curricular responsibility</w:t>
      </w:r>
      <w:r w:rsidR="00263DBA">
        <w:t>,</w:t>
      </w:r>
      <w:r>
        <w:t xml:space="preserve"> it is essential for my SMK and PCK to be </w:t>
      </w:r>
      <w:r w:rsidR="00263DBA">
        <w:t>secure</w:t>
      </w:r>
      <w:r>
        <w:t xml:space="preserve"> </w:t>
      </w:r>
      <w:r w:rsidR="00D12189">
        <w:t>as this will</w:t>
      </w:r>
      <w:r>
        <w:t xml:space="preserve"> enable me to include and teach mathematical concepts across the curriculum. This is equally as important for the other two cross curricular responsibilities.</w:t>
      </w:r>
    </w:p>
    <w:p w14:paraId="6449B1FA" w14:textId="77777777" w:rsidR="00763EFE" w:rsidRDefault="00763EFE" w:rsidP="00B93896">
      <w:pPr>
        <w:spacing w:line="480" w:lineRule="auto"/>
      </w:pPr>
    </w:p>
    <w:p w14:paraId="7A3DB3E9" w14:textId="77777777" w:rsidR="004B3DBE" w:rsidRDefault="00753BC5" w:rsidP="00B93896">
      <w:pPr>
        <w:spacing w:line="480" w:lineRule="auto"/>
        <w:jc w:val="both"/>
      </w:pPr>
      <w:r>
        <w:t>I</w:t>
      </w:r>
      <w:r w:rsidR="00F167AE">
        <w:t>t</w:t>
      </w:r>
      <w:r w:rsidR="00F754BC">
        <w:t xml:space="preserve"> is clear </w:t>
      </w:r>
      <w:r>
        <w:t xml:space="preserve">from my evaluation and analysis of my own knowledge base for teaching </w:t>
      </w:r>
      <w:r w:rsidR="00F754BC">
        <w:t>that</w:t>
      </w:r>
      <w:r w:rsidR="00271E02">
        <w:t xml:space="preserve"> </w:t>
      </w:r>
      <w:r w:rsidR="00F638A8">
        <w:t xml:space="preserve">a teacher’s knowledge base needs to be secure to ensure that pupil progress </w:t>
      </w:r>
      <w:r w:rsidR="001123C5">
        <w:t>occurs</w:t>
      </w:r>
      <w:r w:rsidR="00820741">
        <w:t>. Moving forward in my own practice, I need to reflect</w:t>
      </w:r>
      <w:r w:rsidR="00B5589C">
        <w:t xml:space="preserve"> on</w:t>
      </w:r>
      <w:r w:rsidR="00820741">
        <w:t xml:space="preserve"> and analyse my SMK and subsequent PCK to guarantee </w:t>
      </w:r>
      <w:r w:rsidR="002C7D00">
        <w:t>that there are no gaps in my knowledge base for teaching</w:t>
      </w:r>
      <w:r w:rsidR="001123C5">
        <w:t xml:space="preserve">, </w:t>
      </w:r>
      <w:r w:rsidR="00865589">
        <w:t>as</w:t>
      </w:r>
      <w:r w:rsidR="005F3C4A">
        <w:t xml:space="preserve"> th</w:t>
      </w:r>
      <w:r w:rsidR="000D6B1C">
        <w:t xml:space="preserve">is will enable me to </w:t>
      </w:r>
      <w:r w:rsidR="002C7D00">
        <w:t xml:space="preserve">create an effective teaching and learning environment in the primary classroom. </w:t>
      </w:r>
      <w:r w:rsidR="00AF5C3A">
        <w:t xml:space="preserve">In addition to secure SMK and PCK, </w:t>
      </w:r>
      <w:r w:rsidR="004871FC">
        <w:t xml:space="preserve">Shulman noted that ‘a knowledge base for teaching is not fixed and final’ (Shulman, 1987; </w:t>
      </w:r>
      <w:r w:rsidR="009513D9">
        <w:t xml:space="preserve">12). </w:t>
      </w:r>
      <w:r w:rsidR="001123C5">
        <w:t>It</w:t>
      </w:r>
      <w:r w:rsidR="009513D9">
        <w:t xml:space="preserve"> is important then that while I use Shulman’s ideas for the knowledge base and the tool of the Knowledge Quartet to make sure my teacher knowledge is soli</w:t>
      </w:r>
      <w:r w:rsidR="007F443A">
        <w:t xml:space="preserve">d and secure, I also recognise that my knowledge base </w:t>
      </w:r>
      <w:r w:rsidR="00136737">
        <w:t xml:space="preserve">needs to be flexible </w:t>
      </w:r>
      <w:r w:rsidR="00136737">
        <w:lastRenderedPageBreak/>
        <w:t>to accommodate the new curriculum and the effect this will have on my teacher knowledge</w:t>
      </w:r>
      <w:r w:rsidR="00235321">
        <w:t xml:space="preserve"> base. </w:t>
      </w:r>
    </w:p>
    <w:p w14:paraId="2C2BE7A8" w14:textId="77777777" w:rsidR="00FC45E7" w:rsidRDefault="00FC45E7" w:rsidP="00B93896">
      <w:pPr>
        <w:spacing w:line="480" w:lineRule="auto"/>
      </w:pPr>
    </w:p>
    <w:p w14:paraId="2B62F52B" w14:textId="77777777" w:rsidR="00DF58C6" w:rsidRDefault="00DF58C6" w:rsidP="00B93896">
      <w:pPr>
        <w:spacing w:line="480" w:lineRule="auto"/>
      </w:pPr>
    </w:p>
    <w:p w14:paraId="0E6443FF" w14:textId="483AA20E" w:rsidR="00DF58C6" w:rsidRDefault="00884457" w:rsidP="00B93896">
      <w:pPr>
        <w:spacing w:line="480" w:lineRule="auto"/>
        <w:rPr>
          <w:b/>
          <w:u w:val="single"/>
        </w:rPr>
      </w:pPr>
      <w:r w:rsidRPr="00884457">
        <w:rPr>
          <w:b/>
          <w:u w:val="single"/>
        </w:rPr>
        <w:t>Conclusion</w:t>
      </w:r>
    </w:p>
    <w:p w14:paraId="0C67DB2A" w14:textId="77777777" w:rsidR="00C45FE6" w:rsidRDefault="00C45FE6" w:rsidP="00B93896">
      <w:pPr>
        <w:spacing w:line="480" w:lineRule="auto"/>
        <w:rPr>
          <w:b/>
          <w:u w:val="single"/>
        </w:rPr>
      </w:pPr>
    </w:p>
    <w:p w14:paraId="37914B27" w14:textId="074F9934" w:rsidR="002648B8" w:rsidRDefault="004C0AC5" w:rsidP="00B93896">
      <w:pPr>
        <w:spacing w:line="480" w:lineRule="auto"/>
        <w:jc w:val="both"/>
      </w:pPr>
      <w:r>
        <w:t>To conclude, a teacher’s subject knowledge is comprised of more than just what they know about the subjects they teach. Whi</w:t>
      </w:r>
      <w:r w:rsidR="00C45FE6">
        <w:t>l</w:t>
      </w:r>
      <w:r>
        <w:t xml:space="preserve">st it is </w:t>
      </w:r>
      <w:r w:rsidR="002648B8">
        <w:t>essential</w:t>
      </w:r>
      <w:r>
        <w:t xml:space="preserve"> to have a </w:t>
      </w:r>
      <w:r w:rsidR="002648B8">
        <w:t xml:space="preserve">good understanding of subject matter, it is the blending of content and pedagogy that enables effective teaching and learning to take place in the classroom. The literature surrounding subject knowledge for teaching demonstrates the need for a teacher to have a </w:t>
      </w:r>
      <w:r w:rsidR="003F3550">
        <w:t>deep understanding of subject matter,</w:t>
      </w:r>
      <w:r w:rsidR="00744DB2">
        <w:t xml:space="preserve"> understanding of</w:t>
      </w:r>
      <w:r w:rsidR="003F3550">
        <w:t xml:space="preserve"> how their pupils think and interact with new content, and </w:t>
      </w:r>
      <w:r w:rsidR="00744DB2">
        <w:t xml:space="preserve">possess </w:t>
      </w:r>
      <w:r w:rsidR="003F3550">
        <w:t xml:space="preserve">the ability to transform their SMK into something that benefits the diverse range of learners that can be found in the primary school classroom. </w:t>
      </w:r>
      <w:r w:rsidR="009B359E">
        <w:t>The reflection on my own teacher knowledge</w:t>
      </w:r>
      <w:r w:rsidR="00F86005">
        <w:t xml:space="preserve"> illustrates the importance of my</w:t>
      </w:r>
      <w:r w:rsidR="009B359E">
        <w:t xml:space="preserve"> blend</w:t>
      </w:r>
      <w:r w:rsidR="00F86005">
        <w:t>ing</w:t>
      </w:r>
      <w:r w:rsidR="009B359E">
        <w:t xml:space="preserve"> SMK and pedagogical skills successfully to ensure pupil understanding and progress</w:t>
      </w:r>
      <w:r w:rsidR="00F86005">
        <w:t>, as well as</w:t>
      </w:r>
      <w:r w:rsidR="005B7534">
        <w:t xml:space="preserve"> </w:t>
      </w:r>
      <w:r w:rsidR="00F25ABF">
        <w:t xml:space="preserve">the importance of </w:t>
      </w:r>
      <w:r w:rsidR="005F2A1D">
        <w:t xml:space="preserve">using </w:t>
      </w:r>
      <w:r w:rsidR="00536F0A">
        <w:t xml:space="preserve">examples as a tool to </w:t>
      </w:r>
      <w:r w:rsidR="00D529C5">
        <w:t>structure</w:t>
      </w:r>
      <w:r w:rsidR="00536F0A">
        <w:t xml:space="preserve"> student </w:t>
      </w:r>
      <w:r w:rsidR="00AF5C3A">
        <w:t>understanding</w:t>
      </w:r>
      <w:r w:rsidR="007168E1">
        <w:t>. M</w:t>
      </w:r>
      <w:r w:rsidR="00536F0A">
        <w:t>oving forward I will use examples</w:t>
      </w:r>
      <w:r w:rsidR="00677A4D">
        <w:t xml:space="preserve"> within my teaching</w:t>
      </w:r>
      <w:r w:rsidR="00536F0A">
        <w:t xml:space="preserve"> </w:t>
      </w:r>
      <w:r w:rsidR="00D529C5">
        <w:t>to transmit my SMK in an accessible way for my students</w:t>
      </w:r>
      <w:r w:rsidR="00F86005">
        <w:t xml:space="preserve">, ensuring a cohesive fusion of subject knowledge and pedagogy to create engaging and constructive lessons for my pupils. </w:t>
      </w:r>
    </w:p>
    <w:p w14:paraId="5BFCF5E0" w14:textId="77777777" w:rsidR="004C17C4" w:rsidRDefault="004C17C4"/>
    <w:p w14:paraId="127182FF" w14:textId="77777777" w:rsidR="004C17C4" w:rsidRDefault="004C17C4"/>
    <w:p w14:paraId="27BB2457" w14:textId="77777777" w:rsidR="004C17C4" w:rsidRDefault="004C17C4"/>
    <w:p w14:paraId="0A243CEB" w14:textId="77777777" w:rsidR="00631378" w:rsidRDefault="00631378">
      <w:pPr>
        <w:rPr>
          <w:b/>
          <w:u w:val="single"/>
        </w:rPr>
      </w:pPr>
    </w:p>
    <w:p w14:paraId="20877861" w14:textId="77777777" w:rsidR="00B93896" w:rsidRDefault="00B93896">
      <w:pPr>
        <w:rPr>
          <w:b/>
          <w:u w:val="single"/>
        </w:rPr>
      </w:pPr>
    </w:p>
    <w:p w14:paraId="18261CE9" w14:textId="77777777" w:rsidR="00B93896" w:rsidRDefault="00B93896">
      <w:pPr>
        <w:rPr>
          <w:b/>
          <w:u w:val="single"/>
        </w:rPr>
      </w:pPr>
    </w:p>
    <w:p w14:paraId="09B49593" w14:textId="77777777" w:rsidR="00B93896" w:rsidRDefault="00B93896">
      <w:pPr>
        <w:rPr>
          <w:b/>
          <w:u w:val="single"/>
        </w:rPr>
      </w:pPr>
    </w:p>
    <w:p w14:paraId="516DDDD1" w14:textId="092FCC12" w:rsidR="004C17C4" w:rsidRPr="004C17C4" w:rsidRDefault="004C17C4">
      <w:pPr>
        <w:rPr>
          <w:b/>
          <w:u w:val="single"/>
        </w:rPr>
      </w:pPr>
      <w:bookmarkStart w:id="0" w:name="_GoBack"/>
      <w:bookmarkEnd w:id="0"/>
      <w:r w:rsidRPr="004C17C4">
        <w:rPr>
          <w:b/>
          <w:u w:val="single"/>
        </w:rPr>
        <w:lastRenderedPageBreak/>
        <w:t>Bibliography</w:t>
      </w:r>
    </w:p>
    <w:p w14:paraId="7EE38E50" w14:textId="77777777" w:rsidR="00F43E16" w:rsidRDefault="00F43E16" w:rsidP="00F43E16">
      <w:pPr>
        <w:rPr>
          <w:rFonts w:ascii="Calibri" w:hAnsi="Calibri" w:cs="Calibri"/>
        </w:rPr>
      </w:pPr>
    </w:p>
    <w:p w14:paraId="7AD788C6" w14:textId="77777777" w:rsidR="0099291E" w:rsidRPr="0099291E" w:rsidRDefault="0099291E" w:rsidP="0099291E">
      <w:pPr>
        <w:rPr>
          <w:rFonts w:eastAsia="Times New Roman" w:cstheme="minorHAnsi"/>
        </w:rPr>
      </w:pPr>
      <w:r w:rsidRPr="0099291E">
        <w:rPr>
          <w:rFonts w:eastAsia="Times New Roman" w:cstheme="minorHAnsi"/>
        </w:rPr>
        <w:t xml:space="preserve">Agathangelou, S. A., Charalambous, C. Y., &amp; </w:t>
      </w:r>
      <w:proofErr w:type="spellStart"/>
      <w:r w:rsidRPr="0099291E">
        <w:rPr>
          <w:rFonts w:eastAsia="Times New Roman" w:cstheme="minorHAnsi"/>
        </w:rPr>
        <w:t>Koutselini</w:t>
      </w:r>
      <w:proofErr w:type="spellEnd"/>
      <w:r w:rsidRPr="0099291E">
        <w:rPr>
          <w:rFonts w:eastAsia="Times New Roman" w:cstheme="minorHAnsi"/>
        </w:rPr>
        <w:t xml:space="preserve">, M. (2016). ‘Reconsidering the contribution of teacher knowledge to student learning: Linear or curvilinear effects?’ </w:t>
      </w:r>
      <w:r w:rsidRPr="0099291E">
        <w:rPr>
          <w:rFonts w:eastAsia="Times New Roman" w:cstheme="minorHAnsi"/>
          <w:i/>
        </w:rPr>
        <w:t>Teaching and Teacher Education</w:t>
      </w:r>
      <w:r w:rsidRPr="0099291E">
        <w:rPr>
          <w:rFonts w:eastAsia="Times New Roman" w:cstheme="minorHAnsi"/>
        </w:rPr>
        <w:t>, Vol.57, pp.125–138.</w:t>
      </w:r>
    </w:p>
    <w:p w14:paraId="39A6FB8E" w14:textId="77777777" w:rsidR="00F43E16" w:rsidRDefault="000F765D" w:rsidP="00716F06">
      <w:pPr>
        <w:pStyle w:val="NormalWeb"/>
        <w:rPr>
          <w:rFonts w:asciiTheme="minorHAnsi" w:hAnsiTheme="minorHAnsi" w:cstheme="minorHAnsi"/>
        </w:rPr>
      </w:pPr>
      <w:r>
        <w:rPr>
          <w:rFonts w:asciiTheme="minorHAnsi" w:hAnsiTheme="minorHAnsi" w:cstheme="minorHAnsi"/>
        </w:rPr>
        <w:t>Ball</w:t>
      </w:r>
      <w:r w:rsidR="00024E41">
        <w:rPr>
          <w:rFonts w:asciiTheme="minorHAnsi" w:hAnsiTheme="minorHAnsi" w:cstheme="minorHAnsi"/>
        </w:rPr>
        <w:t xml:space="preserve">, D.L (1991) ‘Research on teaching mathematics: Making subject matter knowledge part of the equation’. In </w:t>
      </w:r>
      <w:r w:rsidR="00B45E89">
        <w:rPr>
          <w:rFonts w:asciiTheme="minorHAnsi" w:hAnsiTheme="minorHAnsi" w:cstheme="minorHAnsi"/>
        </w:rPr>
        <w:t xml:space="preserve">J. Brophy (ed.) </w:t>
      </w:r>
      <w:r w:rsidR="00B45E89">
        <w:rPr>
          <w:rFonts w:asciiTheme="minorHAnsi" w:hAnsiTheme="minorHAnsi" w:cstheme="minorHAnsi"/>
          <w:i/>
        </w:rPr>
        <w:t>Advances in research on teaching</w:t>
      </w:r>
      <w:r w:rsidR="009635AC">
        <w:rPr>
          <w:rFonts w:asciiTheme="minorHAnsi" w:hAnsiTheme="minorHAnsi" w:cstheme="minorHAnsi"/>
          <w:i/>
        </w:rPr>
        <w:t xml:space="preserve">, </w:t>
      </w:r>
      <w:r w:rsidR="009635AC">
        <w:rPr>
          <w:rFonts w:asciiTheme="minorHAnsi" w:hAnsiTheme="minorHAnsi" w:cstheme="minorHAnsi"/>
        </w:rPr>
        <w:t>Vol 2, pp. 1-47.</w:t>
      </w:r>
    </w:p>
    <w:p w14:paraId="560D5884" w14:textId="77777777" w:rsidR="0064488C" w:rsidRDefault="0064488C" w:rsidP="0064488C">
      <w:pPr>
        <w:rPr>
          <w:rFonts w:ascii="Calibri" w:eastAsia="Times New Roman" w:hAnsi="Calibri" w:cs="Calibri"/>
        </w:rPr>
      </w:pPr>
      <w:r>
        <w:rPr>
          <w:rFonts w:ascii="Calibri" w:hAnsi="Calibri" w:cs="Calibri"/>
        </w:rPr>
        <w:t xml:space="preserve">BERA (2018). </w:t>
      </w:r>
      <w:r w:rsidRPr="00DB0B3B">
        <w:rPr>
          <w:rFonts w:ascii="Calibri" w:hAnsi="Calibri" w:cs="Calibri"/>
          <w:i/>
        </w:rPr>
        <w:t>Ethical Guidelines for Educational Research</w:t>
      </w:r>
      <w:r>
        <w:rPr>
          <w:rFonts w:ascii="Calibri" w:hAnsi="Calibri" w:cs="Calibri"/>
          <w:i/>
        </w:rPr>
        <w:t xml:space="preserve">. </w:t>
      </w:r>
      <w:r>
        <w:rPr>
          <w:rFonts w:ascii="Calibri" w:hAnsi="Calibri" w:cs="Calibri"/>
        </w:rPr>
        <w:t>Available at:</w:t>
      </w:r>
      <w:r w:rsidRPr="00DB0B3B">
        <w:t xml:space="preserve"> </w:t>
      </w:r>
      <w:hyperlink r:id="rId7" w:history="1">
        <w:r w:rsidRPr="00704B26">
          <w:rPr>
            <w:rStyle w:val="Hyperlink"/>
            <w:rFonts w:ascii="Calibri" w:hAnsi="Calibri" w:cs="Calibri"/>
          </w:rPr>
          <w:t>https://www.bera.ac.uk/wp-content/uploads/2018/06/BERA-Ethical-Guidelines-for-Educational-Research_4thEdn_2018.pdf?noredirect=1</w:t>
        </w:r>
      </w:hyperlink>
      <w:r>
        <w:rPr>
          <w:rFonts w:ascii="Calibri" w:hAnsi="Calibri" w:cs="Calibri"/>
        </w:rPr>
        <w:t xml:space="preserve"> (Accessed: 28</w:t>
      </w:r>
      <w:r w:rsidRPr="00DB0B3B">
        <w:rPr>
          <w:rFonts w:ascii="Calibri" w:hAnsi="Calibri" w:cs="Calibri"/>
          <w:vertAlign w:val="superscript"/>
        </w:rPr>
        <w:t>th</w:t>
      </w:r>
      <w:r>
        <w:rPr>
          <w:rFonts w:ascii="Calibri" w:hAnsi="Calibri" w:cs="Calibri"/>
        </w:rPr>
        <w:t xml:space="preserve"> December 2018)</w:t>
      </w:r>
    </w:p>
    <w:p w14:paraId="5909A94D" w14:textId="77777777" w:rsidR="0064488C" w:rsidRPr="003B51E3" w:rsidRDefault="0064488C" w:rsidP="00716F06">
      <w:pPr>
        <w:pStyle w:val="NormalWeb"/>
        <w:rPr>
          <w:rFonts w:asciiTheme="minorHAnsi" w:hAnsiTheme="minorHAnsi" w:cstheme="minorHAnsi"/>
        </w:rPr>
      </w:pPr>
      <w:r>
        <w:rPr>
          <w:rFonts w:asciiTheme="minorHAnsi" w:hAnsiTheme="minorHAnsi" w:cstheme="minorHAnsi"/>
        </w:rPr>
        <w:t>Borko</w:t>
      </w:r>
      <w:r w:rsidR="00412DC9">
        <w:rPr>
          <w:rFonts w:asciiTheme="minorHAnsi" w:hAnsiTheme="minorHAnsi" w:cstheme="minorHAnsi"/>
        </w:rPr>
        <w:t>, H</w:t>
      </w:r>
      <w:r w:rsidR="00B168B0">
        <w:rPr>
          <w:rFonts w:asciiTheme="minorHAnsi" w:hAnsiTheme="minorHAnsi" w:cstheme="minorHAnsi"/>
        </w:rPr>
        <w:t>. (2004). ‘</w:t>
      </w:r>
      <w:r w:rsidR="00B168B0" w:rsidRPr="00B168B0">
        <w:rPr>
          <w:rFonts w:asciiTheme="minorHAnsi" w:hAnsiTheme="minorHAnsi" w:cstheme="minorHAnsi"/>
        </w:rPr>
        <w:t>Professional Development and Teacher Learning: Mapping the Terrain.’</w:t>
      </w:r>
      <w:r w:rsidR="003B51E3">
        <w:rPr>
          <w:rFonts w:asciiTheme="minorHAnsi" w:hAnsiTheme="minorHAnsi" w:cstheme="minorHAnsi"/>
        </w:rPr>
        <w:t xml:space="preserve"> </w:t>
      </w:r>
      <w:r w:rsidR="003B51E3">
        <w:rPr>
          <w:rFonts w:asciiTheme="minorHAnsi" w:hAnsiTheme="minorHAnsi" w:cstheme="minorHAnsi"/>
          <w:i/>
        </w:rPr>
        <w:t xml:space="preserve">Educational Researcher. </w:t>
      </w:r>
      <w:r w:rsidR="003B51E3">
        <w:rPr>
          <w:rFonts w:asciiTheme="minorHAnsi" w:hAnsiTheme="minorHAnsi" w:cstheme="minorHAnsi"/>
        </w:rPr>
        <w:t>Vol.33 (8), pp.</w:t>
      </w:r>
      <w:r w:rsidR="00585D1B">
        <w:rPr>
          <w:rFonts w:asciiTheme="minorHAnsi" w:hAnsiTheme="minorHAnsi" w:cstheme="minorHAnsi"/>
        </w:rPr>
        <w:t xml:space="preserve"> 3-15.</w:t>
      </w:r>
    </w:p>
    <w:p w14:paraId="62B0D7A5" w14:textId="77777777" w:rsidR="00716F06" w:rsidRPr="00716F06" w:rsidRDefault="00716F06" w:rsidP="00716F06">
      <w:pPr>
        <w:pStyle w:val="NormalWeb"/>
        <w:rPr>
          <w:rFonts w:asciiTheme="minorHAnsi" w:hAnsiTheme="minorHAnsi" w:cstheme="minorHAnsi"/>
        </w:rPr>
      </w:pPr>
      <w:r w:rsidRPr="00716F06">
        <w:rPr>
          <w:rFonts w:asciiTheme="minorHAnsi" w:hAnsiTheme="minorHAnsi" w:cstheme="minorHAnsi"/>
        </w:rPr>
        <w:t xml:space="preserve">Coe, R., </w:t>
      </w:r>
      <w:proofErr w:type="spellStart"/>
      <w:r w:rsidRPr="00716F06">
        <w:rPr>
          <w:rFonts w:asciiTheme="minorHAnsi" w:hAnsiTheme="minorHAnsi" w:cstheme="minorHAnsi"/>
        </w:rPr>
        <w:t>Aloisi</w:t>
      </w:r>
      <w:proofErr w:type="spellEnd"/>
      <w:r w:rsidRPr="00716F06">
        <w:rPr>
          <w:rFonts w:asciiTheme="minorHAnsi" w:hAnsiTheme="minorHAnsi" w:cstheme="minorHAnsi"/>
        </w:rPr>
        <w:t>, C., Higgins, S. and Elliot Major, L. (2014)</w:t>
      </w:r>
      <w:r w:rsidR="001D67A9">
        <w:rPr>
          <w:rFonts w:asciiTheme="minorHAnsi" w:hAnsiTheme="minorHAnsi" w:cstheme="minorHAnsi"/>
        </w:rPr>
        <w:t>.</w:t>
      </w:r>
      <w:r w:rsidRPr="00716F06">
        <w:rPr>
          <w:rFonts w:asciiTheme="minorHAnsi" w:hAnsiTheme="minorHAnsi" w:cstheme="minorHAnsi"/>
        </w:rPr>
        <w:t xml:space="preserve"> </w:t>
      </w:r>
      <w:r w:rsidR="001D67A9">
        <w:rPr>
          <w:rFonts w:asciiTheme="minorHAnsi" w:hAnsiTheme="minorHAnsi" w:cstheme="minorHAnsi"/>
        </w:rPr>
        <w:t>‘</w:t>
      </w:r>
      <w:r w:rsidRPr="00716F06">
        <w:rPr>
          <w:rFonts w:asciiTheme="minorHAnsi" w:hAnsiTheme="minorHAnsi" w:cstheme="minorHAnsi"/>
        </w:rPr>
        <w:t>What makes great teaching: Review of underpinning research</w:t>
      </w:r>
      <w:r w:rsidR="001D67A9">
        <w:rPr>
          <w:rFonts w:asciiTheme="minorHAnsi" w:hAnsiTheme="minorHAnsi" w:cstheme="minorHAnsi"/>
        </w:rPr>
        <w:t>’</w:t>
      </w:r>
      <w:r w:rsidRPr="00716F06">
        <w:rPr>
          <w:rFonts w:asciiTheme="minorHAnsi" w:hAnsiTheme="minorHAnsi" w:cstheme="minorHAnsi"/>
        </w:rPr>
        <w:t xml:space="preserve">, available at: </w:t>
      </w:r>
      <w:r w:rsidRPr="00716F06">
        <w:rPr>
          <w:rFonts w:asciiTheme="minorHAnsi" w:hAnsiTheme="minorHAnsi" w:cstheme="minorHAnsi"/>
          <w:color w:val="0000FF"/>
        </w:rPr>
        <w:t xml:space="preserve">http://www.suttontrust.com/researcharchive/great-teaching/ </w:t>
      </w:r>
    </w:p>
    <w:p w14:paraId="354DCBA1" w14:textId="77777777" w:rsidR="00005E6A" w:rsidRDefault="007218F3" w:rsidP="00360F50">
      <w:pPr>
        <w:pStyle w:val="NormalWeb"/>
        <w:rPr>
          <w:rFonts w:ascii="ArialMT" w:hAnsi="ArialMT"/>
          <w:color w:val="0000FF"/>
        </w:rPr>
      </w:pPr>
      <w:r w:rsidRPr="007218F3">
        <w:rPr>
          <w:rFonts w:asciiTheme="minorHAnsi" w:hAnsiTheme="minorHAnsi" w:cstheme="minorHAnsi"/>
        </w:rPr>
        <w:t>Donaldson, G. (2015)</w:t>
      </w:r>
      <w:r w:rsidRPr="007218F3">
        <w:t xml:space="preserve"> </w:t>
      </w:r>
      <w:r w:rsidRPr="007218F3">
        <w:rPr>
          <w:i/>
          <w:iCs/>
        </w:rPr>
        <w:t>Successful Futures: Independent Review of Curriculum</w:t>
      </w:r>
      <w:r w:rsidRPr="007218F3">
        <w:rPr>
          <w:rFonts w:ascii="Arial" w:hAnsi="Arial" w:cs="Arial"/>
          <w:i/>
          <w:iCs/>
        </w:rPr>
        <w:t xml:space="preserve"> </w:t>
      </w:r>
      <w:r w:rsidRPr="007218F3">
        <w:rPr>
          <w:rFonts w:asciiTheme="minorHAnsi" w:eastAsiaTheme="minorHAnsi" w:hAnsiTheme="minorHAnsi" w:cstheme="minorBidi"/>
          <w:i/>
          <w:iCs/>
        </w:rPr>
        <w:t xml:space="preserve">and Assessment Arrangements in Wales Crown Copyright available at: </w:t>
      </w:r>
      <w:r w:rsidR="00360F50">
        <w:rPr>
          <w:rFonts w:ascii="ArialMT" w:hAnsi="ArialMT"/>
          <w:color w:val="0000FF"/>
        </w:rPr>
        <w:t xml:space="preserve">http://gov.wales/topics/educationandskills/schoolshome/curriculum-for-wales- curriculum-for-life/why-we-are-changing/successful-futures/?lang=en </w:t>
      </w:r>
    </w:p>
    <w:p w14:paraId="0489AE8B" w14:textId="77777777" w:rsidR="00005E6A" w:rsidRDefault="00005E6A" w:rsidP="00360F50">
      <w:pPr>
        <w:pStyle w:val="NormalWeb"/>
        <w:rPr>
          <w:rFonts w:asciiTheme="minorHAnsi" w:hAnsiTheme="minorHAnsi" w:cstheme="minorHAnsi"/>
        </w:rPr>
      </w:pPr>
      <w:r>
        <w:rPr>
          <w:rFonts w:asciiTheme="minorHAnsi" w:hAnsiTheme="minorHAnsi" w:cstheme="minorHAnsi"/>
        </w:rPr>
        <w:t>Goulding</w:t>
      </w:r>
      <w:r w:rsidR="00CA139C">
        <w:rPr>
          <w:rFonts w:asciiTheme="minorHAnsi" w:hAnsiTheme="minorHAnsi" w:cstheme="minorHAnsi"/>
        </w:rPr>
        <w:t>, M., Rowland, T., and Barber, P. (2002)</w:t>
      </w:r>
      <w:r w:rsidR="00443E6A">
        <w:rPr>
          <w:rFonts w:asciiTheme="minorHAnsi" w:hAnsiTheme="minorHAnsi" w:cstheme="minorHAnsi"/>
        </w:rPr>
        <w:t>.</w:t>
      </w:r>
      <w:r w:rsidR="00CA139C">
        <w:rPr>
          <w:rFonts w:asciiTheme="minorHAnsi" w:hAnsiTheme="minorHAnsi" w:cstheme="minorHAnsi"/>
        </w:rPr>
        <w:t xml:space="preserve"> ‘Does it matter? Primary</w:t>
      </w:r>
      <w:r w:rsidR="00263AD1">
        <w:rPr>
          <w:rFonts w:asciiTheme="minorHAnsi" w:hAnsiTheme="minorHAnsi" w:cstheme="minorHAnsi"/>
        </w:rPr>
        <w:t xml:space="preserve"> teacher trainees’ subject knowledge in mathematics.’ </w:t>
      </w:r>
      <w:r w:rsidR="00263AD1">
        <w:rPr>
          <w:rFonts w:asciiTheme="minorHAnsi" w:hAnsiTheme="minorHAnsi" w:cstheme="minorHAnsi"/>
          <w:i/>
        </w:rPr>
        <w:t xml:space="preserve">British Educational Research Journal, </w:t>
      </w:r>
      <w:r w:rsidR="00263AD1">
        <w:rPr>
          <w:rFonts w:asciiTheme="minorHAnsi" w:hAnsiTheme="minorHAnsi" w:cstheme="minorHAnsi"/>
        </w:rPr>
        <w:t>Vol. 28</w:t>
      </w:r>
      <w:r w:rsidR="003D779F">
        <w:rPr>
          <w:rFonts w:asciiTheme="minorHAnsi" w:hAnsiTheme="minorHAnsi" w:cstheme="minorHAnsi"/>
        </w:rPr>
        <w:t xml:space="preserve"> (5), pp. 689-</w:t>
      </w:r>
      <w:r w:rsidR="00105D94">
        <w:rPr>
          <w:rFonts w:asciiTheme="minorHAnsi" w:hAnsiTheme="minorHAnsi" w:cstheme="minorHAnsi"/>
        </w:rPr>
        <w:t>704</w:t>
      </w:r>
      <w:r w:rsidR="003D779F">
        <w:rPr>
          <w:rFonts w:asciiTheme="minorHAnsi" w:hAnsiTheme="minorHAnsi" w:cstheme="minorHAnsi"/>
        </w:rPr>
        <w:t>.</w:t>
      </w:r>
    </w:p>
    <w:p w14:paraId="30F9AFD0" w14:textId="77777777" w:rsidR="00D47088" w:rsidRPr="001A3049" w:rsidRDefault="00D47088" w:rsidP="00D47088">
      <w:pPr>
        <w:rPr>
          <w:rFonts w:eastAsia="Times New Roman" w:cstheme="minorHAnsi"/>
        </w:rPr>
      </w:pPr>
      <w:r w:rsidRPr="001A3049">
        <w:rPr>
          <w:rFonts w:eastAsia="Times New Roman" w:cstheme="minorHAnsi"/>
          <w:color w:val="000000"/>
        </w:rPr>
        <w:t>Grant, L.</w:t>
      </w:r>
      <w:r w:rsidRPr="00D47088">
        <w:rPr>
          <w:rFonts w:eastAsia="Times New Roman" w:cstheme="minorHAnsi"/>
          <w:color w:val="000000"/>
        </w:rPr>
        <w:t>, Stronge, J.H.,</w:t>
      </w:r>
      <w:r w:rsidRPr="001A3049">
        <w:rPr>
          <w:rFonts w:eastAsia="Times New Roman" w:cstheme="minorHAnsi"/>
          <w:color w:val="000000"/>
        </w:rPr>
        <w:t xml:space="preserve"> and Xu, X. (2013). </w:t>
      </w:r>
      <w:r w:rsidRPr="00D47088">
        <w:rPr>
          <w:rFonts w:eastAsia="Times New Roman" w:cstheme="minorHAnsi"/>
          <w:color w:val="000000"/>
        </w:rPr>
        <w:t>‘</w:t>
      </w:r>
      <w:r w:rsidRPr="001A3049">
        <w:rPr>
          <w:rFonts w:eastAsia="Times New Roman" w:cstheme="minorHAnsi"/>
          <w:color w:val="000000"/>
        </w:rPr>
        <w:t>Teacher Evaluation and Teacher Effectiveness</w:t>
      </w:r>
      <w:r w:rsidRPr="00D47088">
        <w:rPr>
          <w:rFonts w:eastAsia="Times New Roman" w:cstheme="minorHAnsi"/>
          <w:color w:val="000000"/>
        </w:rPr>
        <w:t>’</w:t>
      </w:r>
      <w:r w:rsidRPr="001A3049">
        <w:rPr>
          <w:rFonts w:eastAsia="Times New Roman" w:cstheme="minorHAnsi"/>
          <w:color w:val="000000"/>
        </w:rPr>
        <w:t xml:space="preserve">. </w:t>
      </w:r>
      <w:r w:rsidRPr="001A3049">
        <w:rPr>
          <w:rFonts w:eastAsia="Times New Roman" w:cstheme="minorHAnsi"/>
          <w:i/>
          <w:iCs/>
          <w:color w:val="000000"/>
        </w:rPr>
        <w:t>Oxford Bibliographies Online Datasets</w:t>
      </w:r>
      <w:r w:rsidRPr="001A3049">
        <w:rPr>
          <w:rFonts w:eastAsia="Times New Roman" w:cstheme="minorHAnsi"/>
          <w:color w:val="000000"/>
        </w:rPr>
        <w:t>.</w:t>
      </w:r>
    </w:p>
    <w:p w14:paraId="75DA8392" w14:textId="77777777" w:rsidR="003D779F" w:rsidRDefault="003D779F" w:rsidP="00360F50">
      <w:pPr>
        <w:pStyle w:val="NormalWeb"/>
        <w:rPr>
          <w:rFonts w:asciiTheme="minorHAnsi" w:hAnsiTheme="minorHAnsi" w:cstheme="minorHAnsi"/>
        </w:rPr>
      </w:pPr>
      <w:r>
        <w:rPr>
          <w:rFonts w:asciiTheme="minorHAnsi" w:hAnsiTheme="minorHAnsi" w:cstheme="minorHAnsi"/>
        </w:rPr>
        <w:t>Grossman, P</w:t>
      </w:r>
      <w:r w:rsidR="00443E6A">
        <w:rPr>
          <w:rFonts w:asciiTheme="minorHAnsi" w:hAnsiTheme="minorHAnsi" w:cstheme="minorHAnsi"/>
        </w:rPr>
        <w:t>.L.</w:t>
      </w:r>
      <w:r w:rsidR="001622BD">
        <w:rPr>
          <w:rFonts w:asciiTheme="minorHAnsi" w:hAnsiTheme="minorHAnsi" w:cstheme="minorHAnsi"/>
        </w:rPr>
        <w:t xml:space="preserve"> (1985)</w:t>
      </w:r>
      <w:r w:rsidR="00443E6A">
        <w:rPr>
          <w:rFonts w:asciiTheme="minorHAnsi" w:hAnsiTheme="minorHAnsi" w:cstheme="minorHAnsi"/>
        </w:rPr>
        <w:t>.</w:t>
      </w:r>
      <w:r w:rsidR="001622BD">
        <w:rPr>
          <w:rFonts w:asciiTheme="minorHAnsi" w:hAnsiTheme="minorHAnsi" w:cstheme="minorHAnsi"/>
        </w:rPr>
        <w:t xml:space="preserve"> </w:t>
      </w:r>
      <w:r w:rsidR="001622BD">
        <w:rPr>
          <w:rFonts w:asciiTheme="minorHAnsi" w:hAnsiTheme="minorHAnsi" w:cstheme="minorHAnsi"/>
          <w:i/>
        </w:rPr>
        <w:t xml:space="preserve">A passion for language: From text to teaching </w:t>
      </w:r>
      <w:r w:rsidR="001622BD">
        <w:rPr>
          <w:rFonts w:asciiTheme="minorHAnsi" w:hAnsiTheme="minorHAnsi" w:cstheme="minorHAnsi"/>
        </w:rPr>
        <w:t>(Knowledge Growth in Teaching Publications Series).</w:t>
      </w:r>
      <w:r w:rsidR="001C4CBB">
        <w:rPr>
          <w:rFonts w:asciiTheme="minorHAnsi" w:hAnsiTheme="minorHAnsi" w:cstheme="minorHAnsi"/>
        </w:rPr>
        <w:t xml:space="preserve"> Stanford: Stanford University.</w:t>
      </w:r>
    </w:p>
    <w:p w14:paraId="5AF65D0B" w14:textId="77777777" w:rsidR="0034135E" w:rsidRPr="00443E6A" w:rsidRDefault="0034135E" w:rsidP="00360F50">
      <w:pPr>
        <w:pStyle w:val="NormalWeb"/>
        <w:rPr>
          <w:rFonts w:asciiTheme="minorHAnsi" w:hAnsiTheme="minorHAnsi" w:cstheme="minorHAnsi"/>
        </w:rPr>
      </w:pPr>
      <w:r>
        <w:rPr>
          <w:rFonts w:asciiTheme="minorHAnsi" w:hAnsiTheme="minorHAnsi" w:cstheme="minorHAnsi"/>
        </w:rPr>
        <w:t xml:space="preserve">Grossman, </w:t>
      </w:r>
      <w:r w:rsidR="00443E6A">
        <w:rPr>
          <w:rFonts w:asciiTheme="minorHAnsi" w:hAnsiTheme="minorHAnsi" w:cstheme="minorHAnsi"/>
        </w:rPr>
        <w:t>P.L.</w:t>
      </w:r>
      <w:r>
        <w:rPr>
          <w:rFonts w:asciiTheme="minorHAnsi" w:hAnsiTheme="minorHAnsi" w:cstheme="minorHAnsi"/>
        </w:rPr>
        <w:t xml:space="preserve"> (1990)</w:t>
      </w:r>
      <w:r w:rsidR="00443E6A">
        <w:rPr>
          <w:rFonts w:asciiTheme="minorHAnsi" w:hAnsiTheme="minorHAnsi" w:cstheme="minorHAnsi"/>
        </w:rPr>
        <w:t>.</w:t>
      </w:r>
      <w:r>
        <w:rPr>
          <w:rFonts w:asciiTheme="minorHAnsi" w:hAnsiTheme="minorHAnsi" w:cstheme="minorHAnsi"/>
        </w:rPr>
        <w:t xml:space="preserve"> </w:t>
      </w:r>
      <w:r w:rsidR="00443E6A">
        <w:rPr>
          <w:rFonts w:asciiTheme="minorHAnsi" w:hAnsiTheme="minorHAnsi" w:cstheme="minorHAnsi"/>
          <w:i/>
        </w:rPr>
        <w:t xml:space="preserve">The making of a teacher: Teacher knowledge and teacher education. </w:t>
      </w:r>
      <w:r w:rsidR="00443E6A">
        <w:rPr>
          <w:rFonts w:asciiTheme="minorHAnsi" w:hAnsiTheme="minorHAnsi" w:cstheme="minorHAnsi"/>
        </w:rPr>
        <w:t xml:space="preserve">New York: </w:t>
      </w:r>
      <w:r w:rsidR="00677BF7">
        <w:rPr>
          <w:rFonts w:asciiTheme="minorHAnsi" w:hAnsiTheme="minorHAnsi" w:cstheme="minorHAnsi"/>
        </w:rPr>
        <w:t>Teachers College Press.</w:t>
      </w:r>
    </w:p>
    <w:p w14:paraId="385C4324" w14:textId="77777777" w:rsidR="008F3552" w:rsidRDefault="008F3552" w:rsidP="008F3552">
      <w:pPr>
        <w:rPr>
          <w:rFonts w:eastAsia="Times New Roman" w:cstheme="minorHAnsi"/>
        </w:rPr>
      </w:pPr>
      <w:r w:rsidRPr="00C2641E">
        <w:rPr>
          <w:rFonts w:eastAsia="Times New Roman" w:cstheme="minorHAnsi"/>
        </w:rPr>
        <w:t xml:space="preserve">Harris, D. N., &amp; Sass, T. R. (2009). </w:t>
      </w:r>
      <w:r>
        <w:rPr>
          <w:rFonts w:eastAsia="Times New Roman" w:cstheme="minorHAnsi"/>
        </w:rPr>
        <w:t>‘</w:t>
      </w:r>
      <w:r w:rsidRPr="00C2641E">
        <w:rPr>
          <w:rFonts w:eastAsia="Times New Roman" w:cstheme="minorHAnsi"/>
        </w:rPr>
        <w:t>The effects of NVPTS-certified teachers on student achievement</w:t>
      </w:r>
      <w:r>
        <w:rPr>
          <w:rFonts w:eastAsia="Times New Roman" w:cstheme="minorHAnsi"/>
        </w:rPr>
        <w:t>’</w:t>
      </w:r>
      <w:r w:rsidRPr="00C2641E">
        <w:rPr>
          <w:rFonts w:eastAsia="Times New Roman" w:cstheme="minorHAnsi"/>
        </w:rPr>
        <w:t xml:space="preserve">. </w:t>
      </w:r>
      <w:r w:rsidRPr="00C2641E">
        <w:rPr>
          <w:rFonts w:eastAsia="Times New Roman" w:cstheme="minorHAnsi"/>
          <w:i/>
        </w:rPr>
        <w:t>Journal of Policy Analysis and Management</w:t>
      </w:r>
      <w:r w:rsidRPr="00C2641E">
        <w:rPr>
          <w:rFonts w:eastAsia="Times New Roman" w:cstheme="minorHAnsi"/>
        </w:rPr>
        <w:t xml:space="preserve">, </w:t>
      </w:r>
      <w:r w:rsidRPr="00543703">
        <w:rPr>
          <w:rFonts w:eastAsia="Times New Roman" w:cstheme="minorHAnsi"/>
        </w:rPr>
        <w:t>Vol.</w:t>
      </w:r>
      <w:r w:rsidRPr="00C2641E">
        <w:rPr>
          <w:rFonts w:eastAsia="Times New Roman" w:cstheme="minorHAnsi"/>
        </w:rPr>
        <w:t>28</w:t>
      </w:r>
      <w:r>
        <w:rPr>
          <w:rFonts w:eastAsia="Times New Roman" w:cstheme="minorHAnsi"/>
        </w:rPr>
        <w:t xml:space="preserve"> </w:t>
      </w:r>
      <w:r w:rsidRPr="00C2641E">
        <w:rPr>
          <w:rFonts w:eastAsia="Times New Roman" w:cstheme="minorHAnsi"/>
        </w:rPr>
        <w:t xml:space="preserve">(1), </w:t>
      </w:r>
      <w:r w:rsidRPr="00543703">
        <w:rPr>
          <w:rFonts w:eastAsia="Times New Roman" w:cstheme="minorHAnsi"/>
        </w:rPr>
        <w:t>pp.</w:t>
      </w:r>
      <w:r w:rsidRPr="00C2641E">
        <w:rPr>
          <w:rFonts w:eastAsia="Times New Roman" w:cstheme="minorHAnsi"/>
        </w:rPr>
        <w:t>55–80.</w:t>
      </w:r>
    </w:p>
    <w:p w14:paraId="4688953E" w14:textId="77777777" w:rsidR="00677BF7" w:rsidRDefault="00677BF7" w:rsidP="008F3552">
      <w:pPr>
        <w:rPr>
          <w:rFonts w:eastAsia="Times New Roman" w:cstheme="minorHAnsi"/>
        </w:rPr>
      </w:pPr>
    </w:p>
    <w:p w14:paraId="00D24B36" w14:textId="77777777" w:rsidR="00677BF7" w:rsidRPr="00C2641E" w:rsidRDefault="00677BF7" w:rsidP="008F3552">
      <w:pPr>
        <w:rPr>
          <w:rFonts w:eastAsia="Times New Roman" w:cstheme="minorHAnsi"/>
        </w:rPr>
      </w:pPr>
      <w:r>
        <w:rPr>
          <w:rFonts w:eastAsia="Times New Roman" w:cstheme="minorHAnsi"/>
        </w:rPr>
        <w:t>Hattie, J. (</w:t>
      </w:r>
      <w:r w:rsidR="002F0ADB">
        <w:rPr>
          <w:rFonts w:eastAsia="Times New Roman" w:cstheme="minorHAnsi"/>
        </w:rPr>
        <w:t xml:space="preserve">2012). </w:t>
      </w:r>
      <w:r w:rsidR="002F0ADB">
        <w:rPr>
          <w:rFonts w:eastAsia="Times New Roman" w:cstheme="minorHAnsi"/>
          <w:i/>
        </w:rPr>
        <w:t xml:space="preserve">Visual Learning for Teachers: Maximising Impact on Learning. </w:t>
      </w:r>
      <w:r w:rsidR="002F0ADB">
        <w:rPr>
          <w:rFonts w:eastAsia="Times New Roman" w:cstheme="minorHAnsi"/>
        </w:rPr>
        <w:t>New York: Routledge (available on Moodle)</w:t>
      </w:r>
      <w:r w:rsidR="0064488C">
        <w:rPr>
          <w:rFonts w:eastAsia="Times New Roman" w:cstheme="minorHAnsi"/>
        </w:rPr>
        <w:t>.</w:t>
      </w:r>
    </w:p>
    <w:p w14:paraId="1E9C085F" w14:textId="77777777" w:rsidR="008F3552" w:rsidRDefault="008F6FFA" w:rsidP="00360F50">
      <w:pPr>
        <w:pStyle w:val="NormalWeb"/>
        <w:rPr>
          <w:rFonts w:asciiTheme="minorHAnsi" w:hAnsiTheme="minorHAnsi" w:cstheme="minorHAnsi"/>
        </w:rPr>
      </w:pPr>
      <w:r>
        <w:rPr>
          <w:rFonts w:asciiTheme="minorHAnsi" w:hAnsiTheme="minorHAnsi" w:cstheme="minorHAnsi"/>
        </w:rPr>
        <w:t>L</w:t>
      </w:r>
      <w:r w:rsidR="008F3552">
        <w:rPr>
          <w:rFonts w:asciiTheme="minorHAnsi" w:hAnsiTheme="minorHAnsi" w:cstheme="minorHAnsi"/>
        </w:rPr>
        <w:t>iston</w:t>
      </w:r>
      <w:r>
        <w:rPr>
          <w:rFonts w:asciiTheme="minorHAnsi" w:hAnsiTheme="minorHAnsi" w:cstheme="minorHAnsi"/>
        </w:rPr>
        <w:t>, M. (2015)</w:t>
      </w:r>
      <w:r w:rsidR="0064488C">
        <w:rPr>
          <w:rFonts w:asciiTheme="minorHAnsi" w:hAnsiTheme="minorHAnsi" w:cstheme="minorHAnsi"/>
        </w:rPr>
        <w:t>.</w:t>
      </w:r>
      <w:r w:rsidR="006E294F">
        <w:rPr>
          <w:rFonts w:asciiTheme="minorHAnsi" w:hAnsiTheme="minorHAnsi" w:cstheme="minorHAnsi"/>
        </w:rPr>
        <w:t xml:space="preserve"> ‘The use of video analysis and the Knowledge Quartet in mathematics teacher education programmes.’ </w:t>
      </w:r>
      <w:r w:rsidR="006E294F">
        <w:rPr>
          <w:rFonts w:asciiTheme="minorHAnsi" w:hAnsiTheme="minorHAnsi" w:cstheme="minorHAnsi"/>
          <w:i/>
        </w:rPr>
        <w:t>International Journal of Mathematical Education in Science and Technology</w:t>
      </w:r>
      <w:r w:rsidR="00065874">
        <w:rPr>
          <w:rFonts w:asciiTheme="minorHAnsi" w:hAnsiTheme="minorHAnsi" w:cstheme="minorHAnsi"/>
          <w:i/>
        </w:rPr>
        <w:t xml:space="preserve">. </w:t>
      </w:r>
      <w:r w:rsidR="00065874">
        <w:rPr>
          <w:rFonts w:asciiTheme="minorHAnsi" w:hAnsiTheme="minorHAnsi" w:cstheme="minorHAnsi"/>
        </w:rPr>
        <w:t>Vol. 46 (1), pp. 1-12.</w:t>
      </w:r>
    </w:p>
    <w:p w14:paraId="62F9EF5D" w14:textId="77777777" w:rsidR="00807360" w:rsidRDefault="00807360" w:rsidP="00360F50">
      <w:pPr>
        <w:pStyle w:val="NormalWeb"/>
        <w:rPr>
          <w:rFonts w:asciiTheme="minorHAnsi" w:hAnsiTheme="minorHAnsi" w:cstheme="minorHAnsi"/>
        </w:rPr>
      </w:pPr>
      <w:proofErr w:type="spellStart"/>
      <w:r>
        <w:rPr>
          <w:rFonts w:asciiTheme="minorHAnsi" w:hAnsiTheme="minorHAnsi" w:cstheme="minorHAnsi"/>
        </w:rPr>
        <w:lastRenderedPageBreak/>
        <w:t>Livey</w:t>
      </w:r>
      <w:proofErr w:type="spellEnd"/>
      <w:r>
        <w:rPr>
          <w:rFonts w:asciiTheme="minorHAnsi" w:hAnsiTheme="minorHAnsi" w:cstheme="minorHAnsi"/>
        </w:rPr>
        <w:t>, S. (2010)</w:t>
      </w:r>
      <w:r w:rsidR="0064488C">
        <w:rPr>
          <w:rFonts w:asciiTheme="minorHAnsi" w:hAnsiTheme="minorHAnsi" w:cstheme="minorHAnsi"/>
        </w:rPr>
        <w:t>.</w:t>
      </w:r>
      <w:r>
        <w:rPr>
          <w:rFonts w:asciiTheme="minorHAnsi" w:hAnsiTheme="minorHAnsi" w:cstheme="minorHAnsi"/>
        </w:rPr>
        <w:t xml:space="preserve"> ‘A ‘knowledge quartet’ Used to Identify a Second-Year Pre-service Teacher</w:t>
      </w:r>
      <w:r w:rsidR="002F632B">
        <w:rPr>
          <w:rFonts w:asciiTheme="minorHAnsi" w:hAnsiTheme="minorHAnsi" w:cstheme="minorHAnsi"/>
        </w:rPr>
        <w:t xml:space="preserve">’s Primary </w:t>
      </w:r>
      <w:r w:rsidR="00BB6C88">
        <w:rPr>
          <w:rFonts w:asciiTheme="minorHAnsi" w:hAnsiTheme="minorHAnsi" w:cstheme="minorHAnsi"/>
        </w:rPr>
        <w:t>Mathematical</w:t>
      </w:r>
      <w:r w:rsidR="002F632B">
        <w:rPr>
          <w:rFonts w:asciiTheme="minorHAnsi" w:hAnsiTheme="minorHAnsi" w:cstheme="minorHAnsi"/>
        </w:rPr>
        <w:t xml:space="preserve"> Content Knowledge’. </w:t>
      </w:r>
      <w:r w:rsidR="00BB6C88">
        <w:rPr>
          <w:rFonts w:asciiTheme="minorHAnsi" w:hAnsiTheme="minorHAnsi" w:cstheme="minorHAnsi"/>
        </w:rPr>
        <w:t xml:space="preserve">In </w:t>
      </w:r>
      <w:r w:rsidR="000905C6">
        <w:rPr>
          <w:rFonts w:asciiTheme="minorHAnsi" w:hAnsiTheme="minorHAnsi" w:cstheme="minorHAnsi"/>
        </w:rPr>
        <w:t xml:space="preserve">L. Sparrow, B. Kissane, and C. Hurst (ed.) </w:t>
      </w:r>
      <w:r w:rsidR="002F632B">
        <w:rPr>
          <w:rFonts w:asciiTheme="minorHAnsi" w:hAnsiTheme="minorHAnsi" w:cstheme="minorHAnsi"/>
          <w:i/>
        </w:rPr>
        <w:t xml:space="preserve">Shaping the Future of Mathematics Education. </w:t>
      </w:r>
      <w:r w:rsidR="00BB6C88">
        <w:rPr>
          <w:rFonts w:asciiTheme="minorHAnsi" w:hAnsiTheme="minorHAnsi" w:cstheme="minorHAnsi"/>
          <w:i/>
        </w:rPr>
        <w:t>Proceedings of the Annual Conference of the Mathematics Education Research Group o</w:t>
      </w:r>
      <w:r w:rsidR="000905C6">
        <w:rPr>
          <w:rFonts w:asciiTheme="minorHAnsi" w:hAnsiTheme="minorHAnsi" w:cstheme="minorHAnsi"/>
          <w:i/>
        </w:rPr>
        <w:t>f</w:t>
      </w:r>
      <w:r w:rsidR="00BB6C88">
        <w:rPr>
          <w:rFonts w:asciiTheme="minorHAnsi" w:hAnsiTheme="minorHAnsi" w:cstheme="minorHAnsi"/>
          <w:i/>
        </w:rPr>
        <w:t xml:space="preserve"> Australasia</w:t>
      </w:r>
      <w:r w:rsidR="001D67A9">
        <w:rPr>
          <w:rFonts w:asciiTheme="minorHAnsi" w:hAnsiTheme="minorHAnsi" w:cstheme="minorHAnsi"/>
          <w:i/>
        </w:rPr>
        <w:t xml:space="preserve">, </w:t>
      </w:r>
      <w:r w:rsidR="001D67A9">
        <w:rPr>
          <w:rFonts w:asciiTheme="minorHAnsi" w:hAnsiTheme="minorHAnsi" w:cstheme="minorHAnsi"/>
        </w:rPr>
        <w:t>p</w:t>
      </w:r>
      <w:r w:rsidR="000905C6">
        <w:rPr>
          <w:rFonts w:asciiTheme="minorHAnsi" w:hAnsiTheme="minorHAnsi" w:cstheme="minorHAnsi"/>
        </w:rPr>
        <w:t>p.344-351</w:t>
      </w:r>
    </w:p>
    <w:p w14:paraId="2960B9BC" w14:textId="78847D77" w:rsidR="00240736" w:rsidRPr="00BE7FFC" w:rsidRDefault="00240736" w:rsidP="00360F50">
      <w:pPr>
        <w:pStyle w:val="NormalWeb"/>
        <w:rPr>
          <w:rFonts w:asciiTheme="minorHAnsi" w:hAnsiTheme="minorHAnsi" w:cstheme="minorHAnsi"/>
        </w:rPr>
      </w:pPr>
      <w:proofErr w:type="spellStart"/>
      <w:r>
        <w:rPr>
          <w:rFonts w:asciiTheme="minorHAnsi" w:hAnsiTheme="minorHAnsi" w:cstheme="minorHAnsi"/>
        </w:rPr>
        <w:t>McBer</w:t>
      </w:r>
      <w:proofErr w:type="spellEnd"/>
      <w:r>
        <w:rPr>
          <w:rFonts w:asciiTheme="minorHAnsi" w:hAnsiTheme="minorHAnsi" w:cstheme="minorHAnsi"/>
        </w:rPr>
        <w:t>, H. (20</w:t>
      </w:r>
      <w:r w:rsidR="003024F3">
        <w:rPr>
          <w:rFonts w:asciiTheme="minorHAnsi" w:hAnsiTheme="minorHAnsi" w:cstheme="minorHAnsi"/>
        </w:rPr>
        <w:t>01</w:t>
      </w:r>
      <w:r>
        <w:rPr>
          <w:rFonts w:asciiTheme="minorHAnsi" w:hAnsiTheme="minorHAnsi" w:cstheme="minorHAnsi"/>
        </w:rPr>
        <w:t>). ‘Rese</w:t>
      </w:r>
      <w:r w:rsidR="002A1694">
        <w:rPr>
          <w:rFonts w:asciiTheme="minorHAnsi" w:hAnsiTheme="minorHAnsi" w:cstheme="minorHAnsi"/>
        </w:rPr>
        <w:t xml:space="preserve">arch into teacher effectiveness’. In </w:t>
      </w:r>
      <w:r w:rsidR="00024A94">
        <w:rPr>
          <w:rFonts w:asciiTheme="minorHAnsi" w:hAnsiTheme="minorHAnsi" w:cstheme="minorHAnsi"/>
        </w:rPr>
        <w:t xml:space="preserve">F. Banks and A. Shelton Mayes (ed.) </w:t>
      </w:r>
      <w:r w:rsidR="00024A94">
        <w:rPr>
          <w:rFonts w:asciiTheme="minorHAnsi" w:hAnsiTheme="minorHAnsi" w:cstheme="minorHAnsi"/>
          <w:i/>
        </w:rPr>
        <w:t>Early</w:t>
      </w:r>
      <w:r w:rsidR="001D67A9">
        <w:rPr>
          <w:rFonts w:asciiTheme="minorHAnsi" w:hAnsiTheme="minorHAnsi" w:cstheme="minorHAnsi"/>
          <w:i/>
        </w:rPr>
        <w:t xml:space="preserve"> Professional Development for Teachers. </w:t>
      </w:r>
      <w:r w:rsidR="00BE7FFC">
        <w:rPr>
          <w:rFonts w:asciiTheme="minorHAnsi" w:hAnsiTheme="minorHAnsi" w:cstheme="minorHAnsi"/>
        </w:rPr>
        <w:t>London: The Open University</w:t>
      </w:r>
      <w:r w:rsidR="00B5589C">
        <w:rPr>
          <w:rFonts w:asciiTheme="minorHAnsi" w:hAnsiTheme="minorHAnsi" w:cstheme="minorHAnsi"/>
        </w:rPr>
        <w:t>, pp. 193-210</w:t>
      </w:r>
    </w:p>
    <w:p w14:paraId="7EC23583" w14:textId="77777777" w:rsidR="00E34CBE" w:rsidRDefault="00E34CBE" w:rsidP="00360F50">
      <w:pPr>
        <w:pStyle w:val="NormalWeb"/>
        <w:rPr>
          <w:rFonts w:asciiTheme="minorHAnsi" w:hAnsiTheme="minorHAnsi" w:cstheme="minorHAnsi"/>
        </w:rPr>
      </w:pPr>
      <w:r>
        <w:rPr>
          <w:rFonts w:asciiTheme="minorHAnsi" w:hAnsiTheme="minorHAnsi" w:cstheme="minorHAnsi"/>
        </w:rPr>
        <w:t>Park, S.,</w:t>
      </w:r>
      <w:r w:rsidR="00A40DE7">
        <w:rPr>
          <w:rFonts w:asciiTheme="minorHAnsi" w:hAnsiTheme="minorHAnsi" w:cstheme="minorHAnsi"/>
        </w:rPr>
        <w:t xml:space="preserve"> and Oliver, J.S</w:t>
      </w:r>
      <w:r w:rsidR="0064488C">
        <w:rPr>
          <w:rFonts w:asciiTheme="minorHAnsi" w:hAnsiTheme="minorHAnsi" w:cstheme="minorHAnsi"/>
        </w:rPr>
        <w:t>.</w:t>
      </w:r>
      <w:r w:rsidR="00A40DE7">
        <w:rPr>
          <w:rFonts w:asciiTheme="minorHAnsi" w:hAnsiTheme="minorHAnsi" w:cstheme="minorHAnsi"/>
        </w:rPr>
        <w:t xml:space="preserve"> (2008)</w:t>
      </w:r>
      <w:r w:rsidR="0064488C">
        <w:rPr>
          <w:rFonts w:asciiTheme="minorHAnsi" w:hAnsiTheme="minorHAnsi" w:cstheme="minorHAnsi"/>
        </w:rPr>
        <w:t>.</w:t>
      </w:r>
      <w:r w:rsidR="00A40DE7">
        <w:rPr>
          <w:rFonts w:asciiTheme="minorHAnsi" w:hAnsiTheme="minorHAnsi" w:cstheme="minorHAnsi"/>
        </w:rPr>
        <w:t xml:space="preserve"> ‘</w:t>
      </w:r>
      <w:r w:rsidR="00AE451E">
        <w:rPr>
          <w:rFonts w:asciiTheme="minorHAnsi" w:hAnsiTheme="minorHAnsi" w:cstheme="minorHAnsi"/>
        </w:rPr>
        <w:t>Revisiting the Conceptualisation of Pedagogical Content Knowledge (PCK): PCK as a Conceptual Tool to Understand Teachers as Professionals</w:t>
      </w:r>
      <w:r w:rsidR="00CC527C">
        <w:rPr>
          <w:rFonts w:asciiTheme="minorHAnsi" w:hAnsiTheme="minorHAnsi" w:cstheme="minorHAnsi"/>
        </w:rPr>
        <w:t xml:space="preserve">’. </w:t>
      </w:r>
      <w:r w:rsidR="00CC527C">
        <w:rPr>
          <w:rFonts w:asciiTheme="minorHAnsi" w:hAnsiTheme="minorHAnsi" w:cstheme="minorHAnsi"/>
          <w:i/>
        </w:rPr>
        <w:t xml:space="preserve">Research in Science Education, </w:t>
      </w:r>
      <w:r w:rsidR="00CC527C">
        <w:rPr>
          <w:rFonts w:asciiTheme="minorHAnsi" w:hAnsiTheme="minorHAnsi" w:cstheme="minorHAnsi"/>
        </w:rPr>
        <w:t>Vol. 38 (3), pp. 261-284</w:t>
      </w:r>
      <w:r w:rsidR="00947D3D">
        <w:rPr>
          <w:rFonts w:asciiTheme="minorHAnsi" w:hAnsiTheme="minorHAnsi" w:cstheme="minorHAnsi"/>
        </w:rPr>
        <w:t>.</w:t>
      </w:r>
    </w:p>
    <w:p w14:paraId="7B8BE915" w14:textId="77777777" w:rsidR="002E21E6" w:rsidRPr="002E21E6" w:rsidRDefault="002E21E6" w:rsidP="002E21E6">
      <w:pPr>
        <w:rPr>
          <w:rFonts w:eastAsia="Times New Roman" w:cstheme="minorHAnsi"/>
        </w:rPr>
      </w:pPr>
      <w:r w:rsidRPr="002E21E6">
        <w:rPr>
          <w:rFonts w:eastAsia="Times New Roman" w:cstheme="minorHAnsi"/>
        </w:rPr>
        <w:t xml:space="preserve">Ribeiro, C. M., &amp; </w:t>
      </w:r>
      <w:proofErr w:type="spellStart"/>
      <w:r w:rsidRPr="002E21E6">
        <w:rPr>
          <w:rFonts w:eastAsia="Times New Roman" w:cstheme="minorHAnsi"/>
        </w:rPr>
        <w:t>Yáñez</w:t>
      </w:r>
      <w:proofErr w:type="spellEnd"/>
      <w:r w:rsidRPr="002E21E6">
        <w:rPr>
          <w:rFonts w:eastAsia="Times New Roman" w:cstheme="minorHAnsi"/>
        </w:rPr>
        <w:t xml:space="preserve">, J. C. (2012). </w:t>
      </w:r>
      <w:r w:rsidR="005B7534" w:rsidRPr="005B7534">
        <w:rPr>
          <w:rFonts w:eastAsia="Times New Roman" w:cstheme="minorHAnsi"/>
        </w:rPr>
        <w:t>‘</w:t>
      </w:r>
      <w:r w:rsidRPr="002E21E6">
        <w:rPr>
          <w:rFonts w:eastAsia="Times New Roman" w:cstheme="minorHAnsi"/>
        </w:rPr>
        <w:t>Discussing a teacher MKT and its role on teacher practice when exploring data analysis.</w:t>
      </w:r>
      <w:r w:rsidR="005B7534" w:rsidRPr="005B7534">
        <w:rPr>
          <w:rFonts w:eastAsia="Times New Roman" w:cstheme="minorHAnsi"/>
        </w:rPr>
        <w:t>’</w:t>
      </w:r>
      <w:r w:rsidRPr="002E21E6">
        <w:rPr>
          <w:rFonts w:eastAsia="Times New Roman" w:cstheme="minorHAnsi"/>
        </w:rPr>
        <w:t xml:space="preserve"> </w:t>
      </w:r>
      <w:r w:rsidRPr="002E21E6">
        <w:rPr>
          <w:rFonts w:eastAsia="Times New Roman" w:cstheme="minorHAnsi"/>
          <w:i/>
        </w:rPr>
        <w:t>PNA</w:t>
      </w:r>
      <w:r w:rsidRPr="002E21E6">
        <w:rPr>
          <w:rFonts w:eastAsia="Times New Roman" w:cstheme="minorHAnsi"/>
        </w:rPr>
        <w:t xml:space="preserve">, </w:t>
      </w:r>
      <w:r w:rsidR="005B7534" w:rsidRPr="005B7534">
        <w:rPr>
          <w:rFonts w:eastAsia="Times New Roman" w:cstheme="minorHAnsi"/>
        </w:rPr>
        <w:t>Vol.</w:t>
      </w:r>
      <w:r w:rsidRPr="002E21E6">
        <w:rPr>
          <w:rFonts w:eastAsia="Times New Roman" w:cstheme="minorHAnsi"/>
        </w:rPr>
        <w:t>6</w:t>
      </w:r>
      <w:r w:rsidR="005B7534" w:rsidRPr="005B7534">
        <w:rPr>
          <w:rFonts w:eastAsia="Times New Roman" w:cstheme="minorHAnsi"/>
        </w:rPr>
        <w:t xml:space="preserve"> </w:t>
      </w:r>
      <w:r w:rsidRPr="002E21E6">
        <w:rPr>
          <w:rFonts w:eastAsia="Times New Roman" w:cstheme="minorHAnsi"/>
        </w:rPr>
        <w:t xml:space="preserve">(3), </w:t>
      </w:r>
      <w:r w:rsidR="005B7534">
        <w:rPr>
          <w:rFonts w:eastAsia="Times New Roman" w:cstheme="minorHAnsi"/>
        </w:rPr>
        <w:t xml:space="preserve">pp. </w:t>
      </w:r>
      <w:r w:rsidRPr="002E21E6">
        <w:rPr>
          <w:rFonts w:eastAsia="Times New Roman" w:cstheme="minorHAnsi"/>
        </w:rPr>
        <w:t>105–114.</w:t>
      </w:r>
    </w:p>
    <w:p w14:paraId="4179CCA1" w14:textId="77777777" w:rsidR="003848CE" w:rsidRDefault="003848CE" w:rsidP="00360F50">
      <w:pPr>
        <w:pStyle w:val="NormalWeb"/>
        <w:rPr>
          <w:rFonts w:asciiTheme="minorHAnsi" w:hAnsiTheme="minorHAnsi" w:cstheme="minorHAnsi"/>
        </w:rPr>
      </w:pPr>
      <w:r>
        <w:rPr>
          <w:rFonts w:asciiTheme="minorHAnsi" w:hAnsiTheme="minorHAnsi" w:cstheme="minorHAnsi"/>
        </w:rPr>
        <w:t>Rowland</w:t>
      </w:r>
      <w:r w:rsidR="00AF548A">
        <w:rPr>
          <w:rFonts w:asciiTheme="minorHAnsi" w:hAnsiTheme="minorHAnsi" w:cstheme="minorHAnsi"/>
        </w:rPr>
        <w:t>, T., Martyn, S., Barber, P. and Heal, C. (2001)</w:t>
      </w:r>
      <w:r w:rsidR="0064488C">
        <w:rPr>
          <w:rFonts w:asciiTheme="minorHAnsi" w:hAnsiTheme="minorHAnsi" w:cstheme="minorHAnsi"/>
        </w:rPr>
        <w:t>.</w:t>
      </w:r>
      <w:r w:rsidR="00AF548A">
        <w:rPr>
          <w:rFonts w:asciiTheme="minorHAnsi" w:hAnsiTheme="minorHAnsi" w:cstheme="minorHAnsi"/>
        </w:rPr>
        <w:t xml:space="preserve"> ‘Investigating the mathematics subject knowledge </w:t>
      </w:r>
      <w:r w:rsidR="005963E4">
        <w:rPr>
          <w:rFonts w:asciiTheme="minorHAnsi" w:hAnsiTheme="minorHAnsi" w:cstheme="minorHAnsi"/>
        </w:rPr>
        <w:t>of pre-service elementary school teachers’ In M. van den Heuvel-</w:t>
      </w:r>
      <w:proofErr w:type="spellStart"/>
      <w:r w:rsidR="005963E4">
        <w:rPr>
          <w:rFonts w:asciiTheme="minorHAnsi" w:hAnsiTheme="minorHAnsi" w:cstheme="minorHAnsi"/>
        </w:rPr>
        <w:t>Panhuizen</w:t>
      </w:r>
      <w:proofErr w:type="spellEnd"/>
      <w:r w:rsidR="005963E4">
        <w:rPr>
          <w:rFonts w:asciiTheme="minorHAnsi" w:hAnsiTheme="minorHAnsi" w:cstheme="minorHAnsi"/>
        </w:rPr>
        <w:t xml:space="preserve"> (ed.) </w:t>
      </w:r>
      <w:r w:rsidR="005963E4">
        <w:rPr>
          <w:rFonts w:asciiTheme="minorHAnsi" w:hAnsiTheme="minorHAnsi" w:cstheme="minorHAnsi"/>
          <w:i/>
        </w:rPr>
        <w:t>Proceedings of the 23</w:t>
      </w:r>
      <w:r w:rsidR="005963E4" w:rsidRPr="005963E4">
        <w:rPr>
          <w:rFonts w:asciiTheme="minorHAnsi" w:hAnsiTheme="minorHAnsi" w:cstheme="minorHAnsi"/>
          <w:i/>
          <w:vertAlign w:val="superscript"/>
        </w:rPr>
        <w:t>rd</w:t>
      </w:r>
      <w:r w:rsidR="005963E4">
        <w:rPr>
          <w:rFonts w:asciiTheme="minorHAnsi" w:hAnsiTheme="minorHAnsi" w:cstheme="minorHAnsi"/>
          <w:i/>
        </w:rPr>
        <w:t xml:space="preserve"> Conference of the International Group for Psychology</w:t>
      </w:r>
      <w:r w:rsidR="00750938">
        <w:rPr>
          <w:rFonts w:asciiTheme="minorHAnsi" w:hAnsiTheme="minorHAnsi" w:cstheme="minorHAnsi"/>
          <w:i/>
        </w:rPr>
        <w:t xml:space="preserve"> of Mathematics Education. </w:t>
      </w:r>
      <w:r w:rsidR="00750938">
        <w:rPr>
          <w:rFonts w:asciiTheme="minorHAnsi" w:hAnsiTheme="minorHAnsi" w:cstheme="minorHAnsi"/>
        </w:rPr>
        <w:t>Vol. 4, pp. 121-128.</w:t>
      </w:r>
    </w:p>
    <w:p w14:paraId="78AC1C05" w14:textId="77777777" w:rsidR="000B1F1B" w:rsidRDefault="000B1F1B" w:rsidP="000B1F1B">
      <w:pPr>
        <w:pStyle w:val="NormalWeb"/>
        <w:rPr>
          <w:rFonts w:asciiTheme="minorHAnsi" w:hAnsiTheme="minorHAnsi" w:cstheme="minorHAnsi"/>
        </w:rPr>
      </w:pPr>
      <w:r w:rsidRPr="000B1F1B">
        <w:rPr>
          <w:rFonts w:asciiTheme="minorHAnsi" w:hAnsiTheme="minorHAnsi" w:cstheme="minorHAnsi"/>
        </w:rPr>
        <w:t xml:space="preserve">Rowland, T., </w:t>
      </w:r>
      <w:proofErr w:type="spellStart"/>
      <w:r w:rsidRPr="000B1F1B">
        <w:rPr>
          <w:rFonts w:asciiTheme="minorHAnsi" w:hAnsiTheme="minorHAnsi" w:cstheme="minorHAnsi"/>
        </w:rPr>
        <w:t>Huckstep</w:t>
      </w:r>
      <w:proofErr w:type="spellEnd"/>
      <w:r w:rsidRPr="000B1F1B">
        <w:rPr>
          <w:rFonts w:asciiTheme="minorHAnsi" w:hAnsiTheme="minorHAnsi" w:cstheme="minorHAnsi"/>
        </w:rPr>
        <w:t xml:space="preserve">, P. </w:t>
      </w:r>
      <w:r w:rsidR="00D8260E">
        <w:rPr>
          <w:rFonts w:asciiTheme="minorHAnsi" w:hAnsiTheme="minorHAnsi" w:cstheme="minorHAnsi"/>
        </w:rPr>
        <w:t>a</w:t>
      </w:r>
      <w:r w:rsidRPr="000B1F1B">
        <w:rPr>
          <w:rFonts w:asciiTheme="minorHAnsi" w:hAnsiTheme="minorHAnsi" w:cstheme="minorHAnsi"/>
        </w:rPr>
        <w:t>nd Thwaites, A. (2003)</w:t>
      </w:r>
      <w:r w:rsidR="0064488C">
        <w:rPr>
          <w:rFonts w:asciiTheme="minorHAnsi" w:hAnsiTheme="minorHAnsi" w:cstheme="minorHAnsi"/>
        </w:rPr>
        <w:t>.</w:t>
      </w:r>
      <w:r w:rsidRPr="000B1F1B">
        <w:rPr>
          <w:rFonts w:asciiTheme="minorHAnsi" w:hAnsiTheme="minorHAnsi" w:cstheme="minorHAnsi"/>
        </w:rPr>
        <w:t xml:space="preserve"> The Knowledge Quartet in Williams, J. (Ed) </w:t>
      </w:r>
      <w:r w:rsidRPr="000B1F1B">
        <w:rPr>
          <w:rFonts w:asciiTheme="minorHAnsi" w:hAnsiTheme="minorHAnsi" w:cstheme="minorHAnsi"/>
          <w:i/>
          <w:iCs/>
        </w:rPr>
        <w:t xml:space="preserve">Proceedings of the British Society for Research into Learning </w:t>
      </w:r>
      <w:r w:rsidRPr="000B1F1B">
        <w:rPr>
          <w:rFonts w:asciiTheme="minorHAnsi" w:hAnsiTheme="minorHAnsi" w:cstheme="minorHAnsi"/>
        </w:rPr>
        <w:t xml:space="preserve">(available on Moodle) </w:t>
      </w:r>
    </w:p>
    <w:p w14:paraId="7DBBDC5B" w14:textId="0CDBE020" w:rsidR="00922814" w:rsidRDefault="00922814" w:rsidP="000B1F1B">
      <w:pPr>
        <w:pStyle w:val="NormalWeb"/>
        <w:rPr>
          <w:rFonts w:asciiTheme="minorHAnsi" w:hAnsiTheme="minorHAnsi" w:cstheme="minorHAnsi"/>
        </w:rPr>
      </w:pPr>
      <w:r>
        <w:rPr>
          <w:rFonts w:asciiTheme="minorHAnsi" w:hAnsiTheme="minorHAnsi" w:cstheme="minorHAnsi"/>
        </w:rPr>
        <w:t>Rowland, T., Turner, F., Thwaites</w:t>
      </w:r>
      <w:r w:rsidR="00D8260E">
        <w:rPr>
          <w:rFonts w:asciiTheme="minorHAnsi" w:hAnsiTheme="minorHAnsi" w:cstheme="minorHAnsi"/>
        </w:rPr>
        <w:t xml:space="preserve">, A., and </w:t>
      </w:r>
      <w:proofErr w:type="spellStart"/>
      <w:r w:rsidR="00D8260E">
        <w:rPr>
          <w:rFonts w:asciiTheme="minorHAnsi" w:hAnsiTheme="minorHAnsi" w:cstheme="minorHAnsi"/>
        </w:rPr>
        <w:t>Huckstep</w:t>
      </w:r>
      <w:proofErr w:type="spellEnd"/>
      <w:r w:rsidR="00D8260E">
        <w:rPr>
          <w:rFonts w:asciiTheme="minorHAnsi" w:hAnsiTheme="minorHAnsi" w:cstheme="minorHAnsi"/>
        </w:rPr>
        <w:t>, P</w:t>
      </w:r>
      <w:r w:rsidR="0064488C">
        <w:rPr>
          <w:rFonts w:asciiTheme="minorHAnsi" w:hAnsiTheme="minorHAnsi" w:cstheme="minorHAnsi"/>
        </w:rPr>
        <w:t>.</w:t>
      </w:r>
      <w:r w:rsidR="00D8260E">
        <w:rPr>
          <w:rFonts w:asciiTheme="minorHAnsi" w:hAnsiTheme="minorHAnsi" w:cstheme="minorHAnsi"/>
        </w:rPr>
        <w:t xml:space="preserve"> (2009)</w:t>
      </w:r>
      <w:r w:rsidR="0064488C">
        <w:rPr>
          <w:rFonts w:asciiTheme="minorHAnsi" w:hAnsiTheme="minorHAnsi" w:cstheme="minorHAnsi"/>
        </w:rPr>
        <w:t>.</w:t>
      </w:r>
      <w:r w:rsidR="00D8260E">
        <w:rPr>
          <w:rFonts w:asciiTheme="minorHAnsi" w:hAnsiTheme="minorHAnsi" w:cstheme="minorHAnsi"/>
        </w:rPr>
        <w:t xml:space="preserve"> </w:t>
      </w:r>
      <w:r w:rsidR="00D8260E">
        <w:rPr>
          <w:rFonts w:asciiTheme="minorHAnsi" w:hAnsiTheme="minorHAnsi" w:cstheme="minorHAnsi"/>
          <w:i/>
        </w:rPr>
        <w:t xml:space="preserve">Developing Primary Mathematics Teaching. </w:t>
      </w:r>
      <w:r w:rsidR="009A551E">
        <w:rPr>
          <w:rFonts w:asciiTheme="minorHAnsi" w:hAnsiTheme="minorHAnsi" w:cstheme="minorHAnsi"/>
        </w:rPr>
        <w:t>London: SAGE Publications Ltd.</w:t>
      </w:r>
    </w:p>
    <w:p w14:paraId="6A31D2CF" w14:textId="7ED18DD2" w:rsidR="00C45FE6" w:rsidRPr="00C45FE6" w:rsidRDefault="00C45FE6" w:rsidP="000B1F1B">
      <w:pPr>
        <w:pStyle w:val="NormalWeb"/>
        <w:rPr>
          <w:rFonts w:asciiTheme="minorHAnsi" w:hAnsiTheme="minorHAnsi" w:cstheme="minorHAnsi"/>
        </w:rPr>
      </w:pPr>
      <w:r w:rsidRPr="00C45FE6">
        <w:rPr>
          <w:rFonts w:asciiTheme="minorHAnsi" w:hAnsiTheme="minorHAnsi" w:cstheme="minorHAnsi"/>
        </w:rPr>
        <w:t>Shulman, L. (1986)</w:t>
      </w:r>
      <w:r>
        <w:rPr>
          <w:rFonts w:asciiTheme="minorHAnsi" w:hAnsiTheme="minorHAnsi" w:cstheme="minorHAnsi"/>
        </w:rPr>
        <w:t>.</w:t>
      </w:r>
      <w:r w:rsidRPr="00C45FE6">
        <w:rPr>
          <w:rFonts w:asciiTheme="minorHAnsi" w:hAnsiTheme="minorHAnsi" w:cstheme="minorHAnsi"/>
        </w:rPr>
        <w:t xml:space="preserve"> </w:t>
      </w:r>
      <w:r>
        <w:rPr>
          <w:rFonts w:asciiTheme="minorHAnsi" w:hAnsiTheme="minorHAnsi" w:cstheme="minorHAnsi"/>
        </w:rPr>
        <w:t>‘</w:t>
      </w:r>
      <w:r w:rsidRPr="00C45FE6">
        <w:rPr>
          <w:rFonts w:asciiTheme="minorHAnsi" w:hAnsiTheme="minorHAnsi" w:cstheme="minorHAnsi"/>
        </w:rPr>
        <w:t>Those who understand: Knowledge</w:t>
      </w:r>
      <w:r>
        <w:rPr>
          <w:rFonts w:asciiTheme="minorHAnsi" w:hAnsiTheme="minorHAnsi" w:cstheme="minorHAnsi"/>
        </w:rPr>
        <w:t xml:space="preserve"> </w:t>
      </w:r>
      <w:r w:rsidRPr="00C45FE6">
        <w:rPr>
          <w:rFonts w:asciiTheme="minorHAnsi" w:hAnsiTheme="minorHAnsi" w:cstheme="minorHAnsi"/>
        </w:rPr>
        <w:t>growth in teaching</w:t>
      </w:r>
      <w:r>
        <w:rPr>
          <w:rFonts w:asciiTheme="minorHAnsi" w:hAnsiTheme="minorHAnsi" w:cstheme="minorHAnsi"/>
        </w:rPr>
        <w:t>’</w:t>
      </w:r>
      <w:r w:rsidRPr="00C45FE6">
        <w:rPr>
          <w:rFonts w:asciiTheme="minorHAnsi" w:hAnsiTheme="minorHAnsi" w:cstheme="minorHAnsi"/>
        </w:rPr>
        <w:t xml:space="preserve">, </w:t>
      </w:r>
      <w:r w:rsidRPr="00C45FE6">
        <w:rPr>
          <w:rFonts w:asciiTheme="minorHAnsi" w:hAnsiTheme="minorHAnsi" w:cstheme="minorHAnsi"/>
          <w:i/>
          <w:iCs/>
        </w:rPr>
        <w:t xml:space="preserve">Educational Researcher </w:t>
      </w:r>
      <w:r w:rsidRPr="00C45FE6">
        <w:rPr>
          <w:rFonts w:asciiTheme="minorHAnsi" w:hAnsiTheme="minorHAnsi" w:cstheme="minorHAnsi"/>
        </w:rPr>
        <w:t xml:space="preserve">Vol.15. No. 2: pp. 4-14. </w:t>
      </w:r>
    </w:p>
    <w:p w14:paraId="2B0188AB" w14:textId="77777777" w:rsidR="00A76B2B" w:rsidRPr="000B1F1B" w:rsidRDefault="000B1F1B" w:rsidP="000B1F1B">
      <w:pPr>
        <w:pStyle w:val="NormalWeb"/>
        <w:rPr>
          <w:rFonts w:asciiTheme="minorHAnsi" w:hAnsiTheme="minorHAnsi" w:cstheme="minorHAnsi"/>
        </w:rPr>
      </w:pPr>
      <w:r w:rsidRPr="000B1F1B">
        <w:rPr>
          <w:rFonts w:asciiTheme="minorHAnsi" w:hAnsiTheme="minorHAnsi" w:cstheme="minorHAnsi"/>
        </w:rPr>
        <w:t>Shulman, L. S. (1987)</w:t>
      </w:r>
      <w:r w:rsidR="0064488C">
        <w:rPr>
          <w:rFonts w:asciiTheme="minorHAnsi" w:hAnsiTheme="minorHAnsi" w:cstheme="minorHAnsi"/>
        </w:rPr>
        <w:t>.</w:t>
      </w:r>
      <w:r w:rsidRPr="000B1F1B">
        <w:rPr>
          <w:rFonts w:asciiTheme="minorHAnsi" w:hAnsiTheme="minorHAnsi" w:cstheme="minorHAnsi"/>
        </w:rPr>
        <w:t xml:space="preserve"> ‘Knowledge and teaching: Foundations of the new reform’, </w:t>
      </w:r>
      <w:r w:rsidRPr="000B1F1B">
        <w:rPr>
          <w:rFonts w:asciiTheme="minorHAnsi" w:hAnsiTheme="minorHAnsi" w:cstheme="minorHAnsi"/>
          <w:i/>
          <w:iCs/>
        </w:rPr>
        <w:t>Harvard Educational Review</w:t>
      </w:r>
      <w:r w:rsidRPr="000B1F1B">
        <w:rPr>
          <w:rFonts w:asciiTheme="minorHAnsi" w:hAnsiTheme="minorHAnsi" w:cstheme="minorHAnsi"/>
        </w:rPr>
        <w:t xml:space="preserve">, 57(1): pp. 1-22. </w:t>
      </w:r>
    </w:p>
    <w:p w14:paraId="74E4DA77" w14:textId="77777777" w:rsidR="00360F50" w:rsidRDefault="00F8473A" w:rsidP="00360F50">
      <w:pPr>
        <w:pStyle w:val="NormalWeb"/>
        <w:rPr>
          <w:rFonts w:asciiTheme="minorHAnsi" w:hAnsiTheme="minorHAnsi" w:cstheme="minorHAnsi"/>
        </w:rPr>
      </w:pPr>
      <w:r>
        <w:rPr>
          <w:rFonts w:asciiTheme="minorHAnsi" w:hAnsiTheme="minorHAnsi" w:cstheme="minorHAnsi"/>
        </w:rPr>
        <w:t>Stronge, J.H</w:t>
      </w:r>
      <w:r w:rsidR="0064488C">
        <w:rPr>
          <w:rFonts w:asciiTheme="minorHAnsi" w:hAnsiTheme="minorHAnsi" w:cstheme="minorHAnsi"/>
        </w:rPr>
        <w:t>.</w:t>
      </w:r>
      <w:r>
        <w:rPr>
          <w:rFonts w:asciiTheme="minorHAnsi" w:hAnsiTheme="minorHAnsi" w:cstheme="minorHAnsi"/>
        </w:rPr>
        <w:t xml:space="preserve"> (</w:t>
      </w:r>
      <w:r w:rsidR="007806CE">
        <w:rPr>
          <w:rFonts w:asciiTheme="minorHAnsi" w:hAnsiTheme="minorHAnsi" w:cstheme="minorHAnsi"/>
        </w:rPr>
        <w:t>2018)</w:t>
      </w:r>
      <w:r w:rsidR="0064488C">
        <w:rPr>
          <w:rFonts w:asciiTheme="minorHAnsi" w:hAnsiTheme="minorHAnsi" w:cstheme="minorHAnsi"/>
        </w:rPr>
        <w:t>.</w:t>
      </w:r>
      <w:r w:rsidR="007806CE">
        <w:rPr>
          <w:rFonts w:asciiTheme="minorHAnsi" w:hAnsiTheme="minorHAnsi" w:cstheme="minorHAnsi"/>
        </w:rPr>
        <w:t xml:space="preserve"> </w:t>
      </w:r>
      <w:r w:rsidR="007806CE">
        <w:rPr>
          <w:rFonts w:asciiTheme="minorHAnsi" w:hAnsiTheme="minorHAnsi" w:cstheme="minorHAnsi"/>
          <w:i/>
        </w:rPr>
        <w:t xml:space="preserve">Qualities of Effective Teachers. </w:t>
      </w:r>
      <w:r w:rsidR="007806CE">
        <w:rPr>
          <w:rFonts w:asciiTheme="minorHAnsi" w:hAnsiTheme="minorHAnsi" w:cstheme="minorHAnsi"/>
        </w:rPr>
        <w:t>3</w:t>
      </w:r>
      <w:r w:rsidR="007806CE" w:rsidRPr="007806CE">
        <w:rPr>
          <w:rFonts w:asciiTheme="minorHAnsi" w:hAnsiTheme="minorHAnsi" w:cstheme="minorHAnsi"/>
          <w:vertAlign w:val="superscript"/>
        </w:rPr>
        <w:t>rd</w:t>
      </w:r>
      <w:r w:rsidR="007806CE">
        <w:rPr>
          <w:rFonts w:asciiTheme="minorHAnsi" w:hAnsiTheme="minorHAnsi" w:cstheme="minorHAnsi"/>
        </w:rPr>
        <w:t xml:space="preserve"> edn. </w:t>
      </w:r>
      <w:r w:rsidR="000A1FF7">
        <w:rPr>
          <w:rFonts w:asciiTheme="minorHAnsi" w:hAnsiTheme="minorHAnsi" w:cstheme="minorHAnsi"/>
        </w:rPr>
        <w:t>Alexandria</w:t>
      </w:r>
      <w:r w:rsidR="003848CE">
        <w:rPr>
          <w:rFonts w:asciiTheme="minorHAnsi" w:hAnsiTheme="minorHAnsi" w:cstheme="minorHAnsi"/>
        </w:rPr>
        <w:t>: ASCD, p. 13</w:t>
      </w:r>
    </w:p>
    <w:p w14:paraId="0A9DF8FA" w14:textId="77777777" w:rsidR="00F9487E" w:rsidRDefault="00F9487E" w:rsidP="00360F50">
      <w:pPr>
        <w:pStyle w:val="NormalWeb"/>
        <w:rPr>
          <w:rFonts w:asciiTheme="minorHAnsi" w:hAnsiTheme="minorHAnsi" w:cstheme="minorHAnsi"/>
        </w:rPr>
      </w:pPr>
      <w:r>
        <w:rPr>
          <w:rFonts w:asciiTheme="minorHAnsi" w:hAnsiTheme="minorHAnsi" w:cstheme="minorHAnsi"/>
        </w:rPr>
        <w:t>Turner, F</w:t>
      </w:r>
      <w:r w:rsidR="007F5D21">
        <w:rPr>
          <w:rFonts w:asciiTheme="minorHAnsi" w:hAnsiTheme="minorHAnsi" w:cstheme="minorHAnsi"/>
        </w:rPr>
        <w:t>. (2012)</w:t>
      </w:r>
      <w:r w:rsidR="0064488C">
        <w:rPr>
          <w:rFonts w:asciiTheme="minorHAnsi" w:hAnsiTheme="minorHAnsi" w:cstheme="minorHAnsi"/>
        </w:rPr>
        <w:t>.</w:t>
      </w:r>
      <w:r w:rsidR="007F5D21">
        <w:rPr>
          <w:rFonts w:asciiTheme="minorHAnsi" w:hAnsiTheme="minorHAnsi" w:cstheme="minorHAnsi"/>
        </w:rPr>
        <w:t xml:space="preserve"> ‘Qualities of the Knowledge Quartet to develop mathematics content knowledge: the role of </w:t>
      </w:r>
      <w:proofErr w:type="spellStart"/>
      <w:r w:rsidR="007F5D21">
        <w:rPr>
          <w:rFonts w:asciiTheme="minorHAnsi" w:hAnsiTheme="minorHAnsi" w:cstheme="minorHAnsi"/>
        </w:rPr>
        <w:t>relection</w:t>
      </w:r>
      <w:proofErr w:type="spellEnd"/>
      <w:r w:rsidR="007F5D21">
        <w:rPr>
          <w:rFonts w:asciiTheme="minorHAnsi" w:hAnsiTheme="minorHAnsi" w:cstheme="minorHAnsi"/>
        </w:rPr>
        <w:t xml:space="preserve"> on professional development’. </w:t>
      </w:r>
      <w:r w:rsidR="007F5D21">
        <w:rPr>
          <w:rFonts w:asciiTheme="minorHAnsi" w:hAnsiTheme="minorHAnsi" w:cstheme="minorHAnsi"/>
          <w:i/>
        </w:rPr>
        <w:t>Research in Mathematics Education</w:t>
      </w:r>
      <w:r w:rsidR="00EE1668">
        <w:rPr>
          <w:rFonts w:asciiTheme="minorHAnsi" w:hAnsiTheme="minorHAnsi" w:cstheme="minorHAnsi"/>
          <w:i/>
        </w:rPr>
        <w:t xml:space="preserve">. </w:t>
      </w:r>
      <w:r w:rsidR="00EE1668">
        <w:rPr>
          <w:rFonts w:asciiTheme="minorHAnsi" w:hAnsiTheme="minorHAnsi" w:cstheme="minorHAnsi"/>
        </w:rPr>
        <w:t xml:space="preserve">Vol. 14 (3), pp. </w:t>
      </w:r>
      <w:r w:rsidR="008F3552">
        <w:rPr>
          <w:rFonts w:asciiTheme="minorHAnsi" w:hAnsiTheme="minorHAnsi" w:cstheme="minorHAnsi"/>
        </w:rPr>
        <w:t>253-271</w:t>
      </w:r>
    </w:p>
    <w:p w14:paraId="6965381B" w14:textId="77777777" w:rsidR="00065874" w:rsidRPr="00B51CD8" w:rsidRDefault="00065874" w:rsidP="00360F50">
      <w:pPr>
        <w:pStyle w:val="NormalWeb"/>
        <w:rPr>
          <w:rFonts w:asciiTheme="minorHAnsi" w:hAnsiTheme="minorHAnsi" w:cstheme="minorHAnsi"/>
        </w:rPr>
      </w:pPr>
      <w:r>
        <w:rPr>
          <w:rFonts w:asciiTheme="minorHAnsi" w:hAnsiTheme="minorHAnsi" w:cstheme="minorHAnsi"/>
        </w:rPr>
        <w:t>Unver, S. (</w:t>
      </w:r>
      <w:r w:rsidR="00FD0AE4">
        <w:rPr>
          <w:rFonts w:asciiTheme="minorHAnsi" w:hAnsiTheme="minorHAnsi" w:cstheme="minorHAnsi"/>
        </w:rPr>
        <w:t>2018)</w:t>
      </w:r>
      <w:r w:rsidR="0064488C">
        <w:rPr>
          <w:rFonts w:asciiTheme="minorHAnsi" w:hAnsiTheme="minorHAnsi" w:cstheme="minorHAnsi"/>
        </w:rPr>
        <w:t>.</w:t>
      </w:r>
      <w:r w:rsidR="00FD0AE4">
        <w:rPr>
          <w:rFonts w:asciiTheme="minorHAnsi" w:hAnsiTheme="minorHAnsi" w:cstheme="minorHAnsi"/>
        </w:rPr>
        <w:t xml:space="preserve"> ‘The Knowledge Quartet in the light of the literature on subject matter and pedagogical content knowledge’. </w:t>
      </w:r>
      <w:r w:rsidR="00FD0AE4">
        <w:rPr>
          <w:rFonts w:asciiTheme="minorHAnsi" w:hAnsiTheme="minorHAnsi" w:cstheme="minorHAnsi"/>
          <w:i/>
        </w:rPr>
        <w:t>Ac</w:t>
      </w:r>
      <w:r w:rsidR="00B51CD8">
        <w:rPr>
          <w:rFonts w:asciiTheme="minorHAnsi" w:hAnsiTheme="minorHAnsi" w:cstheme="minorHAnsi"/>
          <w:i/>
        </w:rPr>
        <w:t xml:space="preserve">ta </w:t>
      </w:r>
      <w:proofErr w:type="spellStart"/>
      <w:r w:rsidR="00B51CD8">
        <w:rPr>
          <w:rFonts w:asciiTheme="minorHAnsi" w:hAnsiTheme="minorHAnsi" w:cstheme="minorHAnsi"/>
          <w:i/>
        </w:rPr>
        <w:t>Didactica</w:t>
      </w:r>
      <w:proofErr w:type="spellEnd"/>
      <w:r w:rsidR="00B51CD8">
        <w:rPr>
          <w:rFonts w:asciiTheme="minorHAnsi" w:hAnsiTheme="minorHAnsi" w:cstheme="minorHAnsi"/>
          <w:i/>
        </w:rPr>
        <w:t xml:space="preserve"> </w:t>
      </w:r>
      <w:proofErr w:type="spellStart"/>
      <w:r w:rsidR="00B51CD8">
        <w:rPr>
          <w:rFonts w:asciiTheme="minorHAnsi" w:hAnsiTheme="minorHAnsi" w:cstheme="minorHAnsi"/>
          <w:i/>
        </w:rPr>
        <w:t>Napocensia</w:t>
      </w:r>
      <w:proofErr w:type="spellEnd"/>
      <w:r w:rsidR="00B51CD8">
        <w:rPr>
          <w:rFonts w:asciiTheme="minorHAnsi" w:hAnsiTheme="minorHAnsi" w:cstheme="minorHAnsi"/>
          <w:i/>
        </w:rPr>
        <w:t xml:space="preserve">. </w:t>
      </w:r>
      <w:r w:rsidR="00B51CD8">
        <w:rPr>
          <w:rFonts w:asciiTheme="minorHAnsi" w:hAnsiTheme="minorHAnsi" w:cstheme="minorHAnsi"/>
        </w:rPr>
        <w:t>Vol. 11 (2), pp.27-41</w:t>
      </w:r>
    </w:p>
    <w:p w14:paraId="6B2640DE" w14:textId="77777777" w:rsidR="00947D3D" w:rsidRDefault="00947D3D" w:rsidP="00947D3D">
      <w:r>
        <w:t>Van</w:t>
      </w:r>
      <w:r>
        <w:rPr>
          <w:rStyle w:val="a"/>
        </w:rPr>
        <w:t xml:space="preserve"> </w:t>
      </w:r>
      <w:r>
        <w:t>Driel,</w:t>
      </w:r>
      <w:r>
        <w:rPr>
          <w:rStyle w:val="a"/>
        </w:rPr>
        <w:t xml:space="preserve"> </w:t>
      </w:r>
      <w:r>
        <w:t>J.</w:t>
      </w:r>
      <w:r>
        <w:rPr>
          <w:rStyle w:val="a"/>
        </w:rPr>
        <w:t xml:space="preserve"> </w:t>
      </w:r>
      <w:r>
        <w:t>H.,</w:t>
      </w:r>
      <w:r>
        <w:rPr>
          <w:rStyle w:val="a"/>
        </w:rPr>
        <w:t xml:space="preserve"> </w:t>
      </w:r>
      <w:proofErr w:type="spellStart"/>
      <w:r>
        <w:t>Verloop</w:t>
      </w:r>
      <w:proofErr w:type="spellEnd"/>
      <w:r>
        <w:t>,</w:t>
      </w:r>
      <w:r>
        <w:rPr>
          <w:rStyle w:val="a"/>
        </w:rPr>
        <w:t xml:space="preserve"> </w:t>
      </w:r>
      <w:r>
        <w:t>N.,</w:t>
      </w:r>
      <w:r>
        <w:rPr>
          <w:rStyle w:val="a"/>
        </w:rPr>
        <w:t xml:space="preserve"> </w:t>
      </w:r>
      <w:r>
        <w:t>&amp;</w:t>
      </w:r>
      <w:r>
        <w:rPr>
          <w:rStyle w:val="a"/>
        </w:rPr>
        <w:t xml:space="preserve"> </w:t>
      </w:r>
      <w:r>
        <w:t>De</w:t>
      </w:r>
      <w:r>
        <w:rPr>
          <w:rStyle w:val="a"/>
        </w:rPr>
        <w:t xml:space="preserve"> </w:t>
      </w:r>
      <w:r>
        <w:t>Vos,</w:t>
      </w:r>
      <w:r>
        <w:rPr>
          <w:rStyle w:val="a"/>
        </w:rPr>
        <w:t xml:space="preserve"> </w:t>
      </w:r>
      <w:r>
        <w:t>W.</w:t>
      </w:r>
      <w:r>
        <w:rPr>
          <w:rStyle w:val="a"/>
        </w:rPr>
        <w:t xml:space="preserve"> </w:t>
      </w:r>
      <w:r>
        <w:t>(1998).</w:t>
      </w:r>
      <w:r>
        <w:rPr>
          <w:rStyle w:val="a"/>
        </w:rPr>
        <w:t xml:space="preserve"> ‘</w:t>
      </w:r>
      <w:r>
        <w:t>Developing</w:t>
      </w:r>
      <w:r>
        <w:rPr>
          <w:rStyle w:val="a"/>
        </w:rPr>
        <w:t xml:space="preserve"> </w:t>
      </w:r>
      <w:r>
        <w:t>science</w:t>
      </w:r>
      <w:r>
        <w:rPr>
          <w:rStyle w:val="a"/>
        </w:rPr>
        <w:t xml:space="preserve"> </w:t>
      </w:r>
      <w:r>
        <w:t>teachers</w:t>
      </w:r>
      <w:r>
        <w:rPr>
          <w:rStyle w:val="ff5"/>
        </w:rPr>
        <w:t>’</w:t>
      </w:r>
      <w:r>
        <w:rPr>
          <w:rStyle w:val="a"/>
        </w:rPr>
        <w:t xml:space="preserve"> </w:t>
      </w:r>
      <w:r>
        <w:t>pedagogical</w:t>
      </w:r>
      <w:r>
        <w:rPr>
          <w:rStyle w:val="a"/>
        </w:rPr>
        <w:t xml:space="preserve"> </w:t>
      </w:r>
      <w:r>
        <w:t>content knowledge.’</w:t>
      </w:r>
      <w:r>
        <w:rPr>
          <w:rStyle w:val="a"/>
        </w:rPr>
        <w:t xml:space="preserve"> </w:t>
      </w:r>
      <w:r w:rsidRPr="00947D3D">
        <w:rPr>
          <w:rStyle w:val="ff7"/>
          <w:i/>
        </w:rPr>
        <w:t>Journal</w:t>
      </w:r>
      <w:r w:rsidRPr="00947D3D">
        <w:rPr>
          <w:rStyle w:val="a"/>
          <w:i/>
        </w:rPr>
        <w:t xml:space="preserve"> </w:t>
      </w:r>
      <w:r w:rsidRPr="00947D3D">
        <w:rPr>
          <w:rStyle w:val="ff7"/>
          <w:i/>
        </w:rPr>
        <w:t>of</w:t>
      </w:r>
      <w:r w:rsidRPr="00947D3D">
        <w:rPr>
          <w:rStyle w:val="a"/>
          <w:i/>
        </w:rPr>
        <w:t xml:space="preserve"> </w:t>
      </w:r>
      <w:r w:rsidRPr="00947D3D">
        <w:rPr>
          <w:rStyle w:val="ff7"/>
          <w:i/>
        </w:rPr>
        <w:t>Research</w:t>
      </w:r>
      <w:r w:rsidRPr="00947D3D">
        <w:rPr>
          <w:rStyle w:val="a"/>
          <w:i/>
        </w:rPr>
        <w:t xml:space="preserve"> </w:t>
      </w:r>
      <w:r w:rsidRPr="00947D3D">
        <w:rPr>
          <w:rStyle w:val="ff7"/>
          <w:i/>
        </w:rPr>
        <w:t>in</w:t>
      </w:r>
      <w:r w:rsidRPr="00947D3D">
        <w:rPr>
          <w:rStyle w:val="a"/>
          <w:i/>
        </w:rPr>
        <w:t xml:space="preserve"> </w:t>
      </w:r>
      <w:r w:rsidRPr="00947D3D">
        <w:rPr>
          <w:rStyle w:val="ff7"/>
          <w:i/>
        </w:rPr>
        <w:t>Science</w:t>
      </w:r>
      <w:r w:rsidRPr="00947D3D">
        <w:rPr>
          <w:rStyle w:val="a"/>
          <w:i/>
        </w:rPr>
        <w:t xml:space="preserve"> </w:t>
      </w:r>
      <w:r w:rsidRPr="00947D3D">
        <w:rPr>
          <w:rStyle w:val="ff7"/>
          <w:i/>
        </w:rPr>
        <w:t>Teaching</w:t>
      </w:r>
      <w:r>
        <w:rPr>
          <w:rStyle w:val="ff7"/>
        </w:rPr>
        <w:t>,</w:t>
      </w:r>
      <w:r>
        <w:rPr>
          <w:rStyle w:val="a"/>
        </w:rPr>
        <w:t xml:space="preserve"> Vol. </w:t>
      </w:r>
      <w:r>
        <w:rPr>
          <w:rStyle w:val="ff7"/>
        </w:rPr>
        <w:t>35</w:t>
      </w:r>
      <w:r>
        <w:rPr>
          <w:rStyle w:val="ff3"/>
        </w:rPr>
        <w:t>,</w:t>
      </w:r>
      <w:r>
        <w:rPr>
          <w:rStyle w:val="a"/>
        </w:rPr>
        <w:t xml:space="preserve"> </w:t>
      </w:r>
      <w:r>
        <w:rPr>
          <w:rStyle w:val="ff3"/>
        </w:rPr>
        <w:t>673</w:t>
      </w:r>
      <w:r>
        <w:rPr>
          <w:rStyle w:val="ff5"/>
        </w:rPr>
        <w:t>–</w:t>
      </w:r>
      <w:r>
        <w:rPr>
          <w:rStyle w:val="ff3"/>
        </w:rPr>
        <w:t>695.</w:t>
      </w:r>
    </w:p>
    <w:p w14:paraId="3593756B" w14:textId="77777777" w:rsidR="00947D3D" w:rsidRDefault="00947D3D" w:rsidP="00947D3D"/>
    <w:p w14:paraId="750C4B95" w14:textId="77777777" w:rsidR="00630EA5" w:rsidRDefault="00630EA5" w:rsidP="00947D3D">
      <w:r>
        <w:t>Weiss, I.R., and Miller, B</w:t>
      </w:r>
      <w:r w:rsidR="0064488C">
        <w:t xml:space="preserve">. </w:t>
      </w:r>
      <w:r>
        <w:t xml:space="preserve">(2006). ‘Deepening Teacher Content Knowledge for Teaching: A Review of the Evidence’. In </w:t>
      </w:r>
      <w:r w:rsidR="00076B12">
        <w:rPr>
          <w:i/>
        </w:rPr>
        <w:t xml:space="preserve">Teachers’ Mathematics Content Knowledge Literature Review </w:t>
      </w:r>
      <w:r w:rsidR="00076B12">
        <w:t>for MSP Evaluation Summit II</w:t>
      </w:r>
      <w:r w:rsidR="002A5A3E">
        <w:t>, Minneapolis: MN</w:t>
      </w:r>
    </w:p>
    <w:p w14:paraId="73BC786E" w14:textId="77777777" w:rsidR="00B51CD8" w:rsidRDefault="00B51CD8" w:rsidP="00947D3D"/>
    <w:p w14:paraId="206503FB" w14:textId="77777777" w:rsidR="003F50C2" w:rsidRPr="00E75084" w:rsidRDefault="00B51CD8" w:rsidP="00E75084">
      <w:r>
        <w:t>Weston</w:t>
      </w:r>
      <w:r w:rsidR="00395851">
        <w:t>, T.L. (2013)</w:t>
      </w:r>
      <w:r w:rsidR="0064488C">
        <w:t>.</w:t>
      </w:r>
      <w:r w:rsidR="00395851">
        <w:t xml:space="preserve"> ‘Using the “Knowledge Quartet” to Quantify Mathematical Knowledge in Teaching: The Development of a Protocol for Initial Teacher Education</w:t>
      </w:r>
      <w:r w:rsidR="00807360">
        <w:t xml:space="preserve">’. </w:t>
      </w:r>
      <w:r w:rsidR="00807360">
        <w:rPr>
          <w:i/>
        </w:rPr>
        <w:t xml:space="preserve">Research in Mathematics Education. </w:t>
      </w:r>
      <w:r w:rsidR="00807360">
        <w:t>Vol. 16 (3), pp.286-302</w:t>
      </w:r>
      <w:r w:rsidR="00CC5BB2">
        <w:t>.</w:t>
      </w:r>
    </w:p>
    <w:p w14:paraId="5E567CF0" w14:textId="77777777" w:rsidR="003F50C2" w:rsidRDefault="003F50C2" w:rsidP="00360F50">
      <w:pPr>
        <w:pStyle w:val="NormalWeb"/>
        <w:rPr>
          <w:rFonts w:asciiTheme="minorHAnsi" w:hAnsiTheme="minorHAnsi" w:cstheme="minorHAnsi"/>
        </w:rPr>
      </w:pPr>
    </w:p>
    <w:p w14:paraId="3703EB57" w14:textId="77777777" w:rsidR="003F50C2" w:rsidRDefault="003F50C2" w:rsidP="00360F50">
      <w:pPr>
        <w:pStyle w:val="NormalWeb"/>
        <w:rPr>
          <w:rFonts w:asciiTheme="minorHAnsi" w:hAnsiTheme="minorHAnsi" w:cstheme="minorHAnsi"/>
        </w:rPr>
      </w:pPr>
    </w:p>
    <w:p w14:paraId="2C682E84" w14:textId="77777777" w:rsidR="003F50C2" w:rsidRDefault="003F50C2" w:rsidP="00360F50">
      <w:pPr>
        <w:pStyle w:val="NormalWeb"/>
        <w:rPr>
          <w:rFonts w:asciiTheme="minorHAnsi" w:hAnsiTheme="minorHAnsi" w:cstheme="minorHAnsi"/>
        </w:rPr>
      </w:pPr>
    </w:p>
    <w:p w14:paraId="33CD437D" w14:textId="77777777" w:rsidR="003F50C2" w:rsidRDefault="003F50C2" w:rsidP="00360F50">
      <w:pPr>
        <w:pStyle w:val="NormalWeb"/>
        <w:rPr>
          <w:rFonts w:asciiTheme="minorHAnsi" w:hAnsiTheme="minorHAnsi" w:cstheme="minorHAnsi"/>
        </w:rPr>
      </w:pPr>
    </w:p>
    <w:p w14:paraId="64A2DB77" w14:textId="77777777" w:rsidR="00134746" w:rsidRPr="0098684E" w:rsidRDefault="00134746" w:rsidP="00134746">
      <w:pPr>
        <w:autoSpaceDE w:val="0"/>
        <w:autoSpaceDN w:val="0"/>
        <w:adjustRightInd w:val="0"/>
        <w:rPr>
          <w:b/>
          <w:u w:val="single"/>
          <w:lang w:val="en-US"/>
        </w:rPr>
      </w:pPr>
    </w:p>
    <w:p w14:paraId="56CA41E4" w14:textId="77777777" w:rsidR="00F50CA2" w:rsidRDefault="00F50CA2" w:rsidP="00F50CA2">
      <w:pPr>
        <w:rPr>
          <w:b/>
        </w:rPr>
      </w:pPr>
    </w:p>
    <w:p w14:paraId="284EA39E" w14:textId="77777777" w:rsidR="00134746" w:rsidRDefault="00134746" w:rsidP="00F50CA2">
      <w:pPr>
        <w:rPr>
          <w:b/>
        </w:rPr>
      </w:pPr>
    </w:p>
    <w:p w14:paraId="6BE7AB6E" w14:textId="77777777" w:rsidR="00134746" w:rsidRDefault="00134746" w:rsidP="00F50CA2">
      <w:pPr>
        <w:rPr>
          <w:b/>
        </w:rPr>
      </w:pPr>
    </w:p>
    <w:p w14:paraId="31A87C4B" w14:textId="77777777" w:rsidR="00134746" w:rsidRDefault="00134746" w:rsidP="00F50CA2">
      <w:pPr>
        <w:rPr>
          <w:b/>
        </w:rPr>
      </w:pPr>
    </w:p>
    <w:p w14:paraId="27B5214A" w14:textId="77777777" w:rsidR="00134746" w:rsidRDefault="00134746" w:rsidP="00F50CA2">
      <w:pPr>
        <w:rPr>
          <w:b/>
        </w:rPr>
      </w:pPr>
    </w:p>
    <w:p w14:paraId="6ACAD7C4" w14:textId="77777777" w:rsidR="00134746" w:rsidRDefault="00134746" w:rsidP="00F50CA2">
      <w:pPr>
        <w:rPr>
          <w:b/>
        </w:rPr>
      </w:pPr>
    </w:p>
    <w:p w14:paraId="02C469C7" w14:textId="77777777" w:rsidR="00134746" w:rsidRDefault="00134746" w:rsidP="00F50CA2">
      <w:pPr>
        <w:rPr>
          <w:b/>
        </w:rPr>
      </w:pPr>
    </w:p>
    <w:p w14:paraId="441A963D" w14:textId="77777777" w:rsidR="00134746" w:rsidRDefault="00134746" w:rsidP="00F50CA2">
      <w:pPr>
        <w:rPr>
          <w:b/>
        </w:rPr>
      </w:pPr>
    </w:p>
    <w:p w14:paraId="4B027CAD" w14:textId="77777777" w:rsidR="00134746" w:rsidRDefault="00134746" w:rsidP="00F50CA2">
      <w:pPr>
        <w:rPr>
          <w:b/>
        </w:rPr>
      </w:pPr>
    </w:p>
    <w:p w14:paraId="3975D383" w14:textId="77777777" w:rsidR="00134746" w:rsidRDefault="00134746" w:rsidP="00F50CA2">
      <w:pPr>
        <w:rPr>
          <w:b/>
        </w:rPr>
      </w:pPr>
    </w:p>
    <w:p w14:paraId="78401A2F" w14:textId="77777777" w:rsidR="00134746" w:rsidRDefault="00134746" w:rsidP="00F50CA2">
      <w:pPr>
        <w:rPr>
          <w:b/>
        </w:rPr>
      </w:pPr>
    </w:p>
    <w:p w14:paraId="4E3975DC" w14:textId="77777777" w:rsidR="00134746" w:rsidRDefault="00134746" w:rsidP="00F50CA2">
      <w:pPr>
        <w:rPr>
          <w:b/>
        </w:rPr>
      </w:pPr>
    </w:p>
    <w:p w14:paraId="0D6B4B45" w14:textId="77777777" w:rsidR="00134746" w:rsidRDefault="00134746" w:rsidP="00F50CA2">
      <w:pPr>
        <w:rPr>
          <w:b/>
        </w:rPr>
      </w:pPr>
    </w:p>
    <w:p w14:paraId="68336171" w14:textId="77777777" w:rsidR="00134746" w:rsidRDefault="00134746" w:rsidP="00F50CA2">
      <w:pPr>
        <w:rPr>
          <w:b/>
        </w:rPr>
      </w:pPr>
    </w:p>
    <w:p w14:paraId="162E21EA" w14:textId="77777777" w:rsidR="00134746" w:rsidRDefault="00134746" w:rsidP="00F50CA2">
      <w:pPr>
        <w:rPr>
          <w:b/>
        </w:rPr>
      </w:pPr>
    </w:p>
    <w:p w14:paraId="02D7DD23" w14:textId="77777777" w:rsidR="00134746" w:rsidRDefault="00134746" w:rsidP="00F50CA2">
      <w:pPr>
        <w:rPr>
          <w:b/>
        </w:rPr>
      </w:pPr>
    </w:p>
    <w:p w14:paraId="2E4B3400" w14:textId="77777777" w:rsidR="007218F3" w:rsidRDefault="007218F3"/>
    <w:sectPr w:rsidR="007218F3" w:rsidSect="001A102C">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817D33" w14:textId="77777777" w:rsidR="007906EB" w:rsidRDefault="007906EB" w:rsidP="00C45FE6">
      <w:r>
        <w:separator/>
      </w:r>
    </w:p>
  </w:endnote>
  <w:endnote w:type="continuationSeparator" w:id="0">
    <w:p w14:paraId="6B9020A4" w14:textId="77777777" w:rsidR="007906EB" w:rsidRDefault="007906EB" w:rsidP="00C45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uffy">
    <w:altName w:val="Calibri"/>
    <w:panose1 w:val="020B0604020202020204"/>
    <w:charset w:val="00"/>
    <w:family w:val="swiss"/>
    <w:notTrueType/>
    <w:pitch w:val="variable"/>
    <w:sig w:usb0="E00002FF" w:usb1="520020FB" w:usb2="00000000" w:usb3="00000000" w:csb0="0000019F" w:csb1="00000000"/>
  </w:font>
  <w:font w:name="Times New Roman">
    <w:panose1 w:val="02020603050405020304"/>
    <w:charset w:val="00"/>
    <w:family w:val="roman"/>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0827302"/>
      <w:docPartObj>
        <w:docPartGallery w:val="Page Numbers (Bottom of Page)"/>
        <w:docPartUnique/>
      </w:docPartObj>
    </w:sdtPr>
    <w:sdtEndPr>
      <w:rPr>
        <w:rStyle w:val="PageNumber"/>
      </w:rPr>
    </w:sdtEndPr>
    <w:sdtContent>
      <w:p w14:paraId="0DF12F98" w14:textId="50797D57" w:rsidR="00C45FE6" w:rsidRDefault="00C45FE6" w:rsidP="00D943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ED4CCF" w14:textId="77777777" w:rsidR="00C45FE6" w:rsidRDefault="00C45FE6" w:rsidP="00C45F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0595916"/>
      <w:docPartObj>
        <w:docPartGallery w:val="Page Numbers (Bottom of Page)"/>
        <w:docPartUnique/>
      </w:docPartObj>
    </w:sdtPr>
    <w:sdtEndPr>
      <w:rPr>
        <w:rStyle w:val="PageNumber"/>
      </w:rPr>
    </w:sdtEndPr>
    <w:sdtContent>
      <w:p w14:paraId="78AD14E9" w14:textId="1D7B2D03" w:rsidR="00C45FE6" w:rsidRDefault="00C45FE6" w:rsidP="00D943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0AA91D" w14:textId="1EAF6296" w:rsidR="00C45FE6" w:rsidRDefault="00C45FE6" w:rsidP="00C45FE6">
    <w:pPr>
      <w:pStyle w:val="Footer"/>
      <w:ind w:right="360"/>
      <w:jc w:val="right"/>
    </w:pPr>
  </w:p>
  <w:p w14:paraId="730F7CA0" w14:textId="77777777" w:rsidR="00C45FE6" w:rsidRDefault="00C45F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1B0F68" w14:textId="77777777" w:rsidR="007906EB" w:rsidRDefault="007906EB" w:rsidP="00C45FE6">
      <w:r>
        <w:separator/>
      </w:r>
    </w:p>
  </w:footnote>
  <w:footnote w:type="continuationSeparator" w:id="0">
    <w:p w14:paraId="1AE12906" w14:textId="77777777" w:rsidR="007906EB" w:rsidRDefault="007906EB" w:rsidP="00C45F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3E941" w14:textId="6A557EC7" w:rsidR="00C45FE6" w:rsidRDefault="00C45FE6" w:rsidP="00C45FE6">
    <w:pPr>
      <w:pStyle w:val="Header"/>
      <w:jc w:val="right"/>
    </w:pPr>
    <w:r>
      <w:t>P151197</w:t>
    </w:r>
  </w:p>
  <w:p w14:paraId="6705AE67" w14:textId="77777777" w:rsidR="00C45FE6" w:rsidRDefault="00C45F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402"/>
    <w:multiLevelType w:val="multilevel"/>
    <w:tmpl w:val="00000885"/>
    <w:lvl w:ilvl="0">
      <w:numFmt w:val="bullet"/>
      <w:lvlText w:val="•"/>
      <w:lvlJc w:val="left"/>
      <w:pPr>
        <w:ind w:left="276" w:hanging="171"/>
      </w:pPr>
      <w:rPr>
        <w:rFonts w:ascii="Tuffy" w:hAnsi="Tuffy"/>
        <w:b w:val="0"/>
        <w:color w:val="231F20"/>
        <w:w w:val="100"/>
        <w:sz w:val="24"/>
      </w:rPr>
    </w:lvl>
    <w:lvl w:ilvl="1">
      <w:numFmt w:val="bullet"/>
      <w:lvlText w:val="•"/>
      <w:lvlJc w:val="left"/>
      <w:pPr>
        <w:ind w:left="460" w:hanging="171"/>
      </w:pPr>
    </w:lvl>
    <w:lvl w:ilvl="2">
      <w:numFmt w:val="bullet"/>
      <w:lvlText w:val="•"/>
      <w:lvlJc w:val="left"/>
      <w:pPr>
        <w:ind w:left="1633" w:hanging="171"/>
      </w:pPr>
    </w:lvl>
    <w:lvl w:ilvl="3">
      <w:numFmt w:val="bullet"/>
      <w:lvlText w:val="•"/>
      <w:lvlJc w:val="left"/>
      <w:pPr>
        <w:ind w:left="2807" w:hanging="171"/>
      </w:pPr>
    </w:lvl>
    <w:lvl w:ilvl="4">
      <w:numFmt w:val="bullet"/>
      <w:lvlText w:val="•"/>
      <w:lvlJc w:val="left"/>
      <w:pPr>
        <w:ind w:left="3981" w:hanging="171"/>
      </w:pPr>
    </w:lvl>
    <w:lvl w:ilvl="5">
      <w:numFmt w:val="bullet"/>
      <w:lvlText w:val="•"/>
      <w:lvlJc w:val="left"/>
      <w:pPr>
        <w:ind w:left="5155" w:hanging="171"/>
      </w:pPr>
    </w:lvl>
    <w:lvl w:ilvl="6">
      <w:numFmt w:val="bullet"/>
      <w:lvlText w:val="•"/>
      <w:lvlJc w:val="left"/>
      <w:pPr>
        <w:ind w:left="6329" w:hanging="171"/>
      </w:pPr>
    </w:lvl>
    <w:lvl w:ilvl="7">
      <w:numFmt w:val="bullet"/>
      <w:lvlText w:val="•"/>
      <w:lvlJc w:val="left"/>
      <w:pPr>
        <w:ind w:left="7503" w:hanging="171"/>
      </w:pPr>
    </w:lvl>
    <w:lvl w:ilvl="8">
      <w:numFmt w:val="bullet"/>
      <w:lvlText w:val="•"/>
      <w:lvlJc w:val="left"/>
      <w:pPr>
        <w:ind w:left="8677" w:hanging="171"/>
      </w:pPr>
    </w:lvl>
  </w:abstractNum>
  <w:abstractNum w:abstractNumId="1" w15:restartNumberingAfterBreak="0">
    <w:nsid w:val="4AA01409"/>
    <w:multiLevelType w:val="hybridMultilevel"/>
    <w:tmpl w:val="91304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417876"/>
    <w:multiLevelType w:val="hybridMultilevel"/>
    <w:tmpl w:val="FF588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506449"/>
    <w:multiLevelType w:val="hybridMultilevel"/>
    <w:tmpl w:val="FA289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6E7"/>
    <w:rsid w:val="00005E6A"/>
    <w:rsid w:val="00022F28"/>
    <w:rsid w:val="00024A94"/>
    <w:rsid w:val="00024E41"/>
    <w:rsid w:val="00040E6D"/>
    <w:rsid w:val="000450E8"/>
    <w:rsid w:val="00047556"/>
    <w:rsid w:val="000635EC"/>
    <w:rsid w:val="00065874"/>
    <w:rsid w:val="00076B12"/>
    <w:rsid w:val="0009046B"/>
    <w:rsid w:val="000905C6"/>
    <w:rsid w:val="00091830"/>
    <w:rsid w:val="000A1FF7"/>
    <w:rsid w:val="000B1F1B"/>
    <w:rsid w:val="000B45B4"/>
    <w:rsid w:val="000D6B1C"/>
    <w:rsid w:val="000D7C92"/>
    <w:rsid w:val="000F765D"/>
    <w:rsid w:val="00105D94"/>
    <w:rsid w:val="001123C5"/>
    <w:rsid w:val="001171D3"/>
    <w:rsid w:val="00134746"/>
    <w:rsid w:val="00136737"/>
    <w:rsid w:val="001411E0"/>
    <w:rsid w:val="001622BD"/>
    <w:rsid w:val="00165985"/>
    <w:rsid w:val="00195BB0"/>
    <w:rsid w:val="00197FD9"/>
    <w:rsid w:val="001A0672"/>
    <w:rsid w:val="001A102C"/>
    <w:rsid w:val="001A3049"/>
    <w:rsid w:val="001C4CBB"/>
    <w:rsid w:val="001D67A9"/>
    <w:rsid w:val="001D706B"/>
    <w:rsid w:val="00202720"/>
    <w:rsid w:val="00235321"/>
    <w:rsid w:val="002374F0"/>
    <w:rsid w:val="00240736"/>
    <w:rsid w:val="002477E4"/>
    <w:rsid w:val="002557F2"/>
    <w:rsid w:val="00263AD1"/>
    <w:rsid w:val="00263DBA"/>
    <w:rsid w:val="002648B8"/>
    <w:rsid w:val="00271E02"/>
    <w:rsid w:val="002A1694"/>
    <w:rsid w:val="002A4093"/>
    <w:rsid w:val="002A5A3E"/>
    <w:rsid w:val="002C316C"/>
    <w:rsid w:val="002C7D00"/>
    <w:rsid w:val="002E21E6"/>
    <w:rsid w:val="002E489F"/>
    <w:rsid w:val="002F0ADB"/>
    <w:rsid w:val="002F632B"/>
    <w:rsid w:val="003024F3"/>
    <w:rsid w:val="00322122"/>
    <w:rsid w:val="0032790B"/>
    <w:rsid w:val="00335DDB"/>
    <w:rsid w:val="0034135E"/>
    <w:rsid w:val="00360F50"/>
    <w:rsid w:val="00361EEC"/>
    <w:rsid w:val="00363A86"/>
    <w:rsid w:val="00370D4F"/>
    <w:rsid w:val="003848CE"/>
    <w:rsid w:val="0038592F"/>
    <w:rsid w:val="00395851"/>
    <w:rsid w:val="003B51E3"/>
    <w:rsid w:val="003B620B"/>
    <w:rsid w:val="003D49CB"/>
    <w:rsid w:val="003D779F"/>
    <w:rsid w:val="003D7F27"/>
    <w:rsid w:val="003F3550"/>
    <w:rsid w:val="003F50C2"/>
    <w:rsid w:val="00401A52"/>
    <w:rsid w:val="00412DC9"/>
    <w:rsid w:val="00443E6A"/>
    <w:rsid w:val="0045314E"/>
    <w:rsid w:val="004871FC"/>
    <w:rsid w:val="0049687B"/>
    <w:rsid w:val="004B3DBE"/>
    <w:rsid w:val="004C0AC5"/>
    <w:rsid w:val="004C17C4"/>
    <w:rsid w:val="004E017F"/>
    <w:rsid w:val="004E055C"/>
    <w:rsid w:val="00536F0A"/>
    <w:rsid w:val="00543703"/>
    <w:rsid w:val="00585D1B"/>
    <w:rsid w:val="005963E4"/>
    <w:rsid w:val="005A1D22"/>
    <w:rsid w:val="005B7534"/>
    <w:rsid w:val="005F25DA"/>
    <w:rsid w:val="005F2A1D"/>
    <w:rsid w:val="005F3C4A"/>
    <w:rsid w:val="005F3E03"/>
    <w:rsid w:val="00622BCE"/>
    <w:rsid w:val="00630EA5"/>
    <w:rsid w:val="00631378"/>
    <w:rsid w:val="00632501"/>
    <w:rsid w:val="0063617B"/>
    <w:rsid w:val="0064488C"/>
    <w:rsid w:val="006469C8"/>
    <w:rsid w:val="00673532"/>
    <w:rsid w:val="00677A4D"/>
    <w:rsid w:val="00677BF7"/>
    <w:rsid w:val="00685FF6"/>
    <w:rsid w:val="00691382"/>
    <w:rsid w:val="006D4388"/>
    <w:rsid w:val="006D72CC"/>
    <w:rsid w:val="006E294F"/>
    <w:rsid w:val="00705BF6"/>
    <w:rsid w:val="007168E1"/>
    <w:rsid w:val="00716F06"/>
    <w:rsid w:val="007218F3"/>
    <w:rsid w:val="00744DB2"/>
    <w:rsid w:val="00747802"/>
    <w:rsid w:val="00750938"/>
    <w:rsid w:val="00753BC5"/>
    <w:rsid w:val="00762326"/>
    <w:rsid w:val="00763EFE"/>
    <w:rsid w:val="007806CE"/>
    <w:rsid w:val="00785C09"/>
    <w:rsid w:val="007906EB"/>
    <w:rsid w:val="007D0131"/>
    <w:rsid w:val="007F443A"/>
    <w:rsid w:val="007F46E7"/>
    <w:rsid w:val="007F5B67"/>
    <w:rsid w:val="007F5D21"/>
    <w:rsid w:val="00807360"/>
    <w:rsid w:val="00820741"/>
    <w:rsid w:val="00830785"/>
    <w:rsid w:val="00865589"/>
    <w:rsid w:val="00884457"/>
    <w:rsid w:val="00886D4C"/>
    <w:rsid w:val="008908CA"/>
    <w:rsid w:val="008A4CD7"/>
    <w:rsid w:val="008D3F83"/>
    <w:rsid w:val="008E3E7F"/>
    <w:rsid w:val="008F3552"/>
    <w:rsid w:val="008F5963"/>
    <w:rsid w:val="008F6FFA"/>
    <w:rsid w:val="00913158"/>
    <w:rsid w:val="00922814"/>
    <w:rsid w:val="00925296"/>
    <w:rsid w:val="00947D3D"/>
    <w:rsid w:val="009513D9"/>
    <w:rsid w:val="009527A6"/>
    <w:rsid w:val="00952DD4"/>
    <w:rsid w:val="009635AC"/>
    <w:rsid w:val="0099291E"/>
    <w:rsid w:val="009A551E"/>
    <w:rsid w:val="009B359E"/>
    <w:rsid w:val="009B7EDA"/>
    <w:rsid w:val="009C770E"/>
    <w:rsid w:val="009E6461"/>
    <w:rsid w:val="00A04A63"/>
    <w:rsid w:val="00A13E36"/>
    <w:rsid w:val="00A320FB"/>
    <w:rsid w:val="00A40654"/>
    <w:rsid w:val="00A40DE7"/>
    <w:rsid w:val="00A5542D"/>
    <w:rsid w:val="00A76B2B"/>
    <w:rsid w:val="00AA142A"/>
    <w:rsid w:val="00AA1DD8"/>
    <w:rsid w:val="00AC47F8"/>
    <w:rsid w:val="00AE451E"/>
    <w:rsid w:val="00AF1C87"/>
    <w:rsid w:val="00AF548A"/>
    <w:rsid w:val="00AF5C3A"/>
    <w:rsid w:val="00AF684B"/>
    <w:rsid w:val="00AF7DE2"/>
    <w:rsid w:val="00B129FC"/>
    <w:rsid w:val="00B168B0"/>
    <w:rsid w:val="00B363D2"/>
    <w:rsid w:val="00B42BC8"/>
    <w:rsid w:val="00B45E89"/>
    <w:rsid w:val="00B51CD8"/>
    <w:rsid w:val="00B5589C"/>
    <w:rsid w:val="00B75C8F"/>
    <w:rsid w:val="00B866FD"/>
    <w:rsid w:val="00B93896"/>
    <w:rsid w:val="00BB1B30"/>
    <w:rsid w:val="00BB6C88"/>
    <w:rsid w:val="00BC0B7F"/>
    <w:rsid w:val="00BE7FFC"/>
    <w:rsid w:val="00C2641E"/>
    <w:rsid w:val="00C45FE6"/>
    <w:rsid w:val="00C770E1"/>
    <w:rsid w:val="00CA139C"/>
    <w:rsid w:val="00CC527C"/>
    <w:rsid w:val="00CC5BB2"/>
    <w:rsid w:val="00CF0807"/>
    <w:rsid w:val="00D12189"/>
    <w:rsid w:val="00D1275C"/>
    <w:rsid w:val="00D171F2"/>
    <w:rsid w:val="00D252D9"/>
    <w:rsid w:val="00D47088"/>
    <w:rsid w:val="00D529C5"/>
    <w:rsid w:val="00D663CE"/>
    <w:rsid w:val="00D8260E"/>
    <w:rsid w:val="00D85E7F"/>
    <w:rsid w:val="00DA1A6B"/>
    <w:rsid w:val="00DE7A2A"/>
    <w:rsid w:val="00DF58C6"/>
    <w:rsid w:val="00E04D6F"/>
    <w:rsid w:val="00E1415C"/>
    <w:rsid w:val="00E34CBE"/>
    <w:rsid w:val="00E35163"/>
    <w:rsid w:val="00E70A32"/>
    <w:rsid w:val="00E75084"/>
    <w:rsid w:val="00E8578B"/>
    <w:rsid w:val="00EB5E7C"/>
    <w:rsid w:val="00ED375A"/>
    <w:rsid w:val="00ED3ED2"/>
    <w:rsid w:val="00EE1668"/>
    <w:rsid w:val="00F12141"/>
    <w:rsid w:val="00F167AE"/>
    <w:rsid w:val="00F25ABF"/>
    <w:rsid w:val="00F43E16"/>
    <w:rsid w:val="00F50CA2"/>
    <w:rsid w:val="00F638A8"/>
    <w:rsid w:val="00F74E4A"/>
    <w:rsid w:val="00F754BC"/>
    <w:rsid w:val="00F75EF3"/>
    <w:rsid w:val="00F8473A"/>
    <w:rsid w:val="00F86005"/>
    <w:rsid w:val="00F9487E"/>
    <w:rsid w:val="00FA1EBF"/>
    <w:rsid w:val="00FB11B5"/>
    <w:rsid w:val="00FC45E7"/>
    <w:rsid w:val="00FD0AE4"/>
    <w:rsid w:val="00FD7452"/>
    <w:rsid w:val="00FF7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6636B"/>
  <w15:chartTrackingRefBased/>
  <w15:docId w15:val="{FB3269D4-9C8B-9A44-9F5B-3170F6B82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F50CA2"/>
    <w:pPr>
      <w:keepNext/>
      <w:framePr w:hSpace="180" w:wrap="notBeside" w:hAnchor="margin" w:y="-1240"/>
      <w:outlineLvl w:val="0"/>
    </w:pPr>
    <w:rPr>
      <w:rFonts w:ascii="Arial" w:eastAsia="Times New Roman" w:hAnsi="Arial" w:cs="Arial"/>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6F0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F43E16"/>
    <w:rPr>
      <w:color w:val="0563C1" w:themeColor="hyperlink"/>
      <w:u w:val="single"/>
    </w:rPr>
  </w:style>
  <w:style w:type="character" w:customStyle="1" w:styleId="selectable">
    <w:name w:val="selectable"/>
    <w:basedOn w:val="DefaultParagraphFont"/>
    <w:rsid w:val="001A3049"/>
  </w:style>
  <w:style w:type="character" w:customStyle="1" w:styleId="a">
    <w:name w:val="_"/>
    <w:basedOn w:val="DefaultParagraphFont"/>
    <w:rsid w:val="00947D3D"/>
  </w:style>
  <w:style w:type="character" w:customStyle="1" w:styleId="ff5">
    <w:name w:val="ff5"/>
    <w:basedOn w:val="DefaultParagraphFont"/>
    <w:rsid w:val="00947D3D"/>
  </w:style>
  <w:style w:type="character" w:customStyle="1" w:styleId="ff7">
    <w:name w:val="ff7"/>
    <w:basedOn w:val="DefaultParagraphFont"/>
    <w:rsid w:val="00947D3D"/>
  </w:style>
  <w:style w:type="character" w:customStyle="1" w:styleId="ff3">
    <w:name w:val="ff3"/>
    <w:basedOn w:val="DefaultParagraphFont"/>
    <w:rsid w:val="00947D3D"/>
  </w:style>
  <w:style w:type="character" w:customStyle="1" w:styleId="Heading1Char">
    <w:name w:val="Heading 1 Char"/>
    <w:basedOn w:val="DefaultParagraphFont"/>
    <w:link w:val="Heading1"/>
    <w:rsid w:val="00F50CA2"/>
    <w:rPr>
      <w:rFonts w:ascii="Arial" w:eastAsia="Times New Roman" w:hAnsi="Arial" w:cs="Arial"/>
      <w:sz w:val="28"/>
    </w:rPr>
  </w:style>
  <w:style w:type="table" w:styleId="TableGrid">
    <w:name w:val="Table Grid"/>
    <w:basedOn w:val="TableNormal"/>
    <w:uiPriority w:val="59"/>
    <w:rsid w:val="00F50CA2"/>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50CA2"/>
    <w:pPr>
      <w:widowControl w:val="0"/>
      <w:autoSpaceDE w:val="0"/>
      <w:autoSpaceDN w:val="0"/>
      <w:adjustRightInd w:val="0"/>
      <w:spacing w:before="168"/>
      <w:ind w:left="276" w:hanging="170"/>
    </w:pPr>
    <w:rPr>
      <w:rFonts w:ascii="Tuffy" w:eastAsia="Times New Roman" w:hAnsi="Tuffy" w:cs="Tuffy"/>
      <w:lang w:eastAsia="en-GB"/>
    </w:rPr>
  </w:style>
  <w:style w:type="paragraph" w:styleId="Title">
    <w:name w:val="Title"/>
    <w:basedOn w:val="Normal"/>
    <w:next w:val="Normal"/>
    <w:link w:val="TitleChar"/>
    <w:uiPriority w:val="10"/>
    <w:qFormat/>
    <w:rsid w:val="00134746"/>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34746"/>
    <w:rPr>
      <w:rFonts w:asciiTheme="majorHAnsi" w:eastAsiaTheme="majorEastAsia" w:hAnsiTheme="majorHAnsi" w:cstheme="majorBidi"/>
      <w:color w:val="323E4F" w:themeColor="text2" w:themeShade="BF"/>
      <w:spacing w:val="5"/>
      <w:kern w:val="28"/>
      <w:sz w:val="52"/>
      <w:szCs w:val="52"/>
    </w:rPr>
  </w:style>
  <w:style w:type="character" w:styleId="CommentReference">
    <w:name w:val="annotation reference"/>
    <w:basedOn w:val="DefaultParagraphFont"/>
    <w:uiPriority w:val="99"/>
    <w:semiHidden/>
    <w:unhideWhenUsed/>
    <w:rsid w:val="00AA1DD8"/>
    <w:rPr>
      <w:sz w:val="16"/>
      <w:szCs w:val="16"/>
    </w:rPr>
  </w:style>
  <w:style w:type="paragraph" w:styleId="CommentText">
    <w:name w:val="annotation text"/>
    <w:basedOn w:val="Normal"/>
    <w:link w:val="CommentTextChar"/>
    <w:uiPriority w:val="99"/>
    <w:semiHidden/>
    <w:unhideWhenUsed/>
    <w:rsid w:val="00AA1DD8"/>
    <w:rPr>
      <w:sz w:val="20"/>
      <w:szCs w:val="20"/>
    </w:rPr>
  </w:style>
  <w:style w:type="character" w:customStyle="1" w:styleId="CommentTextChar">
    <w:name w:val="Comment Text Char"/>
    <w:basedOn w:val="DefaultParagraphFont"/>
    <w:link w:val="CommentText"/>
    <w:uiPriority w:val="99"/>
    <w:semiHidden/>
    <w:rsid w:val="00AA1DD8"/>
    <w:rPr>
      <w:sz w:val="20"/>
      <w:szCs w:val="20"/>
    </w:rPr>
  </w:style>
  <w:style w:type="paragraph" w:styleId="CommentSubject">
    <w:name w:val="annotation subject"/>
    <w:basedOn w:val="CommentText"/>
    <w:next w:val="CommentText"/>
    <w:link w:val="CommentSubjectChar"/>
    <w:uiPriority w:val="99"/>
    <w:semiHidden/>
    <w:unhideWhenUsed/>
    <w:rsid w:val="00AA1DD8"/>
    <w:rPr>
      <w:b/>
      <w:bCs/>
    </w:rPr>
  </w:style>
  <w:style w:type="character" w:customStyle="1" w:styleId="CommentSubjectChar">
    <w:name w:val="Comment Subject Char"/>
    <w:basedOn w:val="CommentTextChar"/>
    <w:link w:val="CommentSubject"/>
    <w:uiPriority w:val="99"/>
    <w:semiHidden/>
    <w:rsid w:val="00AA1DD8"/>
    <w:rPr>
      <w:b/>
      <w:bCs/>
      <w:sz w:val="20"/>
      <w:szCs w:val="20"/>
    </w:rPr>
  </w:style>
  <w:style w:type="paragraph" w:styleId="BalloonText">
    <w:name w:val="Balloon Text"/>
    <w:basedOn w:val="Normal"/>
    <w:link w:val="BalloonTextChar"/>
    <w:uiPriority w:val="99"/>
    <w:semiHidden/>
    <w:unhideWhenUsed/>
    <w:rsid w:val="00AA1DD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1DD8"/>
    <w:rPr>
      <w:rFonts w:ascii="Segoe UI" w:hAnsi="Segoe UI" w:cs="Segoe UI"/>
      <w:sz w:val="18"/>
      <w:szCs w:val="18"/>
    </w:rPr>
  </w:style>
  <w:style w:type="paragraph" w:styleId="Header">
    <w:name w:val="header"/>
    <w:basedOn w:val="Normal"/>
    <w:link w:val="HeaderChar"/>
    <w:uiPriority w:val="99"/>
    <w:unhideWhenUsed/>
    <w:rsid w:val="00C45FE6"/>
    <w:pPr>
      <w:tabs>
        <w:tab w:val="center" w:pos="4680"/>
        <w:tab w:val="right" w:pos="9360"/>
      </w:tabs>
    </w:pPr>
  </w:style>
  <w:style w:type="character" w:customStyle="1" w:styleId="HeaderChar">
    <w:name w:val="Header Char"/>
    <w:basedOn w:val="DefaultParagraphFont"/>
    <w:link w:val="Header"/>
    <w:uiPriority w:val="99"/>
    <w:rsid w:val="00C45FE6"/>
  </w:style>
  <w:style w:type="paragraph" w:styleId="Footer">
    <w:name w:val="footer"/>
    <w:basedOn w:val="Normal"/>
    <w:link w:val="FooterChar"/>
    <w:uiPriority w:val="99"/>
    <w:unhideWhenUsed/>
    <w:rsid w:val="00C45FE6"/>
    <w:pPr>
      <w:tabs>
        <w:tab w:val="center" w:pos="4680"/>
        <w:tab w:val="right" w:pos="9360"/>
      </w:tabs>
    </w:pPr>
  </w:style>
  <w:style w:type="character" w:customStyle="1" w:styleId="FooterChar">
    <w:name w:val="Footer Char"/>
    <w:basedOn w:val="DefaultParagraphFont"/>
    <w:link w:val="Footer"/>
    <w:uiPriority w:val="99"/>
    <w:rsid w:val="00C45FE6"/>
  </w:style>
  <w:style w:type="character" w:styleId="PageNumber">
    <w:name w:val="page number"/>
    <w:basedOn w:val="DefaultParagraphFont"/>
    <w:uiPriority w:val="99"/>
    <w:semiHidden/>
    <w:unhideWhenUsed/>
    <w:rsid w:val="00C45F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760722">
      <w:bodyDiv w:val="1"/>
      <w:marLeft w:val="0"/>
      <w:marRight w:val="0"/>
      <w:marTop w:val="0"/>
      <w:marBottom w:val="0"/>
      <w:divBdr>
        <w:top w:val="none" w:sz="0" w:space="0" w:color="auto"/>
        <w:left w:val="none" w:sz="0" w:space="0" w:color="auto"/>
        <w:bottom w:val="none" w:sz="0" w:space="0" w:color="auto"/>
        <w:right w:val="none" w:sz="0" w:space="0" w:color="auto"/>
      </w:divBdr>
      <w:divsChild>
        <w:div w:id="1868635445">
          <w:marLeft w:val="0"/>
          <w:marRight w:val="0"/>
          <w:marTop w:val="0"/>
          <w:marBottom w:val="0"/>
          <w:divBdr>
            <w:top w:val="none" w:sz="0" w:space="0" w:color="auto"/>
            <w:left w:val="none" w:sz="0" w:space="0" w:color="auto"/>
            <w:bottom w:val="none" w:sz="0" w:space="0" w:color="auto"/>
            <w:right w:val="none" w:sz="0" w:space="0" w:color="auto"/>
          </w:divBdr>
          <w:divsChild>
            <w:div w:id="51009702">
              <w:marLeft w:val="0"/>
              <w:marRight w:val="0"/>
              <w:marTop w:val="0"/>
              <w:marBottom w:val="0"/>
              <w:divBdr>
                <w:top w:val="none" w:sz="0" w:space="0" w:color="auto"/>
                <w:left w:val="none" w:sz="0" w:space="0" w:color="auto"/>
                <w:bottom w:val="none" w:sz="0" w:space="0" w:color="auto"/>
                <w:right w:val="none" w:sz="0" w:space="0" w:color="auto"/>
              </w:divBdr>
              <w:divsChild>
                <w:div w:id="91863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275006">
      <w:bodyDiv w:val="1"/>
      <w:marLeft w:val="0"/>
      <w:marRight w:val="0"/>
      <w:marTop w:val="0"/>
      <w:marBottom w:val="0"/>
      <w:divBdr>
        <w:top w:val="none" w:sz="0" w:space="0" w:color="auto"/>
        <w:left w:val="none" w:sz="0" w:space="0" w:color="auto"/>
        <w:bottom w:val="none" w:sz="0" w:space="0" w:color="auto"/>
        <w:right w:val="none" w:sz="0" w:space="0" w:color="auto"/>
      </w:divBdr>
      <w:divsChild>
        <w:div w:id="1859388130">
          <w:marLeft w:val="0"/>
          <w:marRight w:val="0"/>
          <w:marTop w:val="0"/>
          <w:marBottom w:val="0"/>
          <w:divBdr>
            <w:top w:val="none" w:sz="0" w:space="0" w:color="auto"/>
            <w:left w:val="none" w:sz="0" w:space="0" w:color="auto"/>
            <w:bottom w:val="none" w:sz="0" w:space="0" w:color="auto"/>
            <w:right w:val="none" w:sz="0" w:space="0" w:color="auto"/>
          </w:divBdr>
          <w:divsChild>
            <w:div w:id="1338772327">
              <w:marLeft w:val="0"/>
              <w:marRight w:val="0"/>
              <w:marTop w:val="0"/>
              <w:marBottom w:val="0"/>
              <w:divBdr>
                <w:top w:val="none" w:sz="0" w:space="0" w:color="auto"/>
                <w:left w:val="none" w:sz="0" w:space="0" w:color="auto"/>
                <w:bottom w:val="none" w:sz="0" w:space="0" w:color="auto"/>
                <w:right w:val="none" w:sz="0" w:space="0" w:color="auto"/>
              </w:divBdr>
              <w:divsChild>
                <w:div w:id="172591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362048">
      <w:bodyDiv w:val="1"/>
      <w:marLeft w:val="0"/>
      <w:marRight w:val="0"/>
      <w:marTop w:val="0"/>
      <w:marBottom w:val="0"/>
      <w:divBdr>
        <w:top w:val="none" w:sz="0" w:space="0" w:color="auto"/>
        <w:left w:val="none" w:sz="0" w:space="0" w:color="auto"/>
        <w:bottom w:val="none" w:sz="0" w:space="0" w:color="auto"/>
        <w:right w:val="none" w:sz="0" w:space="0" w:color="auto"/>
      </w:divBdr>
      <w:divsChild>
        <w:div w:id="800610407">
          <w:marLeft w:val="0"/>
          <w:marRight w:val="0"/>
          <w:marTop w:val="0"/>
          <w:marBottom w:val="0"/>
          <w:divBdr>
            <w:top w:val="none" w:sz="0" w:space="0" w:color="auto"/>
            <w:left w:val="none" w:sz="0" w:space="0" w:color="auto"/>
            <w:bottom w:val="none" w:sz="0" w:space="0" w:color="auto"/>
            <w:right w:val="none" w:sz="0" w:space="0" w:color="auto"/>
          </w:divBdr>
          <w:divsChild>
            <w:div w:id="116917716">
              <w:marLeft w:val="0"/>
              <w:marRight w:val="0"/>
              <w:marTop w:val="0"/>
              <w:marBottom w:val="0"/>
              <w:divBdr>
                <w:top w:val="none" w:sz="0" w:space="0" w:color="auto"/>
                <w:left w:val="none" w:sz="0" w:space="0" w:color="auto"/>
                <w:bottom w:val="none" w:sz="0" w:space="0" w:color="auto"/>
                <w:right w:val="none" w:sz="0" w:space="0" w:color="auto"/>
              </w:divBdr>
              <w:divsChild>
                <w:div w:id="16359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652633">
      <w:bodyDiv w:val="1"/>
      <w:marLeft w:val="0"/>
      <w:marRight w:val="0"/>
      <w:marTop w:val="0"/>
      <w:marBottom w:val="0"/>
      <w:divBdr>
        <w:top w:val="none" w:sz="0" w:space="0" w:color="auto"/>
        <w:left w:val="none" w:sz="0" w:space="0" w:color="auto"/>
        <w:bottom w:val="none" w:sz="0" w:space="0" w:color="auto"/>
        <w:right w:val="none" w:sz="0" w:space="0" w:color="auto"/>
      </w:divBdr>
      <w:divsChild>
        <w:div w:id="2062943255">
          <w:marLeft w:val="0"/>
          <w:marRight w:val="0"/>
          <w:marTop w:val="0"/>
          <w:marBottom w:val="0"/>
          <w:divBdr>
            <w:top w:val="none" w:sz="0" w:space="0" w:color="auto"/>
            <w:left w:val="none" w:sz="0" w:space="0" w:color="auto"/>
            <w:bottom w:val="none" w:sz="0" w:space="0" w:color="auto"/>
            <w:right w:val="none" w:sz="0" w:space="0" w:color="auto"/>
          </w:divBdr>
        </w:div>
        <w:div w:id="1676373668">
          <w:marLeft w:val="0"/>
          <w:marRight w:val="0"/>
          <w:marTop w:val="0"/>
          <w:marBottom w:val="0"/>
          <w:divBdr>
            <w:top w:val="none" w:sz="0" w:space="0" w:color="auto"/>
            <w:left w:val="none" w:sz="0" w:space="0" w:color="auto"/>
            <w:bottom w:val="none" w:sz="0" w:space="0" w:color="auto"/>
            <w:right w:val="none" w:sz="0" w:space="0" w:color="auto"/>
          </w:divBdr>
        </w:div>
        <w:div w:id="599721062">
          <w:marLeft w:val="0"/>
          <w:marRight w:val="0"/>
          <w:marTop w:val="0"/>
          <w:marBottom w:val="0"/>
          <w:divBdr>
            <w:top w:val="none" w:sz="0" w:space="0" w:color="auto"/>
            <w:left w:val="none" w:sz="0" w:space="0" w:color="auto"/>
            <w:bottom w:val="none" w:sz="0" w:space="0" w:color="auto"/>
            <w:right w:val="none" w:sz="0" w:space="0" w:color="auto"/>
          </w:divBdr>
        </w:div>
        <w:div w:id="889343392">
          <w:marLeft w:val="0"/>
          <w:marRight w:val="0"/>
          <w:marTop w:val="0"/>
          <w:marBottom w:val="0"/>
          <w:divBdr>
            <w:top w:val="none" w:sz="0" w:space="0" w:color="auto"/>
            <w:left w:val="none" w:sz="0" w:space="0" w:color="auto"/>
            <w:bottom w:val="none" w:sz="0" w:space="0" w:color="auto"/>
            <w:right w:val="none" w:sz="0" w:space="0" w:color="auto"/>
          </w:divBdr>
        </w:div>
        <w:div w:id="493885289">
          <w:marLeft w:val="0"/>
          <w:marRight w:val="0"/>
          <w:marTop w:val="0"/>
          <w:marBottom w:val="0"/>
          <w:divBdr>
            <w:top w:val="none" w:sz="0" w:space="0" w:color="auto"/>
            <w:left w:val="none" w:sz="0" w:space="0" w:color="auto"/>
            <w:bottom w:val="none" w:sz="0" w:space="0" w:color="auto"/>
            <w:right w:val="none" w:sz="0" w:space="0" w:color="auto"/>
          </w:divBdr>
        </w:div>
      </w:divsChild>
    </w:div>
    <w:div w:id="445396150">
      <w:bodyDiv w:val="1"/>
      <w:marLeft w:val="0"/>
      <w:marRight w:val="0"/>
      <w:marTop w:val="0"/>
      <w:marBottom w:val="0"/>
      <w:divBdr>
        <w:top w:val="none" w:sz="0" w:space="0" w:color="auto"/>
        <w:left w:val="none" w:sz="0" w:space="0" w:color="auto"/>
        <w:bottom w:val="none" w:sz="0" w:space="0" w:color="auto"/>
        <w:right w:val="none" w:sz="0" w:space="0" w:color="auto"/>
      </w:divBdr>
      <w:divsChild>
        <w:div w:id="1297565828">
          <w:marLeft w:val="0"/>
          <w:marRight w:val="0"/>
          <w:marTop w:val="0"/>
          <w:marBottom w:val="0"/>
          <w:divBdr>
            <w:top w:val="none" w:sz="0" w:space="0" w:color="auto"/>
            <w:left w:val="none" w:sz="0" w:space="0" w:color="auto"/>
            <w:bottom w:val="none" w:sz="0" w:space="0" w:color="auto"/>
            <w:right w:val="none" w:sz="0" w:space="0" w:color="auto"/>
          </w:divBdr>
          <w:divsChild>
            <w:div w:id="670570987">
              <w:marLeft w:val="0"/>
              <w:marRight w:val="0"/>
              <w:marTop w:val="0"/>
              <w:marBottom w:val="0"/>
              <w:divBdr>
                <w:top w:val="none" w:sz="0" w:space="0" w:color="auto"/>
                <w:left w:val="none" w:sz="0" w:space="0" w:color="auto"/>
                <w:bottom w:val="none" w:sz="0" w:space="0" w:color="auto"/>
                <w:right w:val="none" w:sz="0" w:space="0" w:color="auto"/>
              </w:divBdr>
              <w:divsChild>
                <w:div w:id="119152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092756">
      <w:bodyDiv w:val="1"/>
      <w:marLeft w:val="0"/>
      <w:marRight w:val="0"/>
      <w:marTop w:val="0"/>
      <w:marBottom w:val="0"/>
      <w:divBdr>
        <w:top w:val="none" w:sz="0" w:space="0" w:color="auto"/>
        <w:left w:val="none" w:sz="0" w:space="0" w:color="auto"/>
        <w:bottom w:val="none" w:sz="0" w:space="0" w:color="auto"/>
        <w:right w:val="none" w:sz="0" w:space="0" w:color="auto"/>
      </w:divBdr>
      <w:divsChild>
        <w:div w:id="96222953">
          <w:marLeft w:val="0"/>
          <w:marRight w:val="0"/>
          <w:marTop w:val="0"/>
          <w:marBottom w:val="0"/>
          <w:divBdr>
            <w:top w:val="none" w:sz="0" w:space="0" w:color="auto"/>
            <w:left w:val="none" w:sz="0" w:space="0" w:color="auto"/>
            <w:bottom w:val="none" w:sz="0" w:space="0" w:color="auto"/>
            <w:right w:val="none" w:sz="0" w:space="0" w:color="auto"/>
          </w:divBdr>
        </w:div>
        <w:div w:id="151724325">
          <w:marLeft w:val="0"/>
          <w:marRight w:val="0"/>
          <w:marTop w:val="0"/>
          <w:marBottom w:val="0"/>
          <w:divBdr>
            <w:top w:val="none" w:sz="0" w:space="0" w:color="auto"/>
            <w:left w:val="none" w:sz="0" w:space="0" w:color="auto"/>
            <w:bottom w:val="none" w:sz="0" w:space="0" w:color="auto"/>
            <w:right w:val="none" w:sz="0" w:space="0" w:color="auto"/>
          </w:divBdr>
        </w:div>
        <w:div w:id="575827029">
          <w:marLeft w:val="0"/>
          <w:marRight w:val="0"/>
          <w:marTop w:val="0"/>
          <w:marBottom w:val="0"/>
          <w:divBdr>
            <w:top w:val="none" w:sz="0" w:space="0" w:color="auto"/>
            <w:left w:val="none" w:sz="0" w:space="0" w:color="auto"/>
            <w:bottom w:val="none" w:sz="0" w:space="0" w:color="auto"/>
            <w:right w:val="none" w:sz="0" w:space="0" w:color="auto"/>
          </w:divBdr>
        </w:div>
        <w:div w:id="810366810">
          <w:marLeft w:val="0"/>
          <w:marRight w:val="0"/>
          <w:marTop w:val="0"/>
          <w:marBottom w:val="0"/>
          <w:divBdr>
            <w:top w:val="none" w:sz="0" w:space="0" w:color="auto"/>
            <w:left w:val="none" w:sz="0" w:space="0" w:color="auto"/>
            <w:bottom w:val="none" w:sz="0" w:space="0" w:color="auto"/>
            <w:right w:val="none" w:sz="0" w:space="0" w:color="auto"/>
          </w:divBdr>
        </w:div>
      </w:divsChild>
    </w:div>
    <w:div w:id="699279787">
      <w:bodyDiv w:val="1"/>
      <w:marLeft w:val="0"/>
      <w:marRight w:val="0"/>
      <w:marTop w:val="0"/>
      <w:marBottom w:val="0"/>
      <w:divBdr>
        <w:top w:val="none" w:sz="0" w:space="0" w:color="auto"/>
        <w:left w:val="none" w:sz="0" w:space="0" w:color="auto"/>
        <w:bottom w:val="none" w:sz="0" w:space="0" w:color="auto"/>
        <w:right w:val="none" w:sz="0" w:space="0" w:color="auto"/>
      </w:divBdr>
      <w:divsChild>
        <w:div w:id="2029797071">
          <w:marLeft w:val="0"/>
          <w:marRight w:val="0"/>
          <w:marTop w:val="0"/>
          <w:marBottom w:val="0"/>
          <w:divBdr>
            <w:top w:val="none" w:sz="0" w:space="0" w:color="auto"/>
            <w:left w:val="none" w:sz="0" w:space="0" w:color="auto"/>
            <w:bottom w:val="none" w:sz="0" w:space="0" w:color="auto"/>
            <w:right w:val="none" w:sz="0" w:space="0" w:color="auto"/>
          </w:divBdr>
          <w:divsChild>
            <w:div w:id="2049717385">
              <w:marLeft w:val="0"/>
              <w:marRight w:val="0"/>
              <w:marTop w:val="0"/>
              <w:marBottom w:val="0"/>
              <w:divBdr>
                <w:top w:val="none" w:sz="0" w:space="0" w:color="auto"/>
                <w:left w:val="none" w:sz="0" w:space="0" w:color="auto"/>
                <w:bottom w:val="none" w:sz="0" w:space="0" w:color="auto"/>
                <w:right w:val="none" w:sz="0" w:space="0" w:color="auto"/>
              </w:divBdr>
              <w:divsChild>
                <w:div w:id="15985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827949">
      <w:bodyDiv w:val="1"/>
      <w:marLeft w:val="0"/>
      <w:marRight w:val="0"/>
      <w:marTop w:val="0"/>
      <w:marBottom w:val="0"/>
      <w:divBdr>
        <w:top w:val="none" w:sz="0" w:space="0" w:color="auto"/>
        <w:left w:val="none" w:sz="0" w:space="0" w:color="auto"/>
        <w:bottom w:val="none" w:sz="0" w:space="0" w:color="auto"/>
        <w:right w:val="none" w:sz="0" w:space="0" w:color="auto"/>
      </w:divBdr>
      <w:divsChild>
        <w:div w:id="245652694">
          <w:marLeft w:val="0"/>
          <w:marRight w:val="0"/>
          <w:marTop w:val="0"/>
          <w:marBottom w:val="0"/>
          <w:divBdr>
            <w:top w:val="none" w:sz="0" w:space="0" w:color="auto"/>
            <w:left w:val="none" w:sz="0" w:space="0" w:color="auto"/>
            <w:bottom w:val="none" w:sz="0" w:space="0" w:color="auto"/>
            <w:right w:val="none" w:sz="0" w:space="0" w:color="auto"/>
          </w:divBdr>
          <w:divsChild>
            <w:div w:id="375129195">
              <w:marLeft w:val="0"/>
              <w:marRight w:val="0"/>
              <w:marTop w:val="0"/>
              <w:marBottom w:val="0"/>
              <w:divBdr>
                <w:top w:val="none" w:sz="0" w:space="0" w:color="auto"/>
                <w:left w:val="none" w:sz="0" w:space="0" w:color="auto"/>
                <w:bottom w:val="none" w:sz="0" w:space="0" w:color="auto"/>
                <w:right w:val="none" w:sz="0" w:space="0" w:color="auto"/>
              </w:divBdr>
              <w:divsChild>
                <w:div w:id="58696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820104">
      <w:bodyDiv w:val="1"/>
      <w:marLeft w:val="0"/>
      <w:marRight w:val="0"/>
      <w:marTop w:val="0"/>
      <w:marBottom w:val="0"/>
      <w:divBdr>
        <w:top w:val="none" w:sz="0" w:space="0" w:color="auto"/>
        <w:left w:val="none" w:sz="0" w:space="0" w:color="auto"/>
        <w:bottom w:val="none" w:sz="0" w:space="0" w:color="auto"/>
        <w:right w:val="none" w:sz="0" w:space="0" w:color="auto"/>
      </w:divBdr>
      <w:divsChild>
        <w:div w:id="750928238">
          <w:marLeft w:val="0"/>
          <w:marRight w:val="0"/>
          <w:marTop w:val="0"/>
          <w:marBottom w:val="0"/>
          <w:divBdr>
            <w:top w:val="none" w:sz="0" w:space="0" w:color="auto"/>
            <w:left w:val="none" w:sz="0" w:space="0" w:color="auto"/>
            <w:bottom w:val="none" w:sz="0" w:space="0" w:color="auto"/>
            <w:right w:val="none" w:sz="0" w:space="0" w:color="auto"/>
          </w:divBdr>
          <w:divsChild>
            <w:div w:id="693925724">
              <w:marLeft w:val="0"/>
              <w:marRight w:val="0"/>
              <w:marTop w:val="0"/>
              <w:marBottom w:val="0"/>
              <w:divBdr>
                <w:top w:val="none" w:sz="0" w:space="0" w:color="auto"/>
                <w:left w:val="none" w:sz="0" w:space="0" w:color="auto"/>
                <w:bottom w:val="none" w:sz="0" w:space="0" w:color="auto"/>
                <w:right w:val="none" w:sz="0" w:space="0" w:color="auto"/>
              </w:divBdr>
              <w:divsChild>
                <w:div w:id="85106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806923">
      <w:bodyDiv w:val="1"/>
      <w:marLeft w:val="0"/>
      <w:marRight w:val="0"/>
      <w:marTop w:val="0"/>
      <w:marBottom w:val="0"/>
      <w:divBdr>
        <w:top w:val="none" w:sz="0" w:space="0" w:color="auto"/>
        <w:left w:val="none" w:sz="0" w:space="0" w:color="auto"/>
        <w:bottom w:val="none" w:sz="0" w:space="0" w:color="auto"/>
        <w:right w:val="none" w:sz="0" w:space="0" w:color="auto"/>
      </w:divBdr>
      <w:divsChild>
        <w:div w:id="1526168433">
          <w:marLeft w:val="0"/>
          <w:marRight w:val="0"/>
          <w:marTop w:val="0"/>
          <w:marBottom w:val="0"/>
          <w:divBdr>
            <w:top w:val="none" w:sz="0" w:space="0" w:color="auto"/>
            <w:left w:val="none" w:sz="0" w:space="0" w:color="auto"/>
            <w:bottom w:val="none" w:sz="0" w:space="0" w:color="auto"/>
            <w:right w:val="none" w:sz="0" w:space="0" w:color="auto"/>
          </w:divBdr>
          <w:divsChild>
            <w:div w:id="222915207">
              <w:marLeft w:val="0"/>
              <w:marRight w:val="0"/>
              <w:marTop w:val="0"/>
              <w:marBottom w:val="0"/>
              <w:divBdr>
                <w:top w:val="none" w:sz="0" w:space="0" w:color="auto"/>
                <w:left w:val="none" w:sz="0" w:space="0" w:color="auto"/>
                <w:bottom w:val="none" w:sz="0" w:space="0" w:color="auto"/>
                <w:right w:val="none" w:sz="0" w:space="0" w:color="auto"/>
              </w:divBdr>
              <w:divsChild>
                <w:div w:id="211867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453528">
      <w:bodyDiv w:val="1"/>
      <w:marLeft w:val="0"/>
      <w:marRight w:val="0"/>
      <w:marTop w:val="0"/>
      <w:marBottom w:val="0"/>
      <w:divBdr>
        <w:top w:val="none" w:sz="0" w:space="0" w:color="auto"/>
        <w:left w:val="none" w:sz="0" w:space="0" w:color="auto"/>
        <w:bottom w:val="none" w:sz="0" w:space="0" w:color="auto"/>
        <w:right w:val="none" w:sz="0" w:space="0" w:color="auto"/>
      </w:divBdr>
      <w:divsChild>
        <w:div w:id="1297028597">
          <w:marLeft w:val="0"/>
          <w:marRight w:val="0"/>
          <w:marTop w:val="0"/>
          <w:marBottom w:val="0"/>
          <w:divBdr>
            <w:top w:val="none" w:sz="0" w:space="0" w:color="auto"/>
            <w:left w:val="none" w:sz="0" w:space="0" w:color="auto"/>
            <w:bottom w:val="none" w:sz="0" w:space="0" w:color="auto"/>
            <w:right w:val="none" w:sz="0" w:space="0" w:color="auto"/>
          </w:divBdr>
          <w:divsChild>
            <w:div w:id="1544056875">
              <w:marLeft w:val="0"/>
              <w:marRight w:val="0"/>
              <w:marTop w:val="0"/>
              <w:marBottom w:val="0"/>
              <w:divBdr>
                <w:top w:val="none" w:sz="0" w:space="0" w:color="auto"/>
                <w:left w:val="none" w:sz="0" w:space="0" w:color="auto"/>
                <w:bottom w:val="none" w:sz="0" w:space="0" w:color="auto"/>
                <w:right w:val="none" w:sz="0" w:space="0" w:color="auto"/>
              </w:divBdr>
              <w:divsChild>
                <w:div w:id="194604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234729">
      <w:bodyDiv w:val="1"/>
      <w:marLeft w:val="0"/>
      <w:marRight w:val="0"/>
      <w:marTop w:val="0"/>
      <w:marBottom w:val="0"/>
      <w:divBdr>
        <w:top w:val="none" w:sz="0" w:space="0" w:color="auto"/>
        <w:left w:val="none" w:sz="0" w:space="0" w:color="auto"/>
        <w:bottom w:val="none" w:sz="0" w:space="0" w:color="auto"/>
        <w:right w:val="none" w:sz="0" w:space="0" w:color="auto"/>
      </w:divBdr>
      <w:divsChild>
        <w:div w:id="349529645">
          <w:marLeft w:val="0"/>
          <w:marRight w:val="0"/>
          <w:marTop w:val="0"/>
          <w:marBottom w:val="0"/>
          <w:divBdr>
            <w:top w:val="none" w:sz="0" w:space="0" w:color="auto"/>
            <w:left w:val="none" w:sz="0" w:space="0" w:color="auto"/>
            <w:bottom w:val="none" w:sz="0" w:space="0" w:color="auto"/>
            <w:right w:val="none" w:sz="0" w:space="0" w:color="auto"/>
          </w:divBdr>
          <w:divsChild>
            <w:div w:id="696735534">
              <w:marLeft w:val="0"/>
              <w:marRight w:val="0"/>
              <w:marTop w:val="0"/>
              <w:marBottom w:val="0"/>
              <w:divBdr>
                <w:top w:val="none" w:sz="0" w:space="0" w:color="auto"/>
                <w:left w:val="none" w:sz="0" w:space="0" w:color="auto"/>
                <w:bottom w:val="none" w:sz="0" w:space="0" w:color="auto"/>
                <w:right w:val="none" w:sz="0" w:space="0" w:color="auto"/>
              </w:divBdr>
              <w:divsChild>
                <w:div w:id="156002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029484">
      <w:bodyDiv w:val="1"/>
      <w:marLeft w:val="0"/>
      <w:marRight w:val="0"/>
      <w:marTop w:val="0"/>
      <w:marBottom w:val="0"/>
      <w:divBdr>
        <w:top w:val="none" w:sz="0" w:space="0" w:color="auto"/>
        <w:left w:val="none" w:sz="0" w:space="0" w:color="auto"/>
        <w:bottom w:val="none" w:sz="0" w:space="0" w:color="auto"/>
        <w:right w:val="none" w:sz="0" w:space="0" w:color="auto"/>
      </w:divBdr>
      <w:divsChild>
        <w:div w:id="377053582">
          <w:marLeft w:val="0"/>
          <w:marRight w:val="0"/>
          <w:marTop w:val="0"/>
          <w:marBottom w:val="0"/>
          <w:divBdr>
            <w:top w:val="none" w:sz="0" w:space="0" w:color="auto"/>
            <w:left w:val="none" w:sz="0" w:space="0" w:color="auto"/>
            <w:bottom w:val="none" w:sz="0" w:space="0" w:color="auto"/>
            <w:right w:val="none" w:sz="0" w:space="0" w:color="auto"/>
          </w:divBdr>
        </w:div>
        <w:div w:id="575827611">
          <w:marLeft w:val="0"/>
          <w:marRight w:val="0"/>
          <w:marTop w:val="0"/>
          <w:marBottom w:val="0"/>
          <w:divBdr>
            <w:top w:val="none" w:sz="0" w:space="0" w:color="auto"/>
            <w:left w:val="none" w:sz="0" w:space="0" w:color="auto"/>
            <w:bottom w:val="none" w:sz="0" w:space="0" w:color="auto"/>
            <w:right w:val="none" w:sz="0" w:space="0" w:color="auto"/>
          </w:divBdr>
        </w:div>
        <w:div w:id="1717972373">
          <w:marLeft w:val="0"/>
          <w:marRight w:val="0"/>
          <w:marTop w:val="0"/>
          <w:marBottom w:val="0"/>
          <w:divBdr>
            <w:top w:val="none" w:sz="0" w:space="0" w:color="auto"/>
            <w:left w:val="none" w:sz="0" w:space="0" w:color="auto"/>
            <w:bottom w:val="none" w:sz="0" w:space="0" w:color="auto"/>
            <w:right w:val="none" w:sz="0" w:space="0" w:color="auto"/>
          </w:divBdr>
        </w:div>
        <w:div w:id="1434668520">
          <w:marLeft w:val="0"/>
          <w:marRight w:val="0"/>
          <w:marTop w:val="0"/>
          <w:marBottom w:val="0"/>
          <w:divBdr>
            <w:top w:val="none" w:sz="0" w:space="0" w:color="auto"/>
            <w:left w:val="none" w:sz="0" w:space="0" w:color="auto"/>
            <w:bottom w:val="none" w:sz="0" w:space="0" w:color="auto"/>
            <w:right w:val="none" w:sz="0" w:space="0" w:color="auto"/>
          </w:divBdr>
        </w:div>
      </w:divsChild>
    </w:div>
    <w:div w:id="1997295861">
      <w:bodyDiv w:val="1"/>
      <w:marLeft w:val="0"/>
      <w:marRight w:val="0"/>
      <w:marTop w:val="0"/>
      <w:marBottom w:val="0"/>
      <w:divBdr>
        <w:top w:val="none" w:sz="0" w:space="0" w:color="auto"/>
        <w:left w:val="none" w:sz="0" w:space="0" w:color="auto"/>
        <w:bottom w:val="none" w:sz="0" w:space="0" w:color="auto"/>
        <w:right w:val="none" w:sz="0" w:space="0" w:color="auto"/>
      </w:divBdr>
    </w:div>
    <w:div w:id="2002124811">
      <w:bodyDiv w:val="1"/>
      <w:marLeft w:val="0"/>
      <w:marRight w:val="0"/>
      <w:marTop w:val="0"/>
      <w:marBottom w:val="0"/>
      <w:divBdr>
        <w:top w:val="none" w:sz="0" w:space="0" w:color="auto"/>
        <w:left w:val="none" w:sz="0" w:space="0" w:color="auto"/>
        <w:bottom w:val="none" w:sz="0" w:space="0" w:color="auto"/>
        <w:right w:val="none" w:sz="0" w:space="0" w:color="auto"/>
      </w:divBdr>
      <w:divsChild>
        <w:div w:id="2074698059">
          <w:marLeft w:val="0"/>
          <w:marRight w:val="0"/>
          <w:marTop w:val="0"/>
          <w:marBottom w:val="0"/>
          <w:divBdr>
            <w:top w:val="none" w:sz="0" w:space="0" w:color="auto"/>
            <w:left w:val="none" w:sz="0" w:space="0" w:color="auto"/>
            <w:bottom w:val="none" w:sz="0" w:space="0" w:color="auto"/>
            <w:right w:val="none" w:sz="0" w:space="0" w:color="auto"/>
          </w:divBdr>
        </w:div>
        <w:div w:id="536085657">
          <w:marLeft w:val="0"/>
          <w:marRight w:val="0"/>
          <w:marTop w:val="0"/>
          <w:marBottom w:val="0"/>
          <w:divBdr>
            <w:top w:val="none" w:sz="0" w:space="0" w:color="auto"/>
            <w:left w:val="none" w:sz="0" w:space="0" w:color="auto"/>
            <w:bottom w:val="none" w:sz="0" w:space="0" w:color="auto"/>
            <w:right w:val="none" w:sz="0" w:space="0" w:color="auto"/>
          </w:divBdr>
        </w:div>
      </w:divsChild>
    </w:div>
    <w:div w:id="2054765691">
      <w:bodyDiv w:val="1"/>
      <w:marLeft w:val="0"/>
      <w:marRight w:val="0"/>
      <w:marTop w:val="0"/>
      <w:marBottom w:val="0"/>
      <w:divBdr>
        <w:top w:val="none" w:sz="0" w:space="0" w:color="auto"/>
        <w:left w:val="none" w:sz="0" w:space="0" w:color="auto"/>
        <w:bottom w:val="none" w:sz="0" w:space="0" w:color="auto"/>
        <w:right w:val="none" w:sz="0" w:space="0" w:color="auto"/>
      </w:divBdr>
      <w:divsChild>
        <w:div w:id="217015957">
          <w:marLeft w:val="0"/>
          <w:marRight w:val="0"/>
          <w:marTop w:val="0"/>
          <w:marBottom w:val="0"/>
          <w:divBdr>
            <w:top w:val="none" w:sz="0" w:space="0" w:color="auto"/>
            <w:left w:val="none" w:sz="0" w:space="0" w:color="auto"/>
            <w:bottom w:val="none" w:sz="0" w:space="0" w:color="auto"/>
            <w:right w:val="none" w:sz="0" w:space="0" w:color="auto"/>
          </w:divBdr>
          <w:divsChild>
            <w:div w:id="353965364">
              <w:marLeft w:val="0"/>
              <w:marRight w:val="0"/>
              <w:marTop w:val="0"/>
              <w:marBottom w:val="0"/>
              <w:divBdr>
                <w:top w:val="none" w:sz="0" w:space="0" w:color="auto"/>
                <w:left w:val="none" w:sz="0" w:space="0" w:color="auto"/>
                <w:bottom w:val="none" w:sz="0" w:space="0" w:color="auto"/>
                <w:right w:val="none" w:sz="0" w:space="0" w:color="auto"/>
              </w:divBdr>
              <w:divsChild>
                <w:div w:id="161979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4968</Words>
  <Characters>26434</Characters>
  <Application>Microsoft Office Word</Application>
  <DocSecurity>0</DocSecurity>
  <Lines>406</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Locke</dc:creator>
  <cp:keywords/>
  <dc:description/>
  <cp:lastModifiedBy>Angharad Locke</cp:lastModifiedBy>
  <cp:revision>3</cp:revision>
  <dcterms:created xsi:type="dcterms:W3CDTF">2019-01-09T18:36:00Z</dcterms:created>
  <dcterms:modified xsi:type="dcterms:W3CDTF">2019-01-09T18:39:00Z</dcterms:modified>
</cp:coreProperties>
</file>