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FE8AF9" w14:textId="77777777" w:rsidR="00B65BE0" w:rsidRDefault="000931B4">
      <w:pPr>
        <w:jc w:val="center"/>
      </w:pPr>
      <w:r>
        <w:rPr>
          <w:noProof/>
          <w:lang w:val="en-IN" w:eastAsia="en-IN"/>
        </w:rPr>
        <w:drawing>
          <wp:inline distT="114300" distB="114300" distL="114300" distR="114300" wp14:anchorId="6D06653E" wp14:editId="2966F210">
            <wp:extent cx="2014538" cy="79915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14538" cy="799155"/>
                    </a:xfrm>
                    <a:prstGeom prst="rect">
                      <a:avLst/>
                    </a:prstGeom>
                    <a:ln/>
                  </pic:spPr>
                </pic:pic>
              </a:graphicData>
            </a:graphic>
          </wp:inline>
        </w:drawing>
      </w:r>
    </w:p>
    <w:p w14:paraId="65264F5E" w14:textId="77777777" w:rsidR="00B65BE0" w:rsidRDefault="00B65BE0">
      <w:pPr>
        <w:jc w:val="center"/>
        <w:rPr>
          <w:b/>
          <w:bCs/>
          <w:sz w:val="28"/>
          <w:szCs w:val="28"/>
        </w:rPr>
      </w:pPr>
    </w:p>
    <w:p w14:paraId="09BFC2FC" w14:textId="77777777" w:rsidR="00B65BE0" w:rsidRDefault="000931B4">
      <w:pPr>
        <w:jc w:val="center"/>
        <w:rPr>
          <w:sz w:val="28"/>
          <w:szCs w:val="28"/>
        </w:rPr>
      </w:pPr>
      <w:r>
        <w:rPr>
          <w:b/>
          <w:bCs/>
          <w:sz w:val="28"/>
          <w:szCs w:val="28"/>
        </w:rPr>
        <w:t>Student Name:</w:t>
      </w:r>
      <w:r>
        <w:rPr>
          <w:sz w:val="28"/>
          <w:szCs w:val="28"/>
        </w:rPr>
        <w:t xml:space="preserve"> Meron Banger </w:t>
      </w:r>
    </w:p>
    <w:p w14:paraId="1CA7FE5D" w14:textId="53AB5D32" w:rsidR="00B65BE0" w:rsidRDefault="000931B4">
      <w:pPr>
        <w:jc w:val="center"/>
        <w:rPr>
          <w:b/>
          <w:bCs/>
          <w:sz w:val="28"/>
          <w:szCs w:val="28"/>
        </w:rPr>
      </w:pPr>
      <w:r>
        <w:rPr>
          <w:b/>
          <w:bCs/>
          <w:sz w:val="28"/>
          <w:szCs w:val="28"/>
        </w:rPr>
        <w:t>Student number:</w:t>
      </w:r>
      <w:r w:rsidR="00A548C2">
        <w:rPr>
          <w:b/>
          <w:bCs/>
          <w:sz w:val="28"/>
          <w:szCs w:val="28"/>
        </w:rPr>
        <w:t xml:space="preserve"> 2430071</w:t>
      </w:r>
    </w:p>
    <w:p w14:paraId="0D8542BF" w14:textId="4770582C" w:rsidR="00A548C2" w:rsidRDefault="00A548C2">
      <w:pPr>
        <w:jc w:val="center"/>
        <w:rPr>
          <w:b/>
          <w:bCs/>
          <w:sz w:val="28"/>
          <w:szCs w:val="28"/>
        </w:rPr>
      </w:pPr>
      <w:r>
        <w:rPr>
          <w:b/>
          <w:bCs/>
          <w:sz w:val="28"/>
          <w:szCs w:val="28"/>
        </w:rPr>
        <w:t>Lecturer: Shaila Hussain</w:t>
      </w:r>
    </w:p>
    <w:p w14:paraId="73D5EDD4" w14:textId="77777777" w:rsidR="00B65BE0" w:rsidRDefault="000931B4">
      <w:pPr>
        <w:jc w:val="center"/>
        <w:rPr>
          <w:sz w:val="28"/>
          <w:szCs w:val="28"/>
        </w:rPr>
      </w:pPr>
      <w:r>
        <w:rPr>
          <w:sz w:val="28"/>
          <w:szCs w:val="28"/>
        </w:rPr>
        <w:t xml:space="preserve"> </w:t>
      </w:r>
    </w:p>
    <w:p w14:paraId="7111D91F" w14:textId="77777777" w:rsidR="00B65BE0" w:rsidRDefault="000931B4">
      <w:pPr>
        <w:jc w:val="center"/>
        <w:rPr>
          <w:sz w:val="28"/>
          <w:szCs w:val="28"/>
        </w:rPr>
      </w:pPr>
      <w:r>
        <w:rPr>
          <w:b/>
          <w:bCs/>
          <w:sz w:val="28"/>
          <w:szCs w:val="28"/>
        </w:rPr>
        <w:t xml:space="preserve">Module code: </w:t>
      </w:r>
      <w:r>
        <w:rPr>
          <w:sz w:val="28"/>
          <w:szCs w:val="28"/>
        </w:rPr>
        <w:t>BMHP5021</w:t>
      </w:r>
    </w:p>
    <w:p w14:paraId="54C364E2" w14:textId="77777777" w:rsidR="00B65BE0" w:rsidRDefault="000931B4">
      <w:pPr>
        <w:jc w:val="center"/>
        <w:rPr>
          <w:sz w:val="28"/>
          <w:szCs w:val="28"/>
        </w:rPr>
      </w:pPr>
      <w:r>
        <w:rPr>
          <w:b/>
          <w:bCs/>
          <w:sz w:val="28"/>
          <w:szCs w:val="28"/>
        </w:rPr>
        <w:t>Module title:</w:t>
      </w:r>
      <w:r>
        <w:rPr>
          <w:sz w:val="28"/>
          <w:szCs w:val="28"/>
        </w:rPr>
        <w:t xml:space="preserve"> Protecting and Supporting Families in Health and Care</w:t>
      </w:r>
    </w:p>
    <w:p w14:paraId="67021E39" w14:textId="77777777" w:rsidR="00B65BE0" w:rsidRDefault="000931B4">
      <w:pPr>
        <w:jc w:val="center"/>
        <w:rPr>
          <w:sz w:val="28"/>
          <w:szCs w:val="28"/>
        </w:rPr>
      </w:pPr>
      <w:r>
        <w:rPr>
          <w:sz w:val="28"/>
          <w:szCs w:val="28"/>
        </w:rPr>
        <w:t xml:space="preserve"> </w:t>
      </w:r>
    </w:p>
    <w:p w14:paraId="574E4EAA" w14:textId="77777777" w:rsidR="00B65BE0" w:rsidRDefault="000931B4">
      <w:pPr>
        <w:jc w:val="center"/>
      </w:pPr>
      <w:r>
        <w:rPr>
          <w:b/>
          <w:bCs/>
          <w:sz w:val="28"/>
          <w:szCs w:val="28"/>
        </w:rPr>
        <w:t>Assignment Title:</w:t>
      </w:r>
      <w:r>
        <w:rPr>
          <w:sz w:val="28"/>
          <w:szCs w:val="28"/>
        </w:rPr>
        <w:t xml:space="preserve"> Component 2: Written Report </w:t>
      </w:r>
      <w:r>
        <w:br w:type="page"/>
      </w:r>
    </w:p>
    <w:sdt>
      <w:sdtPr>
        <w:rPr>
          <w:rFonts w:ascii="Arial" w:eastAsia="Arial" w:hAnsi="Arial" w:cs="Arial"/>
          <w:color w:val="auto"/>
          <w:sz w:val="22"/>
          <w:szCs w:val="22"/>
          <w:lang w:val="en-GB"/>
        </w:rPr>
        <w:id w:val="-194852710"/>
        <w:docPartObj>
          <w:docPartGallery w:val="Table of Contents"/>
          <w:docPartUnique/>
        </w:docPartObj>
      </w:sdtPr>
      <w:sdtEndPr>
        <w:rPr>
          <w:b/>
          <w:bCs/>
          <w:noProof/>
        </w:rPr>
      </w:sdtEndPr>
      <w:sdtContent>
        <w:p w14:paraId="57D06A90" w14:textId="402FB9BE" w:rsidR="00DA02AE" w:rsidRPr="00DA02AE" w:rsidRDefault="00DA02AE" w:rsidP="00DA02AE">
          <w:pPr>
            <w:pStyle w:val="TOCHeading"/>
            <w:jc w:val="center"/>
            <w:rPr>
              <w:b/>
              <w:color w:val="000000" w:themeColor="text1"/>
              <w:sz w:val="28"/>
            </w:rPr>
          </w:pPr>
          <w:r w:rsidRPr="00DA02AE">
            <w:rPr>
              <w:b/>
              <w:color w:val="000000" w:themeColor="text1"/>
              <w:sz w:val="28"/>
            </w:rPr>
            <w:t>TABLE OF CONTENTS</w:t>
          </w:r>
        </w:p>
        <w:p w14:paraId="784210C0" w14:textId="7952F47D" w:rsidR="00192F19" w:rsidRDefault="00DA02AE">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235287683" w:history="1">
            <w:r w:rsidR="00192F19" w:rsidRPr="0014634A">
              <w:rPr>
                <w:rStyle w:val="Hyperlink"/>
                <w:noProof/>
              </w:rPr>
              <w:t>1) Introduction</w:t>
            </w:r>
            <w:r w:rsidR="00192F19">
              <w:rPr>
                <w:noProof/>
                <w:webHidden/>
              </w:rPr>
              <w:tab/>
            </w:r>
            <w:r w:rsidR="00192F19">
              <w:rPr>
                <w:noProof/>
                <w:webHidden/>
              </w:rPr>
              <w:fldChar w:fldCharType="begin"/>
            </w:r>
            <w:r w:rsidR="00192F19">
              <w:rPr>
                <w:noProof/>
                <w:webHidden/>
              </w:rPr>
              <w:instrText xml:space="preserve"> PAGEREF _Toc235287683 \h </w:instrText>
            </w:r>
            <w:r w:rsidR="00192F19">
              <w:rPr>
                <w:noProof/>
                <w:webHidden/>
              </w:rPr>
            </w:r>
            <w:r w:rsidR="00192F19">
              <w:rPr>
                <w:noProof/>
                <w:webHidden/>
              </w:rPr>
              <w:fldChar w:fldCharType="separate"/>
            </w:r>
            <w:r w:rsidR="00192F19">
              <w:rPr>
                <w:noProof/>
                <w:webHidden/>
              </w:rPr>
              <w:t>3</w:t>
            </w:r>
            <w:r w:rsidR="00192F19">
              <w:rPr>
                <w:noProof/>
                <w:webHidden/>
              </w:rPr>
              <w:fldChar w:fldCharType="end"/>
            </w:r>
          </w:hyperlink>
        </w:p>
        <w:p w14:paraId="19898625" w14:textId="1738264E" w:rsidR="00192F19" w:rsidRDefault="00192F19">
          <w:pPr>
            <w:pStyle w:val="TOC1"/>
            <w:tabs>
              <w:tab w:val="right" w:leader="dot" w:pos="9019"/>
            </w:tabs>
            <w:rPr>
              <w:rFonts w:asciiTheme="minorHAnsi" w:eastAsiaTheme="minorEastAsia" w:hAnsiTheme="minorHAnsi" w:cstheme="minorBidi"/>
              <w:noProof/>
              <w:lang w:val="en-IN" w:eastAsia="en-IN"/>
            </w:rPr>
          </w:pPr>
          <w:hyperlink w:anchor="_Toc235287684" w:history="1">
            <w:r w:rsidRPr="0014634A">
              <w:rPr>
                <w:rStyle w:val="Hyperlink"/>
                <w:noProof/>
              </w:rPr>
              <w:t>2) Explanation of the Early Help System</w:t>
            </w:r>
            <w:r>
              <w:rPr>
                <w:noProof/>
                <w:webHidden/>
              </w:rPr>
              <w:tab/>
            </w:r>
            <w:r>
              <w:rPr>
                <w:noProof/>
                <w:webHidden/>
              </w:rPr>
              <w:fldChar w:fldCharType="begin"/>
            </w:r>
            <w:r>
              <w:rPr>
                <w:noProof/>
                <w:webHidden/>
              </w:rPr>
              <w:instrText xml:space="preserve"> PAGEREF _Toc235287684 \h </w:instrText>
            </w:r>
            <w:r>
              <w:rPr>
                <w:noProof/>
                <w:webHidden/>
              </w:rPr>
            </w:r>
            <w:r>
              <w:rPr>
                <w:noProof/>
                <w:webHidden/>
              </w:rPr>
              <w:fldChar w:fldCharType="separate"/>
            </w:r>
            <w:r>
              <w:rPr>
                <w:noProof/>
                <w:webHidden/>
              </w:rPr>
              <w:t>3</w:t>
            </w:r>
            <w:r>
              <w:rPr>
                <w:noProof/>
                <w:webHidden/>
              </w:rPr>
              <w:fldChar w:fldCharType="end"/>
            </w:r>
          </w:hyperlink>
        </w:p>
        <w:p w14:paraId="4BEBFE9A" w14:textId="6A7B146F" w:rsidR="00192F19" w:rsidRDefault="00192F19">
          <w:pPr>
            <w:pStyle w:val="TOC1"/>
            <w:tabs>
              <w:tab w:val="right" w:leader="dot" w:pos="9019"/>
            </w:tabs>
            <w:rPr>
              <w:rFonts w:asciiTheme="minorHAnsi" w:eastAsiaTheme="minorEastAsia" w:hAnsiTheme="minorHAnsi" w:cstheme="minorBidi"/>
              <w:noProof/>
              <w:lang w:val="en-IN" w:eastAsia="en-IN"/>
            </w:rPr>
          </w:pPr>
          <w:hyperlink w:anchor="_Toc235287685" w:history="1">
            <w:r w:rsidRPr="0014634A">
              <w:rPr>
                <w:rStyle w:val="Hyperlink"/>
                <w:noProof/>
              </w:rPr>
              <w:t>3) Explanation of multi-agency working</w:t>
            </w:r>
            <w:r>
              <w:rPr>
                <w:noProof/>
                <w:webHidden/>
              </w:rPr>
              <w:tab/>
            </w:r>
            <w:r>
              <w:rPr>
                <w:noProof/>
                <w:webHidden/>
              </w:rPr>
              <w:fldChar w:fldCharType="begin"/>
            </w:r>
            <w:r>
              <w:rPr>
                <w:noProof/>
                <w:webHidden/>
              </w:rPr>
              <w:instrText xml:space="preserve"> PAGEREF _Toc235287685 \h </w:instrText>
            </w:r>
            <w:r>
              <w:rPr>
                <w:noProof/>
                <w:webHidden/>
              </w:rPr>
            </w:r>
            <w:r>
              <w:rPr>
                <w:noProof/>
                <w:webHidden/>
              </w:rPr>
              <w:fldChar w:fldCharType="separate"/>
            </w:r>
            <w:r>
              <w:rPr>
                <w:noProof/>
                <w:webHidden/>
              </w:rPr>
              <w:t>5</w:t>
            </w:r>
            <w:r>
              <w:rPr>
                <w:noProof/>
                <w:webHidden/>
              </w:rPr>
              <w:fldChar w:fldCharType="end"/>
            </w:r>
          </w:hyperlink>
        </w:p>
        <w:p w14:paraId="37932686" w14:textId="425EBDBF" w:rsidR="00192F19" w:rsidRDefault="00192F19">
          <w:pPr>
            <w:pStyle w:val="TOC1"/>
            <w:tabs>
              <w:tab w:val="right" w:leader="dot" w:pos="9019"/>
            </w:tabs>
            <w:rPr>
              <w:rFonts w:asciiTheme="minorHAnsi" w:eastAsiaTheme="minorEastAsia" w:hAnsiTheme="minorHAnsi" w:cstheme="minorBidi"/>
              <w:noProof/>
              <w:lang w:val="en-IN" w:eastAsia="en-IN"/>
            </w:rPr>
          </w:pPr>
          <w:hyperlink w:anchor="_Toc235287686" w:history="1">
            <w:r w:rsidRPr="0014634A">
              <w:rPr>
                <w:rStyle w:val="Hyperlink"/>
                <w:noProof/>
              </w:rPr>
              <w:t>4) Evaluation of Each Local Authority Website</w:t>
            </w:r>
            <w:r>
              <w:rPr>
                <w:noProof/>
                <w:webHidden/>
              </w:rPr>
              <w:tab/>
            </w:r>
            <w:r>
              <w:rPr>
                <w:noProof/>
                <w:webHidden/>
              </w:rPr>
              <w:fldChar w:fldCharType="begin"/>
            </w:r>
            <w:r>
              <w:rPr>
                <w:noProof/>
                <w:webHidden/>
              </w:rPr>
              <w:instrText xml:space="preserve"> PAGEREF _Toc235287686 \h </w:instrText>
            </w:r>
            <w:r>
              <w:rPr>
                <w:noProof/>
                <w:webHidden/>
              </w:rPr>
            </w:r>
            <w:r>
              <w:rPr>
                <w:noProof/>
                <w:webHidden/>
              </w:rPr>
              <w:fldChar w:fldCharType="separate"/>
            </w:r>
            <w:r>
              <w:rPr>
                <w:noProof/>
                <w:webHidden/>
              </w:rPr>
              <w:t>6</w:t>
            </w:r>
            <w:r>
              <w:rPr>
                <w:noProof/>
                <w:webHidden/>
              </w:rPr>
              <w:fldChar w:fldCharType="end"/>
            </w:r>
          </w:hyperlink>
        </w:p>
        <w:p w14:paraId="2339AE96" w14:textId="375A0C47" w:rsidR="00192F19" w:rsidRDefault="00192F19">
          <w:pPr>
            <w:pStyle w:val="TOC1"/>
            <w:tabs>
              <w:tab w:val="right" w:leader="dot" w:pos="9019"/>
            </w:tabs>
            <w:rPr>
              <w:rFonts w:asciiTheme="minorHAnsi" w:eastAsiaTheme="minorEastAsia" w:hAnsiTheme="minorHAnsi" w:cstheme="minorBidi"/>
              <w:noProof/>
              <w:lang w:val="en-IN" w:eastAsia="en-IN"/>
            </w:rPr>
          </w:pPr>
          <w:hyperlink w:anchor="_Toc235287687" w:history="1">
            <w:r w:rsidRPr="0014634A">
              <w:rPr>
                <w:rStyle w:val="Hyperlink"/>
                <w:noProof/>
                <w:lang w:val="en-IN"/>
              </w:rPr>
              <w:t>5) Comparative analysis of the main strengths and weaknesses of how the local authority websites communicate the Early Help and other support services available to families.</w:t>
            </w:r>
            <w:r>
              <w:rPr>
                <w:noProof/>
                <w:webHidden/>
              </w:rPr>
              <w:tab/>
            </w:r>
            <w:r>
              <w:rPr>
                <w:noProof/>
                <w:webHidden/>
              </w:rPr>
              <w:fldChar w:fldCharType="begin"/>
            </w:r>
            <w:r>
              <w:rPr>
                <w:noProof/>
                <w:webHidden/>
              </w:rPr>
              <w:instrText xml:space="preserve"> PAGEREF _Toc235287687 \h </w:instrText>
            </w:r>
            <w:r>
              <w:rPr>
                <w:noProof/>
                <w:webHidden/>
              </w:rPr>
            </w:r>
            <w:r>
              <w:rPr>
                <w:noProof/>
                <w:webHidden/>
              </w:rPr>
              <w:fldChar w:fldCharType="separate"/>
            </w:r>
            <w:r>
              <w:rPr>
                <w:noProof/>
                <w:webHidden/>
              </w:rPr>
              <w:t>8</w:t>
            </w:r>
            <w:r>
              <w:rPr>
                <w:noProof/>
                <w:webHidden/>
              </w:rPr>
              <w:fldChar w:fldCharType="end"/>
            </w:r>
          </w:hyperlink>
        </w:p>
        <w:p w14:paraId="76EB640A" w14:textId="53D3D776" w:rsidR="00192F19" w:rsidRDefault="00192F19">
          <w:pPr>
            <w:pStyle w:val="TOC1"/>
            <w:tabs>
              <w:tab w:val="right" w:leader="dot" w:pos="9019"/>
            </w:tabs>
            <w:rPr>
              <w:rFonts w:asciiTheme="minorHAnsi" w:eastAsiaTheme="minorEastAsia" w:hAnsiTheme="minorHAnsi" w:cstheme="minorBidi"/>
              <w:noProof/>
              <w:lang w:val="en-IN" w:eastAsia="en-IN"/>
            </w:rPr>
          </w:pPr>
          <w:hyperlink w:anchor="_Toc235287688" w:history="1">
            <w:r w:rsidRPr="0014634A">
              <w:rPr>
                <w:rStyle w:val="Hyperlink"/>
                <w:noProof/>
                <w:lang w:val="en-IN"/>
              </w:rPr>
              <w:t>6) Conclusion with recommendations for areas for improvement</w:t>
            </w:r>
            <w:r>
              <w:rPr>
                <w:noProof/>
                <w:webHidden/>
              </w:rPr>
              <w:tab/>
            </w:r>
            <w:r>
              <w:rPr>
                <w:noProof/>
                <w:webHidden/>
              </w:rPr>
              <w:fldChar w:fldCharType="begin"/>
            </w:r>
            <w:r>
              <w:rPr>
                <w:noProof/>
                <w:webHidden/>
              </w:rPr>
              <w:instrText xml:space="preserve"> PAGEREF _Toc235287688 \h </w:instrText>
            </w:r>
            <w:r>
              <w:rPr>
                <w:noProof/>
                <w:webHidden/>
              </w:rPr>
            </w:r>
            <w:r>
              <w:rPr>
                <w:noProof/>
                <w:webHidden/>
              </w:rPr>
              <w:fldChar w:fldCharType="separate"/>
            </w:r>
            <w:r>
              <w:rPr>
                <w:noProof/>
                <w:webHidden/>
              </w:rPr>
              <w:t>10</w:t>
            </w:r>
            <w:r>
              <w:rPr>
                <w:noProof/>
                <w:webHidden/>
              </w:rPr>
              <w:fldChar w:fldCharType="end"/>
            </w:r>
          </w:hyperlink>
        </w:p>
        <w:p w14:paraId="3F69D2A3" w14:textId="03F40417" w:rsidR="00192F19" w:rsidRDefault="00192F19">
          <w:pPr>
            <w:pStyle w:val="TOC1"/>
            <w:tabs>
              <w:tab w:val="right" w:leader="dot" w:pos="9019"/>
            </w:tabs>
            <w:rPr>
              <w:rFonts w:asciiTheme="minorHAnsi" w:eastAsiaTheme="minorEastAsia" w:hAnsiTheme="minorHAnsi" w:cstheme="minorBidi"/>
              <w:noProof/>
              <w:lang w:val="en-IN" w:eastAsia="en-IN"/>
            </w:rPr>
          </w:pPr>
          <w:hyperlink w:anchor="_Toc235287689" w:history="1">
            <w:r w:rsidRPr="0014634A">
              <w:rPr>
                <w:rStyle w:val="Hyperlink"/>
                <w:noProof/>
              </w:rPr>
              <w:t>Reference List</w:t>
            </w:r>
            <w:r>
              <w:rPr>
                <w:noProof/>
                <w:webHidden/>
              </w:rPr>
              <w:tab/>
            </w:r>
            <w:r>
              <w:rPr>
                <w:noProof/>
                <w:webHidden/>
              </w:rPr>
              <w:fldChar w:fldCharType="begin"/>
            </w:r>
            <w:r>
              <w:rPr>
                <w:noProof/>
                <w:webHidden/>
              </w:rPr>
              <w:instrText xml:space="preserve"> PAGEREF _Toc235287689 \h </w:instrText>
            </w:r>
            <w:r>
              <w:rPr>
                <w:noProof/>
                <w:webHidden/>
              </w:rPr>
            </w:r>
            <w:r>
              <w:rPr>
                <w:noProof/>
                <w:webHidden/>
              </w:rPr>
              <w:fldChar w:fldCharType="separate"/>
            </w:r>
            <w:r>
              <w:rPr>
                <w:noProof/>
                <w:webHidden/>
              </w:rPr>
              <w:t>11</w:t>
            </w:r>
            <w:r>
              <w:rPr>
                <w:noProof/>
                <w:webHidden/>
              </w:rPr>
              <w:fldChar w:fldCharType="end"/>
            </w:r>
          </w:hyperlink>
        </w:p>
        <w:p w14:paraId="71950055" w14:textId="434990BA" w:rsidR="00DA02AE" w:rsidRDefault="00DA02AE">
          <w:r>
            <w:rPr>
              <w:b/>
              <w:bCs/>
              <w:noProof/>
            </w:rPr>
            <w:fldChar w:fldCharType="end"/>
          </w:r>
        </w:p>
      </w:sdtContent>
    </w:sdt>
    <w:p w14:paraId="722CC76A" w14:textId="77777777" w:rsidR="00DA02AE" w:rsidRDefault="00DA02AE">
      <w:pPr>
        <w:rPr>
          <w:b/>
          <w:bCs/>
          <w:sz w:val="26"/>
          <w:szCs w:val="26"/>
        </w:rPr>
      </w:pPr>
      <w:r>
        <w:rPr>
          <w:b/>
          <w:bCs/>
          <w:sz w:val="26"/>
          <w:szCs w:val="26"/>
        </w:rPr>
        <w:br w:type="page"/>
      </w:r>
    </w:p>
    <w:p w14:paraId="3AEB30C8" w14:textId="77777777" w:rsidR="00B65BE0" w:rsidRDefault="000931B4">
      <w:pPr>
        <w:jc w:val="center"/>
        <w:rPr>
          <w:b/>
          <w:bCs/>
          <w:sz w:val="26"/>
          <w:szCs w:val="26"/>
        </w:rPr>
      </w:pPr>
      <w:r>
        <w:rPr>
          <w:b/>
          <w:bCs/>
          <w:sz w:val="26"/>
          <w:szCs w:val="26"/>
        </w:rPr>
        <w:t>Component 2: Written Report</w:t>
      </w:r>
    </w:p>
    <w:p w14:paraId="6BBB4B7C" w14:textId="77777777" w:rsidR="00B65BE0" w:rsidRDefault="00B65BE0">
      <w:pPr>
        <w:jc w:val="center"/>
        <w:rPr>
          <w:b/>
          <w:bCs/>
          <w:sz w:val="26"/>
          <w:szCs w:val="26"/>
        </w:rPr>
      </w:pPr>
    </w:p>
    <w:p w14:paraId="0B4BC44B" w14:textId="77777777" w:rsidR="00B65BE0" w:rsidRDefault="000931B4">
      <w:pPr>
        <w:pStyle w:val="Heading1"/>
      </w:pPr>
      <w:bookmarkStart w:id="0" w:name="_99yt8eqwqej3" w:colFirst="0" w:colLast="0"/>
      <w:bookmarkStart w:id="1" w:name="_Toc235287683"/>
      <w:bookmarkEnd w:id="0"/>
      <w:r>
        <w:t>1) Introduction</w:t>
      </w:r>
      <w:bookmarkEnd w:id="1"/>
    </w:p>
    <w:p w14:paraId="74B6289D" w14:textId="77777777" w:rsidR="00B65BE0" w:rsidRDefault="000931B4">
      <w:r>
        <w:t>This report will explore and critically examine the various methods and strategies used by Leeds City Council, Tower Hamlets Council and Southwark Council to communicate the UK Early Help system and other family support services on the websites they maintain and their constituent democracy, the city/borough. It will focus on the ease of access, understanding and comprehensiveness of online information and how it meets the requirements of the Early Help System Guide and Working Together to Safeguard Children (2026). In addition, the report will profile and review multi-agency signposting models, highlight areas of good practice and identify areas needing improvement and which local authority will provide the best digital support for children, young people and families.</w:t>
      </w:r>
    </w:p>
    <w:p w14:paraId="0B411828" w14:textId="77777777" w:rsidR="00B65BE0" w:rsidRDefault="000931B4">
      <w:pPr>
        <w:pStyle w:val="Heading1"/>
      </w:pPr>
      <w:bookmarkStart w:id="2" w:name="_914ixwictjah" w:colFirst="0" w:colLast="0"/>
      <w:bookmarkStart w:id="3" w:name="_Toc235287684"/>
      <w:bookmarkEnd w:id="2"/>
      <w:r>
        <w:t>2) Explanation of the Early Help System</w:t>
      </w:r>
      <w:bookmarkEnd w:id="3"/>
    </w:p>
    <w:p w14:paraId="5B487997" w14:textId="77777777" w:rsidR="00B65BE0" w:rsidRDefault="000931B4">
      <w:pPr>
        <w:rPr>
          <w:b/>
          <w:bCs/>
          <w:sz w:val="24"/>
          <w:szCs w:val="24"/>
        </w:rPr>
      </w:pPr>
      <w:r>
        <w:rPr>
          <w:b/>
          <w:bCs/>
          <w:sz w:val="24"/>
          <w:szCs w:val="24"/>
        </w:rPr>
        <w:t>Concept and Purpose of the Early Help System</w:t>
      </w:r>
    </w:p>
    <w:p w14:paraId="066D8581" w14:textId="77777777" w:rsidR="00B65BE0" w:rsidRDefault="000931B4">
      <w:r>
        <w:t xml:space="preserve">Macalister (2022) indicates that the Early Help System is an approach that will function as a preventive system to serve children from birth to 18 years old and will help families with problems and concerns overlap. The approach will help with proper assessment and planning, and will work closely with the local partners to provide all necessary services with voluntary engagement. For example, a referral from the school for attendance and debt of parents can prevent referrals of the child to the safeguarding child protection approach (MacAlister, 2022). </w:t>
      </w:r>
      <w:r>
        <w:rPr>
          <w:b/>
          <w:bCs/>
        </w:rPr>
        <w:t xml:space="preserve">Strengths </w:t>
      </w:r>
      <w:r>
        <w:t xml:space="preserve">are early intervention, collaborative decision-making and enhanced resilience. There are a number of </w:t>
      </w:r>
      <w:r>
        <w:rPr>
          <w:b/>
          <w:bCs/>
        </w:rPr>
        <w:t>limitations</w:t>
      </w:r>
      <w:r>
        <w:t>: inconsistent thresholds for referrals, shortages in the workforce and heterogeneous family awareness.</w:t>
      </w:r>
    </w:p>
    <w:p w14:paraId="32A74BB4" w14:textId="77777777" w:rsidR="00B65BE0" w:rsidRDefault="000931B4">
      <w:pPr>
        <w:jc w:val="center"/>
      </w:pPr>
      <w:r>
        <w:rPr>
          <w:noProof/>
          <w:lang w:val="en-IN" w:eastAsia="en-IN"/>
        </w:rPr>
        <w:drawing>
          <wp:inline distT="114300" distB="114300" distL="114300" distR="114300" wp14:anchorId="6D611113" wp14:editId="3FD8E7C2">
            <wp:extent cx="3613313" cy="335089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613313" cy="3350893"/>
                    </a:xfrm>
                    <a:prstGeom prst="rect">
                      <a:avLst/>
                    </a:prstGeom>
                    <a:ln/>
                  </pic:spPr>
                </pic:pic>
              </a:graphicData>
            </a:graphic>
          </wp:inline>
        </w:drawing>
      </w:r>
    </w:p>
    <w:p w14:paraId="571007D0" w14:textId="77777777" w:rsidR="00B65BE0" w:rsidRDefault="000931B4">
      <w:pPr>
        <w:jc w:val="center"/>
        <w:rPr>
          <w:b/>
          <w:bCs/>
        </w:rPr>
      </w:pPr>
      <w:r>
        <w:rPr>
          <w:b/>
          <w:bCs/>
        </w:rPr>
        <w:t xml:space="preserve">Figure: Circle of Support diagram </w:t>
      </w:r>
    </w:p>
    <w:p w14:paraId="1D08A516" w14:textId="77777777" w:rsidR="00B65BE0" w:rsidRDefault="000931B4">
      <w:pPr>
        <w:jc w:val="center"/>
      </w:pPr>
      <w:r>
        <w:t>(Source: Davies, 2025)</w:t>
      </w:r>
    </w:p>
    <w:p w14:paraId="6FB1ED65" w14:textId="77777777" w:rsidR="00B65BE0" w:rsidRDefault="000931B4">
      <w:pPr>
        <w:rPr>
          <w:b/>
          <w:bCs/>
          <w:sz w:val="24"/>
          <w:szCs w:val="24"/>
        </w:rPr>
      </w:pPr>
      <w:r>
        <w:rPr>
          <w:b/>
          <w:bCs/>
          <w:sz w:val="24"/>
          <w:szCs w:val="24"/>
        </w:rPr>
        <w:t>Key Components of Early Help</w:t>
      </w:r>
    </w:p>
    <w:p w14:paraId="17ED2292" w14:textId="77777777" w:rsidR="00B65BE0" w:rsidRDefault="000931B4">
      <w:r>
        <w:t xml:space="preserve">Early help will involve five essential elements – early identification, multi-agency coordinated planning, lead practitioner oversight and review, and a holistic assessment (Davies, 2025). The Early Help Assessment will look at education, health, safeguarding, housing and emotional wellbeing and will provide professionals with the opportunity for planned and coordinated support plans. For example, education, health and social care services could be coordinated from the same practitioner when a family are missing from school, there is domestic turmoil and financial problems. Comprehensive support and accountability are </w:t>
      </w:r>
      <w:r>
        <w:rPr>
          <w:b/>
          <w:bCs/>
        </w:rPr>
        <w:t>strengths</w:t>
      </w:r>
      <w:r>
        <w:t xml:space="preserve">. The </w:t>
      </w:r>
      <w:r>
        <w:rPr>
          <w:b/>
          <w:bCs/>
        </w:rPr>
        <w:t xml:space="preserve">weaknesses </w:t>
      </w:r>
      <w:r>
        <w:t>are: a lack of information sharing between authorities and inequalities in authority access to services.</w:t>
      </w:r>
    </w:p>
    <w:p w14:paraId="7F53FDA6" w14:textId="77777777" w:rsidR="00B65BE0" w:rsidRDefault="000931B4">
      <w:pPr>
        <w:rPr>
          <w:b/>
          <w:bCs/>
          <w:sz w:val="24"/>
          <w:szCs w:val="24"/>
        </w:rPr>
      </w:pPr>
      <w:r>
        <w:rPr>
          <w:b/>
          <w:bCs/>
          <w:sz w:val="24"/>
          <w:szCs w:val="24"/>
        </w:rPr>
        <w:t>Significance of Early Help for Children and Families</w:t>
      </w:r>
    </w:p>
    <w:p w14:paraId="5436B580" w14:textId="77777777" w:rsidR="00B65BE0" w:rsidRDefault="000931B4">
      <w:r>
        <w:t xml:space="preserve">As opined by Weiss </w:t>
      </w:r>
      <w:r>
        <w:rPr>
          <w:i/>
          <w:iCs/>
        </w:rPr>
        <w:t xml:space="preserve">et al., </w:t>
      </w:r>
      <w:r>
        <w:t xml:space="preserve">(2024), the Early Help program will make things better and assist in addressing the problems before they become bigger, increase family stability and reduce the requirement for any other form of intervention. When a child is experiencing anxiety, poor attendance, and delay in speech development, the child will receive coordinated support from educational, health, and family services that will result in the development of the child (Petty, 2026). More than 150 local safeguarding partnerships nationally will provide </w:t>
      </w:r>
      <w:r>
        <w:rPr>
          <w:b/>
          <w:bCs/>
        </w:rPr>
        <w:t xml:space="preserve">Strengths </w:t>
      </w:r>
      <w:r>
        <w:t xml:space="preserve">include enhanced child welfare, stronger parental capacity and earlier risk reduction. Young parents are better supported in child welfare, and there is greater capacity among parents for reducing risks in the early years. </w:t>
      </w:r>
      <w:r>
        <w:rPr>
          <w:b/>
          <w:bCs/>
        </w:rPr>
        <w:t xml:space="preserve">Limitations </w:t>
      </w:r>
      <w:r>
        <w:t>are funding constraints, and the level of implementation varies at the local level.</w:t>
      </w:r>
    </w:p>
    <w:p w14:paraId="51DDD46D" w14:textId="77777777" w:rsidR="00B65BE0" w:rsidRDefault="000931B4">
      <w:pPr>
        <w:pStyle w:val="Heading1"/>
      </w:pPr>
      <w:bookmarkStart w:id="4" w:name="_y3o7iygkqm9h" w:colFirst="0" w:colLast="0"/>
      <w:bookmarkStart w:id="5" w:name="_Toc235287685"/>
      <w:bookmarkEnd w:id="4"/>
      <w:r>
        <w:t>3) Explanation of multi-agency working</w:t>
      </w:r>
      <w:bookmarkEnd w:id="5"/>
    </w:p>
    <w:p w14:paraId="462B4D23" w14:textId="77777777" w:rsidR="00B65BE0" w:rsidRDefault="000931B4">
      <w:pPr>
        <w:rPr>
          <w:b/>
          <w:bCs/>
        </w:rPr>
      </w:pPr>
      <w:r>
        <w:rPr>
          <w:b/>
          <w:bCs/>
        </w:rPr>
        <w:t>Concept of Multi-Agency Working</w:t>
      </w:r>
    </w:p>
    <w:p w14:paraId="063B1501" w14:textId="77777777" w:rsidR="00B65BE0" w:rsidRDefault="000931B4">
      <w:r>
        <w:t xml:space="preserve">Multiagency collaboration refers to the distribution of responsibility across health, education, social care, policing and the voluntary sector to help deliver a package of care for children and their families. It facilitates combined decision-making by shared responsibility and timely exchange of information (Ball </w:t>
      </w:r>
      <w:r>
        <w:rPr>
          <w:i/>
          <w:iCs/>
        </w:rPr>
        <w:t>et al.</w:t>
      </w:r>
      <w:r>
        <w:t xml:space="preserve">, 2024). For instance, in a safeguarding case where the child is absent from school, this might be due to neglect and mental health issues, and then the case might require 5 professionals to devise one intervention plan. Coordinated expertise and early risk identification, as well as consistent support, are </w:t>
      </w:r>
      <w:r>
        <w:rPr>
          <w:b/>
          <w:bCs/>
        </w:rPr>
        <w:t>strengths</w:t>
      </w:r>
      <w:r>
        <w:t xml:space="preserve">. </w:t>
      </w:r>
      <w:r>
        <w:rPr>
          <w:b/>
          <w:bCs/>
        </w:rPr>
        <w:t xml:space="preserve">Limitations </w:t>
      </w:r>
      <w:r>
        <w:t>are observed, such as the lack of information flow and different priorities and timings of the organisation.</w:t>
      </w:r>
    </w:p>
    <w:p w14:paraId="23A18050" w14:textId="77777777" w:rsidR="00B65BE0" w:rsidRDefault="000931B4">
      <w:pPr>
        <w:rPr>
          <w:b/>
          <w:bCs/>
        </w:rPr>
      </w:pPr>
      <w:r>
        <w:rPr>
          <w:b/>
          <w:bCs/>
        </w:rPr>
        <w:t>Roles of Multi-Agency Partners</w:t>
      </w:r>
    </w:p>
    <w:p w14:paraId="05C43257" w14:textId="77777777" w:rsidR="00B65BE0" w:rsidRDefault="000931B4">
      <w:r>
        <w:t xml:space="preserve">As per Buckley </w:t>
      </w:r>
      <w:r>
        <w:rPr>
          <w:i/>
          <w:iCs/>
        </w:rPr>
        <w:t>et al.,</w:t>
      </w:r>
      <w:r>
        <w:t xml:space="preserve"> (2023), the multi-agency partners’ roles complement each other in protecting children and improving families' welfare. Social workers will conduct assessments; schools will be responsible for attendance and learning problems; health professionals will handle physical and psychological matters; the police will handle matters related to protection, and the voluntary agencies in the community will offer help. For example, 6 agencies can coordinate services for a family that is facing domestic violence and poverty (Dixon </w:t>
      </w:r>
      <w:r>
        <w:rPr>
          <w:i/>
          <w:iCs/>
        </w:rPr>
        <w:t>et al.</w:t>
      </w:r>
      <w:r>
        <w:t xml:space="preserve">, 2022). The </w:t>
      </w:r>
      <w:r>
        <w:rPr>
          <w:b/>
          <w:bCs/>
        </w:rPr>
        <w:t xml:space="preserve">advantages </w:t>
      </w:r>
      <w:r>
        <w:t xml:space="preserve">are specialised knowledge and comprehensive services. The </w:t>
      </w:r>
      <w:r>
        <w:rPr>
          <w:b/>
          <w:bCs/>
        </w:rPr>
        <w:t xml:space="preserve">disadvantages </w:t>
      </w:r>
      <w:r>
        <w:t>are insufficient resources and role overlap.</w:t>
      </w:r>
    </w:p>
    <w:p w14:paraId="52CBECB3" w14:textId="77777777" w:rsidR="00B65BE0" w:rsidRDefault="000931B4">
      <w:pPr>
        <w:rPr>
          <w:b/>
          <w:bCs/>
        </w:rPr>
      </w:pPr>
      <w:r>
        <w:rPr>
          <w:b/>
          <w:bCs/>
          <w:sz w:val="24"/>
          <w:szCs w:val="24"/>
        </w:rPr>
        <w:t xml:space="preserve">Significance </w:t>
      </w:r>
      <w:r>
        <w:rPr>
          <w:b/>
          <w:bCs/>
        </w:rPr>
        <w:t>of Multi-Agency Collaboration</w:t>
      </w:r>
    </w:p>
    <w:p w14:paraId="74447899" w14:textId="70D67A56" w:rsidR="00A56F4C" w:rsidRDefault="000931B4">
      <w:r>
        <w:t xml:space="preserve">Multi-agency working will help to create a process of safeguarding, which will improve professionalism through the use of collaboration in addressing various needs of families. Planning in collaboration will help avoid duplication of services, make good decisions, and offer timely and coordinated services to the children (Sidha and </w:t>
      </w:r>
      <w:proofErr w:type="spellStart"/>
      <w:r>
        <w:t>Amuomo</w:t>
      </w:r>
      <w:proofErr w:type="spellEnd"/>
      <w:r>
        <w:t xml:space="preserve">, 2023).  At an early stage, preventing a vulnerable child from entering statutory care could be achieved through effective working with education, healthcare, housing and children's services, for example. Improvements in child outcomes, in supporting holistic interventions and efficient use of resources are </w:t>
      </w:r>
      <w:r>
        <w:rPr>
          <w:b/>
          <w:bCs/>
        </w:rPr>
        <w:t>strengths</w:t>
      </w:r>
      <w:r>
        <w:t xml:space="preserve">. Rising above these </w:t>
      </w:r>
      <w:r>
        <w:rPr>
          <w:b/>
          <w:bCs/>
        </w:rPr>
        <w:t xml:space="preserve">limitations </w:t>
      </w:r>
      <w:r>
        <w:t>are found in disparities in funding allocation, organisation and varied capacity of local partnerships in safeguarding.</w:t>
      </w:r>
    </w:p>
    <w:p w14:paraId="1DB982AA" w14:textId="16BD8E8D" w:rsidR="00B65BE0" w:rsidRDefault="00A56F4C">
      <w:r>
        <w:br w:type="page"/>
      </w:r>
    </w:p>
    <w:p w14:paraId="01D3832A" w14:textId="77777777" w:rsidR="00B65BE0" w:rsidRDefault="000931B4">
      <w:pPr>
        <w:pStyle w:val="Heading1"/>
      </w:pPr>
      <w:bookmarkStart w:id="6" w:name="_ez7b1e4rfa6s" w:colFirst="0" w:colLast="0"/>
      <w:bookmarkStart w:id="7" w:name="_Toc235287686"/>
      <w:bookmarkEnd w:id="6"/>
      <w:r>
        <w:t>4) Evaluation of Each Local Authority Website</w:t>
      </w:r>
      <w:bookmarkEnd w:id="7"/>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B65BE0" w14:paraId="348242CC" w14:textId="77777777">
        <w:tc>
          <w:tcPr>
            <w:tcW w:w="2257" w:type="dxa"/>
            <w:shd w:val="clear" w:color="auto" w:fill="CCCCCC"/>
            <w:tcMar>
              <w:top w:w="100" w:type="dxa"/>
              <w:left w:w="100" w:type="dxa"/>
              <w:bottom w:w="100" w:type="dxa"/>
              <w:right w:w="100" w:type="dxa"/>
            </w:tcMar>
          </w:tcPr>
          <w:p w14:paraId="2A5BA638" w14:textId="77777777" w:rsidR="00B65BE0" w:rsidRDefault="000931B4">
            <w:pPr>
              <w:widowControl w:val="0"/>
              <w:pBdr>
                <w:top w:val="nil"/>
                <w:left w:val="nil"/>
                <w:bottom w:val="nil"/>
                <w:right w:val="nil"/>
                <w:between w:val="nil"/>
              </w:pBdr>
              <w:spacing w:line="240" w:lineRule="auto"/>
              <w:jc w:val="center"/>
              <w:rPr>
                <w:b/>
                <w:bCs/>
              </w:rPr>
            </w:pPr>
            <w:r>
              <w:rPr>
                <w:b/>
                <w:bCs/>
              </w:rPr>
              <w:t xml:space="preserve">Local Authority Website </w:t>
            </w:r>
          </w:p>
        </w:tc>
        <w:tc>
          <w:tcPr>
            <w:tcW w:w="2257" w:type="dxa"/>
            <w:shd w:val="clear" w:color="auto" w:fill="CCCCCC"/>
            <w:tcMar>
              <w:top w:w="100" w:type="dxa"/>
              <w:left w:w="100" w:type="dxa"/>
              <w:bottom w:w="100" w:type="dxa"/>
              <w:right w:w="100" w:type="dxa"/>
            </w:tcMar>
          </w:tcPr>
          <w:p w14:paraId="19048286" w14:textId="77777777" w:rsidR="00B65BE0" w:rsidRDefault="000931B4">
            <w:pPr>
              <w:widowControl w:val="0"/>
              <w:pBdr>
                <w:top w:val="nil"/>
                <w:left w:val="nil"/>
                <w:bottom w:val="nil"/>
                <w:right w:val="nil"/>
                <w:between w:val="nil"/>
              </w:pBdr>
              <w:spacing w:line="240" w:lineRule="auto"/>
              <w:jc w:val="center"/>
              <w:rPr>
                <w:b/>
                <w:bCs/>
              </w:rPr>
            </w:pPr>
            <w:r>
              <w:rPr>
                <w:b/>
                <w:bCs/>
              </w:rPr>
              <w:t xml:space="preserve">Early Help Information </w:t>
            </w:r>
          </w:p>
        </w:tc>
        <w:tc>
          <w:tcPr>
            <w:tcW w:w="2257" w:type="dxa"/>
            <w:shd w:val="clear" w:color="auto" w:fill="CCCCCC"/>
            <w:tcMar>
              <w:top w:w="100" w:type="dxa"/>
              <w:left w:w="100" w:type="dxa"/>
              <w:bottom w:w="100" w:type="dxa"/>
              <w:right w:w="100" w:type="dxa"/>
            </w:tcMar>
          </w:tcPr>
          <w:p w14:paraId="5D10006E" w14:textId="77777777" w:rsidR="00B65BE0" w:rsidRDefault="000931B4">
            <w:pPr>
              <w:widowControl w:val="0"/>
              <w:pBdr>
                <w:top w:val="nil"/>
                <w:left w:val="nil"/>
                <w:bottom w:val="nil"/>
                <w:right w:val="nil"/>
                <w:between w:val="nil"/>
              </w:pBdr>
              <w:spacing w:line="240" w:lineRule="auto"/>
              <w:jc w:val="center"/>
              <w:rPr>
                <w:b/>
                <w:bCs/>
              </w:rPr>
            </w:pPr>
            <w:r>
              <w:rPr>
                <w:b/>
                <w:bCs/>
              </w:rPr>
              <w:t xml:space="preserve">Strengths </w:t>
            </w:r>
          </w:p>
        </w:tc>
        <w:tc>
          <w:tcPr>
            <w:tcW w:w="2257" w:type="dxa"/>
            <w:shd w:val="clear" w:color="auto" w:fill="CCCCCC"/>
            <w:tcMar>
              <w:top w:w="100" w:type="dxa"/>
              <w:left w:w="100" w:type="dxa"/>
              <w:bottom w:w="100" w:type="dxa"/>
              <w:right w:w="100" w:type="dxa"/>
            </w:tcMar>
          </w:tcPr>
          <w:p w14:paraId="49ED6D2D" w14:textId="77777777" w:rsidR="00B65BE0" w:rsidRDefault="000931B4">
            <w:pPr>
              <w:widowControl w:val="0"/>
              <w:pBdr>
                <w:top w:val="nil"/>
                <w:left w:val="nil"/>
                <w:bottom w:val="nil"/>
                <w:right w:val="nil"/>
                <w:between w:val="nil"/>
              </w:pBdr>
              <w:spacing w:line="240" w:lineRule="auto"/>
              <w:jc w:val="center"/>
              <w:rPr>
                <w:b/>
                <w:bCs/>
              </w:rPr>
            </w:pPr>
            <w:r>
              <w:rPr>
                <w:b/>
                <w:bCs/>
              </w:rPr>
              <w:t xml:space="preserve">Limitations </w:t>
            </w:r>
          </w:p>
        </w:tc>
      </w:tr>
      <w:tr w:rsidR="00B65BE0" w14:paraId="2A822975" w14:textId="77777777">
        <w:tc>
          <w:tcPr>
            <w:tcW w:w="2257" w:type="dxa"/>
            <w:shd w:val="clear" w:color="auto" w:fill="FFF2CC"/>
            <w:tcMar>
              <w:top w:w="100" w:type="dxa"/>
              <w:left w:w="100" w:type="dxa"/>
              <w:bottom w:w="100" w:type="dxa"/>
              <w:right w:w="100" w:type="dxa"/>
            </w:tcMar>
          </w:tcPr>
          <w:p w14:paraId="044951B9" w14:textId="77777777" w:rsidR="00B65BE0" w:rsidRDefault="000931B4">
            <w:pPr>
              <w:widowControl w:val="0"/>
              <w:pBdr>
                <w:top w:val="nil"/>
                <w:left w:val="nil"/>
                <w:bottom w:val="nil"/>
                <w:right w:val="nil"/>
                <w:between w:val="nil"/>
              </w:pBdr>
              <w:spacing w:line="240" w:lineRule="auto"/>
              <w:jc w:val="left"/>
            </w:pPr>
            <w:r>
              <w:t xml:space="preserve">Leeds City Council </w:t>
            </w:r>
          </w:p>
        </w:tc>
        <w:tc>
          <w:tcPr>
            <w:tcW w:w="2257" w:type="dxa"/>
            <w:shd w:val="clear" w:color="auto" w:fill="C9DAF8"/>
            <w:tcMar>
              <w:top w:w="100" w:type="dxa"/>
              <w:left w:w="100" w:type="dxa"/>
              <w:bottom w:w="100" w:type="dxa"/>
              <w:right w:w="100" w:type="dxa"/>
            </w:tcMar>
          </w:tcPr>
          <w:p w14:paraId="0BD0CFDF" w14:textId="77777777" w:rsidR="00B65BE0" w:rsidRDefault="000931B4">
            <w:r>
              <w:t xml:space="preserve">10+ services including Family Hubs, Early Help Assessment, safeguarding guidance, online referrals and parenting support (Appleton </w:t>
            </w:r>
            <w:r>
              <w:rPr>
                <w:i/>
                <w:iCs/>
              </w:rPr>
              <w:t>et al.</w:t>
            </w:r>
            <w:r>
              <w:t>, 2022).</w:t>
            </w:r>
          </w:p>
        </w:tc>
        <w:tc>
          <w:tcPr>
            <w:tcW w:w="2257" w:type="dxa"/>
            <w:shd w:val="clear" w:color="auto" w:fill="C9DAF8"/>
            <w:tcMar>
              <w:top w:w="100" w:type="dxa"/>
              <w:left w:w="100" w:type="dxa"/>
              <w:bottom w:w="100" w:type="dxa"/>
              <w:right w:w="100" w:type="dxa"/>
            </w:tcMar>
          </w:tcPr>
          <w:p w14:paraId="64C35130" w14:textId="77777777" w:rsidR="00B65BE0" w:rsidRDefault="000931B4">
            <w:r>
              <w:t>Logical way of navigation, fair and extensive information and pathways to referrals.</w:t>
            </w:r>
          </w:p>
        </w:tc>
        <w:tc>
          <w:tcPr>
            <w:tcW w:w="2257" w:type="dxa"/>
            <w:shd w:val="clear" w:color="auto" w:fill="C9DAF8"/>
            <w:tcMar>
              <w:top w:w="100" w:type="dxa"/>
              <w:left w:w="100" w:type="dxa"/>
              <w:bottom w:w="100" w:type="dxa"/>
              <w:right w:w="100" w:type="dxa"/>
            </w:tcMar>
          </w:tcPr>
          <w:p w14:paraId="340E7A9A" w14:textId="77777777" w:rsidR="00B65BE0" w:rsidRDefault="000931B4">
            <w:r>
              <w:t>There are not enough multilingual resources, and text-heavy pages.</w:t>
            </w:r>
          </w:p>
        </w:tc>
      </w:tr>
      <w:tr w:rsidR="00B65BE0" w14:paraId="7B5CBBF7" w14:textId="77777777">
        <w:tc>
          <w:tcPr>
            <w:tcW w:w="2257" w:type="dxa"/>
            <w:shd w:val="clear" w:color="auto" w:fill="FFF2CC"/>
            <w:tcMar>
              <w:top w:w="100" w:type="dxa"/>
              <w:left w:w="100" w:type="dxa"/>
              <w:bottom w:w="100" w:type="dxa"/>
              <w:right w:w="100" w:type="dxa"/>
            </w:tcMar>
          </w:tcPr>
          <w:p w14:paraId="5E7D3A3B" w14:textId="77777777" w:rsidR="00B65BE0" w:rsidRDefault="000931B4">
            <w:pPr>
              <w:widowControl w:val="0"/>
              <w:pBdr>
                <w:top w:val="nil"/>
                <w:left w:val="nil"/>
                <w:bottom w:val="nil"/>
                <w:right w:val="nil"/>
                <w:between w:val="nil"/>
              </w:pBdr>
              <w:spacing w:line="240" w:lineRule="auto"/>
              <w:jc w:val="left"/>
            </w:pPr>
            <w:r>
              <w:t xml:space="preserve">Tower Hamlets Council </w:t>
            </w:r>
          </w:p>
        </w:tc>
        <w:tc>
          <w:tcPr>
            <w:tcW w:w="2257" w:type="dxa"/>
            <w:shd w:val="clear" w:color="auto" w:fill="C9DAF8"/>
            <w:tcMar>
              <w:top w:w="100" w:type="dxa"/>
              <w:left w:w="100" w:type="dxa"/>
              <w:bottom w:w="100" w:type="dxa"/>
              <w:right w:w="100" w:type="dxa"/>
            </w:tcMar>
          </w:tcPr>
          <w:p w14:paraId="052FC347" w14:textId="77777777" w:rsidR="00B65BE0" w:rsidRDefault="000931B4">
            <w:r>
              <w:t>Childcare funding and swimming, SEND, financial advice and support, family hubs and children's centres to 19 and then 25 years later.</w:t>
            </w:r>
          </w:p>
        </w:tc>
        <w:tc>
          <w:tcPr>
            <w:tcW w:w="2257" w:type="dxa"/>
            <w:shd w:val="clear" w:color="auto" w:fill="C9DAF8"/>
            <w:tcMar>
              <w:top w:w="100" w:type="dxa"/>
              <w:left w:w="100" w:type="dxa"/>
              <w:bottom w:w="100" w:type="dxa"/>
              <w:right w:w="100" w:type="dxa"/>
            </w:tcMar>
          </w:tcPr>
          <w:p w14:paraId="1463261B" w14:textId="77777777" w:rsidR="00B65BE0" w:rsidRDefault="000931B4">
            <w:r>
              <w:t>Excellent service integration and functional eligibility advice.</w:t>
            </w:r>
          </w:p>
        </w:tc>
        <w:tc>
          <w:tcPr>
            <w:tcW w:w="2257" w:type="dxa"/>
            <w:shd w:val="clear" w:color="auto" w:fill="C9DAF8"/>
            <w:tcMar>
              <w:top w:w="100" w:type="dxa"/>
              <w:left w:w="100" w:type="dxa"/>
              <w:bottom w:w="100" w:type="dxa"/>
              <w:right w:w="100" w:type="dxa"/>
            </w:tcMar>
          </w:tcPr>
          <w:p w14:paraId="3AB98CD6" w14:textId="77777777" w:rsidR="00B65BE0" w:rsidRDefault="000931B4">
            <w:r>
              <w:t>Lots of information and anything navigation needs to be able to handle.</w:t>
            </w:r>
          </w:p>
        </w:tc>
      </w:tr>
      <w:tr w:rsidR="00B65BE0" w14:paraId="5E79F3A6" w14:textId="77777777">
        <w:trPr>
          <w:trHeight w:val="1429"/>
        </w:trPr>
        <w:tc>
          <w:tcPr>
            <w:tcW w:w="2257" w:type="dxa"/>
            <w:shd w:val="clear" w:color="auto" w:fill="FFF2CC"/>
            <w:tcMar>
              <w:top w:w="100" w:type="dxa"/>
              <w:left w:w="100" w:type="dxa"/>
              <w:bottom w:w="100" w:type="dxa"/>
              <w:right w:w="100" w:type="dxa"/>
            </w:tcMar>
          </w:tcPr>
          <w:p w14:paraId="2FA3E4D9" w14:textId="77777777" w:rsidR="00B65BE0" w:rsidRDefault="000931B4">
            <w:pPr>
              <w:widowControl w:val="0"/>
              <w:pBdr>
                <w:top w:val="nil"/>
                <w:left w:val="nil"/>
                <w:bottom w:val="nil"/>
                <w:right w:val="nil"/>
                <w:between w:val="nil"/>
              </w:pBdr>
              <w:spacing w:line="240" w:lineRule="auto"/>
              <w:jc w:val="left"/>
            </w:pPr>
            <w:r>
              <w:t xml:space="preserve">Southwark Council </w:t>
            </w:r>
          </w:p>
        </w:tc>
        <w:tc>
          <w:tcPr>
            <w:tcW w:w="2257" w:type="dxa"/>
            <w:shd w:val="clear" w:color="auto" w:fill="C9DAF8"/>
            <w:tcMar>
              <w:top w:w="100" w:type="dxa"/>
              <w:left w:w="100" w:type="dxa"/>
              <w:bottom w:w="100" w:type="dxa"/>
              <w:right w:w="100" w:type="dxa"/>
            </w:tcMar>
          </w:tcPr>
          <w:p w14:paraId="3D8F24E2" w14:textId="77777777" w:rsidR="00B65BE0" w:rsidRDefault="000931B4">
            <w:r>
              <w:t>Early Help services, safeguarding, youth support, housing guidance and behavioural support.</w:t>
            </w:r>
          </w:p>
        </w:tc>
        <w:tc>
          <w:tcPr>
            <w:tcW w:w="2257" w:type="dxa"/>
            <w:shd w:val="clear" w:color="auto" w:fill="C9DAF8"/>
            <w:tcMar>
              <w:top w:w="100" w:type="dxa"/>
              <w:left w:w="100" w:type="dxa"/>
              <w:bottom w:w="100" w:type="dxa"/>
              <w:right w:w="100" w:type="dxa"/>
            </w:tcMar>
          </w:tcPr>
          <w:p w14:paraId="3786D9F4" w14:textId="77777777" w:rsidR="00B65BE0" w:rsidRDefault="000931B4">
            <w:r>
              <w:t>Fully defined service descriptions and easy-to-find referral information.</w:t>
            </w:r>
          </w:p>
        </w:tc>
        <w:tc>
          <w:tcPr>
            <w:tcW w:w="2257" w:type="dxa"/>
            <w:shd w:val="clear" w:color="auto" w:fill="C9DAF8"/>
            <w:tcMar>
              <w:top w:w="100" w:type="dxa"/>
              <w:left w:w="100" w:type="dxa"/>
              <w:bottom w:w="100" w:type="dxa"/>
              <w:right w:w="100" w:type="dxa"/>
            </w:tcMar>
          </w:tcPr>
          <w:p w14:paraId="4B64360A" w14:textId="77777777" w:rsidR="00B65BE0" w:rsidRDefault="000931B4">
            <w:r>
              <w:t xml:space="preserve">Weak interactive elements and walls of text on the webpages. </w:t>
            </w:r>
          </w:p>
        </w:tc>
      </w:tr>
    </w:tbl>
    <w:p w14:paraId="0785153A" w14:textId="77777777" w:rsidR="00B65BE0" w:rsidRDefault="00B65BE0"/>
    <w:p w14:paraId="178C1775" w14:textId="77777777" w:rsidR="00B65BE0" w:rsidRDefault="000931B4">
      <w:pPr>
        <w:rPr>
          <w:b/>
          <w:bCs/>
        </w:rPr>
      </w:pPr>
      <w:r>
        <w:rPr>
          <w:b/>
          <w:bCs/>
        </w:rPr>
        <w:t>Evaluation of Leeds City Council Website</w:t>
      </w:r>
    </w:p>
    <w:p w14:paraId="746C9E9F" w14:textId="77777777" w:rsidR="00B65BE0" w:rsidRDefault="000931B4">
      <w:r>
        <w:t xml:space="preserve">The Leeds City Council website gives the following description of a service for Early Help: “A preventative intervention for children, young people and families delivered in a coordinated way before statutory services are needed” (Leeds.GOV.UK, 2022). Early Help support assessments, family hubs, parenting programmes, safeguarding guidance and signposting are structured and can be accessed in a few clicks from the website. According to Muir </w:t>
      </w:r>
      <w:r>
        <w:rPr>
          <w:i/>
          <w:iCs/>
        </w:rPr>
        <w:t>et al.,</w:t>
      </w:r>
      <w:r>
        <w:t xml:space="preserve"> (2024), there are separate webpages available for assistance regarding issues like attendance at school, emotional well-being, and domestic violence. The positives in this case include logical navigation, information about services provided, and the professionals’ help available. However, it becomes a limitation due to too much text, accessibility in various languages, and inconsistency of visual indicators on the related webpages. </w:t>
      </w:r>
    </w:p>
    <w:p w14:paraId="060E1FAB" w14:textId="77777777" w:rsidR="00B65BE0" w:rsidRDefault="000931B4">
      <w:pPr>
        <w:rPr>
          <w:b/>
          <w:bCs/>
        </w:rPr>
      </w:pPr>
      <w:r>
        <w:rPr>
          <w:b/>
          <w:bCs/>
        </w:rPr>
        <w:t>Evaluation of Tower Hamlets Council Website</w:t>
      </w:r>
    </w:p>
    <w:p w14:paraId="66E197CB" w14:textId="77777777" w:rsidR="00B65BE0" w:rsidRDefault="000931B4">
      <w:r>
        <w:t>The definition of Early Help given on the Tower Hamlets Council website states that "early help is a service aimed at helping the entire family from the birth of the child to the age of 19 years; while children who need more assistance will be helped until the age of 25 years." (</w:t>
      </w:r>
      <w:proofErr w:type="spellStart"/>
      <w:r>
        <w:t>Manikam</w:t>
      </w:r>
      <w:proofErr w:type="spellEnd"/>
      <w:r>
        <w:rPr>
          <w:i/>
          <w:iCs/>
        </w:rPr>
        <w:t xml:space="preserve"> et al.,</w:t>
      </w:r>
      <w:r>
        <w:t xml:space="preserve"> 2022). There are various services that can be contacted through the information available on the website, such as Family Hubs, Children's Centres, Safeguarding Services, and Online Referral Advice. For example, parents can get assistance regarding child development, special education needs and disabilities, parenting and financial services. Strengths of the website include integrated service provision, information on eligibility and referral advice. Weaknesses of the website include a lack of information and an unstructured layout.</w:t>
      </w:r>
    </w:p>
    <w:p w14:paraId="77893B2E" w14:textId="77777777" w:rsidR="00B65BE0" w:rsidRDefault="000931B4">
      <w:pPr>
        <w:rPr>
          <w:b/>
          <w:bCs/>
        </w:rPr>
      </w:pPr>
      <w:r>
        <w:rPr>
          <w:b/>
          <w:bCs/>
        </w:rPr>
        <w:t>Evaluation of the Southwark Council Website</w:t>
      </w:r>
    </w:p>
    <w:p w14:paraId="66B05E40" w14:textId="77777777" w:rsidR="00B65BE0" w:rsidRDefault="000931B4">
      <w:r>
        <w:t>The Early Help Service can be found on the Southwark Council website, where the major characteristic is that the service is child-focused, with prevention and development of resilience being key among the family members. This information has been obtained from Early Help Assessment, Early Help Services for Families, Safeguarding, Young People, and Specialist Interventions, thus offering an insight into the interventions (Southwark.GOV.UK, 2024). Parents may find help with behaviour issues, parents with school attendance, help with housing and how to help parents with domestic abuse issues through links on the web pages. Strengths include clear descriptions of services and the availability of referral information, and an effective integration of safeguarding. Weaknesses are a lack of ability to interact with students, there is less visual support, and there is much longer explanation text for users who are new to it.</w:t>
      </w:r>
    </w:p>
    <w:p w14:paraId="17854141" w14:textId="77777777" w:rsidR="00192F19" w:rsidRDefault="00192F19">
      <w:pPr>
        <w:rPr>
          <w:b/>
          <w:bCs/>
          <w:lang w:val="en-IN"/>
        </w:rPr>
      </w:pPr>
      <w:r>
        <w:rPr>
          <w:b/>
          <w:bCs/>
          <w:lang w:val="en-IN"/>
        </w:rPr>
        <w:br w:type="page"/>
      </w:r>
    </w:p>
    <w:p w14:paraId="39BBC605" w14:textId="11B3090C" w:rsidR="00192F19" w:rsidRPr="00192F19" w:rsidRDefault="00192F19" w:rsidP="00192F19">
      <w:pPr>
        <w:pStyle w:val="Heading1"/>
        <w:rPr>
          <w:lang w:val="en-IN"/>
        </w:rPr>
      </w:pPr>
      <w:bookmarkStart w:id="8" w:name="_Toc235287687"/>
      <w:r>
        <w:rPr>
          <w:lang w:val="en-IN"/>
        </w:rPr>
        <w:t xml:space="preserve">5) </w:t>
      </w:r>
      <w:r w:rsidRPr="00192F19">
        <w:rPr>
          <w:lang w:val="en-IN"/>
        </w:rPr>
        <w:t>Comparative analysis of the main strengths and weaknesses of how the local authority websites communicate the Early Help and other support services available to families.</w:t>
      </w:r>
      <w:bookmarkEnd w:id="8"/>
    </w:p>
    <w:tbl>
      <w:tblPr>
        <w:tblW w:w="9208" w:type="dxa"/>
        <w:tblCellMar>
          <w:top w:w="15" w:type="dxa"/>
          <w:left w:w="15" w:type="dxa"/>
          <w:bottom w:w="15" w:type="dxa"/>
          <w:right w:w="15" w:type="dxa"/>
        </w:tblCellMar>
        <w:tblLook w:val="04A0" w:firstRow="1" w:lastRow="0" w:firstColumn="1" w:lastColumn="0" w:noHBand="0" w:noVBand="1"/>
      </w:tblPr>
      <w:tblGrid>
        <w:gridCol w:w="1447"/>
        <w:gridCol w:w="2657"/>
        <w:gridCol w:w="2305"/>
        <w:gridCol w:w="2799"/>
      </w:tblGrid>
      <w:tr w:rsidR="003F43FA" w:rsidRPr="003F43FA" w14:paraId="6FEDF176" w14:textId="77777777" w:rsidTr="00AB3F88">
        <w:trPr>
          <w:trHeight w:val="74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6CC1A8" w14:textId="77777777" w:rsidR="003F43FA" w:rsidRPr="003F43FA" w:rsidRDefault="003F43FA" w:rsidP="003F43FA">
            <w:pPr>
              <w:rPr>
                <w:lang w:val="en-IN"/>
              </w:rPr>
            </w:pPr>
            <w:r w:rsidRPr="003F43FA">
              <w:rPr>
                <w:b/>
                <w:bCs/>
                <w:lang w:val="en-IN"/>
              </w:rPr>
              <w:t>Local authorities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4E1BED" w14:textId="77777777" w:rsidR="003F43FA" w:rsidRPr="003F43FA" w:rsidRDefault="003F43FA" w:rsidP="003F43FA">
            <w:pPr>
              <w:rPr>
                <w:lang w:val="en-IN"/>
              </w:rPr>
            </w:pPr>
            <w:r w:rsidRPr="003F43FA">
              <w:rPr>
                <w:b/>
                <w:bCs/>
                <w:lang w:val="en-IN"/>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24165" w14:textId="77777777" w:rsidR="003F43FA" w:rsidRPr="003F43FA" w:rsidRDefault="003F43FA" w:rsidP="003F43FA">
            <w:pPr>
              <w:rPr>
                <w:lang w:val="en-IN"/>
              </w:rPr>
            </w:pPr>
            <w:r w:rsidRPr="003F43FA">
              <w:rPr>
                <w:b/>
                <w:bCs/>
                <w:lang w:val="en-IN"/>
              </w:rPr>
              <w:t>Weaknesses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E3818D" w14:textId="77777777" w:rsidR="003F43FA" w:rsidRPr="003F43FA" w:rsidRDefault="003F43FA" w:rsidP="003F43FA">
            <w:pPr>
              <w:rPr>
                <w:lang w:val="en-IN"/>
              </w:rPr>
            </w:pPr>
            <w:r w:rsidRPr="003F43FA">
              <w:rPr>
                <w:b/>
                <w:bCs/>
                <w:lang w:val="en-IN"/>
              </w:rPr>
              <w:t>Communication process </w:t>
            </w:r>
          </w:p>
        </w:tc>
      </w:tr>
      <w:tr w:rsidR="003F43FA" w:rsidRPr="003F43FA" w14:paraId="2E38D0E0" w14:textId="77777777" w:rsidTr="00AB3F88">
        <w:trPr>
          <w:trHeight w:val="719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5523A5" w14:textId="77777777" w:rsidR="003F43FA" w:rsidRPr="003F43FA" w:rsidRDefault="003F43FA" w:rsidP="003F43FA">
            <w:pPr>
              <w:rPr>
                <w:lang w:val="en-IN"/>
              </w:rPr>
            </w:pPr>
            <w:r w:rsidRPr="003F43FA">
              <w:rPr>
                <w:b/>
                <w:bCs/>
                <w:lang w:val="en-IN"/>
              </w:rPr>
              <w:t>Leeds City Council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53A72" w14:textId="77777777" w:rsidR="003F43FA" w:rsidRPr="003F43FA" w:rsidRDefault="003F43FA" w:rsidP="003F43FA">
            <w:pPr>
              <w:rPr>
                <w:lang w:val="en-IN"/>
              </w:rPr>
            </w:pPr>
            <w:r w:rsidRPr="003F43FA">
              <w:rPr>
                <w:lang w:val="en-IN"/>
              </w:rPr>
              <w:t>The beneficial area of providing a clear explanation of the early health approach is found here, considering the process of universal and specialised work (Gov, 2024). </w:t>
            </w:r>
          </w:p>
          <w:p w14:paraId="09E00886" w14:textId="77777777" w:rsidR="003F43FA" w:rsidRPr="003F43FA" w:rsidRDefault="003F43FA" w:rsidP="003F43FA">
            <w:pPr>
              <w:rPr>
                <w:lang w:val="en-IN"/>
              </w:rPr>
            </w:pPr>
            <w:r w:rsidRPr="003F43FA">
              <w:rPr>
                <w:lang w:val="en-IN"/>
              </w:rPr>
              <w:t>The offering for professional guidance through a 1-minute guide of this council helps in the process of communication with the families, including a link to the family information service and different types of safeguarding resources.</w:t>
            </w:r>
          </w:p>
          <w:p w14:paraId="72B3BFBD" w14:textId="77777777" w:rsidR="003F43FA" w:rsidRPr="003F43FA" w:rsidRDefault="003F43FA" w:rsidP="003F43FA">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FA54D" w14:textId="77777777" w:rsidR="003F43FA" w:rsidRPr="003F43FA" w:rsidRDefault="003F43FA" w:rsidP="003F43FA">
            <w:pPr>
              <w:rPr>
                <w:lang w:val="en-IN"/>
              </w:rPr>
            </w:pPr>
            <w:r w:rsidRPr="003F43FA">
              <w:rPr>
                <w:lang w:val="en-IN"/>
              </w:rPr>
              <w:t xml:space="preserve"> The availability of written information became problematic for the families. </w:t>
            </w:r>
          </w:p>
          <w:p w14:paraId="5D056DB0" w14:textId="77777777" w:rsidR="003F43FA" w:rsidRPr="003F43FA" w:rsidRDefault="003F43FA" w:rsidP="003F43FA">
            <w:pPr>
              <w:rPr>
                <w:lang w:val="en-IN"/>
              </w:rPr>
            </w:pPr>
            <w:r w:rsidRPr="003F43FA">
              <w:rPr>
                <w:lang w:val="en-IN"/>
              </w:rPr>
              <w:t>There are also constraints of using simple language and step-by-step guidance for parents, which can be significantly effective for the clarification of the services (Gov, 2026). </w:t>
            </w:r>
          </w:p>
          <w:p w14:paraId="344DD660" w14:textId="77777777" w:rsidR="003F43FA" w:rsidRPr="003F43FA" w:rsidRDefault="003F43FA" w:rsidP="003F43FA">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25E7C2" w14:textId="77777777" w:rsidR="003F43FA" w:rsidRPr="003F43FA" w:rsidRDefault="003F43FA" w:rsidP="003F43FA">
            <w:pPr>
              <w:rPr>
                <w:lang w:val="en-IN"/>
              </w:rPr>
            </w:pPr>
            <w:r w:rsidRPr="003F43FA">
              <w:rPr>
                <w:lang w:val="en-IN"/>
              </w:rPr>
              <w:t xml:space="preserve">The proper level of guidance with clarified information becomes effective for the communication process, along with the understanding of partnership working and the thresholds. </w:t>
            </w:r>
          </w:p>
        </w:tc>
      </w:tr>
      <w:tr w:rsidR="003F43FA" w:rsidRPr="003F43FA" w14:paraId="2865281B" w14:textId="77777777" w:rsidTr="00AB3F88">
        <w:trPr>
          <w:trHeight w:val="30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1DB38" w14:textId="77777777" w:rsidR="003F43FA" w:rsidRPr="003F43FA" w:rsidRDefault="003F43FA" w:rsidP="003F43FA">
            <w:pPr>
              <w:rPr>
                <w:lang w:val="en-IN"/>
              </w:rPr>
            </w:pPr>
            <w:r w:rsidRPr="003F43FA">
              <w:rPr>
                <w:b/>
                <w:bCs/>
                <w:lang w:val="en-IN"/>
              </w:rPr>
              <w:t>Tower Hamlets Council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3D5E0" w14:textId="77777777" w:rsidR="003F43FA" w:rsidRPr="003F43FA" w:rsidRDefault="003F43FA" w:rsidP="003F43FA">
            <w:pPr>
              <w:rPr>
                <w:lang w:val="en-IN"/>
              </w:rPr>
            </w:pPr>
            <w:r w:rsidRPr="003F43FA">
              <w:rPr>
                <w:lang w:val="en-IN"/>
              </w:rPr>
              <w:t xml:space="preserve">The importance of this council is found in the highly dedicated area with early help pages that refer to the purpose of explaining early help, providing support to the families. </w:t>
            </w:r>
          </w:p>
          <w:p w14:paraId="4DA0C6BE" w14:textId="77777777" w:rsidR="003F43FA" w:rsidRPr="003F43FA" w:rsidRDefault="003F43FA" w:rsidP="003F43FA">
            <w:pPr>
              <w:rPr>
                <w:lang w:val="en-IN"/>
              </w:rPr>
            </w:pPr>
            <w:r w:rsidRPr="003F43FA">
              <w:rPr>
                <w:lang w:val="en-IN"/>
              </w:rPr>
              <w:t>It is evident from the study that a clear distinction between universal and targeted services and the promotion of family hubs and children's care also becomes effective in the process of easy service.</w:t>
            </w:r>
          </w:p>
          <w:p w14:paraId="2BF55518" w14:textId="77777777" w:rsidR="003F43FA" w:rsidRPr="003F43FA" w:rsidRDefault="003F43FA" w:rsidP="003F43FA">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E4D09" w14:textId="77777777" w:rsidR="003F43FA" w:rsidRPr="003F43FA" w:rsidRDefault="003F43FA" w:rsidP="003F43FA">
            <w:pPr>
              <w:rPr>
                <w:lang w:val="en-IN"/>
              </w:rPr>
            </w:pPr>
            <w:r w:rsidRPr="003F43FA">
              <w:rPr>
                <w:lang w:val="en-IN"/>
              </w:rPr>
              <w:t>Detailed information often becomes overwhelming for the families. </w:t>
            </w:r>
          </w:p>
          <w:p w14:paraId="6E6E51DF" w14:textId="77777777" w:rsidR="003F43FA" w:rsidRPr="003F43FA" w:rsidRDefault="003F43FA" w:rsidP="003F43FA">
            <w:pPr>
              <w:rPr>
                <w:lang w:val="en-IN"/>
              </w:rPr>
            </w:pPr>
            <w:r w:rsidRPr="003F43FA">
              <w:rPr>
                <w:lang w:val="en-IN"/>
              </w:rPr>
              <w:t>Referral information is primarily associated with professionals who sometimes confuse the parents (Gov, 2026). </w:t>
            </w:r>
          </w:p>
          <w:p w14:paraId="1947BEBE" w14:textId="77777777" w:rsidR="003F43FA" w:rsidRPr="003F43FA" w:rsidRDefault="003F43FA" w:rsidP="003F43FA">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D33B2" w14:textId="77777777" w:rsidR="003F43FA" w:rsidRPr="003F43FA" w:rsidRDefault="003F43FA" w:rsidP="003F43FA">
            <w:pPr>
              <w:rPr>
                <w:lang w:val="en-IN"/>
              </w:rPr>
            </w:pPr>
            <w:r w:rsidRPr="003F43FA">
              <w:rPr>
                <w:lang w:val="en-IN"/>
              </w:rPr>
              <w:t>The beneficial area of accessible language, provision of different types of easy-accessible downloading documents, and communication for safeguarding guidance become significantly effective for the communication process.</w:t>
            </w:r>
          </w:p>
        </w:tc>
      </w:tr>
      <w:tr w:rsidR="003F43FA" w:rsidRPr="003F43FA" w14:paraId="48C81EA1" w14:textId="77777777" w:rsidTr="00AB3F88">
        <w:trPr>
          <w:trHeight w:val="568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C051C6" w14:textId="77777777" w:rsidR="003F43FA" w:rsidRPr="003F43FA" w:rsidRDefault="003F43FA" w:rsidP="003F43FA">
            <w:pPr>
              <w:rPr>
                <w:lang w:val="en-IN"/>
              </w:rPr>
            </w:pPr>
            <w:r w:rsidRPr="003F43FA">
              <w:rPr>
                <w:b/>
                <w:bCs/>
                <w:lang w:val="en-IN"/>
              </w:rPr>
              <w:t>Southwark Council</w:t>
            </w:r>
          </w:p>
          <w:p w14:paraId="2C0DFB16" w14:textId="77777777" w:rsidR="003F43FA" w:rsidRPr="003F43FA" w:rsidRDefault="003F43FA" w:rsidP="003F43FA">
            <w:pPr>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652E2" w14:textId="77777777" w:rsidR="003F43FA" w:rsidRPr="003F43FA" w:rsidRDefault="003F43FA" w:rsidP="003F43FA">
            <w:pPr>
              <w:rPr>
                <w:lang w:val="en-IN"/>
              </w:rPr>
            </w:pPr>
            <w:r w:rsidRPr="003F43FA">
              <w:rPr>
                <w:lang w:val="en-IN"/>
              </w:rPr>
              <w:t>Proper organisation and flow of logical information regarding universal early help become effective for the families who are seeking this service. </w:t>
            </w:r>
          </w:p>
          <w:p w14:paraId="0386846B" w14:textId="77777777" w:rsidR="003F43FA" w:rsidRPr="003F43FA" w:rsidRDefault="003F43FA" w:rsidP="003F43FA">
            <w:pPr>
              <w:rPr>
                <w:lang w:val="en-IN"/>
              </w:rPr>
            </w:pPr>
            <w:r w:rsidRPr="003F43FA">
              <w:rPr>
                <w:lang w:val="en-IN"/>
              </w:rPr>
              <w:t>The comprehensive list of available services, along with parenting support, relates to the purpose of having separate pages explaining the referral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2A7F4" w14:textId="77777777" w:rsidR="003F43FA" w:rsidRPr="003F43FA" w:rsidRDefault="003F43FA" w:rsidP="003F43FA">
            <w:pPr>
              <w:rPr>
                <w:lang w:val="en-IN"/>
              </w:rPr>
            </w:pPr>
            <w:r w:rsidRPr="003F43FA">
              <w:rPr>
                <w:lang w:val="en-IN"/>
              </w:rPr>
              <w:t xml:space="preserve">Over-spread information in multiple pages becomes time-consuming for the families. </w:t>
            </w:r>
          </w:p>
          <w:p w14:paraId="4742267D" w14:textId="77777777" w:rsidR="003F43FA" w:rsidRPr="003F43FA" w:rsidRDefault="003F43FA" w:rsidP="003F43FA">
            <w:pPr>
              <w:rPr>
                <w:lang w:val="en-IN"/>
              </w:rPr>
            </w:pPr>
            <w:r w:rsidRPr="003F43FA">
              <w:rPr>
                <w:lang w:val="en-IN"/>
              </w:rPr>
              <w:t>The provision of service information is primarily service-oriented, and families are unable to understand the information due to a lack of quick access features.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B63FF" w14:textId="77777777" w:rsidR="003F43FA" w:rsidRPr="003F43FA" w:rsidRDefault="003F43FA" w:rsidP="003F43FA">
            <w:pPr>
              <w:rPr>
                <w:lang w:val="en-IN"/>
              </w:rPr>
            </w:pPr>
            <w:r w:rsidRPr="003F43FA">
              <w:rPr>
                <w:lang w:val="en-IN"/>
              </w:rPr>
              <w:t xml:space="preserve">The process of communication deals with proper parenting support and other maintenance that becomes helpful for effective communication with support services (Hunter </w:t>
            </w:r>
            <w:r w:rsidRPr="003F43FA">
              <w:rPr>
                <w:i/>
                <w:lang w:val="en-IN"/>
              </w:rPr>
              <w:t xml:space="preserve">et al., </w:t>
            </w:r>
            <w:r w:rsidRPr="003F43FA">
              <w:rPr>
                <w:lang w:val="en-IN"/>
              </w:rPr>
              <w:t>2022).</w:t>
            </w:r>
          </w:p>
        </w:tc>
      </w:tr>
    </w:tbl>
    <w:p w14:paraId="73A88362" w14:textId="77777777" w:rsidR="00192F19" w:rsidRPr="00192F19" w:rsidRDefault="00192F19" w:rsidP="00192F19">
      <w:pPr>
        <w:rPr>
          <w:lang w:val="en-IN"/>
        </w:rPr>
      </w:pPr>
    </w:p>
    <w:p w14:paraId="19535817" w14:textId="5E00295A" w:rsidR="00192F19" w:rsidRDefault="00192F19" w:rsidP="00192F19">
      <w:pPr>
        <w:jc w:val="center"/>
        <w:rPr>
          <w:b/>
          <w:lang w:val="en-IN"/>
        </w:rPr>
      </w:pPr>
      <w:r w:rsidRPr="00192F19">
        <w:rPr>
          <w:b/>
          <w:lang w:val="en-IN"/>
        </w:rPr>
        <w:t>Source: Author</w:t>
      </w:r>
    </w:p>
    <w:p w14:paraId="37D3B060" w14:textId="77777777" w:rsidR="003F43FA" w:rsidRPr="003F43FA" w:rsidRDefault="003F43FA" w:rsidP="003F43FA">
      <w:pPr>
        <w:rPr>
          <w:lang w:val="en-IN"/>
        </w:rPr>
      </w:pPr>
      <w:r w:rsidRPr="003F43FA">
        <w:rPr>
          <w:lang w:val="en-IN"/>
        </w:rPr>
        <w:t xml:space="preserve">The critical evaluation of the comparative study between the local authorities clearly recognises the importance of early help, along with the explanation of the support that can be offered for the escalation of family difficulties. The benefits and limitations are associated with the proper understanding of accessing services, where the process of information from the local council will be effective in the presentation of a family-centred approach. Among the above three, Tower Hamlet Council is the most suitable for its approach and execution of clarified language, promoting a clear route for accessing services and referrals (Allen </w:t>
      </w:r>
      <w:r w:rsidRPr="003F43FA">
        <w:rPr>
          <w:i/>
          <w:lang w:val="en-IN"/>
        </w:rPr>
        <w:t xml:space="preserve">et al., </w:t>
      </w:r>
      <w:r w:rsidRPr="003F43FA">
        <w:rPr>
          <w:lang w:val="en-IN"/>
        </w:rPr>
        <w:t>2023).</w:t>
      </w:r>
    </w:p>
    <w:p w14:paraId="473F475F" w14:textId="77777777" w:rsidR="003F43FA" w:rsidRPr="00192F19" w:rsidRDefault="003F43FA" w:rsidP="00192F19">
      <w:pPr>
        <w:jc w:val="center"/>
        <w:rPr>
          <w:b/>
          <w:lang w:val="en-IN"/>
        </w:rPr>
      </w:pPr>
    </w:p>
    <w:p w14:paraId="2CF2414A" w14:textId="37C04FB5" w:rsidR="00192F19" w:rsidRPr="00192F19" w:rsidRDefault="00192F19" w:rsidP="00192F19">
      <w:pPr>
        <w:pStyle w:val="Heading1"/>
        <w:rPr>
          <w:lang w:val="en-IN"/>
        </w:rPr>
      </w:pPr>
      <w:bookmarkStart w:id="9" w:name="_Toc235287688"/>
      <w:r>
        <w:rPr>
          <w:lang w:val="en-IN"/>
        </w:rPr>
        <w:t xml:space="preserve">6) </w:t>
      </w:r>
      <w:r w:rsidRPr="00192F19">
        <w:rPr>
          <w:lang w:val="en-IN"/>
        </w:rPr>
        <w:t>Conclusion with recommendations for areas for improvement</w:t>
      </w:r>
      <w:bookmarkEnd w:id="9"/>
    </w:p>
    <w:p w14:paraId="5236DB84" w14:textId="77777777" w:rsidR="003F43FA" w:rsidRPr="003F43FA" w:rsidRDefault="003F43FA" w:rsidP="003F43FA">
      <w:pPr>
        <w:rPr>
          <w:lang w:val="en-IN"/>
        </w:rPr>
      </w:pPr>
      <w:r w:rsidRPr="003F43FA">
        <w:rPr>
          <w:lang w:val="en-IN"/>
        </w:rPr>
        <w:t xml:space="preserve">It is concluded from the study that the early health system is effective for the UK families, along with the support of the local authorities. The proper combination of clear explanations, accessibility of languages and different types of information is related to the successful process of combining clear explanations with practical guidance and a direct link to relevant services. </w:t>
      </w:r>
    </w:p>
    <w:p w14:paraId="1D903B6F" w14:textId="77777777" w:rsidR="003F43FA" w:rsidRPr="003F43FA" w:rsidRDefault="003F43FA" w:rsidP="003F43FA">
      <w:pPr>
        <w:rPr>
          <w:lang w:val="en-IN"/>
        </w:rPr>
      </w:pPr>
      <w:r w:rsidRPr="003F43FA">
        <w:rPr>
          <w:b/>
          <w:bCs/>
          <w:lang w:val="en-IN"/>
        </w:rPr>
        <w:t>Recommendations </w:t>
      </w:r>
    </w:p>
    <w:p w14:paraId="4144DB0E" w14:textId="77777777" w:rsidR="003F43FA" w:rsidRPr="003F43FA" w:rsidRDefault="003F43FA" w:rsidP="003F43FA">
      <w:pPr>
        <w:numPr>
          <w:ilvl w:val="0"/>
          <w:numId w:val="1"/>
        </w:numPr>
        <w:rPr>
          <w:lang w:val="en-IN"/>
        </w:rPr>
      </w:pPr>
      <w:r w:rsidRPr="003F43FA">
        <w:rPr>
          <w:lang w:val="en-IN"/>
        </w:rPr>
        <w:t>It is recommended that the City Council develop a dedicated family-focused dashboard using simple language to include the purpose of early help (</w:t>
      </w:r>
      <w:r w:rsidRPr="003F43FA">
        <w:rPr>
          <w:bCs/>
          <w:lang w:val="en-IN"/>
        </w:rPr>
        <w:t xml:space="preserve">Walters </w:t>
      </w:r>
      <w:r w:rsidRPr="003F43FA">
        <w:rPr>
          <w:bCs/>
          <w:i/>
          <w:lang w:val="en-IN"/>
        </w:rPr>
        <w:t xml:space="preserve">et al., </w:t>
      </w:r>
      <w:r w:rsidRPr="003F43FA">
        <w:rPr>
          <w:bCs/>
          <w:lang w:val="en-IN"/>
        </w:rPr>
        <w:t>2022).</w:t>
      </w:r>
    </w:p>
    <w:p w14:paraId="099477BD" w14:textId="77777777" w:rsidR="003F43FA" w:rsidRPr="003F43FA" w:rsidRDefault="003F43FA" w:rsidP="003F43FA">
      <w:pPr>
        <w:numPr>
          <w:ilvl w:val="0"/>
          <w:numId w:val="1"/>
        </w:numPr>
        <w:rPr>
          <w:lang w:val="en-IN"/>
        </w:rPr>
      </w:pPr>
      <w:r w:rsidRPr="003F43FA">
        <w:rPr>
          <w:lang w:val="en-IN"/>
        </w:rPr>
        <w:t>Tower Hamlet council needs to distinguish information for professionals and patients in different subdivisions to avoid the possibility of confusion. </w:t>
      </w:r>
    </w:p>
    <w:p w14:paraId="1FC2445C" w14:textId="77777777" w:rsidR="003F43FA" w:rsidRPr="003F43FA" w:rsidRDefault="003F43FA" w:rsidP="003F43FA">
      <w:pPr>
        <w:numPr>
          <w:ilvl w:val="0"/>
          <w:numId w:val="1"/>
        </w:numPr>
        <w:rPr>
          <w:lang w:val="en-IN"/>
        </w:rPr>
      </w:pPr>
      <w:r w:rsidRPr="003F43FA">
        <w:rPr>
          <w:lang w:val="en-IN"/>
        </w:rPr>
        <w:t xml:space="preserve">In the matter of Southwark council, different types of quick response options and links will be helpful for reducing the navigation in all the pages (Allen </w:t>
      </w:r>
      <w:r w:rsidRPr="003F43FA">
        <w:rPr>
          <w:i/>
          <w:lang w:val="en-IN"/>
        </w:rPr>
        <w:t xml:space="preserve">et al., </w:t>
      </w:r>
      <w:r w:rsidRPr="003F43FA">
        <w:rPr>
          <w:lang w:val="en-IN"/>
        </w:rPr>
        <w:t>2023). </w:t>
      </w:r>
    </w:p>
    <w:p w14:paraId="43C82662" w14:textId="77777777" w:rsidR="00B65BE0" w:rsidRDefault="00B65BE0"/>
    <w:p w14:paraId="7075550A" w14:textId="77777777" w:rsidR="00B65BE0" w:rsidRDefault="000931B4">
      <w:r>
        <w:br w:type="page"/>
      </w:r>
    </w:p>
    <w:p w14:paraId="604C5FDC" w14:textId="3A787721" w:rsidR="00B65BE0" w:rsidRDefault="000931B4">
      <w:pPr>
        <w:pStyle w:val="Heading1"/>
      </w:pPr>
      <w:bookmarkStart w:id="10" w:name="_qp920dyinj6r" w:colFirst="0" w:colLast="0"/>
      <w:bookmarkStart w:id="11" w:name="_Toc235287689"/>
      <w:bookmarkEnd w:id="10"/>
      <w:r>
        <w:t>Reference List</w:t>
      </w:r>
      <w:bookmarkEnd w:id="11"/>
    </w:p>
    <w:p w14:paraId="218BBF99" w14:textId="77777777" w:rsidR="00B55709" w:rsidRPr="00B55709" w:rsidRDefault="00B55709" w:rsidP="00B55709">
      <w:pPr>
        <w:spacing w:before="240" w:after="120"/>
        <w:rPr>
          <w:b/>
          <w:bCs/>
          <w:lang w:val="en-IN"/>
        </w:rPr>
      </w:pPr>
      <w:r w:rsidRPr="00B55709">
        <w:rPr>
          <w:lang w:val="en-IN"/>
        </w:rPr>
        <w:t xml:space="preserve">Allen, K.L., Mountford, V.A., Elwyn, R., Flynn, M., </w:t>
      </w:r>
      <w:proofErr w:type="spellStart"/>
      <w:r w:rsidRPr="00B55709">
        <w:rPr>
          <w:lang w:val="en-IN"/>
        </w:rPr>
        <w:t>Fursland</w:t>
      </w:r>
      <w:proofErr w:type="spellEnd"/>
      <w:r w:rsidRPr="00B55709">
        <w:rPr>
          <w:lang w:val="en-IN"/>
        </w:rPr>
        <w:t>, A., Obeid, N., Partida, G., Richards, K., Schmidt, U., Serpell, L. and Silverstein, S. (2023) ‘A framework for conceptualising early intervention for eating disorders.’ </w:t>
      </w:r>
      <w:r w:rsidRPr="00B55709">
        <w:rPr>
          <w:i/>
          <w:iCs/>
          <w:lang w:val="en-IN"/>
        </w:rPr>
        <w:t>European Eating Disorders Review</w:t>
      </w:r>
      <w:r w:rsidRPr="00B55709">
        <w:rPr>
          <w:lang w:val="en-IN"/>
        </w:rPr>
        <w:t>, </w:t>
      </w:r>
      <w:r w:rsidRPr="00B55709">
        <w:rPr>
          <w:i/>
          <w:iCs/>
          <w:lang w:val="en-IN"/>
        </w:rPr>
        <w:t>31</w:t>
      </w:r>
      <w:r w:rsidRPr="00B55709">
        <w:rPr>
          <w:lang w:val="en-IN"/>
        </w:rPr>
        <w:t>(2), pp.320-334. Available at:  </w:t>
      </w:r>
      <w:hyperlink r:id="rId10" w:history="1">
        <w:r w:rsidRPr="00B55709">
          <w:rPr>
            <w:rStyle w:val="Hyperlink"/>
            <w:b/>
            <w:bCs/>
            <w:lang w:val="en-IN"/>
          </w:rPr>
          <w:t>https://doi.org/10.1002/erv.2959</w:t>
        </w:r>
      </w:hyperlink>
    </w:p>
    <w:p w14:paraId="09420C4E" w14:textId="77777777" w:rsidR="00B55709" w:rsidRDefault="00B55709" w:rsidP="00A56F4C">
      <w:pPr>
        <w:spacing w:before="240" w:after="120"/>
      </w:pPr>
      <w:r>
        <w:t xml:space="preserve">Appleton, J.V., Bekaert, S., Hucker, J., </w:t>
      </w:r>
      <w:proofErr w:type="spellStart"/>
      <w:r>
        <w:t>Zlatkute</w:t>
      </w:r>
      <w:proofErr w:type="spellEnd"/>
      <w:r>
        <w:t xml:space="preserve">, G., Paavilainen, E., Schecke, H., </w:t>
      </w:r>
      <w:proofErr w:type="spellStart"/>
      <w:r>
        <w:t>Specka</w:t>
      </w:r>
      <w:proofErr w:type="spellEnd"/>
      <w:r>
        <w:t xml:space="preserve">, M., Scherbaum, N., Jouet, E., </w:t>
      </w:r>
      <w:proofErr w:type="spellStart"/>
      <w:r>
        <w:t>Zabłocka-Żytka</w:t>
      </w:r>
      <w:proofErr w:type="spellEnd"/>
      <w:r>
        <w:t xml:space="preserve">, L., Woźniak-Prus, M., </w:t>
      </w:r>
      <w:proofErr w:type="spellStart"/>
      <w:r>
        <w:t>Czabała</w:t>
      </w:r>
      <w:proofErr w:type="spellEnd"/>
      <w:r>
        <w:t xml:space="preserve">, J.Cz., </w:t>
      </w:r>
      <w:proofErr w:type="spellStart"/>
      <w:r>
        <w:t>Kluczyńska</w:t>
      </w:r>
      <w:proofErr w:type="spellEnd"/>
      <w:r>
        <w:t xml:space="preserve">, S., Bachi, B., Bartoli, F., Carrà, G., Cioni, R.M., </w:t>
      </w:r>
      <w:proofErr w:type="spellStart"/>
      <w:r>
        <w:t>Crocamo</w:t>
      </w:r>
      <w:proofErr w:type="spellEnd"/>
      <w:r>
        <w:t xml:space="preserve">, C., Rantanen, H.E., </w:t>
      </w:r>
      <w:proofErr w:type="spellStart"/>
      <w:r>
        <w:t>Kaunonen</w:t>
      </w:r>
      <w:proofErr w:type="spellEnd"/>
      <w:r>
        <w:t xml:space="preserve">, M., Nieminen, I., Roe, L., Keenan, K., Viganò, G. and Baldacchino, A. (2022) “A Pan-European review of good practices in Early intervention safeguarding practice with children, young people and families: Evidence gathering to inform a multi-disciplinary training programme (the erica project) in preventing child abuse and neglect in seven </w:t>
      </w:r>
      <w:proofErr w:type="spellStart"/>
      <w:r>
        <w:t>european</w:t>
      </w:r>
      <w:proofErr w:type="spellEnd"/>
      <w:r>
        <w:t xml:space="preserve"> countries,” </w:t>
      </w:r>
      <w:r>
        <w:rPr>
          <w:i/>
          <w:iCs/>
        </w:rPr>
        <w:t>International journal on child maltreatment: Research, policy and practice</w:t>
      </w:r>
      <w:r>
        <w:t>, 6(1), pp. 119–130. Available at: https://doi.org/10.1007/s42448-022-00132-x.</w:t>
      </w:r>
    </w:p>
    <w:p w14:paraId="45DEB6E5" w14:textId="77777777" w:rsidR="00B55709" w:rsidRDefault="00B55709" w:rsidP="00A56F4C">
      <w:pPr>
        <w:spacing w:before="240" w:after="120"/>
      </w:pPr>
      <w:r>
        <w:t xml:space="preserve">Ball, E., McManus, M., McCoy, E. and Quigg, Z. (2024) “Implementation of multi-agency safeguarding arrangements regarding exploitation of young people: Aligning policy and practice using normalisation processing theory,” </w:t>
      </w:r>
      <w:r>
        <w:rPr>
          <w:i/>
          <w:iCs/>
        </w:rPr>
        <w:t>Journal of applied youth studies</w:t>
      </w:r>
      <w:r>
        <w:t>, 7. Available at: https://doi.org/10.1007/s43151-024-00133-2.</w:t>
      </w:r>
    </w:p>
    <w:p w14:paraId="0C1B4FA1" w14:textId="77777777" w:rsidR="00B55709" w:rsidRDefault="00B55709" w:rsidP="00A56F4C">
      <w:pPr>
        <w:spacing w:before="240" w:after="120"/>
      </w:pPr>
      <w:r>
        <w:t xml:space="preserve">Buckley, L., Harford, K., Gibson, L., </w:t>
      </w:r>
      <w:proofErr w:type="spellStart"/>
      <w:r>
        <w:t>Cornally</w:t>
      </w:r>
      <w:proofErr w:type="spellEnd"/>
      <w:r>
        <w:t xml:space="preserve">, N. and Curtin, M. (2023) “Parent perspectives of engaging with a community paediatric clinic with linked child development supports in a disadvantaged area of Ireland,” </w:t>
      </w:r>
      <w:r>
        <w:rPr>
          <w:i/>
          <w:iCs/>
        </w:rPr>
        <w:t>Journal of child health care</w:t>
      </w:r>
      <w:r>
        <w:t xml:space="preserve"> [Preprint]. Available at: https://doi.org/10.1177/13674935231210947.</w:t>
      </w:r>
    </w:p>
    <w:p w14:paraId="0ECA7E33" w14:textId="77777777" w:rsidR="00B55709" w:rsidRDefault="00B55709" w:rsidP="00A56F4C">
      <w:pPr>
        <w:spacing w:before="240" w:after="120"/>
      </w:pPr>
      <w:r>
        <w:t xml:space="preserve">Davies, A. (2025) “Developing a framework for measuring success and impact of multi-agency working on child criminal exploitation cases.,” </w:t>
      </w:r>
      <w:r>
        <w:rPr>
          <w:i/>
          <w:iCs/>
        </w:rPr>
        <w:t>Glos.ac.uk</w:t>
      </w:r>
      <w:r>
        <w:t xml:space="preserve"> [Preprint]. Available at: https://doi.org/https://eprints.glos.ac.uk/15687/1/15687%20Davies%2C%20A%20%282025%29%20Developinga%20framework%20for%20measuring%20success%20and%20impact%20of%20multi-agency%20working%20on%20child.pdf.</w:t>
      </w:r>
    </w:p>
    <w:p w14:paraId="09583289" w14:textId="77777777" w:rsidR="00B55709" w:rsidRDefault="00B55709" w:rsidP="00A56F4C">
      <w:pPr>
        <w:spacing w:before="240" w:after="120"/>
      </w:pPr>
      <w:r>
        <w:t xml:space="preserve">Dixon, S., Kendall, B., Driscoll, J. and Pope, C. (2022) “Supporting the ‘multi’ in multi-agency working: Learning with and from each other could enable multi-agency safeguarding,” </w:t>
      </w:r>
      <w:r>
        <w:rPr>
          <w:i/>
          <w:iCs/>
        </w:rPr>
        <w:t>British journal of General practice</w:t>
      </w:r>
      <w:r>
        <w:t>, 72(722), pp. 438–439. Available at: https://doi.org/10.3399/bjgp22x720617.</w:t>
      </w:r>
    </w:p>
    <w:sdt>
      <w:sdtPr>
        <w:rPr>
          <w:lang w:val="en-IN"/>
        </w:rPr>
        <w:id w:val="1852603109"/>
        <w:docPartObj>
          <w:docPartGallery w:val="Bibliographies"/>
          <w:docPartUnique/>
        </w:docPartObj>
      </w:sdtPr>
      <w:sdtEndPr/>
      <w:sdtContent>
        <w:p w14:paraId="17977A9A" w14:textId="77777777" w:rsidR="00B55709" w:rsidRPr="00B55709" w:rsidRDefault="00B55709" w:rsidP="00B55709">
          <w:pPr>
            <w:spacing w:before="240" w:after="120"/>
            <w:rPr>
              <w:lang w:val="en-IN"/>
            </w:rPr>
          </w:pPr>
          <w:r w:rsidRPr="00B55709">
            <w:rPr>
              <w:lang w:val="en-IN"/>
            </w:rPr>
            <w:t xml:space="preserve">Gov (2024) </w:t>
          </w:r>
          <w:r w:rsidRPr="00B55709">
            <w:rPr>
              <w:i/>
              <w:iCs/>
              <w:lang w:val="en-IN"/>
            </w:rPr>
            <w:t xml:space="preserve">Early Help System Guide. </w:t>
          </w:r>
          <w:r w:rsidRPr="00B55709">
            <w:rPr>
              <w:lang w:val="en-IN"/>
            </w:rPr>
            <w:t xml:space="preserve">[Online] </w:t>
          </w:r>
          <w:r w:rsidRPr="00B55709">
            <w:rPr>
              <w:lang w:val="en-IN"/>
            </w:rPr>
            <w:br/>
            <w:t xml:space="preserve">Available at: </w:t>
          </w:r>
          <w:hyperlink r:id="rId11" w:history="1">
            <w:r w:rsidRPr="00B55709">
              <w:rPr>
                <w:rStyle w:val="Hyperlink"/>
                <w:lang w:val="en"/>
              </w:rPr>
              <w:t>https://assets.publishing.service.gov.uk/media/628de13be90e071f5f7e1bd2/Early_Help_System_Guide.pdf</w:t>
            </w:r>
          </w:hyperlink>
          <w:r w:rsidRPr="00B55709">
            <w:rPr>
              <w:lang w:val="en-IN"/>
            </w:rPr>
            <w:t xml:space="preserve"> [Accessed 18 07 2026].</w:t>
          </w:r>
        </w:p>
        <w:p w14:paraId="29472EB4" w14:textId="77777777" w:rsidR="00B55709" w:rsidRPr="00B55709" w:rsidRDefault="00B55709" w:rsidP="00B55709">
          <w:pPr>
            <w:spacing w:before="240" w:after="120"/>
            <w:rPr>
              <w:lang w:val="en-IN"/>
            </w:rPr>
          </w:pPr>
          <w:r w:rsidRPr="00B55709">
            <w:rPr>
              <w:lang w:val="en-IN"/>
            </w:rPr>
            <w:t xml:space="preserve">Gov (2026) </w:t>
          </w:r>
          <w:r w:rsidRPr="00B55709">
            <w:rPr>
              <w:i/>
              <w:iCs/>
              <w:lang w:val="en-IN"/>
            </w:rPr>
            <w:t xml:space="preserve">Working Together to Safeguard Children 2026. </w:t>
          </w:r>
          <w:r w:rsidRPr="00B55709">
            <w:rPr>
              <w:lang w:val="en-IN"/>
            </w:rPr>
            <w:t xml:space="preserve">[Online] </w:t>
          </w:r>
          <w:r w:rsidRPr="00B55709">
            <w:rPr>
              <w:lang w:val="en-IN"/>
            </w:rPr>
            <w:br/>
            <w:t xml:space="preserve">Available at: </w:t>
          </w:r>
          <w:hyperlink r:id="rId12" w:history="1">
            <w:r w:rsidRPr="00B55709">
              <w:rPr>
                <w:rStyle w:val="Hyperlink"/>
                <w:lang w:val="en"/>
              </w:rPr>
              <w:t>https://assets.publishing.service.gov.uk/media/69fb1c28d0e316a40f269a5b/Working_together_to_safeguard_children_2026_a_guide_to_multi_agency_working.pdf</w:t>
            </w:r>
          </w:hyperlink>
          <w:r w:rsidRPr="00B55709">
            <w:rPr>
              <w:lang w:val="en-IN"/>
            </w:rPr>
            <w:t xml:space="preserve"> [Accessed 18 07 2026].</w:t>
          </w:r>
        </w:p>
        <w:p w14:paraId="2AD7712E" w14:textId="77777777" w:rsidR="00B55709" w:rsidRPr="00B55709" w:rsidRDefault="00B55709" w:rsidP="00B55709">
          <w:pPr>
            <w:spacing w:before="240" w:after="120"/>
            <w:rPr>
              <w:lang w:val="en-IN"/>
            </w:rPr>
          </w:pPr>
          <w:r w:rsidRPr="00B55709">
            <w:rPr>
              <w:lang w:val="en-IN"/>
            </w:rPr>
            <w:t xml:space="preserve">Hunter, D.J., </w:t>
          </w:r>
          <w:proofErr w:type="spellStart"/>
          <w:r w:rsidRPr="00B55709">
            <w:rPr>
              <w:lang w:val="en-IN"/>
            </w:rPr>
            <w:t>Littlejohns</w:t>
          </w:r>
          <w:proofErr w:type="spellEnd"/>
          <w:r w:rsidRPr="00B55709">
            <w:rPr>
              <w:lang w:val="en-IN"/>
            </w:rPr>
            <w:t>, P. and Weale, A. (2022) ‘Reforming the public health system in England.’ </w:t>
          </w:r>
          <w:r w:rsidRPr="00B55709">
            <w:rPr>
              <w:i/>
              <w:iCs/>
              <w:lang w:val="en-IN"/>
            </w:rPr>
            <w:t>The Lancet Public Health</w:t>
          </w:r>
          <w:r w:rsidRPr="00B55709">
            <w:rPr>
              <w:lang w:val="en-IN"/>
            </w:rPr>
            <w:t>, </w:t>
          </w:r>
          <w:r w:rsidRPr="00B55709">
            <w:rPr>
              <w:i/>
              <w:iCs/>
              <w:lang w:val="en-IN"/>
            </w:rPr>
            <w:t>7</w:t>
          </w:r>
          <w:r w:rsidRPr="00B55709">
            <w:rPr>
              <w:lang w:val="en-IN"/>
            </w:rPr>
            <w:t>(9), pp.e797-e800.</w:t>
          </w:r>
          <w:r w:rsidRPr="00B55709">
            <w:rPr>
              <w:lang w:val="en"/>
            </w:rPr>
            <w:br/>
          </w:r>
          <w:r w:rsidRPr="00B55709">
            <w:rPr>
              <w:lang w:val="en-IN"/>
            </w:rPr>
            <w:t xml:space="preserve">Available at: </w:t>
          </w:r>
          <w:hyperlink r:id="rId13" w:history="1">
            <w:r w:rsidRPr="00B55709">
              <w:rPr>
                <w:rStyle w:val="Hyperlink"/>
                <w:lang w:val="en-IN"/>
              </w:rPr>
              <w:t>https://www.thelancet.com/journals/lanpub/article/PIIS2468-2667(22)00199-2/fulltext</w:t>
            </w:r>
          </w:hyperlink>
          <w:r w:rsidRPr="00B55709">
            <w:rPr>
              <w:lang w:val="en-IN"/>
            </w:rPr>
            <w:t xml:space="preserve"> [Accessed on: 18.07.2026.]</w:t>
          </w:r>
        </w:p>
        <w:p w14:paraId="261DB79F" w14:textId="77777777" w:rsidR="00B55709" w:rsidRDefault="00B55709" w:rsidP="00A56F4C">
          <w:pPr>
            <w:spacing w:before="240" w:after="120"/>
          </w:pPr>
          <w:r>
            <w:t xml:space="preserve">Leeds.GOV.UK (2022) </w:t>
          </w:r>
          <w:r>
            <w:rPr>
              <w:i/>
              <w:iCs/>
            </w:rPr>
            <w:t>One minute guide: Early help</w:t>
          </w:r>
          <w:r>
            <w:t xml:space="preserve">, </w:t>
          </w:r>
          <w:r>
            <w:rPr>
              <w:i/>
              <w:iCs/>
            </w:rPr>
            <w:t>Leeds.gov.uk</w:t>
          </w:r>
          <w:r>
            <w:t>. Available at: https://www.leeds.gov.uk/one-minute-guides/early-help (Accessed: July 18, 2026).</w:t>
          </w:r>
        </w:p>
        <w:p w14:paraId="5D1A144B" w14:textId="77777777" w:rsidR="00B55709" w:rsidRDefault="00B55709" w:rsidP="00A56F4C">
          <w:pPr>
            <w:spacing w:before="240" w:after="120"/>
          </w:pPr>
          <w:r>
            <w:t xml:space="preserve">MacAlister, J. (2022) </w:t>
          </w:r>
          <w:r>
            <w:rPr>
              <w:i/>
              <w:iCs/>
            </w:rPr>
            <w:t xml:space="preserve">The independent review of children’s social care -final report research </w:t>
          </w:r>
          <w:proofErr w:type="gramStart"/>
          <w:r>
            <w:rPr>
              <w:i/>
              <w:iCs/>
            </w:rPr>
            <w:t>report</w:t>
          </w:r>
          <w:proofErr w:type="gramEnd"/>
          <w:r>
            <w:rPr>
              <w:i/>
              <w:iCs/>
            </w:rPr>
            <w:t xml:space="preserve"> the independent review of Children’s social care 2</w:t>
          </w:r>
          <w:r>
            <w:t>. Available at: https://assets.publishing.service.gov.uk/media/640a17f28fa8f5560820da4b/Independent_review_of_children_s_social_care_-_Final_report.pdf (Accessed: July 18, 2026).</w:t>
          </w:r>
        </w:p>
        <w:p w14:paraId="4C8970AA" w14:textId="77777777" w:rsidR="00B55709" w:rsidRDefault="00B55709" w:rsidP="00A56F4C">
          <w:pPr>
            <w:spacing w:before="240" w:after="120"/>
          </w:pPr>
          <w:r>
            <w:t xml:space="preserve">Macalister, J. (2022) </w:t>
          </w:r>
          <w:r>
            <w:rPr>
              <w:i/>
              <w:iCs/>
            </w:rPr>
            <w:t>The independent review of children’s social care the independent review of children’s social care final report</w:t>
          </w:r>
          <w:r>
            <w:t>. Available at: https://www.thefosteringnetwork.org.uk/media/d45b44zp/the-independent-review-of-childrens-social-care-final-report.pdf (Accessed: July 18, 2026).</w:t>
          </w:r>
        </w:p>
        <w:p w14:paraId="4FB4076B" w14:textId="77777777" w:rsidR="00B55709" w:rsidRDefault="00B55709" w:rsidP="00A56F4C">
          <w:pPr>
            <w:spacing w:before="240" w:after="120"/>
          </w:pPr>
          <w:proofErr w:type="spellStart"/>
          <w:r>
            <w:t>Manikam</w:t>
          </w:r>
          <w:proofErr w:type="spellEnd"/>
          <w:r>
            <w:t xml:space="preserve">, L., Shereen Allaham, Demel, I.-C., Ummi Aisha Bello, Naman, M., Heys, M., Batura, N., Llewellyn, C., Hayward, A., Rajalakshmi Lakshman, Gilmour, J., Kelley Webb Martin, Irish, C., Edwards, C., </w:t>
          </w:r>
          <w:proofErr w:type="spellStart"/>
          <w:r>
            <w:t>Mfon</w:t>
          </w:r>
          <w:proofErr w:type="spellEnd"/>
          <w:r>
            <w:t xml:space="preserve"> Archibong, Clarkson, C., Marsh, M., Daley Delceta, </w:t>
          </w:r>
          <w:proofErr w:type="spellStart"/>
          <w:r>
            <w:t>Nutkins</w:t>
          </w:r>
          <w:proofErr w:type="spellEnd"/>
          <w:r>
            <w:t xml:space="preserve">, A., Islam, L., Bajwa, S., Malek, S., Jasvir Bhachu, </w:t>
          </w:r>
          <w:proofErr w:type="spellStart"/>
          <w:r>
            <w:t>Geromini</w:t>
          </w:r>
          <w:proofErr w:type="spellEnd"/>
          <w:r>
            <w:t xml:space="preserve"> </w:t>
          </w:r>
          <w:proofErr w:type="spellStart"/>
          <w:r>
            <w:t>Pushpakanthan</w:t>
          </w:r>
          <w:proofErr w:type="spellEnd"/>
          <w:r>
            <w:t xml:space="preserve"> and </w:t>
          </w:r>
          <w:proofErr w:type="spellStart"/>
          <w:r>
            <w:t>Lakhanpaul</w:t>
          </w:r>
          <w:proofErr w:type="spellEnd"/>
          <w:r>
            <w:t>, M. (2022) “Developing a community facilitator</w:t>
          </w:r>
          <w:r>
            <w:rPr>
              <w:rFonts w:ascii="Cambria Math" w:hAnsi="Cambria Math" w:cs="Cambria Math"/>
            </w:rPr>
            <w:t>‐</w:t>
          </w:r>
          <w:r>
            <w:t xml:space="preserve">led participatory learning and action women’s group intervention to improve infant feeding, care and dental hygiene practices in south </w:t>
          </w:r>
          <w:proofErr w:type="spellStart"/>
          <w:r>
            <w:t>asian</w:t>
          </w:r>
          <w:proofErr w:type="spellEnd"/>
          <w:r>
            <w:t xml:space="preserve"> infants: NEON programme,” </w:t>
          </w:r>
          <w:r>
            <w:rPr>
              <w:i/>
              <w:iCs/>
            </w:rPr>
            <w:t>Health expectations</w:t>
          </w:r>
          <w:r>
            <w:t>, 25(5), pp. 2416–2430. Available at: https://doi.org/10.1111/hex.13557.</w:t>
          </w:r>
        </w:p>
        <w:p w14:paraId="488D6FA8" w14:textId="77777777" w:rsidR="00B55709" w:rsidRDefault="00B55709" w:rsidP="00A56F4C">
          <w:pPr>
            <w:spacing w:before="240" w:after="120"/>
          </w:pPr>
          <w:r>
            <w:t xml:space="preserve">Muir, C., Sophie, Barrett, S., McGovern, R., Kaner, E., Wolfe, I. and Forman, J.R. (2024) “Co-design workshops with families experiencing multiple and interacting adversities including parental mental health, substance use, domestic violence, and poverty: Intervention principles and insights from mothers, fathers, and young people,” </w:t>
          </w:r>
          <w:r>
            <w:rPr>
              <w:i/>
              <w:iCs/>
            </w:rPr>
            <w:t>Research involvement and engagement</w:t>
          </w:r>
          <w:r>
            <w:t>, 10(1). Available at: https://doi.org/10.1186/s40900-024-00584-0.</w:t>
          </w:r>
        </w:p>
        <w:p w14:paraId="75016D6C" w14:textId="77777777" w:rsidR="00B55709" w:rsidRDefault="00B55709" w:rsidP="00A56F4C">
          <w:pPr>
            <w:spacing w:before="240" w:after="120"/>
          </w:pPr>
          <w:r>
            <w:t xml:space="preserve">Petty, L. (2026) </w:t>
          </w:r>
          <w:r>
            <w:rPr>
              <w:i/>
              <w:iCs/>
            </w:rPr>
            <w:t>What is early help? Understanding safeguarding changes in 2026</w:t>
          </w:r>
          <w:r>
            <w:t xml:space="preserve">, </w:t>
          </w:r>
          <w:r>
            <w:rPr>
              <w:i/>
              <w:iCs/>
            </w:rPr>
            <w:t>The hub | high speed training</w:t>
          </w:r>
          <w:r>
            <w:t>. Available at: https://www.highspeedtraining.co.uk/hub/what-is-early-help/ (Accessed: July 18, 2026).</w:t>
          </w:r>
        </w:p>
        <w:p w14:paraId="52CFCFEE" w14:textId="77777777" w:rsidR="00B55709" w:rsidRDefault="00B55709" w:rsidP="00A56F4C">
          <w:pPr>
            <w:spacing w:before="240" w:after="120"/>
          </w:pPr>
          <w:r>
            <w:t xml:space="preserve">Sidha, Z. and </w:t>
          </w:r>
          <w:proofErr w:type="spellStart"/>
          <w:r>
            <w:t>Amuomo</w:t>
          </w:r>
          <w:proofErr w:type="spellEnd"/>
          <w:r>
            <w:t xml:space="preserve">, N. (2023) “Information technology, the complexity of Joint action, and child protection policy implementation in Kenya,” </w:t>
          </w:r>
          <w:r>
            <w:rPr>
              <w:i/>
              <w:iCs/>
            </w:rPr>
            <w:t>Public policy and technological transformations in Africa</w:t>
          </w:r>
          <w:r>
            <w:t>, pp. 209–232. Available at: https://doi.org/10.1007/978-3-031-18704-9_9.</w:t>
          </w:r>
        </w:p>
        <w:p w14:paraId="0968B581" w14:textId="77777777" w:rsidR="00B55709" w:rsidRDefault="00B55709" w:rsidP="00A56F4C">
          <w:pPr>
            <w:spacing w:before="240" w:after="120"/>
          </w:pPr>
          <w:r>
            <w:t xml:space="preserve">Southwark.GOV.UK (2024) </w:t>
          </w:r>
          <w:r>
            <w:rPr>
              <w:i/>
              <w:iCs/>
            </w:rPr>
            <w:t xml:space="preserve">About early help | </w:t>
          </w:r>
          <w:proofErr w:type="spellStart"/>
          <w:r>
            <w:rPr>
              <w:i/>
              <w:iCs/>
            </w:rPr>
            <w:t>southwark</w:t>
          </w:r>
          <w:proofErr w:type="spellEnd"/>
          <w:r>
            <w:rPr>
              <w:i/>
              <w:iCs/>
            </w:rPr>
            <w:t xml:space="preserve"> council</w:t>
          </w:r>
          <w:r>
            <w:t xml:space="preserve">, </w:t>
          </w:r>
          <w:r>
            <w:rPr>
              <w:i/>
              <w:iCs/>
            </w:rPr>
            <w:t>Southwark.gov.uk</w:t>
          </w:r>
          <w:r>
            <w:t>. Available at: https://www.southwark.gov.uk/children-and-families/childrens-social-care/early-help/about-early-help (Accessed: July 18, 2026).</w:t>
          </w:r>
        </w:p>
        <w:p w14:paraId="1107D9C0" w14:textId="77777777" w:rsidR="00B55709" w:rsidRPr="00B55709" w:rsidRDefault="00B55709" w:rsidP="00B55709">
          <w:pPr>
            <w:spacing w:before="240" w:after="120"/>
            <w:rPr>
              <w:bCs/>
              <w:lang w:val="en-IN"/>
            </w:rPr>
          </w:pPr>
          <w:r w:rsidRPr="00B55709">
            <w:rPr>
              <w:bCs/>
              <w:lang w:val="en-IN"/>
            </w:rPr>
            <w:t>Walters, J.K., Sharma, A., Malica, E. and Harrison, R. (2022) ‘Supporting efficiency improvement in public health systems: a rapid evidence synthesis.’ </w:t>
          </w:r>
          <w:r w:rsidRPr="00B55709">
            <w:rPr>
              <w:bCs/>
              <w:i/>
              <w:iCs/>
              <w:lang w:val="en-IN"/>
            </w:rPr>
            <w:t>BMC Health Services Research</w:t>
          </w:r>
          <w:r w:rsidRPr="00B55709">
            <w:rPr>
              <w:bCs/>
              <w:lang w:val="en-IN"/>
            </w:rPr>
            <w:t>, </w:t>
          </w:r>
          <w:r w:rsidRPr="00B55709">
            <w:rPr>
              <w:bCs/>
              <w:i/>
              <w:iCs/>
              <w:lang w:val="en-IN"/>
            </w:rPr>
            <w:t>22</w:t>
          </w:r>
          <w:r w:rsidRPr="00B55709">
            <w:rPr>
              <w:bCs/>
              <w:lang w:val="en-IN"/>
            </w:rPr>
            <w:t>(1), p.293. Available at:  </w:t>
          </w:r>
          <w:hyperlink r:id="rId14" w:history="1">
            <w:r w:rsidRPr="00B55709">
              <w:rPr>
                <w:rStyle w:val="Hyperlink"/>
                <w:bCs/>
                <w:lang w:val="en-IN"/>
              </w:rPr>
              <w:t>https://link.springer.com/article/10.1186/s12913-022-07694-z</w:t>
            </w:r>
          </w:hyperlink>
        </w:p>
        <w:p w14:paraId="753963F4" w14:textId="77777777" w:rsidR="00B55709" w:rsidRDefault="00B55709" w:rsidP="00A56F4C">
          <w:pPr>
            <w:spacing w:before="240" w:after="120"/>
          </w:pPr>
          <w:r>
            <w:t xml:space="preserve">Weiss, A., Chaudhry, S., Marhefka, A. and Khunkhun, V. (2024) “Early intervention in the treatment of Psychosis,” </w:t>
          </w:r>
          <w:r>
            <w:rPr>
              <w:i/>
              <w:iCs/>
            </w:rPr>
            <w:t xml:space="preserve">Child and adolescent psychiatric clinics of North </w:t>
          </w:r>
          <w:proofErr w:type="spellStart"/>
          <w:r>
            <w:rPr>
              <w:i/>
              <w:iCs/>
            </w:rPr>
            <w:t>america</w:t>
          </w:r>
          <w:proofErr w:type="spellEnd"/>
          <w:r>
            <w:t xml:space="preserve">, 33(4), pp. 645–658. Available at: </w:t>
          </w:r>
          <w:hyperlink r:id="rId15" w:history="1">
            <w:r w:rsidRPr="00334A3E">
              <w:rPr>
                <w:rStyle w:val="Hyperlink"/>
              </w:rPr>
              <w:t>https://doi.org/10.1016/j.chc.2024.07.001</w:t>
            </w:r>
          </w:hyperlink>
          <w:r>
            <w:t>.</w:t>
          </w:r>
        </w:p>
        <w:p w14:paraId="0A4B5113" w14:textId="77777777" w:rsidR="00B55709" w:rsidRPr="00B55709" w:rsidRDefault="00B55709" w:rsidP="00B55709">
          <w:pPr>
            <w:spacing w:before="240" w:after="120"/>
            <w:rPr>
              <w:lang w:val="en-IN"/>
            </w:rPr>
          </w:pPr>
        </w:p>
        <w:p w14:paraId="34C93C2E" w14:textId="77777777" w:rsidR="00B55709" w:rsidRPr="000159CA" w:rsidRDefault="002F00D5" w:rsidP="00A56F4C">
          <w:pPr>
            <w:spacing w:before="240" w:after="120"/>
          </w:pPr>
        </w:p>
      </w:sdtContent>
    </w:sdt>
    <w:sectPr w:rsidR="00B55709" w:rsidRPr="000159CA" w:rsidSect="000D56DC">
      <w:footerReference w:type="defaul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48AF5" w14:textId="77777777" w:rsidR="002F00D5" w:rsidRDefault="002F00D5">
      <w:pPr>
        <w:spacing w:line="240" w:lineRule="auto"/>
      </w:pPr>
      <w:r>
        <w:separator/>
      </w:r>
    </w:p>
  </w:endnote>
  <w:endnote w:type="continuationSeparator" w:id="0">
    <w:p w14:paraId="79A04E28" w14:textId="77777777" w:rsidR="002F00D5" w:rsidRDefault="002F00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CB9FC7A8-19E5-4EBE-BAC5-A31DF913C0B4}"/>
  </w:font>
  <w:font w:name="Calibri">
    <w:panose1 w:val="020F0502020204030204"/>
    <w:charset w:val="00"/>
    <w:family w:val="swiss"/>
    <w:pitch w:val="variable"/>
    <w:sig w:usb0="E4002EFF" w:usb1="C200247B" w:usb2="00000009" w:usb3="00000000" w:csb0="000001FF" w:csb1="00000000"/>
    <w:embedRegular r:id="rId2" w:fontKey="{E9200E2C-3E6D-49A2-B3C2-5FEB781A75C4}"/>
    <w:embedBold r:id="rId3" w:fontKey="{22040439-44BF-4311-A2FF-B41E301BB1EF}"/>
  </w:font>
  <w:font w:name="Cambria">
    <w:panose1 w:val="02040503050406030204"/>
    <w:charset w:val="00"/>
    <w:family w:val="roman"/>
    <w:pitch w:val="variable"/>
    <w:sig w:usb0="E00006FF" w:usb1="420024FF" w:usb2="02000000" w:usb3="00000000" w:csb0="0000019F" w:csb1="00000000"/>
    <w:embedRegular r:id="rId4" w:fontKey="{E92F78FA-A386-40B4-89A8-AD0D4F9A4494}"/>
  </w:font>
  <w:font w:name="Cambria Math">
    <w:panose1 w:val="02040503050406030204"/>
    <w:charset w:val="00"/>
    <w:family w:val="roman"/>
    <w:pitch w:val="variable"/>
    <w:sig w:usb0="E00006FF" w:usb1="420024FF" w:usb2="02000000" w:usb3="00000000" w:csb0="0000019F" w:csb1="00000000"/>
    <w:embedRegular r:id="rId5" w:fontKey="{F9477229-CEF4-40B7-BC50-EA4D865CC44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40167"/>
      <w:docPartObj>
        <w:docPartGallery w:val="Page Numbers (Bottom of Page)"/>
        <w:docPartUnique/>
      </w:docPartObj>
    </w:sdtPr>
    <w:sdtEndPr/>
    <w:sdtContent>
      <w:sdt>
        <w:sdtPr>
          <w:id w:val="-1769616900"/>
          <w:docPartObj>
            <w:docPartGallery w:val="Page Numbers (Top of Page)"/>
            <w:docPartUnique/>
          </w:docPartObj>
        </w:sdtPr>
        <w:sdtEndPr/>
        <w:sdtContent>
          <w:p w14:paraId="1C73B1FD" w14:textId="6B97B49B" w:rsidR="000D56DC" w:rsidRDefault="000D56D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3F43FA">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3F43FA">
              <w:rPr>
                <w:b/>
                <w:bCs/>
                <w:noProof/>
              </w:rPr>
              <w:t>13</w:t>
            </w:r>
            <w:r>
              <w:rPr>
                <w:b/>
                <w:bCs/>
                <w:sz w:val="24"/>
                <w:szCs w:val="24"/>
              </w:rPr>
              <w:fldChar w:fldCharType="end"/>
            </w:r>
          </w:p>
        </w:sdtContent>
      </w:sdt>
    </w:sdtContent>
  </w:sdt>
  <w:p w14:paraId="30A15C89" w14:textId="77777777" w:rsidR="000D56DC" w:rsidRDefault="000D5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D1843" w14:textId="77777777" w:rsidR="002F00D5" w:rsidRDefault="002F00D5">
      <w:pPr>
        <w:spacing w:line="240" w:lineRule="auto"/>
      </w:pPr>
      <w:r>
        <w:separator/>
      </w:r>
    </w:p>
  </w:footnote>
  <w:footnote w:type="continuationSeparator" w:id="0">
    <w:p w14:paraId="31C5B563" w14:textId="77777777" w:rsidR="002F00D5" w:rsidRDefault="002F00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540E0"/>
    <w:multiLevelType w:val="hybridMultilevel"/>
    <w:tmpl w:val="2AE4F3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0496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5BE0"/>
    <w:rsid w:val="000159CA"/>
    <w:rsid w:val="000931B4"/>
    <w:rsid w:val="000D56DC"/>
    <w:rsid w:val="00192F19"/>
    <w:rsid w:val="002F00D5"/>
    <w:rsid w:val="00351B8F"/>
    <w:rsid w:val="003F43FA"/>
    <w:rsid w:val="00771F8C"/>
    <w:rsid w:val="008C6F09"/>
    <w:rsid w:val="00A548C2"/>
    <w:rsid w:val="00A56F4C"/>
    <w:rsid w:val="00A86D4C"/>
    <w:rsid w:val="00B55709"/>
    <w:rsid w:val="00B65BE0"/>
    <w:rsid w:val="00DA02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99577"/>
  <w15:docId w15:val="{28DF54C4-FFD3-4495-B17B-0D3625F70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6"/>
      <w:szCs w:val="2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DA02A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02AE"/>
    <w:rPr>
      <w:rFonts w:ascii="Segoe UI" w:hAnsi="Segoe UI" w:cs="Segoe UI"/>
      <w:sz w:val="18"/>
      <w:szCs w:val="18"/>
    </w:rPr>
  </w:style>
  <w:style w:type="paragraph" w:styleId="TOCHeading">
    <w:name w:val="TOC Heading"/>
    <w:basedOn w:val="Heading1"/>
    <w:next w:val="Normal"/>
    <w:uiPriority w:val="39"/>
    <w:unhideWhenUsed/>
    <w:qFormat/>
    <w:rsid w:val="00DA02AE"/>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DA02AE"/>
    <w:pPr>
      <w:spacing w:after="100"/>
    </w:pPr>
  </w:style>
  <w:style w:type="character" w:styleId="Hyperlink">
    <w:name w:val="Hyperlink"/>
    <w:basedOn w:val="DefaultParagraphFont"/>
    <w:uiPriority w:val="99"/>
    <w:unhideWhenUsed/>
    <w:rsid w:val="00DA02AE"/>
    <w:rPr>
      <w:color w:val="0000FF" w:themeColor="hyperlink"/>
      <w:u w:val="single"/>
    </w:rPr>
  </w:style>
  <w:style w:type="paragraph" w:styleId="Header">
    <w:name w:val="header"/>
    <w:basedOn w:val="Normal"/>
    <w:link w:val="HeaderChar"/>
    <w:uiPriority w:val="99"/>
    <w:unhideWhenUsed/>
    <w:rsid w:val="000D56DC"/>
    <w:pPr>
      <w:tabs>
        <w:tab w:val="center" w:pos="4513"/>
        <w:tab w:val="right" w:pos="9026"/>
      </w:tabs>
      <w:spacing w:line="240" w:lineRule="auto"/>
    </w:pPr>
  </w:style>
  <w:style w:type="character" w:customStyle="1" w:styleId="HeaderChar">
    <w:name w:val="Header Char"/>
    <w:basedOn w:val="DefaultParagraphFont"/>
    <w:link w:val="Header"/>
    <w:uiPriority w:val="99"/>
    <w:rsid w:val="000D56DC"/>
  </w:style>
  <w:style w:type="paragraph" w:styleId="Footer">
    <w:name w:val="footer"/>
    <w:basedOn w:val="Normal"/>
    <w:link w:val="FooterChar"/>
    <w:uiPriority w:val="99"/>
    <w:unhideWhenUsed/>
    <w:rsid w:val="000D56DC"/>
    <w:pPr>
      <w:tabs>
        <w:tab w:val="center" w:pos="4513"/>
        <w:tab w:val="right" w:pos="9026"/>
      </w:tabs>
      <w:spacing w:line="240" w:lineRule="auto"/>
    </w:pPr>
  </w:style>
  <w:style w:type="character" w:customStyle="1" w:styleId="FooterChar">
    <w:name w:val="Footer Char"/>
    <w:basedOn w:val="DefaultParagraphFont"/>
    <w:link w:val="Footer"/>
    <w:uiPriority w:val="99"/>
    <w:rsid w:val="000D56DC"/>
  </w:style>
  <w:style w:type="paragraph" w:styleId="ListParagraph">
    <w:name w:val="List Paragraph"/>
    <w:basedOn w:val="Normal"/>
    <w:uiPriority w:val="34"/>
    <w:qFormat/>
    <w:rsid w:val="00B557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5018052">
      <w:bodyDiv w:val="1"/>
      <w:marLeft w:val="0"/>
      <w:marRight w:val="0"/>
      <w:marTop w:val="0"/>
      <w:marBottom w:val="0"/>
      <w:divBdr>
        <w:top w:val="none" w:sz="0" w:space="0" w:color="auto"/>
        <w:left w:val="none" w:sz="0" w:space="0" w:color="auto"/>
        <w:bottom w:val="none" w:sz="0" w:space="0" w:color="auto"/>
        <w:right w:val="none" w:sz="0" w:space="0" w:color="auto"/>
      </w:divBdr>
    </w:div>
    <w:div w:id="17143846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lancet.com/journals/lanpub/article/PIIS2468-2667(22)00199-2/fulltex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media/69fb1c28d0e316a40f269a5b/Working_together_to_safeguard_children_2026_a_guide_to_multi_agency_working.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28de13be90e071f5f7e1bd2/Early_Help_System_Guide.pdf" TargetMode="External"/><Relationship Id="rId5" Type="http://schemas.openxmlformats.org/officeDocument/2006/relationships/webSettings" Target="webSettings.xml"/><Relationship Id="rId15" Type="http://schemas.openxmlformats.org/officeDocument/2006/relationships/hyperlink" Target="https://doi.org/10.1016/j.chc.2024.07.001" TargetMode="External"/><Relationship Id="rId10" Type="http://schemas.openxmlformats.org/officeDocument/2006/relationships/hyperlink" Target="https://doi.org/10.1002/erv.295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186/s12913-022-07694-z"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2409731-00F4-4917-AF43-F114E665D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3267</Words>
  <Characters>18623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mary banger</cp:lastModifiedBy>
  <cp:revision>2</cp:revision>
  <dcterms:created xsi:type="dcterms:W3CDTF">2026-08-06T15:34:00Z</dcterms:created>
  <dcterms:modified xsi:type="dcterms:W3CDTF">2026-08-06T15:34:00Z</dcterms:modified>
</cp:coreProperties>
</file>